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CD5B9" w14:textId="27591469" w:rsidR="007968FE" w:rsidRPr="00965B70" w:rsidRDefault="00CC0D8F" w:rsidP="00067C5F">
      <w:pPr>
        <w:pStyle w:val="Title"/>
        <w:spacing w:after="600"/>
        <w:rPr>
          <w:lang w:val="en-AU"/>
        </w:rPr>
      </w:pPr>
      <w:r w:rsidRPr="00965B70">
        <w:rPr>
          <w:lang w:val="en-AU"/>
        </w:rPr>
        <w:t>Groundwater Sustainable Yield Assessment: Overview</w:t>
      </w:r>
      <w:r w:rsidR="002310DA">
        <w:rPr>
          <w:lang w:val="en-AU"/>
        </w:rPr>
        <w:t xml:space="preserve"> </w:t>
      </w:r>
      <w:r w:rsidRPr="00965B70">
        <w:rPr>
          <w:lang w:val="en-AU"/>
        </w:rPr>
        <w:t>Report</w:t>
      </w:r>
    </w:p>
    <w:p w14:paraId="2F756DD3" w14:textId="3BE90379" w:rsidR="00CC0D8F" w:rsidRPr="00965B70" w:rsidRDefault="00CC0D8F" w:rsidP="00CC0D8F">
      <w:pPr>
        <w:pStyle w:val="Subtitle"/>
      </w:pPr>
      <w:r w:rsidRPr="00965B70">
        <w:t>Groundwater Management 2030</w:t>
      </w:r>
    </w:p>
    <w:p w14:paraId="08700270" w14:textId="77777777" w:rsidR="00A51AD4" w:rsidRPr="00965B70" w:rsidRDefault="00A51AD4" w:rsidP="00CC0D8F">
      <w:pPr>
        <w:pStyle w:val="TOAHeading"/>
        <w:pageBreakBefore/>
      </w:pPr>
      <w:r w:rsidRPr="00965B70">
        <w:lastRenderedPageBreak/>
        <w:t>Table of Contents</w:t>
      </w:r>
    </w:p>
    <w:p w14:paraId="073DA2DC" w14:textId="52BAFDC4" w:rsidR="001D292E" w:rsidRPr="00965B70" w:rsidRDefault="00DC5376">
      <w:pPr>
        <w:pStyle w:val="TOC1"/>
        <w:tabs>
          <w:tab w:val="right" w:leader="dot" w:pos="9628"/>
        </w:tabs>
        <w:rPr>
          <w:rFonts w:asciiTheme="minorHAnsi" w:hAnsiTheme="minorHAnsi" w:cstheme="minorBidi"/>
          <w:b w:val="0"/>
          <w:bCs w:val="0"/>
          <w:noProof/>
          <w:kern w:val="2"/>
          <w:lang w:eastAsia="en-GB"/>
          <w14:ligatures w14:val="standardContextual"/>
        </w:rPr>
      </w:pPr>
      <w:r w:rsidRPr="00965B70">
        <w:rPr>
          <w:rFonts w:cstheme="majorHAnsi"/>
          <w:sz w:val="28"/>
        </w:rPr>
        <w:fldChar w:fldCharType="begin"/>
      </w:r>
      <w:r w:rsidRPr="00965B70">
        <w:rPr>
          <w:rFonts w:cstheme="majorHAnsi"/>
          <w:sz w:val="28"/>
        </w:rPr>
        <w:instrText xml:space="preserve"> TOC \o "1-2" \h \z \u </w:instrText>
      </w:r>
      <w:r w:rsidRPr="00965B70">
        <w:rPr>
          <w:rFonts w:cstheme="majorHAnsi"/>
          <w:sz w:val="28"/>
        </w:rPr>
        <w:fldChar w:fldCharType="separate"/>
      </w:r>
      <w:hyperlink w:anchor="_Toc219975403" w:history="1">
        <w:r w:rsidR="001D292E" w:rsidRPr="00965B70">
          <w:rPr>
            <w:rStyle w:val="Hyperlink"/>
            <w:noProof/>
          </w:rPr>
          <w:t>List of Figures</w:t>
        </w:r>
        <w:r w:rsidR="001D292E" w:rsidRPr="00965B70">
          <w:rPr>
            <w:noProof/>
            <w:webHidden/>
          </w:rPr>
          <w:tab/>
        </w:r>
        <w:r w:rsidR="001D292E" w:rsidRPr="00965B70">
          <w:rPr>
            <w:noProof/>
            <w:webHidden/>
          </w:rPr>
          <w:fldChar w:fldCharType="begin"/>
        </w:r>
        <w:r w:rsidR="001D292E" w:rsidRPr="00965B70">
          <w:rPr>
            <w:noProof/>
            <w:webHidden/>
          </w:rPr>
          <w:instrText xml:space="preserve"> PAGEREF _Toc219975403 \h </w:instrText>
        </w:r>
        <w:r w:rsidR="001D292E" w:rsidRPr="00965B70">
          <w:rPr>
            <w:noProof/>
            <w:webHidden/>
          </w:rPr>
        </w:r>
        <w:r w:rsidR="001D292E" w:rsidRPr="00965B70">
          <w:rPr>
            <w:noProof/>
            <w:webHidden/>
          </w:rPr>
          <w:fldChar w:fldCharType="separate"/>
        </w:r>
        <w:r w:rsidR="00D76D09">
          <w:rPr>
            <w:noProof/>
            <w:webHidden/>
          </w:rPr>
          <w:t>3</w:t>
        </w:r>
        <w:r w:rsidR="001D292E" w:rsidRPr="00965B70">
          <w:rPr>
            <w:noProof/>
            <w:webHidden/>
          </w:rPr>
          <w:fldChar w:fldCharType="end"/>
        </w:r>
      </w:hyperlink>
    </w:p>
    <w:p w14:paraId="629D968E" w14:textId="4B4ADA8F"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04" w:history="1">
        <w:r w:rsidRPr="00965B70">
          <w:rPr>
            <w:rStyle w:val="Hyperlink"/>
            <w:noProof/>
          </w:rPr>
          <w:t>List of Tables</w:t>
        </w:r>
        <w:r w:rsidRPr="00965B70">
          <w:rPr>
            <w:noProof/>
            <w:webHidden/>
          </w:rPr>
          <w:tab/>
        </w:r>
        <w:r w:rsidRPr="00965B70">
          <w:rPr>
            <w:noProof/>
            <w:webHidden/>
          </w:rPr>
          <w:fldChar w:fldCharType="begin"/>
        </w:r>
        <w:r w:rsidRPr="00965B70">
          <w:rPr>
            <w:noProof/>
            <w:webHidden/>
          </w:rPr>
          <w:instrText xml:space="preserve"> PAGEREF _Toc219975404 \h </w:instrText>
        </w:r>
        <w:r w:rsidRPr="00965B70">
          <w:rPr>
            <w:noProof/>
            <w:webHidden/>
          </w:rPr>
        </w:r>
        <w:r w:rsidRPr="00965B70">
          <w:rPr>
            <w:noProof/>
            <w:webHidden/>
          </w:rPr>
          <w:fldChar w:fldCharType="separate"/>
        </w:r>
        <w:r w:rsidR="00D76D09">
          <w:rPr>
            <w:noProof/>
            <w:webHidden/>
          </w:rPr>
          <w:t>3</w:t>
        </w:r>
        <w:r w:rsidRPr="00965B70">
          <w:rPr>
            <w:noProof/>
            <w:webHidden/>
          </w:rPr>
          <w:fldChar w:fldCharType="end"/>
        </w:r>
      </w:hyperlink>
    </w:p>
    <w:p w14:paraId="52A5AE1C" w14:textId="16165295"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05" w:history="1">
        <w:r w:rsidRPr="00965B70">
          <w:rPr>
            <w:rStyle w:val="Hyperlink"/>
            <w:noProof/>
          </w:rPr>
          <w:t>Acknowledgements</w:t>
        </w:r>
        <w:r w:rsidRPr="00965B70">
          <w:rPr>
            <w:noProof/>
            <w:webHidden/>
          </w:rPr>
          <w:tab/>
        </w:r>
        <w:r w:rsidRPr="00965B70">
          <w:rPr>
            <w:noProof/>
            <w:webHidden/>
          </w:rPr>
          <w:fldChar w:fldCharType="begin"/>
        </w:r>
        <w:r w:rsidRPr="00965B70">
          <w:rPr>
            <w:noProof/>
            <w:webHidden/>
          </w:rPr>
          <w:instrText xml:space="preserve"> PAGEREF _Toc219975405 \h </w:instrText>
        </w:r>
        <w:r w:rsidRPr="00965B70">
          <w:rPr>
            <w:noProof/>
            <w:webHidden/>
          </w:rPr>
        </w:r>
        <w:r w:rsidRPr="00965B70">
          <w:rPr>
            <w:noProof/>
            <w:webHidden/>
          </w:rPr>
          <w:fldChar w:fldCharType="separate"/>
        </w:r>
        <w:r w:rsidR="00D76D09">
          <w:rPr>
            <w:noProof/>
            <w:webHidden/>
          </w:rPr>
          <w:t>4</w:t>
        </w:r>
        <w:r w:rsidRPr="00965B70">
          <w:rPr>
            <w:noProof/>
            <w:webHidden/>
          </w:rPr>
          <w:fldChar w:fldCharType="end"/>
        </w:r>
      </w:hyperlink>
    </w:p>
    <w:p w14:paraId="613AE878" w14:textId="28F8247E"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08" w:history="1">
        <w:r w:rsidRPr="00965B70">
          <w:rPr>
            <w:rStyle w:val="Hyperlink"/>
            <w:noProof/>
          </w:rPr>
          <w:t>Glossary</w:t>
        </w:r>
        <w:r w:rsidRPr="00965B70">
          <w:rPr>
            <w:noProof/>
            <w:webHidden/>
          </w:rPr>
          <w:tab/>
        </w:r>
        <w:r w:rsidRPr="00965B70">
          <w:rPr>
            <w:noProof/>
            <w:webHidden/>
          </w:rPr>
          <w:fldChar w:fldCharType="begin"/>
        </w:r>
        <w:r w:rsidRPr="00965B70">
          <w:rPr>
            <w:noProof/>
            <w:webHidden/>
          </w:rPr>
          <w:instrText xml:space="preserve"> PAGEREF _Toc219975408 \h </w:instrText>
        </w:r>
        <w:r w:rsidRPr="00965B70">
          <w:rPr>
            <w:noProof/>
            <w:webHidden/>
          </w:rPr>
        </w:r>
        <w:r w:rsidRPr="00965B70">
          <w:rPr>
            <w:noProof/>
            <w:webHidden/>
          </w:rPr>
          <w:fldChar w:fldCharType="separate"/>
        </w:r>
        <w:r w:rsidR="00D76D09">
          <w:rPr>
            <w:noProof/>
            <w:webHidden/>
          </w:rPr>
          <w:t>5</w:t>
        </w:r>
        <w:r w:rsidRPr="00965B70">
          <w:rPr>
            <w:noProof/>
            <w:webHidden/>
          </w:rPr>
          <w:fldChar w:fldCharType="end"/>
        </w:r>
      </w:hyperlink>
    </w:p>
    <w:p w14:paraId="2BF53603" w14:textId="62406973"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09" w:history="1">
        <w:r w:rsidRPr="00965B70">
          <w:rPr>
            <w:rStyle w:val="Hyperlink"/>
            <w:noProof/>
          </w:rPr>
          <w:t>Who should read this report?</w:t>
        </w:r>
        <w:r w:rsidRPr="00965B70">
          <w:rPr>
            <w:noProof/>
            <w:webHidden/>
          </w:rPr>
          <w:tab/>
        </w:r>
        <w:r w:rsidRPr="00965B70">
          <w:rPr>
            <w:noProof/>
            <w:webHidden/>
          </w:rPr>
          <w:fldChar w:fldCharType="begin"/>
        </w:r>
        <w:r w:rsidRPr="00965B70">
          <w:rPr>
            <w:noProof/>
            <w:webHidden/>
          </w:rPr>
          <w:instrText xml:space="preserve"> PAGEREF _Toc219975409 \h </w:instrText>
        </w:r>
        <w:r w:rsidRPr="00965B70">
          <w:rPr>
            <w:noProof/>
            <w:webHidden/>
          </w:rPr>
        </w:r>
        <w:r w:rsidRPr="00965B70">
          <w:rPr>
            <w:noProof/>
            <w:webHidden/>
          </w:rPr>
          <w:fldChar w:fldCharType="separate"/>
        </w:r>
        <w:r w:rsidR="00D76D09">
          <w:rPr>
            <w:noProof/>
            <w:webHidden/>
          </w:rPr>
          <w:t>10</w:t>
        </w:r>
        <w:r w:rsidRPr="00965B70">
          <w:rPr>
            <w:noProof/>
            <w:webHidden/>
          </w:rPr>
          <w:fldChar w:fldCharType="end"/>
        </w:r>
      </w:hyperlink>
    </w:p>
    <w:p w14:paraId="7925E994" w14:textId="7946E307"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10" w:history="1">
        <w:r w:rsidRPr="00965B70">
          <w:rPr>
            <w:rStyle w:val="Hyperlink"/>
            <w:noProof/>
          </w:rPr>
          <w:t>At a glance</w:t>
        </w:r>
        <w:r w:rsidRPr="00965B70">
          <w:rPr>
            <w:noProof/>
            <w:webHidden/>
          </w:rPr>
          <w:tab/>
        </w:r>
        <w:r w:rsidRPr="00965B70">
          <w:rPr>
            <w:noProof/>
            <w:webHidden/>
          </w:rPr>
          <w:fldChar w:fldCharType="begin"/>
        </w:r>
        <w:r w:rsidRPr="00965B70">
          <w:rPr>
            <w:noProof/>
            <w:webHidden/>
          </w:rPr>
          <w:instrText xml:space="preserve"> PAGEREF _Toc219975410 \h </w:instrText>
        </w:r>
        <w:r w:rsidRPr="00965B70">
          <w:rPr>
            <w:noProof/>
            <w:webHidden/>
          </w:rPr>
        </w:r>
        <w:r w:rsidRPr="00965B70">
          <w:rPr>
            <w:noProof/>
            <w:webHidden/>
          </w:rPr>
          <w:fldChar w:fldCharType="separate"/>
        </w:r>
        <w:r w:rsidR="00D76D09">
          <w:rPr>
            <w:noProof/>
            <w:webHidden/>
          </w:rPr>
          <w:t>11</w:t>
        </w:r>
        <w:r w:rsidRPr="00965B70">
          <w:rPr>
            <w:noProof/>
            <w:webHidden/>
          </w:rPr>
          <w:fldChar w:fldCharType="end"/>
        </w:r>
      </w:hyperlink>
    </w:p>
    <w:p w14:paraId="62411E99" w14:textId="6ED558F1" w:rsidR="001D292E" w:rsidRPr="00965B70" w:rsidRDefault="001D292E">
      <w:pPr>
        <w:pStyle w:val="TOC1"/>
        <w:tabs>
          <w:tab w:val="left" w:pos="480"/>
          <w:tab w:val="right" w:leader="dot" w:pos="9628"/>
        </w:tabs>
        <w:rPr>
          <w:rFonts w:asciiTheme="minorHAnsi" w:hAnsiTheme="minorHAnsi" w:cstheme="minorBidi"/>
          <w:b w:val="0"/>
          <w:bCs w:val="0"/>
          <w:noProof/>
          <w:kern w:val="2"/>
          <w:lang w:eastAsia="en-GB"/>
          <w14:ligatures w14:val="standardContextual"/>
        </w:rPr>
      </w:pPr>
      <w:hyperlink w:anchor="_Toc219975413" w:history="1">
        <w:r w:rsidRPr="00965B70">
          <w:rPr>
            <w:rStyle w:val="Hyperlink"/>
            <w:noProof/>
          </w:rPr>
          <w:t>1.</w:t>
        </w:r>
        <w:r w:rsidRPr="00965B70">
          <w:rPr>
            <w:rFonts w:asciiTheme="minorHAnsi" w:hAnsiTheme="minorHAnsi" w:cstheme="minorBidi"/>
            <w:b w:val="0"/>
            <w:bCs w:val="0"/>
            <w:noProof/>
            <w:kern w:val="2"/>
            <w:lang w:eastAsia="en-GB"/>
            <w14:ligatures w14:val="standardContextual"/>
          </w:rPr>
          <w:tab/>
        </w:r>
        <w:r w:rsidRPr="00965B70">
          <w:rPr>
            <w:rStyle w:val="Hyperlink"/>
            <w:noProof/>
          </w:rPr>
          <w:t>Introduction to groundwater</w:t>
        </w:r>
        <w:r w:rsidRPr="00965B70">
          <w:rPr>
            <w:noProof/>
            <w:webHidden/>
          </w:rPr>
          <w:tab/>
        </w:r>
        <w:r w:rsidRPr="00965B70">
          <w:rPr>
            <w:noProof/>
            <w:webHidden/>
          </w:rPr>
          <w:fldChar w:fldCharType="begin"/>
        </w:r>
        <w:r w:rsidRPr="00965B70">
          <w:rPr>
            <w:noProof/>
            <w:webHidden/>
          </w:rPr>
          <w:instrText xml:space="preserve"> PAGEREF _Toc219975413 \h </w:instrText>
        </w:r>
        <w:r w:rsidRPr="00965B70">
          <w:rPr>
            <w:noProof/>
            <w:webHidden/>
          </w:rPr>
        </w:r>
        <w:r w:rsidRPr="00965B70">
          <w:rPr>
            <w:noProof/>
            <w:webHidden/>
          </w:rPr>
          <w:fldChar w:fldCharType="separate"/>
        </w:r>
        <w:r w:rsidR="00D76D09">
          <w:rPr>
            <w:noProof/>
            <w:webHidden/>
          </w:rPr>
          <w:t>16</w:t>
        </w:r>
        <w:r w:rsidRPr="00965B70">
          <w:rPr>
            <w:noProof/>
            <w:webHidden/>
          </w:rPr>
          <w:fldChar w:fldCharType="end"/>
        </w:r>
      </w:hyperlink>
    </w:p>
    <w:p w14:paraId="773FB85C" w14:textId="768FB5DC"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14" w:history="1">
        <w:r w:rsidRPr="00965B70">
          <w:rPr>
            <w:rStyle w:val="Hyperlink"/>
            <w:noProof/>
          </w:rPr>
          <w:t>1.1.</w:t>
        </w:r>
        <w:r w:rsidRPr="00965B70">
          <w:rPr>
            <w:rFonts w:cstheme="minorBidi"/>
            <w:bCs w:val="0"/>
            <w:noProof/>
            <w:kern w:val="2"/>
            <w:szCs w:val="24"/>
            <w:lang w:eastAsia="en-GB"/>
            <w14:ligatures w14:val="standardContextual"/>
          </w:rPr>
          <w:tab/>
        </w:r>
        <w:r w:rsidRPr="00965B70">
          <w:rPr>
            <w:rStyle w:val="Hyperlink"/>
            <w:noProof/>
          </w:rPr>
          <w:t>About groundwater</w:t>
        </w:r>
        <w:r w:rsidRPr="00965B70">
          <w:rPr>
            <w:noProof/>
            <w:webHidden/>
          </w:rPr>
          <w:tab/>
        </w:r>
        <w:r w:rsidRPr="00965B70">
          <w:rPr>
            <w:noProof/>
            <w:webHidden/>
          </w:rPr>
          <w:fldChar w:fldCharType="begin"/>
        </w:r>
        <w:r w:rsidRPr="00965B70">
          <w:rPr>
            <w:noProof/>
            <w:webHidden/>
          </w:rPr>
          <w:instrText xml:space="preserve"> PAGEREF _Toc219975414 \h </w:instrText>
        </w:r>
        <w:r w:rsidRPr="00965B70">
          <w:rPr>
            <w:noProof/>
            <w:webHidden/>
          </w:rPr>
        </w:r>
        <w:r w:rsidRPr="00965B70">
          <w:rPr>
            <w:noProof/>
            <w:webHidden/>
          </w:rPr>
          <w:fldChar w:fldCharType="separate"/>
        </w:r>
        <w:r w:rsidR="00D76D09">
          <w:rPr>
            <w:noProof/>
            <w:webHidden/>
          </w:rPr>
          <w:t>16</w:t>
        </w:r>
        <w:r w:rsidRPr="00965B70">
          <w:rPr>
            <w:noProof/>
            <w:webHidden/>
          </w:rPr>
          <w:fldChar w:fldCharType="end"/>
        </w:r>
      </w:hyperlink>
    </w:p>
    <w:p w14:paraId="62908706" w14:textId="059B0E84"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15" w:history="1">
        <w:r w:rsidRPr="00965B70">
          <w:rPr>
            <w:rStyle w:val="Hyperlink"/>
            <w:noProof/>
          </w:rPr>
          <w:t>1.2.</w:t>
        </w:r>
        <w:r w:rsidRPr="00965B70">
          <w:rPr>
            <w:rFonts w:cstheme="minorBidi"/>
            <w:bCs w:val="0"/>
            <w:noProof/>
            <w:kern w:val="2"/>
            <w:szCs w:val="24"/>
            <w:lang w:eastAsia="en-GB"/>
            <w14:ligatures w14:val="standardContextual"/>
          </w:rPr>
          <w:tab/>
        </w:r>
        <w:r w:rsidRPr="00965B70">
          <w:rPr>
            <w:rStyle w:val="Hyperlink"/>
            <w:noProof/>
          </w:rPr>
          <w:t>Groundwater levels</w:t>
        </w:r>
        <w:r w:rsidRPr="00965B70">
          <w:rPr>
            <w:noProof/>
            <w:webHidden/>
          </w:rPr>
          <w:tab/>
        </w:r>
        <w:r w:rsidRPr="00965B70">
          <w:rPr>
            <w:noProof/>
            <w:webHidden/>
          </w:rPr>
          <w:fldChar w:fldCharType="begin"/>
        </w:r>
        <w:r w:rsidRPr="00965B70">
          <w:rPr>
            <w:noProof/>
            <w:webHidden/>
          </w:rPr>
          <w:instrText xml:space="preserve"> PAGEREF _Toc219975415 \h </w:instrText>
        </w:r>
        <w:r w:rsidRPr="00965B70">
          <w:rPr>
            <w:noProof/>
            <w:webHidden/>
          </w:rPr>
        </w:r>
        <w:r w:rsidRPr="00965B70">
          <w:rPr>
            <w:noProof/>
            <w:webHidden/>
          </w:rPr>
          <w:fldChar w:fldCharType="separate"/>
        </w:r>
        <w:r w:rsidR="00D76D09">
          <w:rPr>
            <w:noProof/>
            <w:webHidden/>
          </w:rPr>
          <w:t>18</w:t>
        </w:r>
        <w:r w:rsidRPr="00965B70">
          <w:rPr>
            <w:noProof/>
            <w:webHidden/>
          </w:rPr>
          <w:fldChar w:fldCharType="end"/>
        </w:r>
      </w:hyperlink>
    </w:p>
    <w:p w14:paraId="5D98D6B5" w14:textId="184EC801"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16" w:history="1">
        <w:r w:rsidRPr="00965B70">
          <w:rPr>
            <w:rStyle w:val="Hyperlink"/>
            <w:noProof/>
          </w:rPr>
          <w:t>1.3.</w:t>
        </w:r>
        <w:r w:rsidRPr="00965B70">
          <w:rPr>
            <w:rFonts w:cstheme="minorBidi"/>
            <w:bCs w:val="0"/>
            <w:noProof/>
            <w:kern w:val="2"/>
            <w:szCs w:val="24"/>
            <w:lang w:eastAsia="en-GB"/>
            <w14:ligatures w14:val="standardContextual"/>
          </w:rPr>
          <w:tab/>
        </w:r>
        <w:r w:rsidRPr="00965B70">
          <w:rPr>
            <w:rStyle w:val="Hyperlink"/>
            <w:noProof/>
          </w:rPr>
          <w:t>How we manage our groundwater</w:t>
        </w:r>
        <w:r w:rsidRPr="00965B70">
          <w:rPr>
            <w:noProof/>
            <w:webHidden/>
          </w:rPr>
          <w:tab/>
        </w:r>
        <w:r w:rsidRPr="00965B70">
          <w:rPr>
            <w:noProof/>
            <w:webHidden/>
          </w:rPr>
          <w:fldChar w:fldCharType="begin"/>
        </w:r>
        <w:r w:rsidRPr="00965B70">
          <w:rPr>
            <w:noProof/>
            <w:webHidden/>
          </w:rPr>
          <w:instrText xml:space="preserve"> PAGEREF _Toc219975416 \h </w:instrText>
        </w:r>
        <w:r w:rsidRPr="00965B70">
          <w:rPr>
            <w:noProof/>
            <w:webHidden/>
          </w:rPr>
        </w:r>
        <w:r w:rsidRPr="00965B70">
          <w:rPr>
            <w:noProof/>
            <w:webHidden/>
          </w:rPr>
          <w:fldChar w:fldCharType="separate"/>
        </w:r>
        <w:r w:rsidR="00D76D09">
          <w:rPr>
            <w:noProof/>
            <w:webHidden/>
          </w:rPr>
          <w:t>20</w:t>
        </w:r>
        <w:r w:rsidRPr="00965B70">
          <w:rPr>
            <w:noProof/>
            <w:webHidden/>
          </w:rPr>
          <w:fldChar w:fldCharType="end"/>
        </w:r>
      </w:hyperlink>
    </w:p>
    <w:p w14:paraId="4B71BC50" w14:textId="4E365ADA"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17" w:history="1">
        <w:r w:rsidRPr="00965B70">
          <w:rPr>
            <w:rStyle w:val="Hyperlink"/>
            <w:noProof/>
          </w:rPr>
          <w:t>1.4.</w:t>
        </w:r>
        <w:r w:rsidRPr="00965B70">
          <w:rPr>
            <w:rFonts w:cstheme="minorBidi"/>
            <w:bCs w:val="0"/>
            <w:noProof/>
            <w:kern w:val="2"/>
            <w:szCs w:val="24"/>
            <w:lang w:eastAsia="en-GB"/>
            <w14:ligatures w14:val="standardContextual"/>
          </w:rPr>
          <w:tab/>
        </w:r>
        <w:r w:rsidRPr="00965B70">
          <w:rPr>
            <w:rStyle w:val="Hyperlink"/>
            <w:noProof/>
          </w:rPr>
          <w:t>Things to avoid</w:t>
        </w:r>
        <w:r w:rsidRPr="00965B70">
          <w:rPr>
            <w:noProof/>
            <w:webHidden/>
          </w:rPr>
          <w:tab/>
        </w:r>
        <w:r w:rsidRPr="00965B70">
          <w:rPr>
            <w:noProof/>
            <w:webHidden/>
          </w:rPr>
          <w:fldChar w:fldCharType="begin"/>
        </w:r>
        <w:r w:rsidRPr="00965B70">
          <w:rPr>
            <w:noProof/>
            <w:webHidden/>
          </w:rPr>
          <w:instrText xml:space="preserve"> PAGEREF _Toc219975417 \h </w:instrText>
        </w:r>
        <w:r w:rsidRPr="00965B70">
          <w:rPr>
            <w:noProof/>
            <w:webHidden/>
          </w:rPr>
        </w:r>
        <w:r w:rsidRPr="00965B70">
          <w:rPr>
            <w:noProof/>
            <w:webHidden/>
          </w:rPr>
          <w:fldChar w:fldCharType="separate"/>
        </w:r>
        <w:r w:rsidR="00D76D09">
          <w:rPr>
            <w:noProof/>
            <w:webHidden/>
          </w:rPr>
          <w:t>21</w:t>
        </w:r>
        <w:r w:rsidRPr="00965B70">
          <w:rPr>
            <w:noProof/>
            <w:webHidden/>
          </w:rPr>
          <w:fldChar w:fldCharType="end"/>
        </w:r>
      </w:hyperlink>
    </w:p>
    <w:p w14:paraId="65522BBE" w14:textId="6AB7DE5F" w:rsidR="001D292E" w:rsidRPr="00965B70" w:rsidRDefault="001D292E">
      <w:pPr>
        <w:pStyle w:val="TOC1"/>
        <w:tabs>
          <w:tab w:val="left" w:pos="480"/>
          <w:tab w:val="right" w:leader="dot" w:pos="9628"/>
        </w:tabs>
        <w:rPr>
          <w:rFonts w:asciiTheme="minorHAnsi" w:hAnsiTheme="minorHAnsi" w:cstheme="minorBidi"/>
          <w:b w:val="0"/>
          <w:bCs w:val="0"/>
          <w:noProof/>
          <w:kern w:val="2"/>
          <w:lang w:eastAsia="en-GB"/>
          <w14:ligatures w14:val="standardContextual"/>
        </w:rPr>
      </w:pPr>
      <w:hyperlink w:anchor="_Toc219975418" w:history="1">
        <w:r w:rsidRPr="00965B70">
          <w:rPr>
            <w:rStyle w:val="Hyperlink"/>
            <w:noProof/>
          </w:rPr>
          <w:t>2.</w:t>
        </w:r>
        <w:r w:rsidRPr="00965B70">
          <w:rPr>
            <w:rFonts w:asciiTheme="minorHAnsi" w:hAnsiTheme="minorHAnsi" w:cstheme="minorBidi"/>
            <w:b w:val="0"/>
            <w:bCs w:val="0"/>
            <w:noProof/>
            <w:kern w:val="2"/>
            <w:lang w:eastAsia="en-GB"/>
            <w14:ligatures w14:val="standardContextual"/>
          </w:rPr>
          <w:tab/>
        </w:r>
        <w:r w:rsidRPr="00965B70">
          <w:rPr>
            <w:rStyle w:val="Hyperlink"/>
            <w:noProof/>
          </w:rPr>
          <w:t>Groundwater sustainable yield</w:t>
        </w:r>
        <w:r w:rsidRPr="00965B70">
          <w:rPr>
            <w:noProof/>
            <w:webHidden/>
          </w:rPr>
          <w:tab/>
        </w:r>
        <w:r w:rsidRPr="00965B70">
          <w:rPr>
            <w:noProof/>
            <w:webHidden/>
          </w:rPr>
          <w:fldChar w:fldCharType="begin"/>
        </w:r>
        <w:r w:rsidRPr="00965B70">
          <w:rPr>
            <w:noProof/>
            <w:webHidden/>
          </w:rPr>
          <w:instrText xml:space="preserve"> PAGEREF _Toc219975418 \h </w:instrText>
        </w:r>
        <w:r w:rsidRPr="00965B70">
          <w:rPr>
            <w:noProof/>
            <w:webHidden/>
          </w:rPr>
        </w:r>
        <w:r w:rsidRPr="00965B70">
          <w:rPr>
            <w:noProof/>
            <w:webHidden/>
          </w:rPr>
          <w:fldChar w:fldCharType="separate"/>
        </w:r>
        <w:r w:rsidR="00D76D09">
          <w:rPr>
            <w:noProof/>
            <w:webHidden/>
          </w:rPr>
          <w:t>24</w:t>
        </w:r>
        <w:r w:rsidRPr="00965B70">
          <w:rPr>
            <w:noProof/>
            <w:webHidden/>
          </w:rPr>
          <w:fldChar w:fldCharType="end"/>
        </w:r>
      </w:hyperlink>
    </w:p>
    <w:p w14:paraId="1C64FA55" w14:textId="29D69C8D"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19" w:history="1">
        <w:r w:rsidRPr="00965B70">
          <w:rPr>
            <w:rStyle w:val="Hyperlink"/>
            <w:noProof/>
          </w:rPr>
          <w:t>2.1.</w:t>
        </w:r>
        <w:r w:rsidRPr="00965B70">
          <w:rPr>
            <w:rFonts w:cstheme="minorBidi"/>
            <w:bCs w:val="0"/>
            <w:noProof/>
            <w:kern w:val="2"/>
            <w:szCs w:val="24"/>
            <w:lang w:eastAsia="en-GB"/>
            <w14:ligatures w14:val="standardContextual"/>
          </w:rPr>
          <w:tab/>
        </w:r>
        <w:r w:rsidRPr="00965B70">
          <w:rPr>
            <w:rStyle w:val="Hyperlink"/>
            <w:noProof/>
          </w:rPr>
          <w:t>The Sustainable Yield Assessment</w:t>
        </w:r>
        <w:r w:rsidRPr="00965B70">
          <w:rPr>
            <w:noProof/>
            <w:webHidden/>
          </w:rPr>
          <w:tab/>
        </w:r>
        <w:r w:rsidRPr="00965B70">
          <w:rPr>
            <w:noProof/>
            <w:webHidden/>
          </w:rPr>
          <w:fldChar w:fldCharType="begin"/>
        </w:r>
        <w:r w:rsidRPr="00965B70">
          <w:rPr>
            <w:noProof/>
            <w:webHidden/>
          </w:rPr>
          <w:instrText xml:space="preserve"> PAGEREF _Toc219975419 \h </w:instrText>
        </w:r>
        <w:r w:rsidRPr="00965B70">
          <w:rPr>
            <w:noProof/>
            <w:webHidden/>
          </w:rPr>
        </w:r>
        <w:r w:rsidRPr="00965B70">
          <w:rPr>
            <w:noProof/>
            <w:webHidden/>
          </w:rPr>
          <w:fldChar w:fldCharType="separate"/>
        </w:r>
        <w:r w:rsidR="00D76D09">
          <w:rPr>
            <w:noProof/>
            <w:webHidden/>
          </w:rPr>
          <w:t>24</w:t>
        </w:r>
        <w:r w:rsidRPr="00965B70">
          <w:rPr>
            <w:noProof/>
            <w:webHidden/>
          </w:rPr>
          <w:fldChar w:fldCharType="end"/>
        </w:r>
      </w:hyperlink>
    </w:p>
    <w:p w14:paraId="68E44E57" w14:textId="2E44FA48"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20" w:history="1">
        <w:r w:rsidRPr="00965B70">
          <w:rPr>
            <w:rStyle w:val="Hyperlink"/>
            <w:noProof/>
          </w:rPr>
          <w:t>2.2.</w:t>
        </w:r>
        <w:r w:rsidRPr="00965B70">
          <w:rPr>
            <w:rFonts w:cstheme="minorBidi"/>
            <w:bCs w:val="0"/>
            <w:noProof/>
            <w:kern w:val="2"/>
            <w:szCs w:val="24"/>
            <w:lang w:eastAsia="en-GB"/>
            <w14:ligatures w14:val="standardContextual"/>
          </w:rPr>
          <w:tab/>
        </w:r>
        <w:r w:rsidRPr="00965B70">
          <w:rPr>
            <w:rStyle w:val="Hyperlink"/>
            <w:noProof/>
          </w:rPr>
          <w:t>Calculating groundwater sustainable yields</w:t>
        </w:r>
        <w:r w:rsidRPr="00965B70">
          <w:rPr>
            <w:noProof/>
            <w:webHidden/>
          </w:rPr>
          <w:tab/>
        </w:r>
        <w:r w:rsidRPr="00965B70">
          <w:rPr>
            <w:noProof/>
            <w:webHidden/>
          </w:rPr>
          <w:fldChar w:fldCharType="begin"/>
        </w:r>
        <w:r w:rsidRPr="00965B70">
          <w:rPr>
            <w:noProof/>
            <w:webHidden/>
          </w:rPr>
          <w:instrText xml:space="preserve"> PAGEREF _Toc219975420 \h </w:instrText>
        </w:r>
        <w:r w:rsidRPr="00965B70">
          <w:rPr>
            <w:noProof/>
            <w:webHidden/>
          </w:rPr>
        </w:r>
        <w:r w:rsidRPr="00965B70">
          <w:rPr>
            <w:noProof/>
            <w:webHidden/>
          </w:rPr>
          <w:fldChar w:fldCharType="separate"/>
        </w:r>
        <w:r w:rsidR="00D76D09">
          <w:rPr>
            <w:noProof/>
            <w:webHidden/>
          </w:rPr>
          <w:t>25</w:t>
        </w:r>
        <w:r w:rsidRPr="00965B70">
          <w:rPr>
            <w:noProof/>
            <w:webHidden/>
          </w:rPr>
          <w:fldChar w:fldCharType="end"/>
        </w:r>
      </w:hyperlink>
    </w:p>
    <w:p w14:paraId="199E5A0A" w14:textId="3A4B599B" w:rsidR="001D292E" w:rsidRPr="00965B70" w:rsidRDefault="001D292E">
      <w:pPr>
        <w:pStyle w:val="TOC2"/>
        <w:tabs>
          <w:tab w:val="left" w:pos="720"/>
          <w:tab w:val="right" w:leader="dot" w:pos="9628"/>
        </w:tabs>
        <w:rPr>
          <w:rFonts w:cstheme="minorBidi"/>
          <w:bCs w:val="0"/>
          <w:noProof/>
          <w:kern w:val="2"/>
          <w:szCs w:val="24"/>
          <w:lang w:eastAsia="en-GB"/>
          <w14:ligatures w14:val="standardContextual"/>
        </w:rPr>
      </w:pPr>
      <w:hyperlink w:anchor="_Toc219975421" w:history="1">
        <w:r w:rsidRPr="00965B70">
          <w:rPr>
            <w:rStyle w:val="Hyperlink"/>
            <w:noProof/>
          </w:rPr>
          <w:t>2.3.</w:t>
        </w:r>
        <w:r w:rsidRPr="00965B70">
          <w:rPr>
            <w:rFonts w:cstheme="minorBidi"/>
            <w:bCs w:val="0"/>
            <w:noProof/>
            <w:kern w:val="2"/>
            <w:szCs w:val="24"/>
            <w:lang w:eastAsia="en-GB"/>
            <w14:ligatures w14:val="standardContextual"/>
          </w:rPr>
          <w:tab/>
        </w:r>
        <w:r w:rsidRPr="00965B70">
          <w:rPr>
            <w:rStyle w:val="Hyperlink"/>
            <w:noProof/>
          </w:rPr>
          <w:t>Groundwater availability and risk to sustainability</w:t>
        </w:r>
        <w:r w:rsidRPr="00965B70">
          <w:rPr>
            <w:noProof/>
            <w:webHidden/>
          </w:rPr>
          <w:tab/>
        </w:r>
        <w:r w:rsidRPr="00965B70">
          <w:rPr>
            <w:noProof/>
            <w:webHidden/>
          </w:rPr>
          <w:fldChar w:fldCharType="begin"/>
        </w:r>
        <w:r w:rsidRPr="00965B70">
          <w:rPr>
            <w:noProof/>
            <w:webHidden/>
          </w:rPr>
          <w:instrText xml:space="preserve"> PAGEREF _Toc219975421 \h </w:instrText>
        </w:r>
        <w:r w:rsidRPr="00965B70">
          <w:rPr>
            <w:noProof/>
            <w:webHidden/>
          </w:rPr>
        </w:r>
        <w:r w:rsidRPr="00965B70">
          <w:rPr>
            <w:noProof/>
            <w:webHidden/>
          </w:rPr>
          <w:fldChar w:fldCharType="separate"/>
        </w:r>
        <w:r w:rsidR="00D76D09">
          <w:rPr>
            <w:noProof/>
            <w:webHidden/>
          </w:rPr>
          <w:t>27</w:t>
        </w:r>
        <w:r w:rsidRPr="00965B70">
          <w:rPr>
            <w:noProof/>
            <w:webHidden/>
          </w:rPr>
          <w:fldChar w:fldCharType="end"/>
        </w:r>
      </w:hyperlink>
    </w:p>
    <w:p w14:paraId="6AF103D4" w14:textId="1C464809" w:rsidR="001D292E" w:rsidRPr="00965B70" w:rsidRDefault="001D292E">
      <w:pPr>
        <w:pStyle w:val="TOC1"/>
        <w:tabs>
          <w:tab w:val="left" w:pos="480"/>
          <w:tab w:val="right" w:leader="dot" w:pos="9628"/>
        </w:tabs>
        <w:rPr>
          <w:rFonts w:asciiTheme="minorHAnsi" w:hAnsiTheme="minorHAnsi" w:cstheme="minorBidi"/>
          <w:b w:val="0"/>
          <w:bCs w:val="0"/>
          <w:noProof/>
          <w:kern w:val="2"/>
          <w:lang w:eastAsia="en-GB"/>
          <w14:ligatures w14:val="standardContextual"/>
        </w:rPr>
      </w:pPr>
      <w:hyperlink w:anchor="_Toc219975422" w:history="1">
        <w:r w:rsidRPr="00965B70">
          <w:rPr>
            <w:rStyle w:val="Hyperlink"/>
            <w:noProof/>
          </w:rPr>
          <w:t>3.</w:t>
        </w:r>
        <w:r w:rsidRPr="00965B70">
          <w:rPr>
            <w:rFonts w:asciiTheme="minorHAnsi" w:hAnsiTheme="minorHAnsi" w:cstheme="minorBidi"/>
            <w:b w:val="0"/>
            <w:bCs w:val="0"/>
            <w:noProof/>
            <w:kern w:val="2"/>
            <w:lang w:eastAsia="en-GB"/>
            <w14:ligatures w14:val="standardContextual"/>
          </w:rPr>
          <w:tab/>
        </w:r>
        <w:r w:rsidRPr="00965B70">
          <w:rPr>
            <w:rStyle w:val="Hyperlink"/>
            <w:noProof/>
          </w:rPr>
          <w:t>Summary of results</w:t>
        </w:r>
        <w:r w:rsidRPr="00965B70">
          <w:rPr>
            <w:noProof/>
            <w:webHidden/>
          </w:rPr>
          <w:tab/>
        </w:r>
        <w:r w:rsidRPr="00965B70">
          <w:rPr>
            <w:noProof/>
            <w:webHidden/>
          </w:rPr>
          <w:fldChar w:fldCharType="begin"/>
        </w:r>
        <w:r w:rsidRPr="00965B70">
          <w:rPr>
            <w:noProof/>
            <w:webHidden/>
          </w:rPr>
          <w:instrText xml:space="preserve"> PAGEREF _Toc219975422 \h </w:instrText>
        </w:r>
        <w:r w:rsidRPr="00965B70">
          <w:rPr>
            <w:noProof/>
            <w:webHidden/>
          </w:rPr>
        </w:r>
        <w:r w:rsidRPr="00965B70">
          <w:rPr>
            <w:noProof/>
            <w:webHidden/>
          </w:rPr>
          <w:fldChar w:fldCharType="separate"/>
        </w:r>
        <w:r w:rsidR="00D76D09">
          <w:rPr>
            <w:noProof/>
            <w:webHidden/>
          </w:rPr>
          <w:t>29</w:t>
        </w:r>
        <w:r w:rsidRPr="00965B70">
          <w:rPr>
            <w:noProof/>
            <w:webHidden/>
          </w:rPr>
          <w:fldChar w:fldCharType="end"/>
        </w:r>
      </w:hyperlink>
    </w:p>
    <w:p w14:paraId="3B2CBFD2" w14:textId="548D479C" w:rsidR="001D292E" w:rsidRPr="00965B70" w:rsidRDefault="001D292E">
      <w:pPr>
        <w:pStyle w:val="TOC2"/>
        <w:tabs>
          <w:tab w:val="right" w:leader="dot" w:pos="9628"/>
        </w:tabs>
        <w:rPr>
          <w:rFonts w:cstheme="minorBidi"/>
          <w:bCs w:val="0"/>
          <w:noProof/>
          <w:kern w:val="2"/>
          <w:szCs w:val="24"/>
          <w:lang w:eastAsia="en-GB"/>
          <w14:ligatures w14:val="standardContextual"/>
        </w:rPr>
      </w:pPr>
      <w:hyperlink w:anchor="_Toc219975423" w:history="1">
        <w:r w:rsidRPr="00965B70">
          <w:rPr>
            <w:rStyle w:val="Hyperlink"/>
            <w:noProof/>
          </w:rPr>
          <w:t>Risk to sustainability</w:t>
        </w:r>
        <w:r w:rsidRPr="00965B70">
          <w:rPr>
            <w:noProof/>
            <w:webHidden/>
          </w:rPr>
          <w:tab/>
        </w:r>
        <w:r w:rsidRPr="00965B70">
          <w:rPr>
            <w:noProof/>
            <w:webHidden/>
          </w:rPr>
          <w:fldChar w:fldCharType="begin"/>
        </w:r>
        <w:r w:rsidRPr="00965B70">
          <w:rPr>
            <w:noProof/>
            <w:webHidden/>
          </w:rPr>
          <w:instrText xml:space="preserve"> PAGEREF _Toc219975423 \h </w:instrText>
        </w:r>
        <w:r w:rsidRPr="00965B70">
          <w:rPr>
            <w:noProof/>
            <w:webHidden/>
          </w:rPr>
        </w:r>
        <w:r w:rsidRPr="00965B70">
          <w:rPr>
            <w:noProof/>
            <w:webHidden/>
          </w:rPr>
          <w:fldChar w:fldCharType="separate"/>
        </w:r>
        <w:r w:rsidR="00D76D09">
          <w:rPr>
            <w:noProof/>
            <w:webHidden/>
          </w:rPr>
          <w:t>32</w:t>
        </w:r>
        <w:r w:rsidRPr="00965B70">
          <w:rPr>
            <w:noProof/>
            <w:webHidden/>
          </w:rPr>
          <w:fldChar w:fldCharType="end"/>
        </w:r>
      </w:hyperlink>
    </w:p>
    <w:p w14:paraId="3EC7B308" w14:textId="002F106C" w:rsidR="001D292E" w:rsidRPr="00965B70" w:rsidRDefault="001D292E">
      <w:pPr>
        <w:pStyle w:val="TOC1"/>
        <w:tabs>
          <w:tab w:val="left" w:pos="480"/>
          <w:tab w:val="right" w:leader="dot" w:pos="9628"/>
        </w:tabs>
        <w:rPr>
          <w:rFonts w:asciiTheme="minorHAnsi" w:hAnsiTheme="minorHAnsi" w:cstheme="minorBidi"/>
          <w:b w:val="0"/>
          <w:bCs w:val="0"/>
          <w:noProof/>
          <w:kern w:val="2"/>
          <w:lang w:eastAsia="en-GB"/>
          <w14:ligatures w14:val="standardContextual"/>
        </w:rPr>
      </w:pPr>
      <w:hyperlink w:anchor="_Toc219975424" w:history="1">
        <w:r w:rsidRPr="00965B70">
          <w:rPr>
            <w:rStyle w:val="Hyperlink"/>
            <w:noProof/>
          </w:rPr>
          <w:t>4.</w:t>
        </w:r>
        <w:r w:rsidRPr="00965B70">
          <w:rPr>
            <w:rFonts w:asciiTheme="minorHAnsi" w:hAnsiTheme="minorHAnsi" w:cstheme="minorBidi"/>
            <w:b w:val="0"/>
            <w:bCs w:val="0"/>
            <w:noProof/>
            <w:kern w:val="2"/>
            <w:lang w:eastAsia="en-GB"/>
            <w14:ligatures w14:val="standardContextual"/>
          </w:rPr>
          <w:tab/>
        </w:r>
        <w:r w:rsidRPr="00965B70">
          <w:rPr>
            <w:rStyle w:val="Hyperlink"/>
            <w:noProof/>
          </w:rPr>
          <w:t>Suitability of the output – fit for purpose</w:t>
        </w:r>
        <w:r w:rsidRPr="00965B70">
          <w:rPr>
            <w:noProof/>
            <w:webHidden/>
          </w:rPr>
          <w:tab/>
        </w:r>
        <w:r w:rsidRPr="00965B70">
          <w:rPr>
            <w:noProof/>
            <w:webHidden/>
          </w:rPr>
          <w:fldChar w:fldCharType="begin"/>
        </w:r>
        <w:r w:rsidRPr="00965B70">
          <w:rPr>
            <w:noProof/>
            <w:webHidden/>
          </w:rPr>
          <w:instrText xml:space="preserve"> PAGEREF _Toc219975424 \h </w:instrText>
        </w:r>
        <w:r w:rsidRPr="00965B70">
          <w:rPr>
            <w:noProof/>
            <w:webHidden/>
          </w:rPr>
        </w:r>
        <w:r w:rsidRPr="00965B70">
          <w:rPr>
            <w:noProof/>
            <w:webHidden/>
          </w:rPr>
          <w:fldChar w:fldCharType="separate"/>
        </w:r>
        <w:r w:rsidR="00D76D09">
          <w:rPr>
            <w:noProof/>
            <w:webHidden/>
          </w:rPr>
          <w:t>44</w:t>
        </w:r>
        <w:r w:rsidRPr="00965B70">
          <w:rPr>
            <w:noProof/>
            <w:webHidden/>
          </w:rPr>
          <w:fldChar w:fldCharType="end"/>
        </w:r>
      </w:hyperlink>
    </w:p>
    <w:p w14:paraId="0E2C0849" w14:textId="12743C1A" w:rsidR="001D292E" w:rsidRPr="00965B70" w:rsidRDefault="001D292E">
      <w:pPr>
        <w:pStyle w:val="TOC1"/>
        <w:tabs>
          <w:tab w:val="left" w:pos="480"/>
          <w:tab w:val="right" w:leader="dot" w:pos="9628"/>
        </w:tabs>
        <w:rPr>
          <w:rFonts w:asciiTheme="minorHAnsi" w:hAnsiTheme="minorHAnsi" w:cstheme="minorBidi"/>
          <w:b w:val="0"/>
          <w:bCs w:val="0"/>
          <w:noProof/>
          <w:kern w:val="2"/>
          <w:lang w:eastAsia="en-GB"/>
          <w14:ligatures w14:val="standardContextual"/>
        </w:rPr>
      </w:pPr>
      <w:hyperlink w:anchor="_Toc219975425" w:history="1">
        <w:r w:rsidRPr="00965B70">
          <w:rPr>
            <w:rStyle w:val="Hyperlink"/>
            <w:noProof/>
          </w:rPr>
          <w:t>5.</w:t>
        </w:r>
        <w:r w:rsidRPr="00965B70">
          <w:rPr>
            <w:rFonts w:asciiTheme="minorHAnsi" w:hAnsiTheme="minorHAnsi" w:cstheme="minorBidi"/>
            <w:b w:val="0"/>
            <w:bCs w:val="0"/>
            <w:noProof/>
            <w:kern w:val="2"/>
            <w:lang w:eastAsia="en-GB"/>
            <w14:ligatures w14:val="standardContextual"/>
          </w:rPr>
          <w:tab/>
        </w:r>
        <w:r w:rsidRPr="00965B70">
          <w:rPr>
            <w:rStyle w:val="Hyperlink"/>
            <w:noProof/>
          </w:rPr>
          <w:t>Get involved</w:t>
        </w:r>
        <w:r w:rsidRPr="00965B70">
          <w:rPr>
            <w:noProof/>
            <w:webHidden/>
          </w:rPr>
          <w:tab/>
        </w:r>
        <w:r w:rsidRPr="00965B70">
          <w:rPr>
            <w:noProof/>
            <w:webHidden/>
          </w:rPr>
          <w:fldChar w:fldCharType="begin"/>
        </w:r>
        <w:r w:rsidRPr="00965B70">
          <w:rPr>
            <w:noProof/>
            <w:webHidden/>
          </w:rPr>
          <w:instrText xml:space="preserve"> PAGEREF _Toc219975425 \h </w:instrText>
        </w:r>
        <w:r w:rsidRPr="00965B70">
          <w:rPr>
            <w:noProof/>
            <w:webHidden/>
          </w:rPr>
        </w:r>
        <w:r w:rsidRPr="00965B70">
          <w:rPr>
            <w:noProof/>
            <w:webHidden/>
          </w:rPr>
          <w:fldChar w:fldCharType="separate"/>
        </w:r>
        <w:r w:rsidR="00D76D09">
          <w:rPr>
            <w:noProof/>
            <w:webHidden/>
          </w:rPr>
          <w:t>45</w:t>
        </w:r>
        <w:r w:rsidRPr="00965B70">
          <w:rPr>
            <w:noProof/>
            <w:webHidden/>
          </w:rPr>
          <w:fldChar w:fldCharType="end"/>
        </w:r>
      </w:hyperlink>
    </w:p>
    <w:p w14:paraId="4A468BD8" w14:textId="7BFF993E"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26" w:history="1">
        <w:r w:rsidRPr="00965B70">
          <w:rPr>
            <w:rStyle w:val="Hyperlink"/>
            <w:noProof/>
          </w:rPr>
          <w:t>Appendix A</w:t>
        </w:r>
        <w:r w:rsidRPr="00965B70">
          <w:rPr>
            <w:noProof/>
            <w:webHidden/>
          </w:rPr>
          <w:tab/>
        </w:r>
        <w:r w:rsidRPr="00965B70">
          <w:rPr>
            <w:noProof/>
            <w:webHidden/>
          </w:rPr>
          <w:fldChar w:fldCharType="begin"/>
        </w:r>
        <w:r w:rsidRPr="00965B70">
          <w:rPr>
            <w:noProof/>
            <w:webHidden/>
          </w:rPr>
          <w:instrText xml:space="preserve"> PAGEREF _Toc219975426 \h </w:instrText>
        </w:r>
        <w:r w:rsidRPr="00965B70">
          <w:rPr>
            <w:noProof/>
            <w:webHidden/>
          </w:rPr>
        </w:r>
        <w:r w:rsidRPr="00965B70">
          <w:rPr>
            <w:noProof/>
            <w:webHidden/>
          </w:rPr>
          <w:fldChar w:fldCharType="separate"/>
        </w:r>
        <w:r w:rsidR="00D76D09">
          <w:rPr>
            <w:noProof/>
            <w:webHidden/>
          </w:rPr>
          <w:t>46</w:t>
        </w:r>
        <w:r w:rsidRPr="00965B70">
          <w:rPr>
            <w:noProof/>
            <w:webHidden/>
          </w:rPr>
          <w:fldChar w:fldCharType="end"/>
        </w:r>
      </w:hyperlink>
    </w:p>
    <w:p w14:paraId="0F6FC792" w14:textId="77B3B662" w:rsidR="001D292E" w:rsidRPr="00965B70" w:rsidRDefault="001D292E">
      <w:pPr>
        <w:pStyle w:val="TOC1"/>
        <w:tabs>
          <w:tab w:val="right" w:leader="dot" w:pos="9628"/>
        </w:tabs>
        <w:rPr>
          <w:rFonts w:asciiTheme="minorHAnsi" w:hAnsiTheme="minorHAnsi" w:cstheme="minorBidi"/>
          <w:b w:val="0"/>
          <w:bCs w:val="0"/>
          <w:noProof/>
          <w:kern w:val="2"/>
          <w:lang w:eastAsia="en-GB"/>
          <w14:ligatures w14:val="standardContextual"/>
        </w:rPr>
      </w:pPr>
      <w:hyperlink w:anchor="_Toc219975427" w:history="1">
        <w:r w:rsidRPr="00965B70">
          <w:rPr>
            <w:rStyle w:val="Hyperlink"/>
            <w:noProof/>
          </w:rPr>
          <w:t>Publication information</w:t>
        </w:r>
        <w:r w:rsidRPr="00965B70">
          <w:rPr>
            <w:noProof/>
            <w:webHidden/>
          </w:rPr>
          <w:tab/>
        </w:r>
        <w:r w:rsidRPr="00965B70">
          <w:rPr>
            <w:noProof/>
            <w:webHidden/>
          </w:rPr>
          <w:fldChar w:fldCharType="begin"/>
        </w:r>
        <w:r w:rsidRPr="00965B70">
          <w:rPr>
            <w:noProof/>
            <w:webHidden/>
          </w:rPr>
          <w:instrText xml:space="preserve"> PAGEREF _Toc219975427 \h </w:instrText>
        </w:r>
        <w:r w:rsidRPr="00965B70">
          <w:rPr>
            <w:noProof/>
            <w:webHidden/>
          </w:rPr>
        </w:r>
        <w:r w:rsidRPr="00965B70">
          <w:rPr>
            <w:noProof/>
            <w:webHidden/>
          </w:rPr>
          <w:fldChar w:fldCharType="separate"/>
        </w:r>
        <w:r w:rsidR="00D76D09">
          <w:rPr>
            <w:noProof/>
            <w:webHidden/>
          </w:rPr>
          <w:t>53</w:t>
        </w:r>
        <w:r w:rsidRPr="00965B70">
          <w:rPr>
            <w:noProof/>
            <w:webHidden/>
          </w:rPr>
          <w:fldChar w:fldCharType="end"/>
        </w:r>
      </w:hyperlink>
    </w:p>
    <w:p w14:paraId="0F456615" w14:textId="774E0EDC" w:rsidR="00B165A7" w:rsidRPr="00965B70" w:rsidRDefault="00DC5376">
      <w:pPr>
        <w:suppressAutoHyphens w:val="0"/>
        <w:spacing w:after="160"/>
        <w:rPr>
          <w:rFonts w:asciiTheme="majorHAnsi" w:hAnsiTheme="majorHAnsi" w:cstheme="majorHAnsi"/>
          <w:szCs w:val="24"/>
        </w:rPr>
        <w:sectPr w:rsidR="00B165A7" w:rsidRPr="00965B70" w:rsidSect="00EB277B">
          <w:footerReference w:type="even" r:id="rId15"/>
          <w:footerReference w:type="default" r:id="rId16"/>
          <w:pgSz w:w="11906" w:h="16838"/>
          <w:pgMar w:top="1134" w:right="1134" w:bottom="1134" w:left="1134" w:header="720" w:footer="454" w:gutter="0"/>
          <w:cols w:space="720"/>
          <w:noEndnote/>
          <w:docGrid w:linePitch="326"/>
        </w:sectPr>
      </w:pPr>
      <w:r w:rsidRPr="00965B70">
        <w:rPr>
          <w:rFonts w:asciiTheme="majorHAnsi" w:hAnsiTheme="majorHAnsi" w:cstheme="majorHAnsi"/>
          <w:sz w:val="28"/>
          <w:szCs w:val="24"/>
        </w:rPr>
        <w:fldChar w:fldCharType="end"/>
      </w:r>
    </w:p>
    <w:p w14:paraId="48D1DB87" w14:textId="7726785B" w:rsidR="00BC76DB" w:rsidRPr="00965B70" w:rsidRDefault="00BC76DB" w:rsidP="00BC76DB">
      <w:pPr>
        <w:pStyle w:val="Heading1"/>
        <w:numPr>
          <w:ilvl w:val="0"/>
          <w:numId w:val="0"/>
        </w:numPr>
        <w:rPr>
          <w:sz w:val="44"/>
          <w:szCs w:val="44"/>
          <w:lang w:val="en-AU"/>
        </w:rPr>
      </w:pPr>
      <w:bookmarkStart w:id="0" w:name="_Toc219975403"/>
      <w:r w:rsidRPr="00965B70">
        <w:rPr>
          <w:sz w:val="44"/>
          <w:szCs w:val="44"/>
          <w:lang w:val="en-AU"/>
        </w:rPr>
        <w:lastRenderedPageBreak/>
        <w:t>List of Figures</w:t>
      </w:r>
      <w:bookmarkEnd w:id="0"/>
    </w:p>
    <w:p w14:paraId="0F3D7456" w14:textId="55823923" w:rsidR="001D292E" w:rsidRPr="00965B70" w:rsidRDefault="001D292E" w:rsidP="00965B70">
      <w:pPr>
        <w:pStyle w:val="TableofFigures"/>
        <w:tabs>
          <w:tab w:val="right" w:leader="dot" w:pos="9628"/>
        </w:tabs>
        <w:spacing w:after="80" w:line="360" w:lineRule="auto"/>
        <w:rPr>
          <w:noProof/>
        </w:rPr>
      </w:pPr>
      <w:r w:rsidRPr="00965B70">
        <w:fldChar w:fldCharType="begin"/>
      </w:r>
      <w:r w:rsidRPr="00965B70">
        <w:instrText xml:space="preserve"> TOC \h \z \c "Figure" </w:instrText>
      </w:r>
      <w:r w:rsidRPr="00965B70">
        <w:fldChar w:fldCharType="separate"/>
      </w:r>
      <w:hyperlink w:anchor="_Toc219975554" w:history="1">
        <w:r w:rsidRPr="00965B70">
          <w:rPr>
            <w:rStyle w:val="Hyperlink"/>
            <w:noProof/>
          </w:rPr>
          <w:t xml:space="preserve">Figure 1: </w:t>
        </w:r>
        <w:r w:rsidRPr="00965B70">
          <w:rPr>
            <w:rStyle w:val="Hyperlink"/>
            <w:bCs/>
            <w:noProof/>
          </w:rPr>
          <w:t>How groundwater is stored</w:t>
        </w:r>
        <w:r w:rsidRPr="00965B70">
          <w:rPr>
            <w:noProof/>
            <w:webHidden/>
          </w:rPr>
          <w:tab/>
        </w:r>
        <w:r w:rsidRPr="00965B70">
          <w:rPr>
            <w:noProof/>
            <w:webHidden/>
          </w:rPr>
          <w:fldChar w:fldCharType="begin"/>
        </w:r>
        <w:r w:rsidRPr="00965B70">
          <w:rPr>
            <w:noProof/>
            <w:webHidden/>
          </w:rPr>
          <w:instrText xml:space="preserve"> PAGEREF _Toc219975554 \h </w:instrText>
        </w:r>
        <w:r w:rsidRPr="00965B70">
          <w:rPr>
            <w:noProof/>
            <w:webHidden/>
          </w:rPr>
        </w:r>
        <w:r w:rsidRPr="00965B70">
          <w:rPr>
            <w:noProof/>
            <w:webHidden/>
          </w:rPr>
          <w:fldChar w:fldCharType="separate"/>
        </w:r>
        <w:r w:rsidR="00D76D09">
          <w:rPr>
            <w:noProof/>
            <w:webHidden/>
          </w:rPr>
          <w:t>17</w:t>
        </w:r>
        <w:r w:rsidRPr="00965B70">
          <w:rPr>
            <w:noProof/>
            <w:webHidden/>
          </w:rPr>
          <w:fldChar w:fldCharType="end"/>
        </w:r>
      </w:hyperlink>
    </w:p>
    <w:p w14:paraId="43A4CAAE" w14:textId="6DE65A46" w:rsidR="001D292E" w:rsidRPr="00965B70" w:rsidRDefault="001D292E" w:rsidP="00965B70">
      <w:pPr>
        <w:pStyle w:val="TableofFigures"/>
        <w:tabs>
          <w:tab w:val="right" w:leader="dot" w:pos="9628"/>
        </w:tabs>
        <w:spacing w:after="80" w:line="360" w:lineRule="auto"/>
        <w:rPr>
          <w:noProof/>
          <w:sz w:val="22"/>
        </w:rPr>
      </w:pPr>
      <w:hyperlink w:anchor="_Toc219975555" w:history="1">
        <w:r w:rsidRPr="00965B70">
          <w:rPr>
            <w:rStyle w:val="Hyperlink"/>
            <w:noProof/>
            <w:sz w:val="22"/>
          </w:rPr>
          <w:t xml:space="preserve">Figure 2: </w:t>
        </w:r>
        <w:r w:rsidRPr="00965B70">
          <w:rPr>
            <w:rStyle w:val="Hyperlink"/>
            <w:bCs/>
            <w:noProof/>
            <w:sz w:val="22"/>
          </w:rPr>
          <w:t>How groundwater levels respond to pumping</w:t>
        </w:r>
        <w:r w:rsidRPr="00965B70">
          <w:rPr>
            <w:noProof/>
            <w:webHidden/>
            <w:sz w:val="22"/>
          </w:rPr>
          <w:tab/>
        </w:r>
        <w:r w:rsidRPr="00965B70">
          <w:rPr>
            <w:noProof/>
            <w:webHidden/>
            <w:sz w:val="22"/>
          </w:rPr>
          <w:fldChar w:fldCharType="begin"/>
        </w:r>
        <w:r w:rsidRPr="00965B70">
          <w:rPr>
            <w:noProof/>
            <w:webHidden/>
            <w:sz w:val="22"/>
          </w:rPr>
          <w:instrText xml:space="preserve"> PAGEREF _Toc219975555 \h </w:instrText>
        </w:r>
        <w:r w:rsidRPr="00965B70">
          <w:rPr>
            <w:noProof/>
            <w:webHidden/>
            <w:sz w:val="22"/>
          </w:rPr>
        </w:r>
        <w:r w:rsidRPr="00965B70">
          <w:rPr>
            <w:noProof/>
            <w:webHidden/>
            <w:sz w:val="22"/>
          </w:rPr>
          <w:fldChar w:fldCharType="separate"/>
        </w:r>
        <w:r w:rsidR="00D76D09">
          <w:rPr>
            <w:noProof/>
            <w:webHidden/>
            <w:sz w:val="22"/>
          </w:rPr>
          <w:t>18</w:t>
        </w:r>
        <w:r w:rsidRPr="00965B70">
          <w:rPr>
            <w:noProof/>
            <w:webHidden/>
            <w:sz w:val="22"/>
          </w:rPr>
          <w:fldChar w:fldCharType="end"/>
        </w:r>
      </w:hyperlink>
    </w:p>
    <w:p w14:paraId="24003AF9" w14:textId="6D84C2E0" w:rsidR="001D292E" w:rsidRPr="00965B70" w:rsidRDefault="001D292E" w:rsidP="00965B70">
      <w:pPr>
        <w:pStyle w:val="TableofFigures"/>
        <w:tabs>
          <w:tab w:val="right" w:leader="dot" w:pos="9628"/>
        </w:tabs>
        <w:spacing w:after="80" w:line="360" w:lineRule="auto"/>
        <w:rPr>
          <w:noProof/>
          <w:sz w:val="22"/>
        </w:rPr>
      </w:pPr>
      <w:hyperlink w:anchor="_Toc219975556" w:history="1">
        <w:r w:rsidRPr="00965B70">
          <w:rPr>
            <w:rStyle w:val="Hyperlink"/>
            <w:noProof/>
            <w:sz w:val="22"/>
          </w:rPr>
          <w:t xml:space="preserve">Figure 3: </w:t>
        </w:r>
        <w:r w:rsidRPr="00965B70">
          <w:rPr>
            <w:rStyle w:val="Hyperlink"/>
            <w:bCs/>
            <w:noProof/>
            <w:sz w:val="22"/>
          </w:rPr>
          <w:t xml:space="preserve">Confined aquifer: response of groundwater levels development to </w:t>
        </w:r>
        <w:r w:rsidR="00C33C68" w:rsidRPr="00965B70">
          <w:rPr>
            <w:rStyle w:val="Hyperlink"/>
            <w:bCs/>
            <w:noProof/>
            <w:sz w:val="22"/>
          </w:rPr>
          <w:br/>
        </w:r>
        <w:r w:rsidRPr="00965B70">
          <w:rPr>
            <w:rStyle w:val="Hyperlink"/>
            <w:bCs/>
            <w:noProof/>
            <w:sz w:val="22"/>
          </w:rPr>
          <w:t>constant annual volume with seasonal pumping.</w:t>
        </w:r>
        <w:r w:rsidRPr="00965B70">
          <w:rPr>
            <w:noProof/>
            <w:webHidden/>
            <w:sz w:val="22"/>
          </w:rPr>
          <w:tab/>
        </w:r>
        <w:r w:rsidRPr="00965B70">
          <w:rPr>
            <w:noProof/>
            <w:webHidden/>
            <w:sz w:val="22"/>
          </w:rPr>
          <w:fldChar w:fldCharType="begin"/>
        </w:r>
        <w:r w:rsidRPr="00965B70">
          <w:rPr>
            <w:noProof/>
            <w:webHidden/>
            <w:sz w:val="22"/>
          </w:rPr>
          <w:instrText xml:space="preserve"> PAGEREF _Toc219975556 \h </w:instrText>
        </w:r>
        <w:r w:rsidRPr="00965B70">
          <w:rPr>
            <w:noProof/>
            <w:webHidden/>
            <w:sz w:val="22"/>
          </w:rPr>
        </w:r>
        <w:r w:rsidRPr="00965B70">
          <w:rPr>
            <w:noProof/>
            <w:webHidden/>
            <w:sz w:val="22"/>
          </w:rPr>
          <w:fldChar w:fldCharType="separate"/>
        </w:r>
        <w:r w:rsidR="00D76D09">
          <w:rPr>
            <w:noProof/>
            <w:webHidden/>
            <w:sz w:val="22"/>
          </w:rPr>
          <w:t>19</w:t>
        </w:r>
        <w:r w:rsidRPr="00965B70">
          <w:rPr>
            <w:noProof/>
            <w:webHidden/>
            <w:sz w:val="22"/>
          </w:rPr>
          <w:fldChar w:fldCharType="end"/>
        </w:r>
      </w:hyperlink>
    </w:p>
    <w:p w14:paraId="37E31A0E" w14:textId="2032BF4F" w:rsidR="001D292E" w:rsidRPr="00965B70" w:rsidRDefault="001D292E" w:rsidP="00965B70">
      <w:pPr>
        <w:pStyle w:val="TableofFigures"/>
        <w:tabs>
          <w:tab w:val="right" w:leader="dot" w:pos="9628"/>
        </w:tabs>
        <w:spacing w:after="80" w:line="360" w:lineRule="auto"/>
        <w:rPr>
          <w:noProof/>
          <w:sz w:val="22"/>
        </w:rPr>
      </w:pPr>
      <w:hyperlink w:anchor="_Toc219975557" w:history="1">
        <w:r w:rsidRPr="00965B70">
          <w:rPr>
            <w:rStyle w:val="Hyperlink"/>
            <w:noProof/>
            <w:sz w:val="22"/>
          </w:rPr>
          <w:t xml:space="preserve">Figure 4: </w:t>
        </w:r>
        <w:r w:rsidRPr="00965B70">
          <w:rPr>
            <w:rStyle w:val="Hyperlink"/>
            <w:bCs/>
            <w:noProof/>
            <w:sz w:val="22"/>
          </w:rPr>
          <w:t xml:space="preserve">Unconfined aquifer response includes (a) natural fluctuation in </w:t>
        </w:r>
        <w:r w:rsidR="00C33C68" w:rsidRPr="00965B70">
          <w:rPr>
            <w:rStyle w:val="Hyperlink"/>
            <w:bCs/>
            <w:noProof/>
            <w:sz w:val="22"/>
          </w:rPr>
          <w:br/>
        </w:r>
        <w:r w:rsidRPr="00965B70">
          <w:rPr>
            <w:rStyle w:val="Hyperlink"/>
            <w:bCs/>
            <w:noProof/>
            <w:sz w:val="22"/>
          </w:rPr>
          <w:t>groundwater level and (b) response to climate and seasonal pumping.</w:t>
        </w:r>
        <w:r w:rsidRPr="00965B70">
          <w:rPr>
            <w:noProof/>
            <w:webHidden/>
            <w:sz w:val="22"/>
          </w:rPr>
          <w:tab/>
        </w:r>
        <w:r w:rsidRPr="00965B70">
          <w:rPr>
            <w:noProof/>
            <w:webHidden/>
            <w:sz w:val="22"/>
          </w:rPr>
          <w:fldChar w:fldCharType="begin"/>
        </w:r>
        <w:r w:rsidRPr="00965B70">
          <w:rPr>
            <w:noProof/>
            <w:webHidden/>
            <w:sz w:val="22"/>
          </w:rPr>
          <w:instrText xml:space="preserve"> PAGEREF _Toc219975557 \h </w:instrText>
        </w:r>
        <w:r w:rsidRPr="00965B70">
          <w:rPr>
            <w:noProof/>
            <w:webHidden/>
            <w:sz w:val="22"/>
          </w:rPr>
        </w:r>
        <w:r w:rsidRPr="00965B70">
          <w:rPr>
            <w:noProof/>
            <w:webHidden/>
            <w:sz w:val="22"/>
          </w:rPr>
          <w:fldChar w:fldCharType="separate"/>
        </w:r>
        <w:r w:rsidR="00D76D09">
          <w:rPr>
            <w:noProof/>
            <w:webHidden/>
            <w:sz w:val="22"/>
          </w:rPr>
          <w:t>20</w:t>
        </w:r>
        <w:r w:rsidRPr="00965B70">
          <w:rPr>
            <w:noProof/>
            <w:webHidden/>
            <w:sz w:val="22"/>
          </w:rPr>
          <w:fldChar w:fldCharType="end"/>
        </w:r>
      </w:hyperlink>
    </w:p>
    <w:p w14:paraId="1E6B5C63" w14:textId="5A5FA5F9" w:rsidR="001D292E" w:rsidRPr="00965B70" w:rsidRDefault="001D292E" w:rsidP="00965B70">
      <w:pPr>
        <w:pStyle w:val="TableofFigures"/>
        <w:tabs>
          <w:tab w:val="right" w:leader="dot" w:pos="9628"/>
        </w:tabs>
        <w:spacing w:after="80" w:line="360" w:lineRule="auto"/>
        <w:rPr>
          <w:noProof/>
          <w:sz w:val="22"/>
        </w:rPr>
      </w:pPr>
      <w:hyperlink w:anchor="_Toc219975558" w:history="1">
        <w:r w:rsidRPr="00965B70">
          <w:rPr>
            <w:rStyle w:val="Hyperlink"/>
            <w:noProof/>
            <w:sz w:val="22"/>
          </w:rPr>
          <w:t xml:space="preserve">Figure 5: </w:t>
        </w:r>
        <w:r w:rsidRPr="00965B70">
          <w:rPr>
            <w:rStyle w:val="Hyperlink"/>
            <w:bCs/>
            <w:noProof/>
            <w:sz w:val="22"/>
          </w:rPr>
          <w:t xml:space="preserve">Impacts of regional groundwater decline on water users as </w:t>
        </w:r>
        <w:r w:rsidR="00C33C68" w:rsidRPr="00965B70">
          <w:rPr>
            <w:rStyle w:val="Hyperlink"/>
            <w:bCs/>
            <w:noProof/>
            <w:sz w:val="22"/>
          </w:rPr>
          <w:br/>
        </w:r>
        <w:r w:rsidRPr="00965B70">
          <w:rPr>
            <w:rStyle w:val="Hyperlink"/>
            <w:bCs/>
            <w:noProof/>
            <w:sz w:val="22"/>
          </w:rPr>
          <w:t>groundwater levels continue to decline</w:t>
        </w:r>
        <w:r w:rsidRPr="00965B70">
          <w:rPr>
            <w:noProof/>
            <w:webHidden/>
            <w:sz w:val="22"/>
          </w:rPr>
          <w:tab/>
        </w:r>
        <w:r w:rsidRPr="00965B70">
          <w:rPr>
            <w:noProof/>
            <w:webHidden/>
            <w:sz w:val="22"/>
          </w:rPr>
          <w:fldChar w:fldCharType="begin"/>
        </w:r>
        <w:r w:rsidRPr="00965B70">
          <w:rPr>
            <w:noProof/>
            <w:webHidden/>
            <w:sz w:val="22"/>
          </w:rPr>
          <w:instrText xml:space="preserve"> PAGEREF _Toc219975558 \h </w:instrText>
        </w:r>
        <w:r w:rsidRPr="00965B70">
          <w:rPr>
            <w:noProof/>
            <w:webHidden/>
            <w:sz w:val="22"/>
          </w:rPr>
        </w:r>
        <w:r w:rsidRPr="00965B70">
          <w:rPr>
            <w:noProof/>
            <w:webHidden/>
            <w:sz w:val="22"/>
          </w:rPr>
          <w:fldChar w:fldCharType="separate"/>
        </w:r>
        <w:r w:rsidR="00D76D09">
          <w:rPr>
            <w:noProof/>
            <w:webHidden/>
            <w:sz w:val="22"/>
          </w:rPr>
          <w:t>21</w:t>
        </w:r>
        <w:r w:rsidRPr="00965B70">
          <w:rPr>
            <w:noProof/>
            <w:webHidden/>
            <w:sz w:val="22"/>
          </w:rPr>
          <w:fldChar w:fldCharType="end"/>
        </w:r>
      </w:hyperlink>
    </w:p>
    <w:p w14:paraId="17C3F884" w14:textId="1AC1EC6E" w:rsidR="001D292E" w:rsidRPr="00965B70" w:rsidRDefault="001D292E" w:rsidP="00965B70">
      <w:pPr>
        <w:pStyle w:val="TableofFigures"/>
        <w:tabs>
          <w:tab w:val="right" w:leader="dot" w:pos="9628"/>
        </w:tabs>
        <w:spacing w:after="80" w:line="360" w:lineRule="auto"/>
        <w:rPr>
          <w:noProof/>
          <w:sz w:val="22"/>
        </w:rPr>
      </w:pPr>
      <w:hyperlink w:anchor="_Toc219975559" w:history="1">
        <w:r w:rsidRPr="00965B70">
          <w:rPr>
            <w:rStyle w:val="Hyperlink"/>
            <w:noProof/>
            <w:sz w:val="22"/>
          </w:rPr>
          <w:t xml:space="preserve">Figure 6: </w:t>
        </w:r>
        <w:r w:rsidRPr="00965B70">
          <w:rPr>
            <w:rStyle w:val="Hyperlink"/>
            <w:bCs/>
            <w:noProof/>
            <w:sz w:val="22"/>
          </w:rPr>
          <w:t xml:space="preserve">Impacts of regional groundwater decline on the environment </w:t>
        </w:r>
        <w:r w:rsidR="00C33C68" w:rsidRPr="00965B70">
          <w:rPr>
            <w:rStyle w:val="Hyperlink"/>
            <w:bCs/>
            <w:noProof/>
            <w:sz w:val="22"/>
          </w:rPr>
          <w:br/>
        </w:r>
        <w:r w:rsidRPr="00965B70">
          <w:rPr>
            <w:rStyle w:val="Hyperlink"/>
            <w:bCs/>
            <w:noProof/>
            <w:sz w:val="22"/>
          </w:rPr>
          <w:t>(waterways) as groundwater levels continue to decline</w:t>
        </w:r>
        <w:r w:rsidRPr="00965B70">
          <w:rPr>
            <w:noProof/>
            <w:webHidden/>
            <w:sz w:val="22"/>
          </w:rPr>
          <w:tab/>
        </w:r>
        <w:r w:rsidRPr="00965B70">
          <w:rPr>
            <w:noProof/>
            <w:webHidden/>
            <w:sz w:val="22"/>
          </w:rPr>
          <w:fldChar w:fldCharType="begin"/>
        </w:r>
        <w:r w:rsidRPr="00965B70">
          <w:rPr>
            <w:noProof/>
            <w:webHidden/>
            <w:sz w:val="22"/>
          </w:rPr>
          <w:instrText xml:space="preserve"> PAGEREF _Toc219975559 \h </w:instrText>
        </w:r>
        <w:r w:rsidRPr="00965B70">
          <w:rPr>
            <w:noProof/>
            <w:webHidden/>
            <w:sz w:val="22"/>
          </w:rPr>
        </w:r>
        <w:r w:rsidRPr="00965B70">
          <w:rPr>
            <w:noProof/>
            <w:webHidden/>
            <w:sz w:val="22"/>
          </w:rPr>
          <w:fldChar w:fldCharType="separate"/>
        </w:r>
        <w:r w:rsidR="00D76D09">
          <w:rPr>
            <w:noProof/>
            <w:webHidden/>
            <w:sz w:val="22"/>
          </w:rPr>
          <w:t>22</w:t>
        </w:r>
        <w:r w:rsidRPr="00965B70">
          <w:rPr>
            <w:noProof/>
            <w:webHidden/>
            <w:sz w:val="22"/>
          </w:rPr>
          <w:fldChar w:fldCharType="end"/>
        </w:r>
      </w:hyperlink>
    </w:p>
    <w:p w14:paraId="54219C6B" w14:textId="0F886750" w:rsidR="001D292E" w:rsidRPr="00965B70" w:rsidRDefault="001D292E" w:rsidP="00965B70">
      <w:pPr>
        <w:pStyle w:val="TableofFigures"/>
        <w:tabs>
          <w:tab w:val="right" w:leader="dot" w:pos="9628"/>
        </w:tabs>
        <w:spacing w:after="80" w:line="360" w:lineRule="auto"/>
        <w:rPr>
          <w:noProof/>
          <w:sz w:val="22"/>
        </w:rPr>
      </w:pPr>
      <w:hyperlink w:anchor="_Toc219975560" w:history="1">
        <w:r w:rsidRPr="00965B70">
          <w:rPr>
            <w:rStyle w:val="Hyperlink"/>
            <w:noProof/>
            <w:sz w:val="22"/>
          </w:rPr>
          <w:t xml:space="preserve">Figure 7: </w:t>
        </w:r>
        <w:r w:rsidRPr="00965B70">
          <w:rPr>
            <w:rStyle w:val="Hyperlink"/>
            <w:bCs/>
            <w:noProof/>
            <w:sz w:val="22"/>
          </w:rPr>
          <w:t>(a) Confined aquifer: 10m metric, (b) Unconfined aquifer: 2m metric.</w:t>
        </w:r>
        <w:r w:rsidRPr="00965B70">
          <w:rPr>
            <w:noProof/>
            <w:webHidden/>
            <w:sz w:val="22"/>
          </w:rPr>
          <w:tab/>
        </w:r>
        <w:r w:rsidRPr="00965B70">
          <w:rPr>
            <w:noProof/>
            <w:webHidden/>
            <w:sz w:val="22"/>
          </w:rPr>
          <w:fldChar w:fldCharType="begin"/>
        </w:r>
        <w:r w:rsidRPr="00965B70">
          <w:rPr>
            <w:noProof/>
            <w:webHidden/>
            <w:sz w:val="22"/>
          </w:rPr>
          <w:instrText xml:space="preserve"> PAGEREF _Toc219975560 \h </w:instrText>
        </w:r>
        <w:r w:rsidRPr="00965B70">
          <w:rPr>
            <w:noProof/>
            <w:webHidden/>
            <w:sz w:val="22"/>
          </w:rPr>
        </w:r>
        <w:r w:rsidRPr="00965B70">
          <w:rPr>
            <w:noProof/>
            <w:webHidden/>
            <w:sz w:val="22"/>
          </w:rPr>
          <w:fldChar w:fldCharType="separate"/>
        </w:r>
        <w:r w:rsidR="00D76D09">
          <w:rPr>
            <w:noProof/>
            <w:webHidden/>
            <w:sz w:val="22"/>
          </w:rPr>
          <w:t>23</w:t>
        </w:r>
        <w:r w:rsidRPr="00965B70">
          <w:rPr>
            <w:noProof/>
            <w:webHidden/>
            <w:sz w:val="22"/>
          </w:rPr>
          <w:fldChar w:fldCharType="end"/>
        </w:r>
      </w:hyperlink>
    </w:p>
    <w:p w14:paraId="287AA51E" w14:textId="5EC19342" w:rsidR="001D292E" w:rsidRPr="00965B70" w:rsidRDefault="001D292E" w:rsidP="00965B70">
      <w:pPr>
        <w:pStyle w:val="TableofFigures"/>
        <w:tabs>
          <w:tab w:val="right" w:leader="dot" w:pos="9628"/>
        </w:tabs>
        <w:spacing w:after="80" w:line="360" w:lineRule="auto"/>
        <w:rPr>
          <w:noProof/>
          <w:sz w:val="22"/>
        </w:rPr>
      </w:pPr>
      <w:hyperlink w:anchor="_Toc219975561" w:history="1">
        <w:r w:rsidRPr="00965B70">
          <w:rPr>
            <w:rStyle w:val="Hyperlink"/>
            <w:noProof/>
            <w:sz w:val="22"/>
          </w:rPr>
          <w:t>Figure 8: Groundwater annual licensed entitlement and use in Victoria (1969-2023).</w:t>
        </w:r>
        <w:r w:rsidRPr="00965B70">
          <w:rPr>
            <w:noProof/>
            <w:webHidden/>
            <w:sz w:val="22"/>
          </w:rPr>
          <w:tab/>
        </w:r>
        <w:r w:rsidRPr="00965B70">
          <w:rPr>
            <w:noProof/>
            <w:webHidden/>
            <w:sz w:val="22"/>
          </w:rPr>
          <w:fldChar w:fldCharType="begin"/>
        </w:r>
        <w:r w:rsidRPr="00965B70">
          <w:rPr>
            <w:noProof/>
            <w:webHidden/>
            <w:sz w:val="22"/>
          </w:rPr>
          <w:instrText xml:space="preserve"> PAGEREF _Toc219975561 \h </w:instrText>
        </w:r>
        <w:r w:rsidRPr="00965B70">
          <w:rPr>
            <w:noProof/>
            <w:webHidden/>
            <w:sz w:val="22"/>
          </w:rPr>
        </w:r>
        <w:r w:rsidRPr="00965B70">
          <w:rPr>
            <w:noProof/>
            <w:webHidden/>
            <w:sz w:val="22"/>
          </w:rPr>
          <w:fldChar w:fldCharType="separate"/>
        </w:r>
        <w:r w:rsidR="00D76D09">
          <w:rPr>
            <w:noProof/>
            <w:webHidden/>
            <w:sz w:val="22"/>
          </w:rPr>
          <w:t>27</w:t>
        </w:r>
        <w:r w:rsidRPr="00965B70">
          <w:rPr>
            <w:noProof/>
            <w:webHidden/>
            <w:sz w:val="22"/>
          </w:rPr>
          <w:fldChar w:fldCharType="end"/>
        </w:r>
      </w:hyperlink>
    </w:p>
    <w:p w14:paraId="041D2720" w14:textId="4FA1305B" w:rsidR="001D292E" w:rsidRPr="00965B70" w:rsidRDefault="001D292E" w:rsidP="00965B70">
      <w:pPr>
        <w:pStyle w:val="TableofFigures"/>
        <w:tabs>
          <w:tab w:val="right" w:leader="dot" w:pos="9628"/>
        </w:tabs>
        <w:spacing w:after="80" w:line="360" w:lineRule="auto"/>
        <w:rPr>
          <w:noProof/>
          <w:sz w:val="22"/>
        </w:rPr>
      </w:pPr>
      <w:hyperlink w:anchor="_Toc219975562" w:history="1">
        <w:r w:rsidRPr="00965B70">
          <w:rPr>
            <w:rStyle w:val="Hyperlink"/>
            <w:noProof/>
            <w:sz w:val="22"/>
          </w:rPr>
          <w:t xml:space="preserve">Figure 9: </w:t>
        </w:r>
        <w:r w:rsidRPr="00965B70">
          <w:rPr>
            <w:rStyle w:val="Hyperlink"/>
            <w:bCs/>
            <w:noProof/>
            <w:sz w:val="22"/>
          </w:rPr>
          <w:t>Sustainable Yield and uncertainty band for 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_Toc219975562 \h </w:instrText>
        </w:r>
        <w:r w:rsidRPr="00965B70">
          <w:rPr>
            <w:noProof/>
            <w:webHidden/>
            <w:sz w:val="22"/>
          </w:rPr>
        </w:r>
        <w:r w:rsidRPr="00965B70">
          <w:rPr>
            <w:noProof/>
            <w:webHidden/>
            <w:sz w:val="22"/>
          </w:rPr>
          <w:fldChar w:fldCharType="separate"/>
        </w:r>
        <w:r w:rsidR="00D76D09">
          <w:rPr>
            <w:noProof/>
            <w:webHidden/>
            <w:sz w:val="22"/>
          </w:rPr>
          <w:t>31</w:t>
        </w:r>
        <w:r w:rsidRPr="00965B70">
          <w:rPr>
            <w:noProof/>
            <w:webHidden/>
            <w:sz w:val="22"/>
          </w:rPr>
          <w:fldChar w:fldCharType="end"/>
        </w:r>
      </w:hyperlink>
    </w:p>
    <w:p w14:paraId="6D72A514" w14:textId="380CC70A" w:rsidR="001D292E" w:rsidRPr="00965B70" w:rsidRDefault="001D292E" w:rsidP="00965B70">
      <w:pPr>
        <w:pStyle w:val="TableofFigures"/>
        <w:tabs>
          <w:tab w:val="right" w:leader="dot" w:pos="9628"/>
        </w:tabs>
        <w:spacing w:after="80" w:line="360" w:lineRule="auto"/>
        <w:rPr>
          <w:noProof/>
          <w:sz w:val="22"/>
        </w:rPr>
      </w:pPr>
      <w:hyperlink w:anchor="_Toc219975563" w:history="1">
        <w:r w:rsidRPr="00965B70">
          <w:rPr>
            <w:rStyle w:val="Hyperlink"/>
            <w:noProof/>
            <w:sz w:val="22"/>
          </w:rPr>
          <w:t xml:space="preserve">Figure 10: </w:t>
        </w:r>
        <w:r w:rsidRPr="00965B70">
          <w:rPr>
            <w:rStyle w:val="Hyperlink"/>
            <w:bCs/>
            <w:noProof/>
            <w:sz w:val="22"/>
          </w:rPr>
          <w:t>Sustainable Yield and uncertainty band for unconfined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_Toc219975563 \h </w:instrText>
        </w:r>
        <w:r w:rsidRPr="00965B70">
          <w:rPr>
            <w:noProof/>
            <w:webHidden/>
            <w:sz w:val="22"/>
          </w:rPr>
        </w:r>
        <w:r w:rsidRPr="00965B70">
          <w:rPr>
            <w:noProof/>
            <w:webHidden/>
            <w:sz w:val="22"/>
          </w:rPr>
          <w:fldChar w:fldCharType="separate"/>
        </w:r>
        <w:r w:rsidR="00D76D09">
          <w:rPr>
            <w:noProof/>
            <w:webHidden/>
            <w:sz w:val="22"/>
          </w:rPr>
          <w:t>32</w:t>
        </w:r>
        <w:r w:rsidRPr="00965B70">
          <w:rPr>
            <w:noProof/>
            <w:webHidden/>
            <w:sz w:val="22"/>
          </w:rPr>
          <w:fldChar w:fldCharType="end"/>
        </w:r>
      </w:hyperlink>
    </w:p>
    <w:p w14:paraId="6233E1C8" w14:textId="77932940" w:rsidR="001D292E" w:rsidRPr="00965B70" w:rsidRDefault="001D292E" w:rsidP="00965B70">
      <w:pPr>
        <w:pStyle w:val="TableofFigures"/>
        <w:tabs>
          <w:tab w:val="right" w:leader="dot" w:pos="9628"/>
        </w:tabs>
        <w:spacing w:after="80" w:line="360" w:lineRule="auto"/>
        <w:rPr>
          <w:noProof/>
          <w:sz w:val="22"/>
        </w:rPr>
      </w:pPr>
      <w:hyperlink w:anchor="_Toc219975564" w:history="1">
        <w:r w:rsidRPr="00965B70">
          <w:rPr>
            <w:rStyle w:val="Hyperlink"/>
            <w:noProof/>
            <w:sz w:val="22"/>
          </w:rPr>
          <w:t xml:space="preserve">Figure 11: </w:t>
        </w:r>
        <w:r w:rsidRPr="00965B70">
          <w:rPr>
            <w:rStyle w:val="Hyperlink"/>
            <w:bCs/>
            <w:noProof/>
            <w:sz w:val="22"/>
          </w:rPr>
          <w:t>Impacts of uncertainty on current risk to sustainability for 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_Toc219975564 \h </w:instrText>
        </w:r>
        <w:r w:rsidRPr="00965B70">
          <w:rPr>
            <w:noProof/>
            <w:webHidden/>
            <w:sz w:val="22"/>
          </w:rPr>
        </w:r>
        <w:r w:rsidRPr="00965B70">
          <w:rPr>
            <w:noProof/>
            <w:webHidden/>
            <w:sz w:val="22"/>
          </w:rPr>
          <w:fldChar w:fldCharType="separate"/>
        </w:r>
        <w:r w:rsidR="00D76D09">
          <w:rPr>
            <w:noProof/>
            <w:webHidden/>
            <w:sz w:val="22"/>
          </w:rPr>
          <w:t>33</w:t>
        </w:r>
        <w:r w:rsidRPr="00965B70">
          <w:rPr>
            <w:noProof/>
            <w:webHidden/>
            <w:sz w:val="22"/>
          </w:rPr>
          <w:fldChar w:fldCharType="end"/>
        </w:r>
      </w:hyperlink>
    </w:p>
    <w:p w14:paraId="7B6996AF" w14:textId="6B148551" w:rsidR="001D292E" w:rsidRPr="00965B70" w:rsidRDefault="001D292E" w:rsidP="00965B70">
      <w:pPr>
        <w:pStyle w:val="TableofFigures"/>
        <w:tabs>
          <w:tab w:val="right" w:leader="dot" w:pos="9628"/>
        </w:tabs>
        <w:spacing w:after="80" w:line="360" w:lineRule="auto"/>
        <w:rPr>
          <w:noProof/>
          <w:sz w:val="22"/>
        </w:rPr>
      </w:pPr>
      <w:hyperlink w:anchor="_Toc219975565" w:history="1">
        <w:r w:rsidRPr="00965B70">
          <w:rPr>
            <w:rStyle w:val="Hyperlink"/>
            <w:noProof/>
            <w:sz w:val="22"/>
          </w:rPr>
          <w:t xml:space="preserve">Figure 12: </w:t>
        </w:r>
        <w:r w:rsidRPr="00965B70">
          <w:rPr>
            <w:rStyle w:val="Hyperlink"/>
            <w:rFonts w:cs="Times New Roman (Body CS)"/>
            <w:bCs/>
            <w:noProof/>
            <w:kern w:val="24"/>
            <w:sz w:val="22"/>
          </w:rPr>
          <w:t>Current risk to sustainability for 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_Toc219975565 \h </w:instrText>
        </w:r>
        <w:r w:rsidRPr="00965B70">
          <w:rPr>
            <w:noProof/>
            <w:webHidden/>
            <w:sz w:val="22"/>
          </w:rPr>
        </w:r>
        <w:r w:rsidRPr="00965B70">
          <w:rPr>
            <w:noProof/>
            <w:webHidden/>
            <w:sz w:val="22"/>
          </w:rPr>
          <w:fldChar w:fldCharType="separate"/>
        </w:r>
        <w:r w:rsidR="00D76D09">
          <w:rPr>
            <w:noProof/>
            <w:webHidden/>
            <w:sz w:val="22"/>
          </w:rPr>
          <w:t>34</w:t>
        </w:r>
        <w:r w:rsidRPr="00965B70">
          <w:rPr>
            <w:noProof/>
            <w:webHidden/>
            <w:sz w:val="22"/>
          </w:rPr>
          <w:fldChar w:fldCharType="end"/>
        </w:r>
      </w:hyperlink>
    </w:p>
    <w:p w14:paraId="1CC6C065" w14:textId="20F18B3E" w:rsidR="001D292E" w:rsidRPr="00965B70" w:rsidRDefault="001D292E" w:rsidP="00965B70">
      <w:pPr>
        <w:pStyle w:val="TableofFigures"/>
        <w:tabs>
          <w:tab w:val="right" w:leader="dot" w:pos="9628"/>
        </w:tabs>
        <w:spacing w:after="80" w:line="360" w:lineRule="auto"/>
        <w:rPr>
          <w:noProof/>
          <w:sz w:val="22"/>
        </w:rPr>
      </w:pPr>
      <w:hyperlink w:anchor="_Toc219975566" w:history="1">
        <w:r w:rsidRPr="00965B70">
          <w:rPr>
            <w:rStyle w:val="Hyperlink"/>
            <w:noProof/>
            <w:sz w:val="22"/>
          </w:rPr>
          <w:t xml:space="preserve">Figure 13: </w:t>
        </w:r>
        <w:r w:rsidRPr="00965B70">
          <w:rPr>
            <w:rStyle w:val="Hyperlink"/>
            <w:bCs/>
            <w:noProof/>
            <w:sz w:val="22"/>
          </w:rPr>
          <w:t>Impacts of uncertainty on current risk to sustainability for unconfined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_Toc219975566 \h </w:instrText>
        </w:r>
        <w:r w:rsidRPr="00965B70">
          <w:rPr>
            <w:noProof/>
            <w:webHidden/>
            <w:sz w:val="22"/>
          </w:rPr>
        </w:r>
        <w:r w:rsidRPr="00965B70">
          <w:rPr>
            <w:noProof/>
            <w:webHidden/>
            <w:sz w:val="22"/>
          </w:rPr>
          <w:fldChar w:fldCharType="separate"/>
        </w:r>
        <w:r w:rsidR="00D76D09">
          <w:rPr>
            <w:noProof/>
            <w:webHidden/>
            <w:sz w:val="22"/>
          </w:rPr>
          <w:t>35</w:t>
        </w:r>
        <w:r w:rsidRPr="00965B70">
          <w:rPr>
            <w:noProof/>
            <w:webHidden/>
            <w:sz w:val="22"/>
          </w:rPr>
          <w:fldChar w:fldCharType="end"/>
        </w:r>
      </w:hyperlink>
    </w:p>
    <w:p w14:paraId="0FCFB018" w14:textId="1EE039B2" w:rsidR="001D292E" w:rsidRPr="00965B70" w:rsidRDefault="001D292E" w:rsidP="00965B70">
      <w:pPr>
        <w:pStyle w:val="TableofFigures"/>
        <w:tabs>
          <w:tab w:val="right" w:leader="dot" w:pos="9628"/>
        </w:tabs>
        <w:spacing w:after="80" w:line="360" w:lineRule="auto"/>
        <w:rPr>
          <w:noProof/>
          <w:sz w:val="22"/>
        </w:rPr>
      </w:pPr>
      <w:hyperlink w:anchor="_Toc219975567" w:history="1">
        <w:r w:rsidRPr="00965B70">
          <w:rPr>
            <w:rStyle w:val="Hyperlink"/>
            <w:noProof/>
            <w:sz w:val="22"/>
          </w:rPr>
          <w:t xml:space="preserve">Figure 14: </w:t>
        </w:r>
        <w:r w:rsidRPr="00965B70">
          <w:rPr>
            <w:rStyle w:val="Hyperlink"/>
            <w:bCs/>
            <w:noProof/>
            <w:sz w:val="22"/>
          </w:rPr>
          <w:t>Current risk to sustainability for unconfined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_Toc219975567 \h </w:instrText>
        </w:r>
        <w:r w:rsidRPr="00965B70">
          <w:rPr>
            <w:noProof/>
            <w:webHidden/>
            <w:sz w:val="22"/>
          </w:rPr>
        </w:r>
        <w:r w:rsidRPr="00965B70">
          <w:rPr>
            <w:noProof/>
            <w:webHidden/>
            <w:sz w:val="22"/>
          </w:rPr>
          <w:fldChar w:fldCharType="separate"/>
        </w:r>
        <w:r w:rsidR="00D76D09">
          <w:rPr>
            <w:noProof/>
            <w:webHidden/>
            <w:sz w:val="22"/>
          </w:rPr>
          <w:t>36</w:t>
        </w:r>
        <w:r w:rsidRPr="00965B70">
          <w:rPr>
            <w:noProof/>
            <w:webHidden/>
            <w:sz w:val="22"/>
          </w:rPr>
          <w:fldChar w:fldCharType="end"/>
        </w:r>
      </w:hyperlink>
    </w:p>
    <w:p w14:paraId="2DA3548C" w14:textId="2331702E" w:rsidR="001D292E" w:rsidRPr="00965B70" w:rsidRDefault="001D292E" w:rsidP="00965B70">
      <w:pPr>
        <w:pStyle w:val="TableofFigures"/>
        <w:tabs>
          <w:tab w:val="right" w:leader="dot" w:pos="9628"/>
        </w:tabs>
        <w:spacing w:after="80" w:line="360" w:lineRule="auto"/>
        <w:rPr>
          <w:noProof/>
          <w:sz w:val="22"/>
        </w:rPr>
      </w:pPr>
      <w:hyperlink w:anchor="_Toc219975568" w:history="1">
        <w:r w:rsidRPr="00965B70">
          <w:rPr>
            <w:rStyle w:val="Hyperlink"/>
            <w:noProof/>
            <w:sz w:val="22"/>
          </w:rPr>
          <w:t xml:space="preserve">Figure 15: </w:t>
        </w:r>
        <w:r w:rsidRPr="00965B70">
          <w:rPr>
            <w:rStyle w:val="Hyperlink"/>
            <w:rFonts w:cs="Times New Roman (Body CS)"/>
            <w:bCs/>
            <w:noProof/>
            <w:kern w:val="24"/>
            <w:sz w:val="22"/>
          </w:rPr>
          <w:t>Impacts of uncertainty on future risk to sustainability for 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_Toc219975568 \h </w:instrText>
        </w:r>
        <w:r w:rsidRPr="00965B70">
          <w:rPr>
            <w:noProof/>
            <w:webHidden/>
            <w:sz w:val="22"/>
          </w:rPr>
        </w:r>
        <w:r w:rsidRPr="00965B70">
          <w:rPr>
            <w:noProof/>
            <w:webHidden/>
            <w:sz w:val="22"/>
          </w:rPr>
          <w:fldChar w:fldCharType="separate"/>
        </w:r>
        <w:r w:rsidR="00D76D09">
          <w:rPr>
            <w:noProof/>
            <w:webHidden/>
            <w:sz w:val="22"/>
          </w:rPr>
          <w:t>38</w:t>
        </w:r>
        <w:r w:rsidRPr="00965B70">
          <w:rPr>
            <w:noProof/>
            <w:webHidden/>
            <w:sz w:val="22"/>
          </w:rPr>
          <w:fldChar w:fldCharType="end"/>
        </w:r>
      </w:hyperlink>
    </w:p>
    <w:p w14:paraId="6DEF51CD" w14:textId="0BEFA35A" w:rsidR="001D292E" w:rsidRPr="00965B70" w:rsidRDefault="001D292E" w:rsidP="00965B70">
      <w:pPr>
        <w:pStyle w:val="TableofFigures"/>
        <w:tabs>
          <w:tab w:val="right" w:leader="dot" w:pos="9628"/>
        </w:tabs>
        <w:spacing w:after="80" w:line="360" w:lineRule="auto"/>
        <w:rPr>
          <w:noProof/>
          <w:sz w:val="22"/>
        </w:rPr>
      </w:pPr>
      <w:hyperlink w:anchor="_Toc219975569" w:history="1">
        <w:r w:rsidRPr="00965B70">
          <w:rPr>
            <w:rStyle w:val="Hyperlink"/>
            <w:noProof/>
            <w:sz w:val="22"/>
          </w:rPr>
          <w:t xml:space="preserve">Figure 16: </w:t>
        </w:r>
        <w:r w:rsidRPr="00965B70">
          <w:rPr>
            <w:rStyle w:val="Hyperlink"/>
            <w:rFonts w:cs="Times New Roman (Body CS)"/>
            <w:bCs/>
            <w:noProof/>
            <w:kern w:val="24"/>
            <w:sz w:val="22"/>
          </w:rPr>
          <w:t>Future risk to sustainability for 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_Toc219975569 \h </w:instrText>
        </w:r>
        <w:r w:rsidRPr="00965B70">
          <w:rPr>
            <w:noProof/>
            <w:webHidden/>
            <w:sz w:val="22"/>
          </w:rPr>
        </w:r>
        <w:r w:rsidRPr="00965B70">
          <w:rPr>
            <w:noProof/>
            <w:webHidden/>
            <w:sz w:val="22"/>
          </w:rPr>
          <w:fldChar w:fldCharType="separate"/>
        </w:r>
        <w:r w:rsidR="00D76D09">
          <w:rPr>
            <w:noProof/>
            <w:webHidden/>
            <w:sz w:val="22"/>
          </w:rPr>
          <w:t>39</w:t>
        </w:r>
        <w:r w:rsidRPr="00965B70">
          <w:rPr>
            <w:noProof/>
            <w:webHidden/>
            <w:sz w:val="22"/>
          </w:rPr>
          <w:fldChar w:fldCharType="end"/>
        </w:r>
      </w:hyperlink>
    </w:p>
    <w:p w14:paraId="1122289A" w14:textId="4153F0B4" w:rsidR="001D292E" w:rsidRPr="00965B70" w:rsidRDefault="001D292E" w:rsidP="00965B70">
      <w:pPr>
        <w:pStyle w:val="TableofFigures"/>
        <w:tabs>
          <w:tab w:val="right" w:leader="dot" w:pos="9628"/>
        </w:tabs>
        <w:spacing w:after="80" w:line="360" w:lineRule="auto"/>
        <w:rPr>
          <w:noProof/>
          <w:sz w:val="22"/>
        </w:rPr>
      </w:pPr>
      <w:hyperlink w:anchor="_Toc219975570" w:history="1">
        <w:r w:rsidRPr="00965B70">
          <w:rPr>
            <w:rStyle w:val="Hyperlink"/>
            <w:noProof/>
            <w:sz w:val="22"/>
          </w:rPr>
          <w:t xml:space="preserve">Figure 17: </w:t>
        </w:r>
        <w:r w:rsidRPr="00965B70">
          <w:rPr>
            <w:rStyle w:val="Hyperlink"/>
            <w:rFonts w:cs="Times New Roman (Body CS)"/>
            <w:bCs/>
            <w:noProof/>
            <w:kern w:val="24"/>
            <w:sz w:val="22"/>
          </w:rPr>
          <w:t>Impacts of uncertainty on future risk to sustainability for unconfined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_Toc219975570 \h </w:instrText>
        </w:r>
        <w:r w:rsidRPr="00965B70">
          <w:rPr>
            <w:noProof/>
            <w:webHidden/>
            <w:sz w:val="22"/>
          </w:rPr>
        </w:r>
        <w:r w:rsidRPr="00965B70">
          <w:rPr>
            <w:noProof/>
            <w:webHidden/>
            <w:sz w:val="22"/>
          </w:rPr>
          <w:fldChar w:fldCharType="separate"/>
        </w:r>
        <w:r w:rsidR="00D76D09">
          <w:rPr>
            <w:noProof/>
            <w:webHidden/>
            <w:sz w:val="22"/>
          </w:rPr>
          <w:t>40</w:t>
        </w:r>
        <w:r w:rsidRPr="00965B70">
          <w:rPr>
            <w:noProof/>
            <w:webHidden/>
            <w:sz w:val="22"/>
          </w:rPr>
          <w:fldChar w:fldCharType="end"/>
        </w:r>
      </w:hyperlink>
    </w:p>
    <w:p w14:paraId="667C4A79" w14:textId="35AEB7D4" w:rsidR="001D292E" w:rsidRPr="00965B70" w:rsidRDefault="001D292E" w:rsidP="00C33C68">
      <w:pPr>
        <w:pStyle w:val="TableofFigures"/>
        <w:tabs>
          <w:tab w:val="right" w:leader="dot" w:pos="9628"/>
        </w:tabs>
        <w:spacing w:after="60" w:line="360" w:lineRule="auto"/>
        <w:rPr>
          <w:noProof/>
          <w:sz w:val="22"/>
        </w:rPr>
      </w:pPr>
      <w:hyperlink w:anchor="_Toc219975571" w:history="1">
        <w:r w:rsidRPr="00965B70">
          <w:rPr>
            <w:rStyle w:val="Hyperlink"/>
            <w:noProof/>
            <w:sz w:val="22"/>
          </w:rPr>
          <w:t xml:space="preserve">Figure 18: </w:t>
        </w:r>
        <w:r w:rsidRPr="00965B70">
          <w:rPr>
            <w:rStyle w:val="Hyperlink"/>
            <w:rFonts w:cs="Times New Roman (Body CS)"/>
            <w:bCs/>
            <w:noProof/>
            <w:kern w:val="24"/>
            <w:sz w:val="22"/>
          </w:rPr>
          <w:t>Future risk to sustainability for unconfined aquifer GMUs</w:t>
        </w:r>
        <w:r w:rsidRPr="00965B70">
          <w:rPr>
            <w:noProof/>
            <w:webHidden/>
            <w:sz w:val="22"/>
          </w:rPr>
          <w:tab/>
        </w:r>
        <w:r w:rsidRPr="00965B70">
          <w:rPr>
            <w:noProof/>
            <w:webHidden/>
            <w:sz w:val="22"/>
          </w:rPr>
          <w:fldChar w:fldCharType="begin"/>
        </w:r>
        <w:r w:rsidRPr="00965B70">
          <w:rPr>
            <w:noProof/>
            <w:webHidden/>
            <w:sz w:val="22"/>
          </w:rPr>
          <w:instrText xml:space="preserve"> PAGEREF _Toc219975571 \h </w:instrText>
        </w:r>
        <w:r w:rsidRPr="00965B70">
          <w:rPr>
            <w:noProof/>
            <w:webHidden/>
            <w:sz w:val="22"/>
          </w:rPr>
        </w:r>
        <w:r w:rsidRPr="00965B70">
          <w:rPr>
            <w:noProof/>
            <w:webHidden/>
            <w:sz w:val="22"/>
          </w:rPr>
          <w:fldChar w:fldCharType="separate"/>
        </w:r>
        <w:r w:rsidR="00D76D09">
          <w:rPr>
            <w:noProof/>
            <w:webHidden/>
            <w:sz w:val="22"/>
          </w:rPr>
          <w:t>41</w:t>
        </w:r>
        <w:r w:rsidRPr="00965B70">
          <w:rPr>
            <w:noProof/>
            <w:webHidden/>
            <w:sz w:val="22"/>
          </w:rPr>
          <w:fldChar w:fldCharType="end"/>
        </w:r>
      </w:hyperlink>
    </w:p>
    <w:p w14:paraId="0FF74481" w14:textId="7AB9E16B" w:rsidR="00BC76DB" w:rsidRPr="00965B70" w:rsidRDefault="001D292E" w:rsidP="00965B70">
      <w:pPr>
        <w:pStyle w:val="Heading1"/>
        <w:numPr>
          <w:ilvl w:val="0"/>
          <w:numId w:val="0"/>
        </w:numPr>
        <w:spacing w:before="240" w:after="120"/>
        <w:rPr>
          <w:sz w:val="44"/>
          <w:szCs w:val="44"/>
          <w:lang w:val="en-AU"/>
        </w:rPr>
      </w:pPr>
      <w:r w:rsidRPr="00965B70">
        <w:rPr>
          <w:lang w:val="en-AU"/>
        </w:rPr>
        <w:fldChar w:fldCharType="end"/>
      </w:r>
      <w:bookmarkStart w:id="1" w:name="_Toc219975404"/>
      <w:r w:rsidR="00BC76DB" w:rsidRPr="00965B70">
        <w:rPr>
          <w:sz w:val="44"/>
          <w:szCs w:val="44"/>
          <w:lang w:val="en-AU"/>
        </w:rPr>
        <w:t>List of Tables</w:t>
      </w:r>
      <w:bookmarkEnd w:id="1"/>
    </w:p>
    <w:p w14:paraId="0DEE5740" w14:textId="27F50EEA" w:rsidR="00C33C68" w:rsidRPr="00965B70" w:rsidRDefault="00C33C68" w:rsidP="00965B70">
      <w:pPr>
        <w:pStyle w:val="TableofFigures"/>
        <w:tabs>
          <w:tab w:val="right" w:leader="dot" w:pos="9628"/>
        </w:tabs>
        <w:spacing w:after="120" w:line="360" w:lineRule="auto"/>
        <w:rPr>
          <w:sz w:val="22"/>
        </w:rPr>
      </w:pPr>
      <w:r w:rsidRPr="00965B70">
        <w:rPr>
          <w:sz w:val="22"/>
        </w:rPr>
        <w:fldChar w:fldCharType="begin"/>
      </w:r>
      <w:r w:rsidRPr="00965B70">
        <w:rPr>
          <w:sz w:val="22"/>
        </w:rPr>
        <w:instrText xml:space="preserve"> TOC \h \z \c "Table" </w:instrText>
      </w:r>
      <w:r w:rsidRPr="00965B70">
        <w:rPr>
          <w:sz w:val="22"/>
        </w:rPr>
        <w:fldChar w:fldCharType="separate"/>
      </w:r>
      <w:hyperlink w:anchor="_Toc219975576" w:history="1">
        <w:r w:rsidRPr="00965B70">
          <w:rPr>
            <w:sz w:val="22"/>
          </w:rPr>
          <w:t>Table 1: Number of areas assessed in the Sustainable Yield Assessment</w:t>
        </w:r>
        <w:r w:rsidRPr="00965B70">
          <w:rPr>
            <w:webHidden/>
            <w:sz w:val="22"/>
          </w:rPr>
          <w:tab/>
        </w:r>
        <w:r w:rsidRPr="00965B70">
          <w:rPr>
            <w:webHidden/>
            <w:sz w:val="22"/>
          </w:rPr>
          <w:fldChar w:fldCharType="begin"/>
        </w:r>
        <w:r w:rsidRPr="00965B70">
          <w:rPr>
            <w:webHidden/>
            <w:sz w:val="22"/>
          </w:rPr>
          <w:instrText xml:space="preserve"> PAGEREF _Toc219975576 \h </w:instrText>
        </w:r>
        <w:r w:rsidRPr="00965B70">
          <w:rPr>
            <w:webHidden/>
            <w:sz w:val="22"/>
          </w:rPr>
        </w:r>
        <w:r w:rsidRPr="00965B70">
          <w:rPr>
            <w:webHidden/>
            <w:sz w:val="22"/>
          </w:rPr>
          <w:fldChar w:fldCharType="separate"/>
        </w:r>
        <w:r w:rsidR="00D76D09">
          <w:rPr>
            <w:noProof/>
            <w:webHidden/>
            <w:sz w:val="22"/>
          </w:rPr>
          <w:t>30</w:t>
        </w:r>
        <w:r w:rsidRPr="00965B70">
          <w:rPr>
            <w:webHidden/>
            <w:sz w:val="22"/>
          </w:rPr>
          <w:fldChar w:fldCharType="end"/>
        </w:r>
      </w:hyperlink>
    </w:p>
    <w:p w14:paraId="73B01C2F" w14:textId="500D502F" w:rsidR="00C33C68" w:rsidRPr="00965B70" w:rsidRDefault="00C33C68" w:rsidP="00965B70">
      <w:pPr>
        <w:pStyle w:val="TableofFigures"/>
        <w:tabs>
          <w:tab w:val="right" w:leader="dot" w:pos="9628"/>
        </w:tabs>
        <w:spacing w:after="120" w:line="360" w:lineRule="auto"/>
        <w:rPr>
          <w:sz w:val="22"/>
        </w:rPr>
      </w:pPr>
      <w:r w:rsidRPr="00965B70">
        <w:rPr>
          <w:sz w:val="22"/>
        </w:rPr>
        <w:fldChar w:fldCharType="end"/>
      </w:r>
      <w:r w:rsidRPr="00965B70">
        <w:rPr>
          <w:sz w:val="22"/>
        </w:rPr>
        <w:fldChar w:fldCharType="begin"/>
      </w:r>
      <w:r w:rsidRPr="00965B70">
        <w:rPr>
          <w:sz w:val="22"/>
        </w:rPr>
        <w:instrText xml:space="preserve"> TOC \h \z \c "Table A-" </w:instrText>
      </w:r>
      <w:r w:rsidRPr="00965B70">
        <w:rPr>
          <w:sz w:val="22"/>
        </w:rPr>
        <w:fldChar w:fldCharType="separate"/>
      </w:r>
      <w:hyperlink w:anchor="_Toc219975583" w:history="1">
        <w:r w:rsidRPr="00965B70">
          <w:rPr>
            <w:sz w:val="22"/>
          </w:rPr>
          <w:t xml:space="preserve">Table A- 1: Confined aquifer GMU sustainable yield, Permissible </w:t>
        </w:r>
        <w:r w:rsidR="00965B70" w:rsidRPr="00965B70">
          <w:rPr>
            <w:sz w:val="22"/>
          </w:rPr>
          <w:br/>
        </w:r>
        <w:r w:rsidRPr="00965B70">
          <w:rPr>
            <w:sz w:val="22"/>
          </w:rPr>
          <w:t>Consumptive Volume, entitlement and use</w:t>
        </w:r>
        <w:r w:rsidRPr="00965B70">
          <w:rPr>
            <w:webHidden/>
            <w:sz w:val="22"/>
          </w:rPr>
          <w:tab/>
        </w:r>
        <w:r w:rsidRPr="00965B70">
          <w:rPr>
            <w:webHidden/>
            <w:sz w:val="22"/>
          </w:rPr>
          <w:fldChar w:fldCharType="begin"/>
        </w:r>
        <w:r w:rsidRPr="00965B70">
          <w:rPr>
            <w:webHidden/>
            <w:sz w:val="22"/>
          </w:rPr>
          <w:instrText xml:space="preserve"> PAGEREF _Toc219975583 \h </w:instrText>
        </w:r>
        <w:r w:rsidRPr="00965B70">
          <w:rPr>
            <w:webHidden/>
            <w:sz w:val="22"/>
          </w:rPr>
        </w:r>
        <w:r w:rsidRPr="00965B70">
          <w:rPr>
            <w:webHidden/>
            <w:sz w:val="22"/>
          </w:rPr>
          <w:fldChar w:fldCharType="separate"/>
        </w:r>
        <w:r w:rsidR="00D76D09">
          <w:rPr>
            <w:noProof/>
            <w:webHidden/>
            <w:sz w:val="22"/>
          </w:rPr>
          <w:t>46</w:t>
        </w:r>
        <w:r w:rsidRPr="00965B70">
          <w:rPr>
            <w:webHidden/>
            <w:sz w:val="22"/>
          </w:rPr>
          <w:fldChar w:fldCharType="end"/>
        </w:r>
      </w:hyperlink>
    </w:p>
    <w:p w14:paraId="46363C99" w14:textId="43300D68" w:rsidR="00C33C68" w:rsidRPr="00965B70" w:rsidRDefault="00C33C68" w:rsidP="00965B70">
      <w:pPr>
        <w:pStyle w:val="TableofFigures"/>
        <w:tabs>
          <w:tab w:val="right" w:leader="dot" w:pos="9628"/>
        </w:tabs>
        <w:spacing w:after="120" w:line="360" w:lineRule="auto"/>
        <w:rPr>
          <w:sz w:val="22"/>
        </w:rPr>
      </w:pPr>
      <w:hyperlink w:anchor="_Toc219975584" w:history="1">
        <w:r w:rsidRPr="00965B70">
          <w:rPr>
            <w:sz w:val="22"/>
          </w:rPr>
          <w:t xml:space="preserve">Table A- 2: Unconfined and semi-confined aquifer GMU sustainable yield, </w:t>
        </w:r>
        <w:r w:rsidR="00965B70" w:rsidRPr="00965B70">
          <w:rPr>
            <w:sz w:val="22"/>
          </w:rPr>
          <w:br/>
        </w:r>
        <w:r w:rsidRPr="00965B70">
          <w:rPr>
            <w:sz w:val="22"/>
          </w:rPr>
          <w:t>Permissible Consumptive Volume, entitlement and use</w:t>
        </w:r>
        <w:r w:rsidRPr="00965B70">
          <w:rPr>
            <w:webHidden/>
            <w:sz w:val="22"/>
          </w:rPr>
          <w:tab/>
        </w:r>
        <w:r w:rsidRPr="00965B70">
          <w:rPr>
            <w:webHidden/>
            <w:sz w:val="22"/>
          </w:rPr>
          <w:fldChar w:fldCharType="begin"/>
        </w:r>
        <w:r w:rsidRPr="00965B70">
          <w:rPr>
            <w:webHidden/>
            <w:sz w:val="22"/>
          </w:rPr>
          <w:instrText xml:space="preserve"> PAGEREF _Toc219975584 \h </w:instrText>
        </w:r>
        <w:r w:rsidRPr="00965B70">
          <w:rPr>
            <w:webHidden/>
            <w:sz w:val="22"/>
          </w:rPr>
        </w:r>
        <w:r w:rsidRPr="00965B70">
          <w:rPr>
            <w:webHidden/>
            <w:sz w:val="22"/>
          </w:rPr>
          <w:fldChar w:fldCharType="separate"/>
        </w:r>
        <w:r w:rsidR="00D76D09">
          <w:rPr>
            <w:noProof/>
            <w:webHidden/>
            <w:sz w:val="22"/>
          </w:rPr>
          <w:t>49</w:t>
        </w:r>
        <w:r w:rsidRPr="00965B70">
          <w:rPr>
            <w:webHidden/>
            <w:sz w:val="22"/>
          </w:rPr>
          <w:fldChar w:fldCharType="end"/>
        </w:r>
      </w:hyperlink>
    </w:p>
    <w:p w14:paraId="068BD16F" w14:textId="003D4685" w:rsidR="00BC76DB" w:rsidRPr="00965B70" w:rsidRDefault="00C33C68" w:rsidP="00BC76DB">
      <w:r w:rsidRPr="00965B70">
        <w:rPr>
          <w:sz w:val="22"/>
        </w:rPr>
        <w:fldChar w:fldCharType="end"/>
      </w:r>
    </w:p>
    <w:p w14:paraId="1EC89A0B" w14:textId="799AF5BA" w:rsidR="00CC0D8F" w:rsidRPr="00965B70" w:rsidRDefault="00CC0D8F" w:rsidP="00E63E6D">
      <w:pPr>
        <w:pStyle w:val="Heading1"/>
        <w:pageBreakBefore/>
        <w:numPr>
          <w:ilvl w:val="0"/>
          <w:numId w:val="0"/>
        </w:numPr>
        <w:rPr>
          <w:lang w:val="en-AU"/>
        </w:rPr>
      </w:pPr>
      <w:bookmarkStart w:id="2" w:name="_Toc219975405"/>
      <w:r w:rsidRPr="00965B70">
        <w:rPr>
          <w:lang w:val="en-AU"/>
        </w:rPr>
        <w:lastRenderedPageBreak/>
        <w:t>Acknowledgements</w:t>
      </w:r>
      <w:bookmarkEnd w:id="2"/>
    </w:p>
    <w:p w14:paraId="38D2766D" w14:textId="77777777" w:rsidR="00965B70" w:rsidRDefault="00CC0D8F" w:rsidP="00CC0D8F">
      <w:pPr>
        <w:pStyle w:val="BodyText"/>
        <w:rPr>
          <w:lang w:val="en-AU"/>
        </w:rPr>
      </w:pPr>
      <w:r w:rsidRPr="00965B70">
        <w:rPr>
          <w:lang w:val="en-AU"/>
        </w:rPr>
        <w:t>The Sustainable Yield Assessment for Victoria was undertaken by DEECA in collaboration with Southern Rural Water, Goulburn–Murray Water, Grampians Wimmera Mallee Water and Lower Murray Water corporations.</w:t>
      </w:r>
    </w:p>
    <w:p w14:paraId="52BACB99" w14:textId="77777777" w:rsidR="00965B70" w:rsidRDefault="00CC0D8F" w:rsidP="00CC0D8F">
      <w:pPr>
        <w:pStyle w:val="BodyText"/>
        <w:rPr>
          <w:lang w:val="en-AU"/>
        </w:rPr>
      </w:pPr>
      <w:r w:rsidRPr="00965B70">
        <w:rPr>
          <w:lang w:val="en-AU"/>
        </w:rPr>
        <w:t xml:space="preserve">A technical advisory panel provided specialist advice in the development of the assessment method. The panel comprised specialists from Deakin University (Prof. Wendy Timms), Jacobs (Dr Richard Evans) and </w:t>
      </w:r>
      <w:proofErr w:type="spellStart"/>
      <w:r w:rsidRPr="00965B70">
        <w:rPr>
          <w:lang w:val="en-AU"/>
        </w:rPr>
        <w:t>HydroGeoLogic</w:t>
      </w:r>
      <w:proofErr w:type="spellEnd"/>
      <w:r w:rsidRPr="00965B70">
        <w:rPr>
          <w:lang w:val="en-AU"/>
        </w:rPr>
        <w:t xml:space="preserve"> (Mr Hugh Middlemis).</w:t>
      </w:r>
    </w:p>
    <w:p w14:paraId="1B4DCAF5" w14:textId="77777777" w:rsidR="00965B70" w:rsidRDefault="00CC0D8F" w:rsidP="00CC0D8F">
      <w:pPr>
        <w:pStyle w:val="BodyText"/>
        <w:rPr>
          <w:lang w:val="en-AU"/>
        </w:rPr>
      </w:pPr>
      <w:r w:rsidRPr="00965B70">
        <w:rPr>
          <w:lang w:val="en-AU"/>
        </w:rPr>
        <w:t>The Sustainable Yield Assessment was completed with contributions from external industry specialists, who developed the technical details of the methodology and carried out assessments of groundwater resources. These included Jacobs Pty Ltd, GHD Pty Ltd, CDM Smith Pty Ltd, HARC Pty Ltd and Monash University (Dr Tim Peterson).</w:t>
      </w:r>
    </w:p>
    <w:p w14:paraId="3964F5A3" w14:textId="63219B40" w:rsidR="00CC0D8F" w:rsidRPr="00965B70" w:rsidRDefault="00CC0D8F" w:rsidP="00E63E6D">
      <w:pPr>
        <w:pStyle w:val="Heading2"/>
        <w:numPr>
          <w:ilvl w:val="0"/>
          <w:numId w:val="0"/>
        </w:numPr>
        <w:rPr>
          <w:lang w:val="en-AU"/>
        </w:rPr>
      </w:pPr>
      <w:bookmarkStart w:id="3" w:name="_Toc219975406"/>
      <w:r w:rsidRPr="00965B70">
        <w:rPr>
          <w:lang w:val="en-AU"/>
        </w:rPr>
        <w:t>Authors</w:t>
      </w:r>
      <w:bookmarkEnd w:id="3"/>
    </w:p>
    <w:p w14:paraId="713030E6" w14:textId="77777777" w:rsidR="00CC0D8F" w:rsidRPr="00965B70" w:rsidRDefault="00CC0D8F" w:rsidP="00CC0D8F">
      <w:pPr>
        <w:pStyle w:val="BodyText"/>
        <w:rPr>
          <w:lang w:val="en-AU"/>
        </w:rPr>
      </w:pPr>
      <w:r w:rsidRPr="00965B70">
        <w:rPr>
          <w:lang w:val="en-AU"/>
        </w:rPr>
        <w:t>Groundwater Assessment and Modelling team, Water Resources Strategy, Department of Energy, Environment and Climate Action. 8 Nicolson Street, East Melbourne 3002.</w:t>
      </w:r>
    </w:p>
    <w:p w14:paraId="60D0DAB8" w14:textId="77777777" w:rsidR="00CC0D8F" w:rsidRPr="00965B70" w:rsidRDefault="00CC0D8F" w:rsidP="00E63E6D">
      <w:pPr>
        <w:pStyle w:val="Heading2"/>
        <w:numPr>
          <w:ilvl w:val="0"/>
          <w:numId w:val="0"/>
        </w:numPr>
        <w:rPr>
          <w:lang w:val="en-AU"/>
        </w:rPr>
      </w:pPr>
      <w:bookmarkStart w:id="4" w:name="_Toc219975407"/>
      <w:r w:rsidRPr="00965B70">
        <w:rPr>
          <w:lang w:val="en-AU"/>
        </w:rPr>
        <w:t>Editor</w:t>
      </w:r>
      <w:bookmarkEnd w:id="4"/>
    </w:p>
    <w:p w14:paraId="13938E59" w14:textId="54D9A517" w:rsidR="00CC0D8F" w:rsidRPr="00965B70" w:rsidRDefault="00CC0D8F" w:rsidP="00CC0D8F">
      <w:pPr>
        <w:pStyle w:val="BodyText"/>
        <w:rPr>
          <w:lang w:val="en-AU"/>
        </w:rPr>
      </w:pPr>
      <w:proofErr w:type="spellStart"/>
      <w:r w:rsidRPr="00965B70">
        <w:rPr>
          <w:lang w:val="en-AU"/>
        </w:rPr>
        <w:t>Scientel</w:t>
      </w:r>
      <w:proofErr w:type="spellEnd"/>
      <w:r w:rsidRPr="00965B70">
        <w:rPr>
          <w:lang w:val="en-AU"/>
        </w:rPr>
        <w:t xml:space="preserve"> Pty Ltd, 8 Latrobe Street, Melbourne 3000</w:t>
      </w:r>
    </w:p>
    <w:p w14:paraId="7469DF9C" w14:textId="2E7E2F58" w:rsidR="00BE0BA2" w:rsidRPr="00965B70" w:rsidRDefault="006D2FFD" w:rsidP="00E63E6D">
      <w:pPr>
        <w:pStyle w:val="Heading1"/>
        <w:pageBreakBefore/>
        <w:numPr>
          <w:ilvl w:val="0"/>
          <w:numId w:val="0"/>
        </w:numPr>
        <w:rPr>
          <w:lang w:val="en-AU"/>
        </w:rPr>
      </w:pPr>
      <w:bookmarkStart w:id="5" w:name="_Toc219975408"/>
      <w:r w:rsidRPr="00965B70">
        <w:rPr>
          <w:lang w:val="en-AU"/>
        </w:rPr>
        <w:lastRenderedPageBreak/>
        <w:t>Glossary</w:t>
      </w:r>
      <w:bookmarkEnd w:id="5"/>
    </w:p>
    <w:p w14:paraId="47E0F300" w14:textId="29F6F82E" w:rsidR="0048762C" w:rsidRPr="00965B70" w:rsidRDefault="0048762C" w:rsidP="00BC76DB">
      <w:pPr>
        <w:pStyle w:val="Caption"/>
      </w:pPr>
      <w:r w:rsidRPr="00965B70">
        <w:t>Glossary of terms used in this report and their definitions</w:t>
      </w:r>
    </w:p>
    <w:tbl>
      <w:tblPr>
        <w:tblStyle w:val="Style2"/>
        <w:tblW w:w="5000" w:type="pct"/>
        <w:tblLook w:val="02A0" w:firstRow="1" w:lastRow="0" w:firstColumn="1" w:lastColumn="0" w:noHBand="1" w:noVBand="0"/>
        <w:tblCaption w:val="Glossary of terms used in this report and their definitions"/>
        <w:tblDescription w:val="Glossary of terms used in this report and their definitions"/>
      </w:tblPr>
      <w:tblGrid>
        <w:gridCol w:w="3105"/>
        <w:gridCol w:w="6513"/>
      </w:tblGrid>
      <w:tr w:rsidR="0048762C" w:rsidRPr="00965B70" w14:paraId="4A198425" w14:textId="77777777" w:rsidTr="0048762C">
        <w:trPr>
          <w:cnfStyle w:val="100000000000" w:firstRow="1" w:lastRow="0" w:firstColumn="0" w:lastColumn="0" w:oddVBand="0" w:evenVBand="0" w:oddHBand="0" w:evenHBand="0" w:firstRowFirstColumn="0" w:firstRowLastColumn="0" w:lastRowFirstColumn="0" w:lastRowLastColumn="0"/>
          <w:cantSplit/>
          <w:tblHeader/>
        </w:trPr>
        <w:tc>
          <w:tcPr>
            <w:tcW w:w="1614" w:type="pct"/>
          </w:tcPr>
          <w:p w14:paraId="757134EE" w14:textId="77777777" w:rsidR="0048762C" w:rsidRPr="00965B70" w:rsidRDefault="0048762C" w:rsidP="0048762C">
            <w:pPr>
              <w:pStyle w:val="Tabletext"/>
              <w:spacing w:line="240" w:lineRule="auto"/>
              <w:rPr>
                <w:lang w:val="en-AU"/>
              </w:rPr>
            </w:pPr>
            <w:r w:rsidRPr="00965B70">
              <w:rPr>
                <w:lang w:val="en-AU"/>
              </w:rPr>
              <w:t xml:space="preserve">Term </w:t>
            </w:r>
          </w:p>
        </w:tc>
        <w:tc>
          <w:tcPr>
            <w:tcW w:w="3386" w:type="pct"/>
          </w:tcPr>
          <w:p w14:paraId="13088D18" w14:textId="77777777" w:rsidR="0048762C" w:rsidRPr="00965B70" w:rsidRDefault="0048762C" w:rsidP="0048762C">
            <w:pPr>
              <w:pStyle w:val="Tabletext"/>
              <w:spacing w:line="240" w:lineRule="auto"/>
              <w:rPr>
                <w:lang w:val="en-AU"/>
              </w:rPr>
            </w:pPr>
            <w:r w:rsidRPr="00965B70">
              <w:rPr>
                <w:lang w:val="en-AU"/>
              </w:rPr>
              <w:t>Definition</w:t>
            </w:r>
          </w:p>
        </w:tc>
      </w:tr>
      <w:tr w:rsidR="0048762C" w:rsidRPr="00965B70" w14:paraId="2AC582BD" w14:textId="77777777" w:rsidTr="0048762C">
        <w:tc>
          <w:tcPr>
            <w:tcW w:w="1614" w:type="pct"/>
          </w:tcPr>
          <w:p w14:paraId="4FEF62A5" w14:textId="77777777" w:rsidR="0048762C" w:rsidRPr="00965B70" w:rsidRDefault="0048762C" w:rsidP="0048762C">
            <w:pPr>
              <w:pStyle w:val="BodyText"/>
              <w:spacing w:after="0"/>
              <w:rPr>
                <w:lang w:val="en-AU"/>
              </w:rPr>
            </w:pPr>
            <w:r w:rsidRPr="00965B70">
              <w:rPr>
                <w:lang w:val="en-AU"/>
              </w:rPr>
              <w:t>Allocation</w:t>
            </w:r>
          </w:p>
        </w:tc>
        <w:tc>
          <w:tcPr>
            <w:tcW w:w="3386" w:type="pct"/>
          </w:tcPr>
          <w:p w14:paraId="2DA840AA" w14:textId="51BAB9E9" w:rsidR="0048762C" w:rsidRPr="00965B70" w:rsidRDefault="0048762C" w:rsidP="0048762C">
            <w:pPr>
              <w:pStyle w:val="BodyText"/>
              <w:spacing w:after="0"/>
              <w:rPr>
                <w:lang w:val="en-AU"/>
              </w:rPr>
            </w:pPr>
            <w:r w:rsidRPr="00965B70">
              <w:rPr>
                <w:iCs/>
                <w:lang w:val="en-AU"/>
              </w:rPr>
              <w:t>The assignment of water within a given water year against a water entitlement held by a person or authority, determined by a water corporation and expressed as a percentage of the entitlement.</w:t>
            </w:r>
            <w:r w:rsidR="00965B70">
              <w:rPr>
                <w:iCs/>
                <w:lang w:val="en-AU"/>
              </w:rPr>
              <w:t xml:space="preserve"> </w:t>
            </w:r>
            <w:r w:rsidRPr="00965B70">
              <w:rPr>
                <w:iCs/>
                <w:lang w:val="en-AU"/>
              </w:rPr>
              <w:t>Most groundwater allocations are triggered by declines in groundwater level.</w:t>
            </w:r>
          </w:p>
        </w:tc>
      </w:tr>
      <w:tr w:rsidR="0048762C" w:rsidRPr="00965B70" w14:paraId="746127F7" w14:textId="77777777" w:rsidTr="0048762C">
        <w:tc>
          <w:tcPr>
            <w:tcW w:w="1614" w:type="pct"/>
          </w:tcPr>
          <w:p w14:paraId="76356359" w14:textId="77777777" w:rsidR="0048762C" w:rsidRPr="00965B70" w:rsidRDefault="0048762C" w:rsidP="0048762C">
            <w:pPr>
              <w:pStyle w:val="BodyText"/>
              <w:spacing w:after="0"/>
              <w:rPr>
                <w:lang w:val="en-AU"/>
              </w:rPr>
            </w:pPr>
            <w:r w:rsidRPr="00965B70">
              <w:rPr>
                <w:lang w:val="en-AU"/>
              </w:rPr>
              <w:t>Assessment</w:t>
            </w:r>
          </w:p>
        </w:tc>
        <w:tc>
          <w:tcPr>
            <w:tcW w:w="3386" w:type="pct"/>
          </w:tcPr>
          <w:p w14:paraId="7931539A" w14:textId="77777777" w:rsidR="0048762C" w:rsidRPr="00965B70" w:rsidRDefault="0048762C" w:rsidP="0048762C">
            <w:pPr>
              <w:pStyle w:val="BodyText"/>
              <w:spacing w:after="0"/>
              <w:rPr>
                <w:iCs/>
                <w:lang w:val="en-AU"/>
              </w:rPr>
            </w:pPr>
            <w:r w:rsidRPr="00965B70">
              <w:rPr>
                <w:iCs/>
                <w:lang w:val="en-AU"/>
              </w:rPr>
              <w:t>A systematic evaluation of groundwater resources. Groundwater assessments often involve hydrogeological investigations, modelling, and data analysis to support water management decisions, and policy development.</w:t>
            </w:r>
          </w:p>
        </w:tc>
      </w:tr>
      <w:tr w:rsidR="0048762C" w:rsidRPr="00965B70" w14:paraId="3C942932" w14:textId="77777777" w:rsidTr="0048762C">
        <w:tc>
          <w:tcPr>
            <w:tcW w:w="1614" w:type="pct"/>
          </w:tcPr>
          <w:p w14:paraId="4E4713A9" w14:textId="77777777" w:rsidR="0048762C" w:rsidRPr="00965B70" w:rsidRDefault="0048762C" w:rsidP="0048762C">
            <w:pPr>
              <w:pStyle w:val="BodyText"/>
              <w:spacing w:after="0"/>
              <w:rPr>
                <w:lang w:val="en-AU"/>
              </w:rPr>
            </w:pPr>
            <w:r w:rsidRPr="00965B70">
              <w:rPr>
                <w:lang w:val="en-AU"/>
              </w:rPr>
              <w:t>Cap</w:t>
            </w:r>
          </w:p>
        </w:tc>
        <w:tc>
          <w:tcPr>
            <w:tcW w:w="3386" w:type="pct"/>
          </w:tcPr>
          <w:p w14:paraId="17CA07A6" w14:textId="77777777" w:rsidR="0048762C" w:rsidRPr="00965B70" w:rsidRDefault="0048762C" w:rsidP="0048762C">
            <w:pPr>
              <w:pStyle w:val="BodyText"/>
              <w:spacing w:after="0"/>
              <w:rPr>
                <w:lang w:val="en-AU"/>
              </w:rPr>
            </w:pPr>
            <w:r w:rsidRPr="00965B70">
              <w:rPr>
                <w:lang w:val="en-AU"/>
              </w:rPr>
              <w:t xml:space="preserve">A colloquial/general term for an upper limit for total water entitlements that can be issued from a waterway, catchment basin or groundwater area for a set </w:t>
            </w:r>
            <w:proofErr w:type="gramStart"/>
            <w:r w:rsidRPr="00965B70">
              <w:rPr>
                <w:lang w:val="en-AU"/>
              </w:rPr>
              <w:t>time period</w:t>
            </w:r>
            <w:proofErr w:type="gramEnd"/>
            <w:r w:rsidRPr="00965B70">
              <w:rPr>
                <w:lang w:val="en-AU"/>
              </w:rPr>
              <w:t xml:space="preserve">. This includes Permissible Consumptive Volumes (under the </w:t>
            </w:r>
            <w:r w:rsidRPr="00965B70">
              <w:rPr>
                <w:i/>
                <w:iCs/>
                <w:lang w:val="en-AU"/>
              </w:rPr>
              <w:t>Water Act 1989</w:t>
            </w:r>
            <w:r w:rsidRPr="00965B70">
              <w:rPr>
                <w:lang w:val="en-AU"/>
              </w:rPr>
              <w:t xml:space="preserve">) and Permissible Annual Volumes and Allowable Annual Volumes (under the </w:t>
            </w:r>
            <w:r w:rsidRPr="00965B70">
              <w:rPr>
                <w:i/>
                <w:iCs/>
                <w:lang w:val="en-AU"/>
              </w:rPr>
              <w:t>Groundwater (Border Agreement) Act 1985</w:t>
            </w:r>
            <w:r w:rsidRPr="00965B70">
              <w:rPr>
                <w:lang w:val="en-AU"/>
              </w:rPr>
              <w:t>).</w:t>
            </w:r>
          </w:p>
        </w:tc>
      </w:tr>
      <w:tr w:rsidR="0048762C" w:rsidRPr="00965B70" w14:paraId="4665A1B1" w14:textId="77777777" w:rsidTr="0048762C">
        <w:tc>
          <w:tcPr>
            <w:tcW w:w="1614" w:type="pct"/>
          </w:tcPr>
          <w:p w14:paraId="1AFD3E5B" w14:textId="77777777" w:rsidR="0048762C" w:rsidRPr="00965B70" w:rsidRDefault="0048762C" w:rsidP="0048762C">
            <w:pPr>
              <w:pStyle w:val="BodyText"/>
              <w:spacing w:after="0"/>
              <w:rPr>
                <w:lang w:val="en-AU"/>
              </w:rPr>
            </w:pPr>
            <w:r w:rsidRPr="00965B70">
              <w:rPr>
                <w:lang w:val="en-AU"/>
              </w:rPr>
              <w:t>Consumptive use</w:t>
            </w:r>
          </w:p>
        </w:tc>
        <w:tc>
          <w:tcPr>
            <w:tcW w:w="3386" w:type="pct"/>
          </w:tcPr>
          <w:p w14:paraId="004DDEB6" w14:textId="77777777" w:rsidR="0048762C" w:rsidRPr="00965B70" w:rsidRDefault="0048762C" w:rsidP="0048762C">
            <w:pPr>
              <w:pStyle w:val="BodyText"/>
              <w:spacing w:after="0"/>
              <w:rPr>
                <w:lang w:val="en-AU"/>
              </w:rPr>
            </w:pPr>
            <w:r w:rsidRPr="00965B70">
              <w:rPr>
                <w:lang w:val="en-AU"/>
              </w:rPr>
              <w:t>Water removed from the available supply without return to the water resource system. All extractive uses, including water used for agriculture, industry and commerce, including stock and domestic purposes.</w:t>
            </w:r>
          </w:p>
        </w:tc>
      </w:tr>
      <w:tr w:rsidR="0048762C" w:rsidRPr="00965B70" w14:paraId="23A0C66B" w14:textId="77777777" w:rsidTr="0048762C">
        <w:tc>
          <w:tcPr>
            <w:tcW w:w="1614" w:type="pct"/>
          </w:tcPr>
          <w:p w14:paraId="43F8D845" w14:textId="7A1B9B83" w:rsidR="0048762C" w:rsidRPr="00965B70" w:rsidRDefault="0048762C" w:rsidP="0048762C">
            <w:pPr>
              <w:pStyle w:val="BodyText"/>
              <w:spacing w:after="0"/>
              <w:rPr>
                <w:lang w:val="en-AU"/>
              </w:rPr>
            </w:pPr>
            <w:r w:rsidRPr="00965B70">
              <w:rPr>
                <w:lang w:val="en-AU"/>
              </w:rPr>
              <w:lastRenderedPageBreak/>
              <w:t>Domestic and stock</w:t>
            </w:r>
          </w:p>
        </w:tc>
        <w:tc>
          <w:tcPr>
            <w:tcW w:w="3386" w:type="pct"/>
          </w:tcPr>
          <w:p w14:paraId="3C8DB68B" w14:textId="75350116" w:rsidR="0048762C" w:rsidRPr="00965B70" w:rsidRDefault="0048762C" w:rsidP="0048762C">
            <w:pPr>
              <w:pStyle w:val="BodyText"/>
              <w:spacing w:after="0"/>
              <w:rPr>
                <w:lang w:val="en-AU"/>
              </w:rPr>
            </w:pPr>
            <w:r w:rsidRPr="00965B70">
              <w:rPr>
                <w:lang w:val="en-AU"/>
              </w:rPr>
              <w:t>Water taken for household use, kitchen garden, fire prevention and watering of livestock. Victorians have basic rights to water for under section 8 of the Victorian</w:t>
            </w:r>
            <w:r w:rsidRPr="00965B70">
              <w:rPr>
                <w:i/>
                <w:iCs/>
                <w:lang w:val="en-AU"/>
              </w:rPr>
              <w:t xml:space="preserve"> </w:t>
            </w:r>
            <w:r w:rsidRPr="00965B70">
              <w:rPr>
                <w:i/>
                <w:lang w:val="en-AU"/>
              </w:rPr>
              <w:t xml:space="preserve">Water Act </w:t>
            </w:r>
            <w:r w:rsidRPr="00965B70">
              <w:rPr>
                <w:lang w:val="en-AU"/>
              </w:rPr>
              <w:t>1989. These rights allow a person to take water from a bore, dam, river or stream to use for domestic and stock purposes.</w:t>
            </w:r>
          </w:p>
        </w:tc>
      </w:tr>
      <w:tr w:rsidR="0048762C" w:rsidRPr="00965B70" w14:paraId="1649A944" w14:textId="77777777" w:rsidTr="0048762C">
        <w:tc>
          <w:tcPr>
            <w:tcW w:w="1614" w:type="pct"/>
          </w:tcPr>
          <w:p w14:paraId="69E8BB21" w14:textId="77777777" w:rsidR="0048762C" w:rsidRPr="00965B70" w:rsidRDefault="0048762C" w:rsidP="0048762C">
            <w:pPr>
              <w:pStyle w:val="BodyText"/>
              <w:spacing w:after="0"/>
              <w:rPr>
                <w:lang w:val="en-AU"/>
              </w:rPr>
            </w:pPr>
            <w:r w:rsidRPr="00965B70">
              <w:rPr>
                <w:lang w:val="en-AU"/>
              </w:rPr>
              <w:t>Entitlement</w:t>
            </w:r>
          </w:p>
        </w:tc>
        <w:tc>
          <w:tcPr>
            <w:tcW w:w="3386" w:type="pct"/>
          </w:tcPr>
          <w:p w14:paraId="205FCD0A" w14:textId="1029E39C" w:rsidR="0048762C" w:rsidRPr="00965B70" w:rsidRDefault="0048762C" w:rsidP="0048762C">
            <w:pPr>
              <w:pStyle w:val="BodyText"/>
              <w:spacing w:after="0"/>
              <w:rPr>
                <w:lang w:val="en-AU"/>
              </w:rPr>
            </w:pPr>
            <w:r w:rsidRPr="00965B70">
              <w:rPr>
                <w:lang w:val="en-AU"/>
              </w:rPr>
              <w:t>A right to use water in a waterway, water in storage works of a water corporation, and groundwater. It also includes the right to water corporations to supply water. Water entitlements include bulk entitlements (generally issued to water corporations), environmental entitlements, water rights, surface water and groundwater licences. The term also can be used to mean the volume of water authorised to be taken and used by the holder.</w:t>
            </w:r>
          </w:p>
        </w:tc>
      </w:tr>
      <w:tr w:rsidR="0048762C" w:rsidRPr="00965B70" w14:paraId="01D39072" w14:textId="77777777" w:rsidTr="0048762C">
        <w:tc>
          <w:tcPr>
            <w:tcW w:w="1614" w:type="pct"/>
          </w:tcPr>
          <w:p w14:paraId="22EF44C3" w14:textId="77777777" w:rsidR="0048762C" w:rsidRPr="00965B70" w:rsidRDefault="0048762C" w:rsidP="0048762C">
            <w:pPr>
              <w:pStyle w:val="BodyText"/>
              <w:spacing w:after="0"/>
              <w:rPr>
                <w:lang w:val="en-AU"/>
              </w:rPr>
            </w:pPr>
            <w:r w:rsidRPr="00965B70">
              <w:rPr>
                <w:lang w:val="en-AU"/>
              </w:rPr>
              <w:t>Groundwater drawdown</w:t>
            </w:r>
          </w:p>
        </w:tc>
        <w:tc>
          <w:tcPr>
            <w:tcW w:w="3386" w:type="pct"/>
          </w:tcPr>
          <w:p w14:paraId="502DA303" w14:textId="77777777" w:rsidR="0048762C" w:rsidRPr="00965B70" w:rsidRDefault="0048762C" w:rsidP="0048762C">
            <w:pPr>
              <w:pStyle w:val="BodyText"/>
              <w:spacing w:after="0"/>
              <w:rPr>
                <w:lang w:val="en-AU"/>
              </w:rPr>
            </w:pPr>
            <w:r w:rsidRPr="00965B70">
              <w:rPr>
                <w:lang w:val="en-AU"/>
              </w:rPr>
              <w:t>It is the decline in hydraulic head or water table elevation resulting from groundwater extraction or natural discharge processes. It is quantitatively expressed as the difference between the static (pre-development) water level and the dynamic (post- development) water level.</w:t>
            </w:r>
          </w:p>
        </w:tc>
      </w:tr>
      <w:tr w:rsidR="0048762C" w:rsidRPr="00965B70" w14:paraId="2A53281D" w14:textId="77777777" w:rsidTr="0048762C">
        <w:tc>
          <w:tcPr>
            <w:tcW w:w="1614" w:type="pct"/>
          </w:tcPr>
          <w:p w14:paraId="2C591D89" w14:textId="77777777" w:rsidR="0048762C" w:rsidRPr="00965B70" w:rsidRDefault="0048762C" w:rsidP="0048762C">
            <w:pPr>
              <w:pStyle w:val="BodyText"/>
              <w:spacing w:after="0"/>
              <w:rPr>
                <w:lang w:val="en-AU"/>
              </w:rPr>
            </w:pPr>
            <w:r w:rsidRPr="00965B70">
              <w:rPr>
                <w:lang w:val="en-AU"/>
              </w:rPr>
              <w:t>Groundwater level</w:t>
            </w:r>
          </w:p>
        </w:tc>
        <w:tc>
          <w:tcPr>
            <w:tcW w:w="3386" w:type="pct"/>
          </w:tcPr>
          <w:p w14:paraId="71CEEC7B" w14:textId="77777777" w:rsidR="0048762C" w:rsidRPr="00965B70" w:rsidRDefault="0048762C" w:rsidP="0048762C">
            <w:pPr>
              <w:pStyle w:val="BodyText"/>
              <w:spacing w:after="0"/>
              <w:rPr>
                <w:lang w:val="en-AU"/>
              </w:rPr>
            </w:pPr>
            <w:r w:rsidRPr="00965B70">
              <w:rPr>
                <w:lang w:val="en-AU"/>
              </w:rPr>
              <w:t>It refers to the potentiometric surface or the water table position within an aquifer, typically measured as the hydraulic head in a bore relative to a specified datum (e.g., mean sea level, or metres above Australian Height Datum (</w:t>
            </w:r>
            <w:proofErr w:type="spellStart"/>
            <w:r w:rsidRPr="00965B70">
              <w:rPr>
                <w:lang w:val="en-AU"/>
              </w:rPr>
              <w:t>mAHD</w:t>
            </w:r>
            <w:proofErr w:type="spellEnd"/>
            <w:r w:rsidRPr="00965B70">
              <w:rPr>
                <w:lang w:val="en-AU"/>
              </w:rPr>
              <w:t xml:space="preserve">)). It represents the equilibrium state of </w:t>
            </w:r>
            <w:r w:rsidRPr="00965B70">
              <w:rPr>
                <w:lang w:val="en-AU"/>
              </w:rPr>
              <w:lastRenderedPageBreak/>
              <w:t>groundwater under natural or disturbed conditions and is influenced by recharge, discharge, and external stresses such as pumping and climate variability.</w:t>
            </w:r>
          </w:p>
        </w:tc>
      </w:tr>
      <w:tr w:rsidR="0048762C" w:rsidRPr="00965B70" w14:paraId="265FD289" w14:textId="77777777" w:rsidTr="0048762C">
        <w:tc>
          <w:tcPr>
            <w:tcW w:w="1614" w:type="pct"/>
          </w:tcPr>
          <w:p w14:paraId="5336BCEC" w14:textId="320D8441" w:rsidR="0048762C" w:rsidRPr="00965B70" w:rsidRDefault="0048762C" w:rsidP="0048762C">
            <w:pPr>
              <w:pStyle w:val="BodyText"/>
              <w:spacing w:after="0"/>
              <w:rPr>
                <w:lang w:val="en-AU"/>
              </w:rPr>
            </w:pPr>
            <w:r w:rsidRPr="00965B70">
              <w:rPr>
                <w:lang w:val="en-AU"/>
              </w:rPr>
              <w:lastRenderedPageBreak/>
              <w:t>Groundwater level restrictions trigger</w:t>
            </w:r>
          </w:p>
        </w:tc>
        <w:tc>
          <w:tcPr>
            <w:tcW w:w="3386" w:type="pct"/>
          </w:tcPr>
          <w:p w14:paraId="75FA8226" w14:textId="77777777" w:rsidR="0048762C" w:rsidRPr="00965B70" w:rsidRDefault="0048762C" w:rsidP="0048762C">
            <w:pPr>
              <w:pStyle w:val="BodyText"/>
              <w:spacing w:after="0"/>
              <w:rPr>
                <w:lang w:val="en-AU"/>
              </w:rPr>
            </w:pPr>
            <w:bookmarkStart w:id="6" w:name="_Hlk184894307"/>
            <w:r w:rsidRPr="00965B70">
              <w:rPr>
                <w:lang w:val="en-AU"/>
              </w:rPr>
              <w:t xml:space="preserve">A new term defined as – “A defined groundwater level for a system that triggers restrictions on use”, generally implemented through water shortage declarations, approved management plans for a Water Supply Protection Area, Local Management Plans and in some cases through licences or Bulk Entitlements. </w:t>
            </w:r>
            <w:bookmarkEnd w:id="6"/>
          </w:p>
        </w:tc>
      </w:tr>
      <w:tr w:rsidR="0048762C" w:rsidRPr="00965B70" w14:paraId="31004C97" w14:textId="77777777" w:rsidTr="0048762C">
        <w:tc>
          <w:tcPr>
            <w:tcW w:w="1614" w:type="pct"/>
          </w:tcPr>
          <w:p w14:paraId="451C8672" w14:textId="77777777" w:rsidR="0048762C" w:rsidRPr="00965B70" w:rsidRDefault="0048762C" w:rsidP="0048762C">
            <w:pPr>
              <w:pStyle w:val="BodyText"/>
              <w:spacing w:after="0"/>
              <w:rPr>
                <w:lang w:val="en-AU"/>
              </w:rPr>
            </w:pPr>
            <w:r w:rsidRPr="00965B70">
              <w:rPr>
                <w:lang w:val="en-AU"/>
              </w:rPr>
              <w:t>Groundwater Management Area (GMA)</w:t>
            </w:r>
          </w:p>
        </w:tc>
        <w:tc>
          <w:tcPr>
            <w:tcW w:w="3386" w:type="pct"/>
          </w:tcPr>
          <w:p w14:paraId="725E917D" w14:textId="77777777" w:rsidR="0048762C" w:rsidRPr="00965B70" w:rsidRDefault="0048762C" w:rsidP="0048762C">
            <w:pPr>
              <w:pStyle w:val="BodyText"/>
              <w:spacing w:after="0"/>
              <w:rPr>
                <w:lang w:val="en-AU"/>
              </w:rPr>
            </w:pPr>
            <w:r w:rsidRPr="00965B70">
              <w:rPr>
                <w:lang w:val="en-AU"/>
              </w:rPr>
              <w:t>An area where groundwater has been intensively developed or has the potential to be. Groundwater Management Areas generally have a Permissible Consumptive Volume set by Minister for Water through statutory declaration.</w:t>
            </w:r>
          </w:p>
        </w:tc>
      </w:tr>
      <w:tr w:rsidR="0048762C" w:rsidRPr="00965B70" w14:paraId="4F1A2CB9" w14:textId="77777777" w:rsidTr="0048762C">
        <w:tc>
          <w:tcPr>
            <w:tcW w:w="1614" w:type="pct"/>
          </w:tcPr>
          <w:p w14:paraId="73871126" w14:textId="77777777" w:rsidR="0048762C" w:rsidRPr="00965B70" w:rsidRDefault="0048762C" w:rsidP="0048762C">
            <w:pPr>
              <w:pStyle w:val="BodyText"/>
              <w:spacing w:after="0"/>
              <w:rPr>
                <w:lang w:val="en-AU"/>
              </w:rPr>
            </w:pPr>
            <w:r w:rsidRPr="00965B70">
              <w:rPr>
                <w:lang w:val="en-AU"/>
              </w:rPr>
              <w:t>Groundwater Management Unit (GMU)</w:t>
            </w:r>
          </w:p>
        </w:tc>
        <w:tc>
          <w:tcPr>
            <w:tcW w:w="3386" w:type="pct"/>
          </w:tcPr>
          <w:p w14:paraId="1FA9C5E9" w14:textId="77777777" w:rsidR="0048762C" w:rsidRPr="00965B70" w:rsidRDefault="0048762C" w:rsidP="0048762C">
            <w:pPr>
              <w:pStyle w:val="BodyText"/>
              <w:spacing w:after="0"/>
              <w:rPr>
                <w:lang w:val="en-AU"/>
              </w:rPr>
            </w:pPr>
            <w:r w:rsidRPr="00965B70">
              <w:rPr>
                <w:lang w:val="en-AU"/>
              </w:rPr>
              <w:t>Refers to both Groundwater Management Areas and Water Supply Protection Areas.</w:t>
            </w:r>
          </w:p>
        </w:tc>
      </w:tr>
      <w:tr w:rsidR="0048762C" w:rsidRPr="00965B70" w14:paraId="378358B8" w14:textId="77777777" w:rsidTr="0048762C">
        <w:tc>
          <w:tcPr>
            <w:tcW w:w="1614" w:type="pct"/>
          </w:tcPr>
          <w:p w14:paraId="3A328E13" w14:textId="77777777" w:rsidR="0048762C" w:rsidRPr="00965B70" w:rsidRDefault="0048762C" w:rsidP="0048762C">
            <w:pPr>
              <w:pStyle w:val="BodyText"/>
              <w:spacing w:after="0"/>
              <w:rPr>
                <w:lang w:val="en-AU"/>
              </w:rPr>
            </w:pPr>
            <w:r w:rsidRPr="00965B70">
              <w:rPr>
                <w:lang w:val="en-AU"/>
              </w:rPr>
              <w:t>Licensed use (water)</w:t>
            </w:r>
          </w:p>
        </w:tc>
        <w:tc>
          <w:tcPr>
            <w:tcW w:w="3386" w:type="pct"/>
          </w:tcPr>
          <w:p w14:paraId="408132B6" w14:textId="77777777" w:rsidR="0048762C" w:rsidRPr="00965B70" w:rsidRDefault="0048762C" w:rsidP="0048762C">
            <w:pPr>
              <w:pStyle w:val="BodyText"/>
              <w:spacing w:after="0"/>
              <w:rPr>
                <w:lang w:val="en-AU"/>
              </w:rPr>
            </w:pPr>
            <w:r w:rsidRPr="00965B70">
              <w:rPr>
                <w:lang w:val="en-AU"/>
              </w:rPr>
              <w:t xml:space="preserve">The volume of water taken under a licence(s) to take and use water for consumptive use. It excludes the volume of water taken for domestic and stock purposes under Section 8, </w:t>
            </w:r>
            <w:r w:rsidRPr="00965B70">
              <w:rPr>
                <w:i/>
                <w:iCs/>
                <w:lang w:val="en-AU"/>
              </w:rPr>
              <w:t>Water Act</w:t>
            </w:r>
            <w:r w:rsidRPr="00965B70">
              <w:rPr>
                <w:lang w:val="en-AU"/>
              </w:rPr>
              <w:t xml:space="preserve"> 1989.</w:t>
            </w:r>
          </w:p>
        </w:tc>
      </w:tr>
      <w:tr w:rsidR="0048762C" w:rsidRPr="00965B70" w14:paraId="102AFE6A" w14:textId="77777777" w:rsidTr="0048762C">
        <w:tc>
          <w:tcPr>
            <w:tcW w:w="1614" w:type="pct"/>
          </w:tcPr>
          <w:p w14:paraId="44EF5433" w14:textId="77777777" w:rsidR="0048762C" w:rsidRPr="00965B70" w:rsidRDefault="0048762C" w:rsidP="0048762C">
            <w:pPr>
              <w:pStyle w:val="BodyText"/>
              <w:spacing w:after="0"/>
              <w:rPr>
                <w:lang w:val="en-AU"/>
              </w:rPr>
            </w:pPr>
            <w:r w:rsidRPr="00965B70">
              <w:rPr>
                <w:lang w:val="en-AU"/>
              </w:rPr>
              <w:t>Licensed entitlement</w:t>
            </w:r>
          </w:p>
        </w:tc>
        <w:tc>
          <w:tcPr>
            <w:tcW w:w="3386" w:type="pct"/>
          </w:tcPr>
          <w:p w14:paraId="483CDDAE" w14:textId="77777777" w:rsidR="00965B70" w:rsidRDefault="0048762C" w:rsidP="0048762C">
            <w:pPr>
              <w:pStyle w:val="BodyText"/>
              <w:spacing w:after="0"/>
              <w:rPr>
                <w:lang w:val="en-AU"/>
              </w:rPr>
            </w:pPr>
            <w:r w:rsidRPr="00965B70">
              <w:rPr>
                <w:lang w:val="en-AU"/>
              </w:rPr>
              <w:t xml:space="preserve">A right to use water (and supply) in a waterway, water in storage works of a water corporation, and groundwater. Water entitlements include bulk entitlements (issued to </w:t>
            </w:r>
            <w:r w:rsidRPr="00965B70">
              <w:rPr>
                <w:lang w:val="en-AU"/>
              </w:rPr>
              <w:lastRenderedPageBreak/>
              <w:t>water corporations), environmental entitlements, surface water and groundwater licences.</w:t>
            </w:r>
          </w:p>
          <w:p w14:paraId="782DCD54" w14:textId="4B978E60" w:rsidR="0048762C" w:rsidRPr="00965B70" w:rsidRDefault="0048762C" w:rsidP="0048762C">
            <w:pPr>
              <w:pStyle w:val="BodyText"/>
              <w:spacing w:after="0"/>
              <w:rPr>
                <w:lang w:val="en-AU"/>
              </w:rPr>
            </w:pPr>
            <w:r w:rsidRPr="00965B70">
              <w:rPr>
                <w:lang w:val="en-AU"/>
              </w:rPr>
              <w:t>The term also can be used to mean the volume of water authorised to be taken and used by the holder.</w:t>
            </w:r>
          </w:p>
        </w:tc>
      </w:tr>
      <w:tr w:rsidR="0048762C" w:rsidRPr="00965B70" w14:paraId="6617EB5A" w14:textId="77777777" w:rsidTr="0048762C">
        <w:tc>
          <w:tcPr>
            <w:tcW w:w="1614" w:type="pct"/>
          </w:tcPr>
          <w:p w14:paraId="5C6ED563" w14:textId="77777777" w:rsidR="0048762C" w:rsidRPr="00965B70" w:rsidRDefault="0048762C" w:rsidP="0048762C">
            <w:pPr>
              <w:pStyle w:val="BodyText"/>
              <w:spacing w:after="0"/>
              <w:rPr>
                <w:lang w:val="en-AU"/>
              </w:rPr>
            </w:pPr>
            <w:r w:rsidRPr="00965B70">
              <w:rPr>
                <w:lang w:val="en-AU"/>
              </w:rPr>
              <w:lastRenderedPageBreak/>
              <w:t>Licence to take and use</w:t>
            </w:r>
          </w:p>
        </w:tc>
        <w:tc>
          <w:tcPr>
            <w:tcW w:w="3386" w:type="pct"/>
          </w:tcPr>
          <w:p w14:paraId="22FD2F9A" w14:textId="103DCDC6" w:rsidR="0048762C" w:rsidRPr="00965B70" w:rsidRDefault="0048762C" w:rsidP="0048762C">
            <w:pPr>
              <w:pStyle w:val="BodyText"/>
              <w:spacing w:after="0"/>
              <w:rPr>
                <w:lang w:val="en-AU"/>
              </w:rPr>
            </w:pPr>
            <w:r w:rsidRPr="00965B70">
              <w:rPr>
                <w:lang w:val="en-AU"/>
              </w:rPr>
              <w:t>A fixed-term entitlement under section 51 of the Water Act 1989 to take and use water from a waterway, catchment dam, spring, soak or aquifer. Each licence is subject to conditions set by the Minister for Water and specified on the licence.</w:t>
            </w:r>
          </w:p>
        </w:tc>
      </w:tr>
      <w:tr w:rsidR="0048762C" w:rsidRPr="00965B70" w14:paraId="77ABAD88" w14:textId="77777777" w:rsidTr="0048762C">
        <w:tc>
          <w:tcPr>
            <w:tcW w:w="1614" w:type="pct"/>
          </w:tcPr>
          <w:p w14:paraId="3EACD5AE" w14:textId="77777777" w:rsidR="0048762C" w:rsidRPr="00965B70" w:rsidRDefault="0048762C" w:rsidP="0048762C">
            <w:pPr>
              <w:pStyle w:val="BodyText"/>
              <w:spacing w:after="0"/>
              <w:rPr>
                <w:lang w:val="en-AU"/>
              </w:rPr>
            </w:pPr>
            <w:r w:rsidRPr="00965B70">
              <w:rPr>
                <w:lang w:val="en-AU"/>
              </w:rPr>
              <w:t>Limits of take under licence</w:t>
            </w:r>
          </w:p>
        </w:tc>
        <w:tc>
          <w:tcPr>
            <w:tcW w:w="3386" w:type="pct"/>
          </w:tcPr>
          <w:p w14:paraId="078E42F7" w14:textId="77777777" w:rsidR="0048762C" w:rsidRPr="00965B70" w:rsidRDefault="0048762C" w:rsidP="0048762C">
            <w:pPr>
              <w:pStyle w:val="BodyText"/>
              <w:spacing w:after="0"/>
              <w:rPr>
                <w:lang w:val="en-AU"/>
              </w:rPr>
            </w:pPr>
            <w:r w:rsidRPr="00965B70">
              <w:rPr>
                <w:lang w:val="en-AU"/>
              </w:rPr>
              <w:t>Refers to both caps on entitlements and any management prescriptions that limit take and entitlements such as groundwater level restrictions triggers</w:t>
            </w:r>
            <w:r w:rsidRPr="00965B70" w:rsidDel="00107263">
              <w:rPr>
                <w:lang w:val="en-AU"/>
              </w:rPr>
              <w:t xml:space="preserve"> that </w:t>
            </w:r>
            <w:r w:rsidRPr="00965B70">
              <w:rPr>
                <w:lang w:val="en-AU"/>
              </w:rPr>
              <w:t>restrict use in a particular season.</w:t>
            </w:r>
          </w:p>
        </w:tc>
      </w:tr>
      <w:tr w:rsidR="0048762C" w:rsidRPr="00965B70" w14:paraId="380F9F92" w14:textId="77777777" w:rsidTr="0048762C">
        <w:tc>
          <w:tcPr>
            <w:tcW w:w="1614" w:type="pct"/>
          </w:tcPr>
          <w:p w14:paraId="102D3644" w14:textId="77777777" w:rsidR="0048762C" w:rsidRPr="00965B70" w:rsidRDefault="0048762C" w:rsidP="0048762C">
            <w:pPr>
              <w:pStyle w:val="BodyText"/>
              <w:spacing w:after="0"/>
              <w:rPr>
                <w:lang w:val="en-AU"/>
              </w:rPr>
            </w:pPr>
            <w:r w:rsidRPr="00965B70">
              <w:rPr>
                <w:lang w:val="en-AU"/>
              </w:rPr>
              <w:t>Megalitre (ML)</w:t>
            </w:r>
          </w:p>
        </w:tc>
        <w:tc>
          <w:tcPr>
            <w:tcW w:w="3386" w:type="pct"/>
          </w:tcPr>
          <w:p w14:paraId="31878BEC" w14:textId="77777777" w:rsidR="0048762C" w:rsidRPr="00965B70" w:rsidRDefault="0048762C" w:rsidP="0048762C">
            <w:pPr>
              <w:pStyle w:val="BodyText"/>
              <w:spacing w:after="0"/>
              <w:rPr>
                <w:lang w:val="en-AU"/>
              </w:rPr>
            </w:pPr>
            <w:r w:rsidRPr="00965B70">
              <w:rPr>
                <w:lang w:val="en-AU"/>
              </w:rPr>
              <w:t>One million litres.</w:t>
            </w:r>
          </w:p>
        </w:tc>
      </w:tr>
      <w:tr w:rsidR="0048762C" w:rsidRPr="00965B70" w14:paraId="1FC37639" w14:textId="77777777" w:rsidTr="0048762C">
        <w:tc>
          <w:tcPr>
            <w:tcW w:w="1614" w:type="pct"/>
          </w:tcPr>
          <w:p w14:paraId="4A697EC7" w14:textId="77777777" w:rsidR="0048762C" w:rsidRPr="00965B70" w:rsidRDefault="0048762C" w:rsidP="0048762C">
            <w:pPr>
              <w:pStyle w:val="BodyText"/>
              <w:spacing w:after="0"/>
              <w:rPr>
                <w:lang w:val="en-AU"/>
              </w:rPr>
            </w:pPr>
            <w:r w:rsidRPr="00965B70">
              <w:rPr>
                <w:lang w:val="en-AU"/>
              </w:rPr>
              <w:t>Permissible Consumptive Volume (PCV)</w:t>
            </w:r>
          </w:p>
        </w:tc>
        <w:tc>
          <w:tcPr>
            <w:tcW w:w="3386" w:type="pct"/>
          </w:tcPr>
          <w:p w14:paraId="4C3170DC" w14:textId="77777777" w:rsidR="0048762C" w:rsidRPr="00965B70" w:rsidRDefault="0048762C" w:rsidP="0048762C">
            <w:pPr>
              <w:pStyle w:val="BodyText"/>
              <w:spacing w:after="0"/>
              <w:rPr>
                <w:lang w:val="en-AU"/>
              </w:rPr>
            </w:pPr>
            <w:r w:rsidRPr="00965B70">
              <w:rPr>
                <w:lang w:val="en-AU"/>
              </w:rPr>
              <w:t>The maximum volume of water entitlements that can be allocated in an area or a water system.</w:t>
            </w:r>
          </w:p>
        </w:tc>
      </w:tr>
      <w:tr w:rsidR="0048762C" w:rsidRPr="00965B70" w14:paraId="4E2FDD2F" w14:textId="77777777" w:rsidTr="0048762C">
        <w:tc>
          <w:tcPr>
            <w:tcW w:w="1614" w:type="pct"/>
          </w:tcPr>
          <w:p w14:paraId="289B3B6E" w14:textId="77777777" w:rsidR="0048762C" w:rsidRPr="00965B70" w:rsidRDefault="0048762C" w:rsidP="0048762C">
            <w:pPr>
              <w:pStyle w:val="BodyText"/>
              <w:spacing w:after="0"/>
              <w:rPr>
                <w:lang w:val="en-AU"/>
              </w:rPr>
            </w:pPr>
            <w:r w:rsidRPr="00965B70">
              <w:rPr>
                <w:lang w:val="en-AU"/>
              </w:rPr>
              <w:t>Recharge</w:t>
            </w:r>
          </w:p>
        </w:tc>
        <w:tc>
          <w:tcPr>
            <w:tcW w:w="3386" w:type="pct"/>
          </w:tcPr>
          <w:p w14:paraId="6643B2D1" w14:textId="77777777" w:rsidR="0048762C" w:rsidRPr="00965B70" w:rsidRDefault="0048762C" w:rsidP="0048762C">
            <w:pPr>
              <w:pStyle w:val="BodyText"/>
              <w:spacing w:after="0"/>
              <w:rPr>
                <w:lang w:val="en-AU"/>
              </w:rPr>
            </w:pPr>
            <w:r w:rsidRPr="00965B70">
              <w:rPr>
                <w:lang w:val="en-AU"/>
              </w:rPr>
              <w:t>The natural or managed process of water moving into the ground and replenishing groundwater aquifers</w:t>
            </w:r>
          </w:p>
        </w:tc>
      </w:tr>
      <w:tr w:rsidR="0048762C" w:rsidRPr="00965B70" w14:paraId="632C8C80" w14:textId="77777777" w:rsidTr="0048762C">
        <w:tc>
          <w:tcPr>
            <w:tcW w:w="1614" w:type="pct"/>
          </w:tcPr>
          <w:p w14:paraId="1D452513" w14:textId="2E0BD0B0" w:rsidR="0048762C" w:rsidRPr="00965B70" w:rsidRDefault="0048762C" w:rsidP="0048762C">
            <w:pPr>
              <w:pStyle w:val="BodyText"/>
              <w:spacing w:after="0"/>
              <w:rPr>
                <w:lang w:val="en-AU"/>
              </w:rPr>
            </w:pPr>
            <w:r w:rsidRPr="00965B70">
              <w:rPr>
                <w:lang w:val="en-AU"/>
              </w:rPr>
              <w:t>Recovered groundwater level</w:t>
            </w:r>
          </w:p>
        </w:tc>
        <w:tc>
          <w:tcPr>
            <w:tcW w:w="3386" w:type="pct"/>
          </w:tcPr>
          <w:p w14:paraId="00AC0AF2" w14:textId="77777777" w:rsidR="0048762C" w:rsidRPr="00965B70" w:rsidRDefault="0048762C" w:rsidP="0048762C">
            <w:pPr>
              <w:pStyle w:val="BodyText"/>
              <w:spacing w:after="0"/>
              <w:rPr>
                <w:lang w:val="en-AU"/>
              </w:rPr>
            </w:pPr>
            <w:r w:rsidRPr="00965B70">
              <w:rPr>
                <w:lang w:val="en-AU"/>
              </w:rPr>
              <w:t>The level of groundwater that has been restored after a period of decline. Groundwater levels can decline due to pumping, seasonal drought, or other factors.</w:t>
            </w:r>
          </w:p>
        </w:tc>
      </w:tr>
      <w:tr w:rsidR="0048762C" w:rsidRPr="00965B70" w14:paraId="05C043E5" w14:textId="77777777" w:rsidTr="0048762C">
        <w:tc>
          <w:tcPr>
            <w:tcW w:w="1614" w:type="pct"/>
          </w:tcPr>
          <w:p w14:paraId="3F16F93F" w14:textId="77777777" w:rsidR="0048762C" w:rsidRPr="00965B70" w:rsidRDefault="0048762C" w:rsidP="0048762C">
            <w:pPr>
              <w:pStyle w:val="BodyText"/>
              <w:spacing w:after="0"/>
              <w:rPr>
                <w:lang w:val="en-AU"/>
              </w:rPr>
            </w:pPr>
            <w:r w:rsidRPr="00965B70">
              <w:rPr>
                <w:lang w:val="en-AU"/>
              </w:rPr>
              <w:lastRenderedPageBreak/>
              <w:t xml:space="preserve">Sustainable yield </w:t>
            </w:r>
          </w:p>
        </w:tc>
        <w:tc>
          <w:tcPr>
            <w:tcW w:w="3386" w:type="pct"/>
          </w:tcPr>
          <w:p w14:paraId="6F64B6A8" w14:textId="77777777" w:rsidR="0048762C" w:rsidRPr="00965B70" w:rsidRDefault="0048762C" w:rsidP="0048762C">
            <w:pPr>
              <w:pStyle w:val="BodyText"/>
              <w:spacing w:after="0"/>
              <w:rPr>
                <w:lang w:val="en-AU"/>
              </w:rPr>
            </w:pPr>
            <w:r w:rsidRPr="00965B70">
              <w:rPr>
                <w:lang w:val="en-AU"/>
              </w:rPr>
              <w:t>The groundwater extraction regime measured over a 20-year planning timeframe, allowing for acceptable levels of impact that protect dependent values.</w:t>
            </w:r>
          </w:p>
        </w:tc>
      </w:tr>
      <w:tr w:rsidR="0048762C" w:rsidRPr="00965B70" w14:paraId="2B3949CB" w14:textId="77777777" w:rsidTr="0048762C">
        <w:tc>
          <w:tcPr>
            <w:tcW w:w="1614" w:type="pct"/>
          </w:tcPr>
          <w:p w14:paraId="3BF95B38" w14:textId="77777777" w:rsidR="0048762C" w:rsidRPr="00965B70" w:rsidRDefault="0048762C" w:rsidP="0048762C">
            <w:pPr>
              <w:pStyle w:val="BodyText"/>
              <w:spacing w:after="0"/>
              <w:rPr>
                <w:lang w:val="en-AU"/>
              </w:rPr>
            </w:pPr>
            <w:r w:rsidRPr="00965B70">
              <w:rPr>
                <w:lang w:val="en-AU"/>
              </w:rPr>
              <w:t>Sustainable yield metric</w:t>
            </w:r>
          </w:p>
        </w:tc>
        <w:tc>
          <w:tcPr>
            <w:tcW w:w="3386" w:type="pct"/>
          </w:tcPr>
          <w:p w14:paraId="682D4191" w14:textId="77777777" w:rsidR="0048762C" w:rsidRPr="00965B70" w:rsidRDefault="0048762C" w:rsidP="0048762C">
            <w:pPr>
              <w:pStyle w:val="BodyText"/>
              <w:spacing w:after="0"/>
              <w:rPr>
                <w:lang w:val="en-AU"/>
              </w:rPr>
            </w:pPr>
            <w:r w:rsidRPr="00965B70">
              <w:rPr>
                <w:lang w:val="en-AU"/>
              </w:rPr>
              <w:t>A measure that defines the acceptable level of impact that protects dependent ‘values’ for the assessed sustainable yield volume.</w:t>
            </w:r>
          </w:p>
        </w:tc>
      </w:tr>
      <w:tr w:rsidR="0048762C" w:rsidRPr="00965B70" w14:paraId="095BD4E1" w14:textId="77777777" w:rsidTr="0048762C">
        <w:tc>
          <w:tcPr>
            <w:tcW w:w="1614" w:type="pct"/>
          </w:tcPr>
          <w:p w14:paraId="4FD0BCB9" w14:textId="77777777" w:rsidR="0048762C" w:rsidRPr="00965B70" w:rsidRDefault="0048762C" w:rsidP="0048762C">
            <w:pPr>
              <w:pStyle w:val="BodyText"/>
              <w:spacing w:after="0"/>
              <w:rPr>
                <w:lang w:val="en-AU"/>
              </w:rPr>
            </w:pPr>
            <w:r w:rsidRPr="00965B70">
              <w:rPr>
                <w:lang w:val="en-AU"/>
              </w:rPr>
              <w:t>Throughflow</w:t>
            </w:r>
          </w:p>
        </w:tc>
        <w:tc>
          <w:tcPr>
            <w:tcW w:w="3386" w:type="pct"/>
          </w:tcPr>
          <w:p w14:paraId="15E4E618" w14:textId="77777777" w:rsidR="0048762C" w:rsidRPr="00965B70" w:rsidRDefault="0048762C" w:rsidP="0048762C">
            <w:pPr>
              <w:pStyle w:val="BodyText"/>
              <w:spacing w:after="0"/>
              <w:rPr>
                <w:lang w:val="en-AU"/>
              </w:rPr>
            </w:pPr>
            <w:r w:rsidRPr="00965B70">
              <w:rPr>
                <w:lang w:val="en-AU"/>
              </w:rPr>
              <w:t>The lateral movement of groundwater in an aquifer.</w:t>
            </w:r>
          </w:p>
        </w:tc>
      </w:tr>
      <w:tr w:rsidR="0048762C" w:rsidRPr="00965B70" w14:paraId="0C7B502F" w14:textId="77777777" w:rsidTr="0048762C">
        <w:tc>
          <w:tcPr>
            <w:tcW w:w="1614" w:type="pct"/>
          </w:tcPr>
          <w:p w14:paraId="23026B05" w14:textId="77777777" w:rsidR="0048762C" w:rsidRPr="00965B70" w:rsidRDefault="0048762C" w:rsidP="0048762C">
            <w:pPr>
              <w:pStyle w:val="BodyText"/>
              <w:spacing w:after="0"/>
              <w:rPr>
                <w:lang w:val="en-AU"/>
              </w:rPr>
            </w:pPr>
            <w:r w:rsidRPr="00965B70">
              <w:rPr>
                <w:lang w:val="en-AU"/>
              </w:rPr>
              <w:t>Unincorporated Area (UA)</w:t>
            </w:r>
          </w:p>
        </w:tc>
        <w:tc>
          <w:tcPr>
            <w:tcW w:w="3386" w:type="pct"/>
          </w:tcPr>
          <w:p w14:paraId="2ED069E5" w14:textId="77777777" w:rsidR="0048762C" w:rsidRPr="00965B70" w:rsidRDefault="0048762C" w:rsidP="0048762C">
            <w:pPr>
              <w:pStyle w:val="BodyText"/>
              <w:spacing w:after="0"/>
              <w:rPr>
                <w:lang w:val="en-AU"/>
              </w:rPr>
            </w:pPr>
            <w:r w:rsidRPr="00965B70">
              <w:rPr>
                <w:lang w:val="en-AU"/>
              </w:rPr>
              <w:t>Groundwater areas which are not defined as Groundwater Management Units and do not have a defined Permissible Consumptive Volume.</w:t>
            </w:r>
          </w:p>
        </w:tc>
      </w:tr>
      <w:tr w:rsidR="0048762C" w:rsidRPr="00965B70" w14:paraId="484CAC3D" w14:textId="77777777" w:rsidTr="0048762C">
        <w:tc>
          <w:tcPr>
            <w:tcW w:w="1614" w:type="pct"/>
          </w:tcPr>
          <w:p w14:paraId="71BFD451" w14:textId="77777777" w:rsidR="0048762C" w:rsidRPr="00965B70" w:rsidRDefault="0048762C" w:rsidP="0048762C">
            <w:pPr>
              <w:pStyle w:val="BodyText"/>
              <w:spacing w:after="0"/>
              <w:rPr>
                <w:lang w:val="en-AU"/>
              </w:rPr>
            </w:pPr>
            <w:r w:rsidRPr="00965B70">
              <w:rPr>
                <w:lang w:val="en-AU"/>
              </w:rPr>
              <w:t>Use (water)</w:t>
            </w:r>
          </w:p>
        </w:tc>
        <w:tc>
          <w:tcPr>
            <w:tcW w:w="3386" w:type="pct"/>
          </w:tcPr>
          <w:p w14:paraId="67411EEF" w14:textId="77777777" w:rsidR="0048762C" w:rsidRPr="00965B70" w:rsidRDefault="0048762C" w:rsidP="0048762C">
            <w:pPr>
              <w:pStyle w:val="BodyText"/>
              <w:spacing w:after="0"/>
              <w:rPr>
                <w:lang w:val="en-AU"/>
              </w:rPr>
            </w:pPr>
            <w:r w:rsidRPr="00965B70">
              <w:rPr>
                <w:lang w:val="en-AU"/>
              </w:rPr>
              <w:t>The volume of water taken (such as groundwater extracted) for consumptive use.</w:t>
            </w:r>
          </w:p>
        </w:tc>
      </w:tr>
      <w:tr w:rsidR="0048762C" w:rsidRPr="00965B70" w14:paraId="0282298B" w14:textId="77777777" w:rsidTr="0048762C">
        <w:tc>
          <w:tcPr>
            <w:tcW w:w="1614" w:type="pct"/>
          </w:tcPr>
          <w:p w14:paraId="40786BD7" w14:textId="77777777" w:rsidR="0048762C" w:rsidRPr="00965B70" w:rsidRDefault="0048762C" w:rsidP="0048762C">
            <w:pPr>
              <w:pStyle w:val="BodyText"/>
              <w:spacing w:after="0"/>
              <w:rPr>
                <w:lang w:val="en-AU"/>
              </w:rPr>
            </w:pPr>
            <w:r w:rsidRPr="00965B70">
              <w:rPr>
                <w:lang w:val="en-AU"/>
              </w:rPr>
              <w:t>Water Supply Protection Area (WSPA)</w:t>
            </w:r>
          </w:p>
        </w:tc>
        <w:tc>
          <w:tcPr>
            <w:tcW w:w="3386" w:type="pct"/>
          </w:tcPr>
          <w:p w14:paraId="66CDDC1D" w14:textId="77777777" w:rsidR="0048762C" w:rsidRPr="00965B70" w:rsidRDefault="0048762C" w:rsidP="0048762C">
            <w:pPr>
              <w:pStyle w:val="BodyText"/>
              <w:spacing w:after="0"/>
              <w:rPr>
                <w:lang w:val="en-AU"/>
              </w:rPr>
            </w:pPr>
            <w:r w:rsidRPr="00965B70">
              <w:rPr>
                <w:lang w:val="en-AU"/>
              </w:rPr>
              <w:t xml:space="preserve">An area declared under section 27 the Victorian </w:t>
            </w:r>
            <w:r w:rsidRPr="00965B70">
              <w:rPr>
                <w:i/>
                <w:lang w:val="en-AU"/>
              </w:rPr>
              <w:t>Water Act 1989</w:t>
            </w:r>
            <w:r w:rsidRPr="00965B70">
              <w:rPr>
                <w:lang w:val="en-AU"/>
              </w:rPr>
              <w:t> to protect the groundwater or surface water resources or both through the development of a statutory management plan.</w:t>
            </w:r>
          </w:p>
        </w:tc>
      </w:tr>
      <w:tr w:rsidR="0048762C" w:rsidRPr="00965B70" w14:paraId="7EFD98B0" w14:textId="77777777" w:rsidTr="0048762C">
        <w:tc>
          <w:tcPr>
            <w:tcW w:w="1614" w:type="pct"/>
          </w:tcPr>
          <w:p w14:paraId="56806747" w14:textId="77777777" w:rsidR="0048762C" w:rsidRPr="00965B70" w:rsidRDefault="0048762C" w:rsidP="0048762C">
            <w:pPr>
              <w:pStyle w:val="BodyText"/>
              <w:spacing w:after="0"/>
              <w:rPr>
                <w:lang w:val="en-AU"/>
              </w:rPr>
            </w:pPr>
            <w:r w:rsidRPr="00965B70">
              <w:rPr>
                <w:lang w:val="en-AU"/>
              </w:rPr>
              <w:t>Waterway</w:t>
            </w:r>
          </w:p>
        </w:tc>
        <w:tc>
          <w:tcPr>
            <w:tcW w:w="3386" w:type="pct"/>
          </w:tcPr>
          <w:p w14:paraId="1706E7F6" w14:textId="77777777" w:rsidR="0048762C" w:rsidRPr="00965B70" w:rsidRDefault="0048762C" w:rsidP="0048762C">
            <w:pPr>
              <w:pStyle w:val="BodyText"/>
              <w:spacing w:after="0"/>
              <w:rPr>
                <w:lang w:val="en-AU"/>
              </w:rPr>
            </w:pPr>
            <w:r w:rsidRPr="00965B70">
              <w:rPr>
                <w:lang w:val="en-AU"/>
              </w:rPr>
              <w:t>A river, creek, stream or watercourse, a natural channel in which water regularly flows (whether the flow is continuous or not), a lake lagoon, swamp, or marsh.</w:t>
            </w:r>
          </w:p>
        </w:tc>
      </w:tr>
    </w:tbl>
    <w:p w14:paraId="1CB4556A" w14:textId="1331B81F" w:rsidR="00806A08" w:rsidRPr="00965B70" w:rsidRDefault="00806A08" w:rsidP="00806A08">
      <w:pPr>
        <w:pStyle w:val="BodyText"/>
        <w:rPr>
          <w:lang w:val="en-AU"/>
        </w:rPr>
      </w:pPr>
    </w:p>
    <w:p w14:paraId="0F9A532A" w14:textId="77777777" w:rsidR="00965B70" w:rsidRDefault="006D2FFD" w:rsidP="00E63E6D">
      <w:pPr>
        <w:pStyle w:val="Heading1"/>
        <w:pageBreakBefore/>
        <w:numPr>
          <w:ilvl w:val="0"/>
          <w:numId w:val="0"/>
        </w:numPr>
        <w:rPr>
          <w:lang w:val="en-AU"/>
        </w:rPr>
      </w:pPr>
      <w:bookmarkStart w:id="7" w:name="_Toc219975409"/>
      <w:r w:rsidRPr="00965B70">
        <w:rPr>
          <w:lang w:val="en-AU"/>
        </w:rPr>
        <w:lastRenderedPageBreak/>
        <w:t>Who should read this report?</w:t>
      </w:r>
      <w:bookmarkEnd w:id="7"/>
    </w:p>
    <w:p w14:paraId="32181D0B" w14:textId="6DDE98D7" w:rsidR="006D2FFD" w:rsidRPr="00965B70" w:rsidRDefault="006D2FFD" w:rsidP="006D2FFD">
      <w:pPr>
        <w:pStyle w:val="BodyText"/>
        <w:rPr>
          <w:lang w:val="en-AU"/>
        </w:rPr>
      </w:pPr>
      <w:r w:rsidRPr="00965B70">
        <w:rPr>
          <w:lang w:val="en-AU"/>
        </w:rPr>
        <w:t>This report is designed to provide a high-level summary of the Sustainable Yield Assessment. Whether you are a water resource manager, a groundwater user, or simply interested in water sustainability, this report will help you understand key findings of the Sustainable Yield Assessment.</w:t>
      </w:r>
    </w:p>
    <w:p w14:paraId="621EF521" w14:textId="26CF9E74" w:rsidR="006D2FFD" w:rsidRPr="00965B70" w:rsidRDefault="006D2FFD" w:rsidP="006D2FFD">
      <w:pPr>
        <w:pStyle w:val="ListBullet"/>
        <w:rPr>
          <w:lang w:val="en-AU"/>
        </w:rPr>
      </w:pPr>
      <w:r w:rsidRPr="00965B70">
        <w:rPr>
          <w:lang w:val="en-AU"/>
        </w:rPr>
        <w:t>Water resource managers – Gain insights into sustainable yield estimates, risk classifications, and how they can guide groundwater management decisions.</w:t>
      </w:r>
    </w:p>
    <w:p w14:paraId="58AECD6D" w14:textId="473E96E4" w:rsidR="006D2FFD" w:rsidRPr="00965B70" w:rsidRDefault="006D2FFD" w:rsidP="006D2FFD">
      <w:pPr>
        <w:pStyle w:val="ListBullet"/>
        <w:rPr>
          <w:lang w:val="en-AU"/>
        </w:rPr>
      </w:pPr>
      <w:r w:rsidRPr="00965B70">
        <w:rPr>
          <w:lang w:val="en-AU"/>
        </w:rPr>
        <w:t>Groundwater users – Understand how sustainable yield volumes may affect groundwater availability and future groundwater use.</w:t>
      </w:r>
    </w:p>
    <w:p w14:paraId="450BB1A7" w14:textId="472F77E1" w:rsidR="006D2FFD" w:rsidRPr="00965B70" w:rsidRDefault="006D2FFD" w:rsidP="006D2FFD">
      <w:pPr>
        <w:pStyle w:val="LastBulletinList"/>
        <w:rPr>
          <w:lang w:val="en-AU"/>
        </w:rPr>
      </w:pPr>
      <w:r w:rsidRPr="00965B70">
        <w:rPr>
          <w:lang w:val="en-AU"/>
        </w:rPr>
        <w:t>Community members – Discover how groundwater sustainability is assessed and what it means for water resources and ecosystems.</w:t>
      </w:r>
    </w:p>
    <w:p w14:paraId="67187AE1" w14:textId="6CAB3273" w:rsidR="006D2FFD" w:rsidRPr="00965B70" w:rsidRDefault="006D2FFD" w:rsidP="006D2FFD">
      <w:pPr>
        <w:pStyle w:val="BodyText"/>
        <w:rPr>
          <w:lang w:val="en-AU"/>
        </w:rPr>
      </w:pPr>
      <w:r w:rsidRPr="00965B70">
        <w:rPr>
          <w:lang w:val="en-AU"/>
        </w:rPr>
        <w:t>For more details on how to engage with groundwater management decisions, see the “Get Involved” section.</w:t>
      </w:r>
    </w:p>
    <w:p w14:paraId="4407A731" w14:textId="77777777" w:rsidR="006D2FFD" w:rsidRPr="00965B70" w:rsidRDefault="006D2FFD" w:rsidP="00E63E6D">
      <w:pPr>
        <w:pStyle w:val="Heading1"/>
        <w:pageBreakBefore/>
        <w:numPr>
          <w:ilvl w:val="0"/>
          <w:numId w:val="0"/>
        </w:numPr>
        <w:rPr>
          <w:lang w:val="en-AU"/>
        </w:rPr>
      </w:pPr>
      <w:bookmarkStart w:id="8" w:name="_Toc219895315"/>
      <w:bookmarkStart w:id="9" w:name="_Toc219975410"/>
      <w:proofErr w:type="gramStart"/>
      <w:r w:rsidRPr="00965B70">
        <w:rPr>
          <w:lang w:val="en-AU"/>
        </w:rPr>
        <w:lastRenderedPageBreak/>
        <w:t>At a glance</w:t>
      </w:r>
      <w:bookmarkEnd w:id="8"/>
      <w:bookmarkEnd w:id="9"/>
      <w:proofErr w:type="gramEnd"/>
    </w:p>
    <w:p w14:paraId="74A5E720" w14:textId="77777777" w:rsidR="006D2FFD" w:rsidRPr="003B3463" w:rsidRDefault="006D2FFD" w:rsidP="00E63E6D">
      <w:pPr>
        <w:pStyle w:val="Heading2"/>
        <w:numPr>
          <w:ilvl w:val="0"/>
          <w:numId w:val="0"/>
        </w:numPr>
        <w:rPr>
          <w:sz w:val="32"/>
          <w:szCs w:val="34"/>
          <w:lang w:val="en-AU"/>
        </w:rPr>
      </w:pPr>
      <w:bookmarkStart w:id="10" w:name="_Toc181365405"/>
      <w:bookmarkStart w:id="11" w:name="_Toc219895316"/>
      <w:bookmarkStart w:id="12" w:name="_Toc219975411"/>
      <w:r w:rsidRPr="003B3463">
        <w:rPr>
          <w:sz w:val="32"/>
          <w:szCs w:val="34"/>
          <w:lang w:val="en-AU"/>
        </w:rPr>
        <w:t>About Groundwater Management 2030</w:t>
      </w:r>
      <w:bookmarkEnd w:id="10"/>
      <w:bookmarkEnd w:id="11"/>
      <w:bookmarkEnd w:id="12"/>
    </w:p>
    <w:p w14:paraId="5FF3266E" w14:textId="77777777" w:rsidR="00965B70" w:rsidRDefault="006D2FFD" w:rsidP="006D2FFD">
      <w:pPr>
        <w:pStyle w:val="BodyText"/>
        <w:rPr>
          <w:lang w:val="en-AU"/>
        </w:rPr>
      </w:pPr>
      <w:r w:rsidRPr="00965B70">
        <w:rPr>
          <w:lang w:val="en-AU"/>
        </w:rPr>
        <w:t>Groundwater Management 2030 (GM2030) is a statement of priorities to 2030 for the Department of Energy, Environment and Climate Action (DEECA) and the rural water corporations (Lower Murray Water, Goulburn–Murray Water, Grampians Wimmera Mallee Water and Southern Rural Water). It is the Victorian water sector’s commitment to strong groundwater management that can adjust to meet opportunities and challenges as water use and industry transform in the future.</w:t>
      </w:r>
    </w:p>
    <w:p w14:paraId="00D1C656" w14:textId="2E752AAE" w:rsidR="006D2FFD" w:rsidRPr="00965B70" w:rsidRDefault="006D2FFD" w:rsidP="006D2FFD">
      <w:pPr>
        <w:pStyle w:val="Normalbeforebullets"/>
      </w:pPr>
      <w:r w:rsidRPr="00965B70">
        <w:t>GM2030 aims to deliver three outcomes:</w:t>
      </w:r>
    </w:p>
    <w:p w14:paraId="0AB28732" w14:textId="77777777" w:rsidR="006D2FFD" w:rsidRPr="00965B70" w:rsidRDefault="006D2FFD" w:rsidP="006D2FFD">
      <w:pPr>
        <w:pStyle w:val="ListBullet"/>
        <w:rPr>
          <w:lang w:val="en-AU"/>
        </w:rPr>
      </w:pPr>
      <w:r w:rsidRPr="00965B70">
        <w:rPr>
          <w:lang w:val="en-AU"/>
        </w:rPr>
        <w:t>an improved, shared understanding of groundwater and its uses for evidence-based management</w:t>
      </w:r>
    </w:p>
    <w:p w14:paraId="7DF9343F" w14:textId="77777777" w:rsidR="006D2FFD" w:rsidRPr="00965B70" w:rsidRDefault="006D2FFD" w:rsidP="006D2FFD">
      <w:pPr>
        <w:pStyle w:val="ListBullet"/>
        <w:rPr>
          <w:lang w:val="en-AU"/>
        </w:rPr>
      </w:pPr>
      <w:r w:rsidRPr="00965B70">
        <w:rPr>
          <w:lang w:val="en-AU"/>
        </w:rPr>
        <w:t>modern tools in the statewide framework for flexible and cost-effective groundwater management</w:t>
      </w:r>
    </w:p>
    <w:p w14:paraId="5C564B3C" w14:textId="77777777" w:rsidR="006D2FFD" w:rsidRPr="00965B70" w:rsidRDefault="006D2FFD" w:rsidP="006D2FFD">
      <w:pPr>
        <w:pStyle w:val="LastBulletinList"/>
        <w:rPr>
          <w:lang w:val="en-AU"/>
        </w:rPr>
      </w:pPr>
      <w:r w:rsidRPr="00965B70">
        <w:rPr>
          <w:lang w:val="en-AU"/>
        </w:rPr>
        <w:t>streamlined and effective licensing, trade rules and controls on groundwater use that support changing water uses.</w:t>
      </w:r>
    </w:p>
    <w:p w14:paraId="75912611" w14:textId="77777777" w:rsidR="006D2FFD" w:rsidRPr="00965B70" w:rsidRDefault="006D2FFD" w:rsidP="006D2FFD">
      <w:pPr>
        <w:pStyle w:val="BodyText"/>
        <w:rPr>
          <w:lang w:val="en-AU"/>
        </w:rPr>
      </w:pPr>
      <w:r w:rsidRPr="00965B70">
        <w:rPr>
          <w:lang w:val="en-AU"/>
        </w:rPr>
        <w:t xml:space="preserve">The Sustainable Yield Assessment is Priority Area 1 under GM2030. Priority Area 1 under GM2030 states “Water availability and limits on take: DEECA working with the rural water corporations will carry out a state-wide technical assessment and review of the limits of take under licences”. The Sustainable Yield Assessment </w:t>
      </w:r>
      <w:proofErr w:type="gramStart"/>
      <w:r w:rsidRPr="00965B70">
        <w:rPr>
          <w:lang w:val="en-AU"/>
        </w:rPr>
        <w:t>addresses</w:t>
      </w:r>
      <w:proofErr w:type="gramEnd"/>
      <w:r w:rsidRPr="00965B70">
        <w:rPr>
          <w:lang w:val="en-AU"/>
        </w:rPr>
        <w:t xml:space="preserve"> Priority Area 1, and the information gained will inform broader groundwater reform initiatives under the GM2030”.</w:t>
      </w:r>
    </w:p>
    <w:p w14:paraId="5C6E623F" w14:textId="77777777" w:rsidR="006D2FFD" w:rsidRPr="003B3463" w:rsidRDefault="006D2FFD" w:rsidP="00E63E6D">
      <w:pPr>
        <w:pStyle w:val="Heading2"/>
        <w:numPr>
          <w:ilvl w:val="0"/>
          <w:numId w:val="0"/>
        </w:numPr>
        <w:rPr>
          <w:sz w:val="32"/>
          <w:szCs w:val="34"/>
          <w:lang w:val="en-AU"/>
        </w:rPr>
      </w:pPr>
      <w:bookmarkStart w:id="13" w:name="_Toc181365406"/>
      <w:bookmarkStart w:id="14" w:name="_Toc219895317"/>
      <w:bookmarkStart w:id="15" w:name="_Toc219975412"/>
      <w:r w:rsidRPr="003B3463">
        <w:rPr>
          <w:sz w:val="32"/>
          <w:szCs w:val="34"/>
          <w:lang w:val="en-AU"/>
        </w:rPr>
        <w:lastRenderedPageBreak/>
        <w:t>Groundwater sustainable yields</w:t>
      </w:r>
      <w:bookmarkEnd w:id="13"/>
      <w:bookmarkEnd w:id="14"/>
      <w:bookmarkEnd w:id="15"/>
    </w:p>
    <w:p w14:paraId="079285A9" w14:textId="77777777" w:rsidR="00965B70" w:rsidRDefault="006D2FFD" w:rsidP="006D2FFD">
      <w:pPr>
        <w:pStyle w:val="BodyText"/>
        <w:rPr>
          <w:lang w:val="en-AU"/>
        </w:rPr>
      </w:pPr>
      <w:r w:rsidRPr="00965B70">
        <w:rPr>
          <w:lang w:val="en-AU"/>
        </w:rPr>
        <w:t>The Sustainable Yield Assessment is a simple and cost-effective statewide generic method for evaluating sustainable yield volumes and their uncertainties. In areas where simple or generic methods may not be appropriate, more specific methods are to be developed.</w:t>
      </w:r>
    </w:p>
    <w:p w14:paraId="6F738E8D" w14:textId="0E164645" w:rsidR="006D2FFD" w:rsidRPr="00965B70" w:rsidRDefault="006D2FFD" w:rsidP="006D2FFD">
      <w:pPr>
        <w:pStyle w:val="BodyText"/>
        <w:rPr>
          <w:lang w:val="en-AU"/>
        </w:rPr>
      </w:pPr>
      <w:r w:rsidRPr="00965B70">
        <w:rPr>
          <w:lang w:val="en-AU"/>
        </w:rPr>
        <w:t>It provides a consistent way to assess the risk from licensed groundwater extraction across the state, which means we can focus our efforts where they matter most, checking whether current management is working and, where needed, exploring other ways to manage the risk.</w:t>
      </w:r>
    </w:p>
    <w:p w14:paraId="73AB33E0" w14:textId="77777777" w:rsidR="00965B70" w:rsidRDefault="006D2FFD" w:rsidP="006D2FFD">
      <w:pPr>
        <w:pStyle w:val="BodyText"/>
        <w:rPr>
          <w:lang w:val="en-AU"/>
        </w:rPr>
      </w:pPr>
      <w:r w:rsidRPr="00965B70">
        <w:rPr>
          <w:lang w:val="en-AU"/>
        </w:rPr>
        <w:t xml:space="preserve">A groundwater sustainable yield is defined as “the groundwater extraction regime measured over a 20-year planning timeframe, allowing for acceptable levels of impact that protect dependent values”. </w:t>
      </w:r>
      <w:proofErr w:type="gramStart"/>
      <w:r w:rsidRPr="00965B70">
        <w:rPr>
          <w:lang w:val="en-AU"/>
        </w:rPr>
        <w:t>For the purpose of</w:t>
      </w:r>
      <w:proofErr w:type="gramEnd"/>
      <w:r w:rsidRPr="00965B70">
        <w:rPr>
          <w:lang w:val="en-AU"/>
        </w:rPr>
        <w:t xml:space="preserve"> this assessment this is defined as the change in regional groundwater levels since the take of groundwater (development level) and is 10m for confined aquifers and 2m for unconfined aquifers. These are called sustainable yield metrics.</w:t>
      </w:r>
    </w:p>
    <w:p w14:paraId="243BDED4" w14:textId="77777777" w:rsidR="00965B70" w:rsidRDefault="006D2FFD" w:rsidP="006D2FFD">
      <w:pPr>
        <w:pStyle w:val="BodyText"/>
        <w:rPr>
          <w:lang w:val="en-AU"/>
        </w:rPr>
      </w:pPr>
      <w:r w:rsidRPr="00965B70">
        <w:rPr>
          <w:lang w:val="en-AU"/>
        </w:rPr>
        <w:t>The Sustainable Yield Assessment was conducted statewide – over 1,000 areas were assessed for sustainable yield, considering both confined and unconfined aquifers.</w:t>
      </w:r>
    </w:p>
    <w:p w14:paraId="60BE82BD" w14:textId="513848CD" w:rsidR="00965B70" w:rsidRDefault="006D2FFD" w:rsidP="006D2FFD">
      <w:pPr>
        <w:pStyle w:val="BodyText"/>
        <w:rPr>
          <w:lang w:val="en-AU"/>
        </w:rPr>
      </w:pPr>
      <w:r w:rsidRPr="00965B70">
        <w:rPr>
          <w:lang w:val="en-AU"/>
        </w:rPr>
        <w:t>Most groundwater use (90%) occurs in Groundwater Management Units (GMUs) as opposed to Unincorporated Areas (UAs) (10%). GMUs have defined caps on the total licensed entitlements that can be issued. Statewide usage is distributed 60% in unconfined aquifer GMUs and 40% in confined aquifer GMUs.</w:t>
      </w:r>
      <w:r w:rsidR="00F12164">
        <w:rPr>
          <w:lang w:val="en-AU"/>
        </w:rPr>
        <w:t xml:space="preserve"> </w:t>
      </w:r>
      <w:r w:rsidR="00F12164">
        <w:t>All GMUs were assessed for a sustainable yield and some GMUs were assessed at a subzone level. The sustainable yield estimates were then compared to the volume of licensed entitlements, the cap on licensed entitlements and the average use in each GMU/GMU zone.</w:t>
      </w:r>
    </w:p>
    <w:p w14:paraId="3252C9D5" w14:textId="0095F098" w:rsidR="00965B70" w:rsidRDefault="006D2FFD" w:rsidP="006D2FFD">
      <w:pPr>
        <w:pStyle w:val="BodyText"/>
        <w:rPr>
          <w:lang w:val="en-AU"/>
        </w:rPr>
      </w:pPr>
      <w:r w:rsidRPr="00965B70">
        <w:rPr>
          <w:lang w:val="en-AU"/>
        </w:rPr>
        <w:lastRenderedPageBreak/>
        <w:t>Sustainable yield volumes range from 120 ML/yr to 43,500 ML/yr, with an average of 8,600 ML/yr across all GMUs</w:t>
      </w:r>
      <w:r w:rsidR="009C2CD5">
        <w:rPr>
          <w:lang w:val="en-AU"/>
        </w:rPr>
        <w:t>/GMU Zones</w:t>
      </w:r>
      <w:r w:rsidRPr="00965B70">
        <w:rPr>
          <w:lang w:val="en-AU"/>
        </w:rPr>
        <w:t>. Groundwater use (average use from 2016 to 2021) in most of the GMUs</w:t>
      </w:r>
      <w:r w:rsidR="00621677">
        <w:rPr>
          <w:lang w:val="en-AU"/>
        </w:rPr>
        <w:t>/GMU Zones</w:t>
      </w:r>
      <w:r w:rsidRPr="00965B70">
        <w:rPr>
          <w:lang w:val="en-AU"/>
        </w:rPr>
        <w:t xml:space="preserve"> across Victoria is less than the estimated sustainable yield. Regional groundwater level decline associated with that use are within the adopted sustainable yield metrics.</w:t>
      </w:r>
    </w:p>
    <w:p w14:paraId="031BC37F" w14:textId="5970366F" w:rsidR="006D2FFD" w:rsidRPr="00965B70" w:rsidRDefault="006D2FFD" w:rsidP="006D2FFD">
      <w:pPr>
        <w:pStyle w:val="BodyText"/>
        <w:rPr>
          <w:lang w:val="en-AU"/>
        </w:rPr>
      </w:pPr>
      <w:r w:rsidRPr="00965B70">
        <w:rPr>
          <w:lang w:val="en-AU"/>
        </w:rPr>
        <w:t xml:space="preserve">In </w:t>
      </w:r>
      <w:r w:rsidR="0015223D">
        <w:rPr>
          <w:lang w:val="en-AU"/>
        </w:rPr>
        <w:t>six</w:t>
      </w:r>
      <w:r w:rsidRPr="00965B70">
        <w:rPr>
          <w:lang w:val="en-AU"/>
        </w:rPr>
        <w:t xml:space="preserve"> GMUs/GMU zones, groundwater use exceeds the sustainable yield volumes. Three of these areas have defined “groundwater level restriction triggers” in place to manage groundwater levels sustainably, and the remaining three have implemented restrictions on occasions in recent years, based on assessment at the time. A review of the triggers has not been undertaken but is recommended to ensure these triggers are appropriate.</w:t>
      </w:r>
    </w:p>
    <w:p w14:paraId="5B278B91" w14:textId="77777777" w:rsidR="006D2FFD" w:rsidRPr="00965B70" w:rsidRDefault="006D2FFD" w:rsidP="006D2FFD">
      <w:pPr>
        <w:pStyle w:val="BodyText"/>
        <w:rPr>
          <w:lang w:val="en-AU"/>
        </w:rPr>
      </w:pPr>
      <w:r w:rsidRPr="00965B70">
        <w:rPr>
          <w:lang w:val="en-AU"/>
        </w:rPr>
        <w:t>Climate change does not directly affect the future availability and sustainability of groundwater in confined aquifers. However, unconfined aquifers may be significantly influenced, with the range of projected changes in sustainable yields spanning up to a 50% decrease (drier climate) to more than 200% increase (wetter climate) based on plausible scenarios of future climate.</w:t>
      </w:r>
    </w:p>
    <w:p w14:paraId="471D1BDF" w14:textId="11833F8E" w:rsidR="00965B70" w:rsidRDefault="006D2FFD" w:rsidP="006D2FFD">
      <w:pPr>
        <w:pStyle w:val="BodyText"/>
        <w:rPr>
          <w:lang w:val="en-AU"/>
        </w:rPr>
      </w:pPr>
      <w:r w:rsidRPr="00965B70">
        <w:rPr>
          <w:lang w:val="en-AU"/>
        </w:rPr>
        <w:t xml:space="preserve">Licence entitlement volumes are greater than the sustainable yield in </w:t>
      </w:r>
      <w:r w:rsidR="0015223D">
        <w:rPr>
          <w:lang w:val="en-AU"/>
        </w:rPr>
        <w:t>27</w:t>
      </w:r>
      <w:r w:rsidRPr="00965B70">
        <w:rPr>
          <w:lang w:val="en-AU"/>
        </w:rPr>
        <w:t xml:space="preserve"> GMUs/GMU zones, and the existing licence volume caps exceed the sustainable yield in </w:t>
      </w:r>
      <w:r w:rsidR="0015223D">
        <w:rPr>
          <w:lang w:val="en-AU"/>
        </w:rPr>
        <w:t>39</w:t>
      </w:r>
      <w:r w:rsidRPr="00965B70">
        <w:rPr>
          <w:lang w:val="en-AU"/>
        </w:rPr>
        <w:t xml:space="preserve"> GMUs/GMU zones. Currently, groundwater use is approximately 35% of licensed entitlements, indicating the potential for increased use to occur. This may occur through licence holders increasing take up to 100% of their entitlement and/or trading the unused part of their entitlements. Therefore, the future availability and sustainability of groundwater could be at risk if use increases. The future demand for groundwater use has not been assessed in the Sustainable Yield Assessment.</w:t>
      </w:r>
    </w:p>
    <w:p w14:paraId="156CC86D" w14:textId="6211274A" w:rsidR="006D2FFD" w:rsidRPr="00965B70" w:rsidRDefault="006D2FFD" w:rsidP="006D2FFD">
      <w:pPr>
        <w:pStyle w:val="BodyText"/>
        <w:rPr>
          <w:lang w:val="en-AU"/>
        </w:rPr>
      </w:pPr>
      <w:r w:rsidRPr="00965B70">
        <w:rPr>
          <w:lang w:val="en-AU"/>
        </w:rPr>
        <w:t xml:space="preserve">Caps manage the volume of entitlement that is allocated in an area and pre-defined groundwater level restriction triggers have been put in place in some areas to manage use </w:t>
      </w:r>
      <w:r w:rsidRPr="00965B70">
        <w:rPr>
          <w:lang w:val="en-AU"/>
        </w:rPr>
        <w:lastRenderedPageBreak/>
        <w:t>in a particular year to ensure groundwater levels are sustainable. Fifty-nine of the sixty-six GMUs/GMU zones do not have pre-defined groundwater level restriction triggers, highlighting a gap in the current limits of take.</w:t>
      </w:r>
      <w:r w:rsidR="00BC76DB" w:rsidRPr="00965B70">
        <w:rPr>
          <w:lang w:val="en-AU"/>
        </w:rPr>
        <w:t xml:space="preserve"> </w:t>
      </w:r>
      <w:r w:rsidRPr="00965B70">
        <w:rPr>
          <w:lang w:val="en-AU"/>
        </w:rPr>
        <w:t>Moreover, in unincorporated areas, use could increase through issuing new entitlements as no caps are currently in place.</w:t>
      </w:r>
    </w:p>
    <w:p w14:paraId="0951C5E8" w14:textId="77777777" w:rsidR="006D2FFD" w:rsidRPr="00965B70" w:rsidRDefault="006D2FFD" w:rsidP="006D2FFD">
      <w:pPr>
        <w:pStyle w:val="BodyText"/>
        <w:rPr>
          <w:lang w:val="en-AU"/>
        </w:rPr>
      </w:pPr>
      <w:r w:rsidRPr="00965B70">
        <w:rPr>
          <w:lang w:val="en-AU"/>
        </w:rPr>
        <w:t>The assessment did not assign study areas based on salinity which ranges up to 35,000 mg/L total dissolved solids. While sustainable yield volumes could give the impression that more groundwater is available for use, salinity is a major determinant of usability of groundwater and salinisation of existing usable aquifers can be caused by excessive use.</w:t>
      </w:r>
    </w:p>
    <w:p w14:paraId="3CA24A37" w14:textId="77777777" w:rsidR="00965B70" w:rsidRDefault="006D2FFD" w:rsidP="006D2FFD">
      <w:pPr>
        <w:pStyle w:val="Normalbeforebullets"/>
      </w:pPr>
      <w:r w:rsidRPr="00965B70">
        <w:t>Further work may be required to:</w:t>
      </w:r>
    </w:p>
    <w:p w14:paraId="34C0E54D" w14:textId="77777777" w:rsidR="00965B70" w:rsidRDefault="006D2FFD" w:rsidP="006D2FFD">
      <w:pPr>
        <w:pStyle w:val="ListBullet"/>
        <w:rPr>
          <w:lang w:val="en-AU"/>
        </w:rPr>
      </w:pPr>
      <w:r w:rsidRPr="00965B70">
        <w:rPr>
          <w:lang w:val="en-AU"/>
        </w:rPr>
        <w:t>classify groundwater resources and sustainable yield study areas according to salinity ranges</w:t>
      </w:r>
    </w:p>
    <w:p w14:paraId="42A4A157" w14:textId="3905F626" w:rsidR="006D2FFD" w:rsidRPr="00965B70" w:rsidRDefault="006D2FFD" w:rsidP="006D2FFD">
      <w:pPr>
        <w:pStyle w:val="ListBullet"/>
        <w:rPr>
          <w:lang w:val="en-AU"/>
        </w:rPr>
      </w:pPr>
      <w:r w:rsidRPr="00965B70">
        <w:rPr>
          <w:lang w:val="en-AU"/>
        </w:rPr>
        <w:t>review the effectiveness of existing groundwater level restriction triggers against their objectives to inform improved future management</w:t>
      </w:r>
    </w:p>
    <w:p w14:paraId="40CE64CA" w14:textId="77777777" w:rsidR="006D2FFD" w:rsidRPr="00965B70" w:rsidRDefault="006D2FFD" w:rsidP="00C548EB">
      <w:pPr>
        <w:pStyle w:val="LastBulletinList"/>
        <w:spacing w:after="360"/>
        <w:rPr>
          <w:lang w:val="en-AU"/>
        </w:rPr>
      </w:pPr>
      <w:r w:rsidRPr="00965B70">
        <w:rPr>
          <w:lang w:val="en-AU"/>
        </w:rPr>
        <w:t>undertake specific studies where sustainable yield estimates are under review.</w:t>
      </w:r>
    </w:p>
    <w:p w14:paraId="48FD7F96" w14:textId="77777777" w:rsidR="006D2FFD" w:rsidRPr="00965B70" w:rsidRDefault="006D2FFD" w:rsidP="00C548EB">
      <w:pPr>
        <w:pStyle w:val="Heading3"/>
        <w:spacing w:after="360"/>
        <w:rPr>
          <w:lang w:val="en-AU"/>
        </w:rPr>
      </w:pPr>
      <w:bookmarkStart w:id="16" w:name="_Toc181365407"/>
      <w:bookmarkStart w:id="17" w:name="_Toc219895318"/>
      <w:r w:rsidRPr="00965B70">
        <w:rPr>
          <w:lang w:val="en-AU"/>
        </w:rPr>
        <w:t>Further resources</w:t>
      </w:r>
      <w:bookmarkEnd w:id="16"/>
      <w:bookmarkEnd w:id="17"/>
    </w:p>
    <w:p w14:paraId="3CF1D2C4" w14:textId="28FCF0AB" w:rsidR="00965B70" w:rsidRDefault="006D2FFD" w:rsidP="006D2FFD">
      <w:pPr>
        <w:pStyle w:val="BodyText"/>
        <w:rPr>
          <w:lang w:val="en-AU"/>
        </w:rPr>
      </w:pPr>
      <w:r w:rsidRPr="00965B70">
        <w:rPr>
          <w:lang w:val="en-AU"/>
        </w:rPr>
        <w:t xml:space="preserve">Two companion reports on the Sustainable Yield Assessment can be found on the </w:t>
      </w:r>
      <w:hyperlink r:id="rId17" w:tooltip="Hyperlink to the  Groundwater Management 2030 website" w:history="1">
        <w:r w:rsidRPr="00965B70">
          <w:rPr>
            <w:rStyle w:val="Hyperlink"/>
            <w:lang w:val="en-AU"/>
          </w:rPr>
          <w:t>Groundwater Management 2030 website</w:t>
        </w:r>
      </w:hyperlink>
      <w:r w:rsidRPr="00965B70">
        <w:rPr>
          <w:lang w:val="en-AU"/>
        </w:rPr>
        <w:t xml:space="preserve">. The first report, </w:t>
      </w:r>
      <w:hyperlink r:id="rId18" w:tooltip="Hyperlink to the Methodology Report at the Water Victoria website" w:history="1">
        <w:r w:rsidRPr="00965B70">
          <w:rPr>
            <w:rStyle w:val="Hyperlink"/>
            <w:i/>
            <w:iCs/>
            <w:lang w:val="en-AU"/>
          </w:rPr>
          <w:t>the Methodology Report</w:t>
        </w:r>
      </w:hyperlink>
      <w:r w:rsidR="004173D3" w:rsidRPr="004173D3">
        <w:rPr>
          <w:rStyle w:val="FootnoteReference"/>
          <w:u w:color="0000FF"/>
          <w:lang w:val="en-AU"/>
        </w:rPr>
        <w:footnoteReference w:id="1"/>
      </w:r>
      <w:r w:rsidRPr="00965B70">
        <w:rPr>
          <w:lang w:val="en-AU"/>
        </w:rPr>
        <w:t>, provides the technical basis of the method, including how the sustainable yield volumes are estimated. The technical assessment provides a broader picture to support the conclusions discussed in this report.</w:t>
      </w:r>
    </w:p>
    <w:p w14:paraId="6ACE5996" w14:textId="0F1E3D26" w:rsidR="006D2FFD" w:rsidRPr="00965B70" w:rsidRDefault="006D2FFD" w:rsidP="00925264">
      <w:pPr>
        <w:pStyle w:val="BodyText"/>
        <w:ind w:right="-143"/>
        <w:rPr>
          <w:lang w:val="en-AU"/>
        </w:rPr>
      </w:pPr>
      <w:r w:rsidRPr="00965B70">
        <w:rPr>
          <w:lang w:val="en-AU"/>
        </w:rPr>
        <w:lastRenderedPageBreak/>
        <w:t xml:space="preserve">The second report, </w:t>
      </w:r>
      <w:hyperlink r:id="rId19" w:tooltip="Hyperlink to the the Synthesis Results Report at the Water Victoria website" w:history="1">
        <w:r w:rsidRPr="00965B70">
          <w:rPr>
            <w:rStyle w:val="Hyperlink"/>
            <w:i/>
            <w:iCs/>
            <w:lang w:val="en-AU"/>
          </w:rPr>
          <w:t>the Synthesis Results Report</w:t>
        </w:r>
      </w:hyperlink>
      <w:r w:rsidR="00DF62B0" w:rsidRPr="00DF62B0">
        <w:rPr>
          <w:rStyle w:val="FootnoteReference"/>
          <w:lang w:val="en-AU"/>
        </w:rPr>
        <w:footnoteReference w:id="2"/>
      </w:r>
      <w:r w:rsidRPr="00965B70">
        <w:rPr>
          <w:lang w:val="en-AU"/>
        </w:rPr>
        <w:t>, details the findings for each of the 66 GMUs</w:t>
      </w:r>
      <w:r w:rsidR="00922D04">
        <w:rPr>
          <w:lang w:val="en-AU"/>
        </w:rPr>
        <w:t xml:space="preserve"> and GMU sub zones</w:t>
      </w:r>
      <w:r w:rsidRPr="00965B70">
        <w:rPr>
          <w:lang w:val="en-AU"/>
        </w:rPr>
        <w:t xml:space="preserve"> assessed in Victoria, as well as results for areas outside of the GMUs. This report is a useful reference for the specifics of how groundwater availability may change and the key risks to the resource.</w:t>
      </w:r>
    </w:p>
    <w:p w14:paraId="094FB52C" w14:textId="77777777" w:rsidR="006D2FFD" w:rsidRPr="00965B70" w:rsidRDefault="006D2FFD" w:rsidP="006D2FFD">
      <w:pPr>
        <w:pStyle w:val="BodyText"/>
        <w:rPr>
          <w:lang w:val="en-AU"/>
        </w:rPr>
      </w:pPr>
      <w:r w:rsidRPr="00965B70">
        <w:rPr>
          <w:lang w:val="en-AU"/>
        </w:rPr>
        <w:t>Together, these three reports provide a comprehensive assessment of groundwater availability and associated risks in Victoria.</w:t>
      </w:r>
    </w:p>
    <w:p w14:paraId="51E61F31" w14:textId="77777777" w:rsidR="006D2FFD" w:rsidRPr="00965B70" w:rsidRDefault="006D2FFD" w:rsidP="006D2FFD">
      <w:pPr>
        <w:pStyle w:val="Heading3"/>
        <w:rPr>
          <w:lang w:val="en-AU"/>
        </w:rPr>
      </w:pPr>
      <w:bookmarkStart w:id="18" w:name="_Toc181365408"/>
      <w:bookmarkStart w:id="19" w:name="_Toc219895319"/>
      <w:r w:rsidRPr="00965B70">
        <w:rPr>
          <w:lang w:val="en-AU"/>
        </w:rPr>
        <w:t>Next steps</w:t>
      </w:r>
      <w:bookmarkEnd w:id="18"/>
      <w:bookmarkEnd w:id="19"/>
    </w:p>
    <w:p w14:paraId="4E83A601" w14:textId="201DB70E" w:rsidR="00965B70" w:rsidRDefault="006D2FFD" w:rsidP="006D2FFD">
      <w:pPr>
        <w:pStyle w:val="BodyText"/>
        <w:rPr>
          <w:lang w:val="en-AU"/>
        </w:rPr>
      </w:pPr>
      <w:r w:rsidRPr="00965B70">
        <w:rPr>
          <w:lang w:val="en-AU"/>
        </w:rPr>
        <w:t xml:space="preserve">The outcomes of the Sustainable Yield Assessment will inform GM2030, and the work being carried out by DEECA and the rural water corporations. The Sustainable Yields Assessment has been undertaken as a foundational piece of work under </w:t>
      </w:r>
      <w:hyperlink r:id="rId20" w:tooltip="Hyperlink to the Groundwater Management 2030 website" w:history="1">
        <w:r w:rsidRPr="00965B70">
          <w:rPr>
            <w:rStyle w:val="Hyperlink"/>
            <w:lang w:val="en-AU"/>
          </w:rPr>
          <w:t>Groundwater Management 2030 (GM2030)</w:t>
        </w:r>
      </w:hyperlink>
      <w:r w:rsidRPr="00965B70">
        <w:rPr>
          <w:lang w:val="en-AU"/>
        </w:rPr>
        <w:t>. GM2030 is working towards a groundwater licensing and management framework that can adjust to meet future opportunities and challenges and make the best, sustainable use of available water in a drying climate.</w:t>
      </w:r>
    </w:p>
    <w:p w14:paraId="0C856067" w14:textId="1E37680D" w:rsidR="00965B70" w:rsidRDefault="006D2FFD" w:rsidP="006D2FFD">
      <w:pPr>
        <w:pStyle w:val="BodyText"/>
        <w:rPr>
          <w:lang w:val="en-AU"/>
        </w:rPr>
      </w:pPr>
      <w:r w:rsidRPr="00965B70">
        <w:rPr>
          <w:lang w:val="en-AU"/>
        </w:rPr>
        <w:t xml:space="preserve">The GM2030 team will work with water users, Traditional Owners, stakeholders and the community on continued implementation of GM2030. Anyone can register to be involved or receive future communication on GM2030 by emailing </w:t>
      </w:r>
      <w:hyperlink r:id="rId21" w:tooltip="Hyperlink to send an email to the Department of Energy, Environment and Climate Action regarding Groundwater Management 2030" w:history="1">
        <w:r w:rsidRPr="00965B70">
          <w:rPr>
            <w:rStyle w:val="Hyperlink"/>
            <w:lang w:val="en-AU"/>
          </w:rPr>
          <w:t>GM.2030@deeca.vic.gov.au</w:t>
        </w:r>
      </w:hyperlink>
      <w:r w:rsidRPr="00965B70">
        <w:rPr>
          <w:lang w:val="en-AU"/>
        </w:rPr>
        <w:t xml:space="preserve">. At a local level, there will be no immediate changes to local management </w:t>
      </w:r>
      <w:proofErr w:type="gramStart"/>
      <w:r w:rsidRPr="00965B70">
        <w:rPr>
          <w:lang w:val="en-AU"/>
        </w:rPr>
        <w:t>as a result of</w:t>
      </w:r>
      <w:proofErr w:type="gramEnd"/>
      <w:r w:rsidRPr="00965B70">
        <w:rPr>
          <w:lang w:val="en-AU"/>
        </w:rPr>
        <w:t xml:space="preserve"> this assessment. Rural water corporations will continue to manage groundwater in consultation with licence holders and the community. These activities include implementing and regularly reviewing management plans. Rural water corporations will use the Sustainable Yield Assessment to help prioritise and inform reviews of local management, alongside the other available information they currently consider in making management decisions.</w:t>
      </w:r>
    </w:p>
    <w:p w14:paraId="48C99F10" w14:textId="2B844630" w:rsidR="006D2FFD" w:rsidRPr="00965B70" w:rsidRDefault="006D2FFD" w:rsidP="00E63E6D">
      <w:pPr>
        <w:pStyle w:val="Heading1"/>
        <w:pageBreakBefore/>
        <w:ind w:left="357" w:hanging="357"/>
        <w:rPr>
          <w:lang w:val="en-AU"/>
        </w:rPr>
      </w:pPr>
      <w:bookmarkStart w:id="20" w:name="_Toc219895320"/>
      <w:bookmarkStart w:id="21" w:name="_Toc219975413"/>
      <w:r w:rsidRPr="00965B70">
        <w:rPr>
          <w:lang w:val="en-AU"/>
        </w:rPr>
        <w:lastRenderedPageBreak/>
        <w:t>Introduction to groundwater</w:t>
      </w:r>
      <w:bookmarkEnd w:id="20"/>
      <w:bookmarkEnd w:id="21"/>
    </w:p>
    <w:p w14:paraId="79E806EB" w14:textId="77777777" w:rsidR="006D2FFD" w:rsidRPr="00965B70" w:rsidRDefault="006D2FFD" w:rsidP="00B133FF">
      <w:pPr>
        <w:pStyle w:val="HightlightBox"/>
        <w:numPr>
          <w:ilvl w:val="0"/>
          <w:numId w:val="28"/>
        </w:numPr>
        <w:spacing w:after="360"/>
        <w:ind w:left="567" w:hanging="283"/>
        <w:rPr>
          <w:b/>
          <w:bCs/>
        </w:rPr>
      </w:pPr>
      <w:bookmarkStart w:id="22" w:name="_Hlk181021522"/>
      <w:r w:rsidRPr="00965B70" w:rsidDel="00FF3CED">
        <w:rPr>
          <w:b/>
          <w:bCs/>
        </w:rPr>
        <w:t xml:space="preserve">This is the first statewide </w:t>
      </w:r>
      <w:r w:rsidRPr="00965B70">
        <w:rPr>
          <w:b/>
          <w:bCs/>
        </w:rPr>
        <w:t>assessment of the impact of extraction on groundwater levels across all of Victoria.</w:t>
      </w:r>
    </w:p>
    <w:p w14:paraId="555E6AF8" w14:textId="77777777" w:rsidR="006D2FFD" w:rsidRPr="00965B70" w:rsidRDefault="006D2FFD" w:rsidP="00B133FF">
      <w:pPr>
        <w:pStyle w:val="HightlightBox"/>
        <w:numPr>
          <w:ilvl w:val="0"/>
          <w:numId w:val="28"/>
        </w:numPr>
        <w:ind w:left="567" w:hanging="283"/>
        <w:rPr>
          <w:b/>
          <w:bCs/>
        </w:rPr>
      </w:pPr>
      <w:r w:rsidRPr="00965B70">
        <w:rPr>
          <w:b/>
          <w:bCs/>
        </w:rPr>
        <w:t>The Sustainable Yield Assessment identifies whether there are any risks to groundwater from use or climate change. This assessment is outlined in Priority Area 1 of GM2030</w:t>
      </w:r>
      <w:bookmarkEnd w:id="22"/>
      <w:r w:rsidRPr="00965B70">
        <w:rPr>
          <w:b/>
          <w:bCs/>
        </w:rPr>
        <w:t>.</w:t>
      </w:r>
    </w:p>
    <w:p w14:paraId="223A80D7" w14:textId="77777777" w:rsidR="006D2FFD" w:rsidRPr="00965B70" w:rsidRDefault="006D2FFD" w:rsidP="00E63E6D">
      <w:pPr>
        <w:pStyle w:val="Heading2"/>
        <w:rPr>
          <w:lang w:val="en-AU"/>
        </w:rPr>
      </w:pPr>
      <w:bookmarkStart w:id="23" w:name="_Toc219895321"/>
      <w:bookmarkStart w:id="24" w:name="_Toc219975414"/>
      <w:r w:rsidRPr="00965B70">
        <w:rPr>
          <w:lang w:val="en-AU"/>
        </w:rPr>
        <w:t>About groundwater</w:t>
      </w:r>
      <w:bookmarkEnd w:id="23"/>
      <w:bookmarkEnd w:id="24"/>
    </w:p>
    <w:p w14:paraId="396D7C4A" w14:textId="77777777" w:rsidR="006D2FFD" w:rsidRPr="00965B70" w:rsidRDefault="006D2FFD" w:rsidP="006D2FFD">
      <w:pPr>
        <w:pStyle w:val="BodyText"/>
        <w:rPr>
          <w:lang w:val="en-AU"/>
        </w:rPr>
      </w:pPr>
      <w:r w:rsidRPr="00965B70">
        <w:rPr>
          <w:lang w:val="en-AU"/>
        </w:rPr>
        <w:t>Groundwater is fundamental for our economy, environment, communities and cultural values. It is consumed in many ways and is essential for drinking, cleaning, manufacturing, generating power and irrigation. Our waterways and their surrounds also rely on groundwater to support baseflows to allow them to stay healthy, provide habitats for plants and animals (including fish and birds), and be the green, cool, natural places that Victorians value so highly. Cultural sites and values of significance to Traditional Owners can also depend on groundwater.</w:t>
      </w:r>
    </w:p>
    <w:p w14:paraId="71AC437A" w14:textId="169FD07E" w:rsidR="006D2FFD" w:rsidRPr="00965B70" w:rsidRDefault="006D2FFD" w:rsidP="006D2FFD">
      <w:pPr>
        <w:pStyle w:val="BodyText"/>
        <w:rPr>
          <w:lang w:val="en-AU"/>
        </w:rPr>
      </w:pPr>
      <w:r w:rsidRPr="00965B70">
        <w:rPr>
          <w:lang w:val="en-AU"/>
        </w:rPr>
        <w:t>Groundwater is stored in aquifers, underground layers of rock or unconsolidated material (gravel, sand or silt), which can store and yield volumes of usable water. Sedimentary aquifers are layered on top of each other and are separated by low-permeability aquitards, which restrict the flow of groundwater (</w:t>
      </w:r>
      <w:r w:rsidR="004C5D4E" w:rsidRPr="00965B70">
        <w:rPr>
          <w:b/>
          <w:bCs/>
          <w:lang w:val="en-AU"/>
        </w:rPr>
        <w:fldChar w:fldCharType="begin"/>
      </w:r>
      <w:r w:rsidR="004C5D4E" w:rsidRPr="00965B70">
        <w:rPr>
          <w:b/>
          <w:bCs/>
          <w:lang w:val="en-AU"/>
        </w:rPr>
        <w:instrText xml:space="preserve"> REF _Ref219974539 \h  \* MERGEFORMAT </w:instrText>
      </w:r>
      <w:r w:rsidR="004C5D4E" w:rsidRPr="00965B70">
        <w:rPr>
          <w:b/>
          <w:bCs/>
          <w:lang w:val="en-AU"/>
        </w:rPr>
      </w:r>
      <w:r w:rsidR="004C5D4E" w:rsidRPr="00965B70">
        <w:rPr>
          <w:b/>
          <w:bCs/>
          <w:lang w:val="en-AU"/>
        </w:rPr>
        <w:fldChar w:fldCharType="separate"/>
      </w:r>
      <w:r w:rsidR="00D76D09" w:rsidRPr="00D76D09">
        <w:rPr>
          <w:b/>
          <w:bCs/>
          <w:lang w:val="en-AU"/>
        </w:rPr>
        <w:t>Figure 1</w:t>
      </w:r>
      <w:r w:rsidR="004C5D4E" w:rsidRPr="00965B70">
        <w:rPr>
          <w:b/>
          <w:bCs/>
          <w:lang w:val="en-AU"/>
        </w:rPr>
        <w:fldChar w:fldCharType="end"/>
      </w:r>
      <w:r w:rsidRPr="00965B70">
        <w:rPr>
          <w:lang w:val="en-AU"/>
        </w:rPr>
        <w:t xml:space="preserve">). The Victorian Aquifer Framework defines 11 aquifers, and 4 aquitards across Victoria. The sedimentary aquifers and basaltic aquifers are grouped into lower, middle and upper aquifers with bedrock (or basement) aquifer underlying </w:t>
      </w:r>
      <w:proofErr w:type="gramStart"/>
      <w:r w:rsidRPr="00965B70">
        <w:rPr>
          <w:lang w:val="en-AU"/>
        </w:rPr>
        <w:t>all of</w:t>
      </w:r>
      <w:proofErr w:type="gramEnd"/>
      <w:r w:rsidRPr="00965B70">
        <w:rPr>
          <w:lang w:val="en-AU"/>
        </w:rPr>
        <w:t xml:space="preserve"> these aquifers, as illustrated in </w:t>
      </w:r>
      <w:r w:rsidR="004C5D4E" w:rsidRPr="00965B70">
        <w:rPr>
          <w:b/>
          <w:bCs/>
          <w:lang w:val="en-AU"/>
        </w:rPr>
        <w:fldChar w:fldCharType="begin"/>
      </w:r>
      <w:r w:rsidR="004C5D4E" w:rsidRPr="00965B70">
        <w:rPr>
          <w:b/>
          <w:bCs/>
          <w:lang w:val="en-AU"/>
        </w:rPr>
        <w:instrText xml:space="preserve"> REF _Ref219974539 \h  \* MERGEFORMAT </w:instrText>
      </w:r>
      <w:r w:rsidR="004C5D4E" w:rsidRPr="00965B70">
        <w:rPr>
          <w:b/>
          <w:bCs/>
          <w:lang w:val="en-AU"/>
        </w:rPr>
      </w:r>
      <w:r w:rsidR="004C5D4E" w:rsidRPr="00965B70">
        <w:rPr>
          <w:b/>
          <w:bCs/>
          <w:lang w:val="en-AU"/>
        </w:rPr>
        <w:fldChar w:fldCharType="separate"/>
      </w:r>
      <w:r w:rsidR="00D76D09" w:rsidRPr="00D76D09">
        <w:rPr>
          <w:b/>
          <w:bCs/>
          <w:lang w:val="en-AU"/>
        </w:rPr>
        <w:t>Figure 1</w:t>
      </w:r>
      <w:r w:rsidR="004C5D4E" w:rsidRPr="00965B70">
        <w:rPr>
          <w:b/>
          <w:bCs/>
          <w:lang w:val="en-AU"/>
        </w:rPr>
        <w:fldChar w:fldCharType="end"/>
      </w:r>
      <w:r w:rsidRPr="00965B70">
        <w:rPr>
          <w:lang w:val="en-AU"/>
        </w:rPr>
        <w:t>.</w:t>
      </w:r>
    </w:p>
    <w:p w14:paraId="71F641E2" w14:textId="546A9DA4" w:rsidR="00D91DFE" w:rsidRPr="00965B70" w:rsidRDefault="00D91DFE" w:rsidP="00D91DFE">
      <w:pPr>
        <w:pStyle w:val="Caption"/>
        <w:keepNext/>
      </w:pPr>
      <w:bookmarkStart w:id="25" w:name="_Ref219974539"/>
      <w:bookmarkStart w:id="26" w:name="_Toc219975554"/>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w:t>
      </w:r>
      <w:r w:rsidRPr="00965B70">
        <w:fldChar w:fldCharType="end"/>
      </w:r>
      <w:bookmarkEnd w:id="25"/>
      <w:r w:rsidRPr="00965B70">
        <w:t xml:space="preserve">: </w:t>
      </w:r>
      <w:r w:rsidRPr="00965B70">
        <w:rPr>
          <w:b w:val="0"/>
          <w:bCs/>
        </w:rPr>
        <w:t>How groundwater is stored</w:t>
      </w:r>
      <w:bookmarkEnd w:id="26"/>
    </w:p>
    <w:p w14:paraId="78A59AB9" w14:textId="77777777" w:rsidR="006D2FFD" w:rsidRPr="00965B70" w:rsidRDefault="006D2FFD" w:rsidP="00FB45EA">
      <w:pPr>
        <w:pStyle w:val="BodyText"/>
        <w:spacing w:after="120"/>
        <w:rPr>
          <w:lang w:val="en-AU"/>
        </w:rPr>
      </w:pPr>
      <w:r w:rsidRPr="00965B70">
        <w:rPr>
          <w:noProof/>
          <w:lang w:val="en-AU"/>
        </w:rPr>
        <w:drawing>
          <wp:inline distT="0" distB="0" distL="0" distR="0" wp14:anchorId="41301D5D" wp14:editId="410F9B9F">
            <wp:extent cx="6103438" cy="3592286"/>
            <wp:effectExtent l="0" t="0" r="5715" b="1905"/>
            <wp:docPr id="524841722" name="Picture 1" descr="Labeled groundwater cross-section diagram showing the unsaturated zone, upper unconfined aquifer, aquitards, middle and lower confined aquifers, and bedrock beneath a rural farm landscape with buildings, crops, trees, and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41722" name="Picture 1" descr="Labeled groundwater cross-section diagram showing the unsaturated zone, upper unconfined aquifer, aquitards, middle and lower confined aquifers, and bedrock beneath a rural farm landscape with buildings, crops, trees, and livestock."/>
                    <pic:cNvPicPr/>
                  </pic:nvPicPr>
                  <pic:blipFill>
                    <a:blip r:embed="rId22" cstate="screen">
                      <a:extLst>
                        <a:ext uri="{28A0092B-C50C-407E-A947-70E740481C1C}">
                          <a14:useLocalDpi xmlns:a14="http://schemas.microsoft.com/office/drawing/2010/main"/>
                        </a:ext>
                      </a:extLst>
                    </a:blip>
                    <a:stretch>
                      <a:fillRect/>
                    </a:stretch>
                  </pic:blipFill>
                  <pic:spPr>
                    <a:xfrm>
                      <a:off x="0" y="0"/>
                      <a:ext cx="6112104" cy="3597386"/>
                    </a:xfrm>
                    <a:prstGeom prst="rect">
                      <a:avLst/>
                    </a:prstGeom>
                  </pic:spPr>
                </pic:pic>
              </a:graphicData>
            </a:graphic>
          </wp:inline>
        </w:drawing>
      </w:r>
    </w:p>
    <w:p w14:paraId="74B14600" w14:textId="77777777" w:rsidR="006D2FFD" w:rsidRPr="00965B70" w:rsidRDefault="006D2FFD" w:rsidP="00FB45EA">
      <w:pPr>
        <w:pStyle w:val="BodyText"/>
        <w:spacing w:after="120"/>
        <w:rPr>
          <w:lang w:val="en-AU"/>
        </w:rPr>
      </w:pPr>
      <w:r w:rsidRPr="00965B70">
        <w:rPr>
          <w:lang w:val="en-AU"/>
        </w:rPr>
        <w:t>Aquifers will respond to climate and groundwater processes differently, depending on whether they are confined or unconfined. The main processes that affect groundwater availability for different aquifers are:</w:t>
      </w:r>
    </w:p>
    <w:p w14:paraId="4FD75793" w14:textId="77777777" w:rsidR="006D2FFD" w:rsidRPr="00965B70" w:rsidRDefault="006D2FFD" w:rsidP="00FB45EA">
      <w:pPr>
        <w:pStyle w:val="BodyText"/>
        <w:spacing w:after="120"/>
        <w:rPr>
          <w:lang w:val="en-AU"/>
        </w:rPr>
      </w:pPr>
      <w:r w:rsidRPr="00965B70">
        <w:rPr>
          <w:lang w:val="en-AU"/>
        </w:rPr>
        <w:t>Unconfined aquifers are recharged by water seeping from the surface down to the watertable from rainfall, irrigation and connection to waterways, and discharge to waterways and coastal systems.</w:t>
      </w:r>
    </w:p>
    <w:p w14:paraId="134779B2" w14:textId="77777777" w:rsidR="006D2FFD" w:rsidRPr="00965B70" w:rsidRDefault="006D2FFD" w:rsidP="00FB45EA">
      <w:pPr>
        <w:pStyle w:val="BodyText"/>
        <w:spacing w:after="120"/>
        <w:rPr>
          <w:lang w:val="en-AU"/>
        </w:rPr>
      </w:pPr>
      <w:r w:rsidRPr="00965B70">
        <w:rPr>
          <w:lang w:val="en-AU"/>
        </w:rPr>
        <w:t>In confined aquifers, the groundwater is isolated from the atmosphere by low permeable geologic formations (aquitards). Confined aquifers are generally subjected to pressure greater than the atmosphere and respond more slowly to changes in recharge. As a result, groundwater levels in confined aquifers are more responsive to groundwater pumping than to rainfall.</w:t>
      </w:r>
    </w:p>
    <w:p w14:paraId="38146C98" w14:textId="77777777" w:rsidR="006D2FFD" w:rsidRPr="00965B70" w:rsidRDefault="006D2FFD" w:rsidP="006D2FFD">
      <w:pPr>
        <w:pStyle w:val="BodyText"/>
        <w:rPr>
          <w:lang w:val="en-AU"/>
        </w:rPr>
      </w:pPr>
      <w:r w:rsidRPr="00965B70">
        <w:rPr>
          <w:lang w:val="en-AU"/>
        </w:rPr>
        <w:t>Semi-confined aquifers are transition areas where a confined aquifer starts to become unconfined due to thinning of the overlying aquitard. Responses in semi-confined aquifers may reflect the overlying unconfined aquifer or the confined aquifer responses.</w:t>
      </w:r>
    </w:p>
    <w:p w14:paraId="0296CF46" w14:textId="77777777" w:rsidR="006D2FFD" w:rsidRPr="00965B70" w:rsidRDefault="006D2FFD" w:rsidP="00E63E6D">
      <w:pPr>
        <w:pStyle w:val="Heading2"/>
        <w:rPr>
          <w:lang w:val="en-AU"/>
        </w:rPr>
      </w:pPr>
      <w:bookmarkStart w:id="27" w:name="_Toc219895322"/>
      <w:bookmarkStart w:id="28" w:name="_Toc219975415"/>
      <w:r w:rsidRPr="00965B70">
        <w:rPr>
          <w:lang w:val="en-AU"/>
        </w:rPr>
        <w:lastRenderedPageBreak/>
        <w:t>Groundwater levels</w:t>
      </w:r>
      <w:bookmarkEnd w:id="27"/>
      <w:bookmarkEnd w:id="28"/>
    </w:p>
    <w:p w14:paraId="6E9A71EA" w14:textId="77777777" w:rsidR="006D2FFD" w:rsidRPr="00965B70" w:rsidRDefault="006D2FFD" w:rsidP="00FB45EA">
      <w:pPr>
        <w:pStyle w:val="BodyText"/>
        <w:spacing w:after="120"/>
        <w:rPr>
          <w:lang w:val="en-AU"/>
        </w:rPr>
      </w:pPr>
      <w:r w:rsidRPr="00965B70">
        <w:rPr>
          <w:lang w:val="en-AU"/>
        </w:rPr>
        <w:t>The depth to groundwater varies according to the locality and the aquifer. When a bore is pumped, it lowers the water level in the bore, followed by the area in the aquifer adjacent to the bore. This lowering of the water level is called a “cone of depression”.</w:t>
      </w:r>
    </w:p>
    <w:p w14:paraId="18C78F83" w14:textId="126D9552" w:rsidR="00FB45EA" w:rsidRPr="00965B70" w:rsidRDefault="00FB45EA" w:rsidP="00FB45EA">
      <w:pPr>
        <w:pStyle w:val="Caption"/>
        <w:keepNext/>
      </w:pPr>
      <w:bookmarkStart w:id="29" w:name="_Ref219974577"/>
      <w:bookmarkStart w:id="30" w:name="_Toc219975555"/>
      <w:r w:rsidRPr="00965B70">
        <w:t xml:space="preserve">Figure </w:t>
      </w:r>
      <w:r w:rsidRPr="00965B70">
        <w:fldChar w:fldCharType="begin"/>
      </w:r>
      <w:r w:rsidRPr="00965B70">
        <w:instrText xml:space="preserve"> SEQ Figure \* ARABIC </w:instrText>
      </w:r>
      <w:r w:rsidRPr="00965B70">
        <w:fldChar w:fldCharType="separate"/>
      </w:r>
      <w:r w:rsidR="00D76D09">
        <w:rPr>
          <w:noProof/>
        </w:rPr>
        <w:t>2</w:t>
      </w:r>
      <w:r w:rsidRPr="00965B70">
        <w:fldChar w:fldCharType="end"/>
      </w:r>
      <w:bookmarkEnd w:id="29"/>
      <w:r w:rsidRPr="00965B70">
        <w:t xml:space="preserve">: </w:t>
      </w:r>
      <w:r w:rsidRPr="00965B70">
        <w:rPr>
          <w:b w:val="0"/>
          <w:bCs/>
        </w:rPr>
        <w:t>How groundwater levels respond to pumping</w:t>
      </w:r>
      <w:bookmarkEnd w:id="30"/>
    </w:p>
    <w:p w14:paraId="0A2462FA" w14:textId="2EB3DCE1" w:rsidR="00FB45EA" w:rsidRPr="00965B70" w:rsidRDefault="00FB45EA" w:rsidP="006D2FFD">
      <w:pPr>
        <w:pStyle w:val="BodyText"/>
        <w:rPr>
          <w:lang w:val="en-AU"/>
        </w:rPr>
      </w:pPr>
      <w:r w:rsidRPr="00965B70">
        <w:rPr>
          <w:noProof/>
          <w:lang w:val="en-AU"/>
        </w:rPr>
        <w:drawing>
          <wp:inline distT="0" distB="0" distL="0" distR="0" wp14:anchorId="452D7257" wp14:editId="31CB69D6">
            <wp:extent cx="6114275" cy="7112000"/>
            <wp:effectExtent l="0" t="0" r="0" b="0"/>
            <wp:docPr id="1154331830" name="Picture 2" descr="Three figures show how groundwater levels respond to pumping for (a) a single bore, (b), multiple bores, and (c) many bores across a region or groundwater management unit. &#10;The first figure (a) shows the water level response due to pumping from a single bore and shows localised drawdown around that bore with no decline in levels away from the bore. &#10;The second figure (b) shows multiple bores pumping from the same aquifer.  Each bore again has it’s own drawdown cone and between the two bores the decline in water levels is greater than that of a single bore pumping.  &#10;In the third figure (c) a small rural area is shown with many bores pumping from the one aquifer.  The drawdown cones from each pumping bore add to the decline in water levels from other pumping bores leading to a larger regional decline in aquifer levels over the region of pump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31830" name="Picture 2" descr="Three figures show how groundwater levels respond to pumping for (a) a single bore, (b), multiple bores, and (c) many bores across a region or groundwater management unit. &#10;The first figure (a) shows the water level response due to pumping from a single bore and shows localised drawdown around that bore with no decline in levels away from the bore. &#10;The second figure (b) shows multiple bores pumping from the same aquifer.  Each bore again has it’s own drawdown cone and between the two bores the decline in water levels is greater than that of a single bore pumping.  &#10;In the third figure (c) a small rural area is shown with many bores pumping from the one aquifer.  The drawdown cones from each pumping bore add to the decline in water levels from other pumping bores leading to a larger regional decline in aquifer levels over the region of pumping.&#10;"/>
                    <pic:cNvPicPr/>
                  </pic:nvPicPr>
                  <pic:blipFill rotWithShape="1">
                    <a:blip r:embed="rId23" cstate="screen">
                      <a:extLst>
                        <a:ext uri="{28A0092B-C50C-407E-A947-70E740481C1C}">
                          <a14:useLocalDpi xmlns:a14="http://schemas.microsoft.com/office/drawing/2010/main"/>
                        </a:ext>
                      </a:extLst>
                    </a:blip>
                    <a:srcRect/>
                    <a:stretch>
                      <a:fillRect/>
                    </a:stretch>
                  </pic:blipFill>
                  <pic:spPr bwMode="auto">
                    <a:xfrm>
                      <a:off x="0" y="0"/>
                      <a:ext cx="6148849" cy="7152216"/>
                    </a:xfrm>
                    <a:prstGeom prst="rect">
                      <a:avLst/>
                    </a:prstGeom>
                    <a:ln>
                      <a:noFill/>
                    </a:ln>
                    <a:extLst>
                      <a:ext uri="{53640926-AAD7-44D8-BBD7-CCE9431645EC}">
                        <a14:shadowObscured xmlns:a14="http://schemas.microsoft.com/office/drawing/2010/main"/>
                      </a:ext>
                    </a:extLst>
                  </pic:spPr>
                </pic:pic>
              </a:graphicData>
            </a:graphic>
          </wp:inline>
        </w:drawing>
      </w:r>
    </w:p>
    <w:p w14:paraId="5EEB301A" w14:textId="4B8FC854" w:rsidR="00965B70" w:rsidRDefault="006D2FFD" w:rsidP="006D2FFD">
      <w:pPr>
        <w:pStyle w:val="BodyText"/>
        <w:rPr>
          <w:lang w:val="en-AU"/>
        </w:rPr>
      </w:pPr>
      <w:r w:rsidRPr="00965B70">
        <w:rPr>
          <w:lang w:val="en-AU"/>
        </w:rPr>
        <w:lastRenderedPageBreak/>
        <w:t>If two pumping bores are located nearby, the cones of depression can merge. If the bores exhibit sufficient density, the cones of depression from multiple bores can merge, causing a regional cone of depression (</w:t>
      </w:r>
      <w:r w:rsidR="004C5D4E" w:rsidRPr="00965B70">
        <w:rPr>
          <w:b/>
          <w:bCs/>
          <w:lang w:val="en-AU"/>
        </w:rPr>
        <w:fldChar w:fldCharType="begin"/>
      </w:r>
      <w:r w:rsidR="004C5D4E" w:rsidRPr="00965B70">
        <w:rPr>
          <w:b/>
          <w:bCs/>
          <w:lang w:val="en-AU"/>
        </w:rPr>
        <w:instrText xml:space="preserve"> REF _Ref219974577 \h  \* MERGEFORMAT </w:instrText>
      </w:r>
      <w:r w:rsidR="004C5D4E" w:rsidRPr="00965B70">
        <w:rPr>
          <w:b/>
          <w:bCs/>
          <w:lang w:val="en-AU"/>
        </w:rPr>
      </w:r>
      <w:r w:rsidR="004C5D4E" w:rsidRPr="00965B70">
        <w:rPr>
          <w:b/>
          <w:bCs/>
          <w:lang w:val="en-AU"/>
        </w:rPr>
        <w:fldChar w:fldCharType="separate"/>
      </w:r>
      <w:r w:rsidR="00D76D09" w:rsidRPr="00D76D09">
        <w:rPr>
          <w:b/>
          <w:bCs/>
          <w:lang w:val="en-AU"/>
        </w:rPr>
        <w:t>Figure 2</w:t>
      </w:r>
      <w:r w:rsidR="004C5D4E" w:rsidRPr="00965B70">
        <w:rPr>
          <w:b/>
          <w:bCs/>
          <w:lang w:val="en-AU"/>
        </w:rPr>
        <w:fldChar w:fldCharType="end"/>
      </w:r>
      <w:r w:rsidRPr="00965B70">
        <w:rPr>
          <w:lang w:val="en-AU"/>
        </w:rPr>
        <w:t>).</w:t>
      </w:r>
    </w:p>
    <w:p w14:paraId="0CA5ED12" w14:textId="421C9E21" w:rsidR="006D2FFD" w:rsidRPr="00965B70" w:rsidRDefault="006D2FFD" w:rsidP="006D2FFD">
      <w:pPr>
        <w:pStyle w:val="BodyText"/>
        <w:rPr>
          <w:lang w:val="en-AU"/>
        </w:rPr>
      </w:pPr>
      <w:r w:rsidRPr="00965B70">
        <w:rPr>
          <w:lang w:val="en-AU"/>
        </w:rPr>
        <w:t>The regional cones of depression may recover when pumping ceases. The rate depends on the type of aquifer and locality and tends to be unique for each groundwater resource or system. Most groundwater in Victoria is used over summer for irrigation. Regional cones of depression tend to recover in the non-pumping season, a term known as the “regional groundwater recovered level”. The regional groundwater recovered level</w:t>
      </w:r>
      <w:r w:rsidRPr="00965B70" w:rsidDel="00AF6CF8">
        <w:rPr>
          <w:lang w:val="en-AU"/>
        </w:rPr>
        <w:t xml:space="preserve"> </w:t>
      </w:r>
      <w:r w:rsidRPr="00965B70">
        <w:rPr>
          <w:lang w:val="en-AU"/>
        </w:rPr>
        <w:t>is one of the measures used to monitor the trends and conditions of groundwater resources.</w:t>
      </w:r>
    </w:p>
    <w:p w14:paraId="54848455" w14:textId="237447AC" w:rsidR="006D2FFD" w:rsidRPr="00965B70" w:rsidRDefault="006D2FFD" w:rsidP="006D2FFD">
      <w:pPr>
        <w:pStyle w:val="BodyText"/>
        <w:rPr>
          <w:lang w:val="en-AU"/>
        </w:rPr>
      </w:pPr>
      <w:r w:rsidRPr="00965B70">
        <w:rPr>
          <w:lang w:val="en-AU"/>
        </w:rPr>
        <w:t>Unconfined aquifers are connected to the atmosphere and respond to pumping, discharge and recharge (for example, rainfall, flooding, irrigation, waterways). Confined aquifers generally have a weak connection with the atmosphere, and their groundwater levels primarily respond to pumping. These groundwater levels respond differently over time for confined and unconfined aquifers (</w:t>
      </w:r>
      <w:r w:rsidR="004C5D4E" w:rsidRPr="00965B70">
        <w:rPr>
          <w:b/>
          <w:bCs/>
          <w:lang w:val="en-AU"/>
        </w:rPr>
        <w:fldChar w:fldCharType="begin"/>
      </w:r>
      <w:r w:rsidR="004C5D4E" w:rsidRPr="00965B70">
        <w:rPr>
          <w:b/>
          <w:bCs/>
          <w:lang w:val="en-AU"/>
        </w:rPr>
        <w:instrText xml:space="preserve"> REF _Ref219974586 \h  \* MERGEFORMAT </w:instrText>
      </w:r>
      <w:r w:rsidR="004C5D4E" w:rsidRPr="00965B70">
        <w:rPr>
          <w:b/>
          <w:bCs/>
          <w:lang w:val="en-AU"/>
        </w:rPr>
      </w:r>
      <w:r w:rsidR="004C5D4E" w:rsidRPr="00965B70">
        <w:rPr>
          <w:b/>
          <w:bCs/>
          <w:lang w:val="en-AU"/>
        </w:rPr>
        <w:fldChar w:fldCharType="separate"/>
      </w:r>
      <w:r w:rsidR="00D76D09" w:rsidRPr="00D76D09">
        <w:rPr>
          <w:b/>
          <w:bCs/>
          <w:lang w:val="en-AU"/>
        </w:rPr>
        <w:t>Figure 3</w:t>
      </w:r>
      <w:r w:rsidR="004C5D4E" w:rsidRPr="00965B70">
        <w:rPr>
          <w:b/>
          <w:bCs/>
          <w:lang w:val="en-AU"/>
        </w:rPr>
        <w:fldChar w:fldCharType="end"/>
      </w:r>
      <w:r w:rsidRPr="00965B70">
        <w:rPr>
          <w:b/>
          <w:bCs/>
          <w:lang w:val="en-AU"/>
        </w:rPr>
        <w:t xml:space="preserve"> </w:t>
      </w:r>
      <w:r w:rsidRPr="00965B70">
        <w:rPr>
          <w:lang w:val="en-AU"/>
        </w:rPr>
        <w:t>and</w:t>
      </w:r>
      <w:r w:rsidRPr="00965B70">
        <w:rPr>
          <w:b/>
          <w:bCs/>
          <w:lang w:val="en-AU"/>
        </w:rPr>
        <w:t xml:space="preserve"> </w:t>
      </w:r>
      <w:r w:rsidR="004C5D4E" w:rsidRPr="00965B70">
        <w:rPr>
          <w:b/>
          <w:bCs/>
          <w:lang w:val="en-AU"/>
        </w:rPr>
        <w:fldChar w:fldCharType="begin"/>
      </w:r>
      <w:r w:rsidR="004C5D4E" w:rsidRPr="00965B70">
        <w:rPr>
          <w:b/>
          <w:bCs/>
          <w:lang w:val="en-AU"/>
        </w:rPr>
        <w:instrText xml:space="preserve"> REF _Ref219974596 \h  \* MERGEFORMAT </w:instrText>
      </w:r>
      <w:r w:rsidR="004C5D4E" w:rsidRPr="00965B70">
        <w:rPr>
          <w:b/>
          <w:bCs/>
          <w:lang w:val="en-AU"/>
        </w:rPr>
      </w:r>
      <w:r w:rsidR="004C5D4E" w:rsidRPr="00965B70">
        <w:rPr>
          <w:b/>
          <w:bCs/>
          <w:lang w:val="en-AU"/>
        </w:rPr>
        <w:fldChar w:fldCharType="separate"/>
      </w:r>
      <w:r w:rsidR="00D76D09" w:rsidRPr="00D76D09">
        <w:rPr>
          <w:b/>
          <w:bCs/>
          <w:lang w:val="en-AU"/>
        </w:rPr>
        <w:t>Figure 4</w:t>
      </w:r>
      <w:r w:rsidR="004C5D4E" w:rsidRPr="00965B70">
        <w:rPr>
          <w:b/>
          <w:bCs/>
          <w:lang w:val="en-AU"/>
        </w:rPr>
        <w:fldChar w:fldCharType="end"/>
      </w:r>
      <w:r w:rsidRPr="00965B70">
        <w:rPr>
          <w:lang w:val="en-AU"/>
        </w:rPr>
        <w:t>).</w:t>
      </w:r>
    </w:p>
    <w:p w14:paraId="08EEE5B6" w14:textId="111943C3" w:rsidR="002C558C" w:rsidRPr="00965B70" w:rsidRDefault="002C558C" w:rsidP="002C558C">
      <w:pPr>
        <w:pStyle w:val="Caption"/>
        <w:keepNext/>
      </w:pPr>
      <w:bookmarkStart w:id="31" w:name="_Ref219974586"/>
      <w:bookmarkStart w:id="32" w:name="_Toc219975556"/>
      <w:r w:rsidRPr="00965B70">
        <w:t xml:space="preserve">Figure </w:t>
      </w:r>
      <w:r w:rsidRPr="00965B70">
        <w:fldChar w:fldCharType="begin"/>
      </w:r>
      <w:r w:rsidRPr="00965B70">
        <w:instrText xml:space="preserve"> SEQ Figure \* ARABIC </w:instrText>
      </w:r>
      <w:r w:rsidRPr="00965B70">
        <w:fldChar w:fldCharType="separate"/>
      </w:r>
      <w:r w:rsidR="00D76D09">
        <w:rPr>
          <w:noProof/>
        </w:rPr>
        <w:t>3</w:t>
      </w:r>
      <w:r w:rsidRPr="00965B70">
        <w:fldChar w:fldCharType="end"/>
      </w:r>
      <w:bookmarkEnd w:id="31"/>
      <w:r w:rsidRPr="00965B70">
        <w:t xml:space="preserve">: </w:t>
      </w:r>
      <w:r w:rsidRPr="00965B70">
        <w:rPr>
          <w:b w:val="0"/>
          <w:bCs/>
        </w:rPr>
        <w:t>Confined aquifer: response of groundwater levels development to constant annual volume with seasonal pumping.</w:t>
      </w:r>
      <w:bookmarkEnd w:id="32"/>
    </w:p>
    <w:p w14:paraId="7AD5A4F1" w14:textId="4529A7DA" w:rsidR="006D2FFD" w:rsidRPr="00965B70" w:rsidRDefault="002C558C" w:rsidP="006D2FFD">
      <w:pPr>
        <w:pStyle w:val="BodyText"/>
        <w:rPr>
          <w:lang w:val="en-AU"/>
        </w:rPr>
      </w:pPr>
      <w:r w:rsidRPr="00965B70">
        <w:rPr>
          <w:noProof/>
          <w:lang w:val="en-AU"/>
        </w:rPr>
        <w:drawing>
          <wp:inline distT="0" distB="0" distL="0" distR="0" wp14:anchorId="6A19204C" wp14:editId="4D4A2DCA">
            <wp:extent cx="6132634" cy="2953847"/>
            <wp:effectExtent l="0" t="0" r="1905" b="5715"/>
            <wp:docPr id="325288825" name="Picture 4" descr="The response to groundwater pumping in a confined aquifer is shown over many years starting from the initial level prior to development, followed by declines due to seasonal pumping each year, finally stabilising at a level 10’s of metres below the initi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8825" name="Picture 4" descr="The response to groundwater pumping in a confined aquifer is shown over many years starting from the initial level prior to development, followed by declines due to seasonal pumping each year, finally stabilising at a level 10’s of metres below the initial level."/>
                    <pic:cNvPicPr/>
                  </pic:nvPicPr>
                  <pic:blipFill rotWithShape="1">
                    <a:blip r:embed="rId24" cstate="screen">
                      <a:extLst>
                        <a:ext uri="{28A0092B-C50C-407E-A947-70E740481C1C}">
                          <a14:useLocalDpi xmlns:a14="http://schemas.microsoft.com/office/drawing/2010/main"/>
                        </a:ext>
                      </a:extLst>
                    </a:blip>
                    <a:srcRect/>
                    <a:stretch>
                      <a:fillRect/>
                    </a:stretch>
                  </pic:blipFill>
                  <pic:spPr bwMode="auto">
                    <a:xfrm>
                      <a:off x="0" y="0"/>
                      <a:ext cx="6163567" cy="2968746"/>
                    </a:xfrm>
                    <a:prstGeom prst="rect">
                      <a:avLst/>
                    </a:prstGeom>
                    <a:ln>
                      <a:noFill/>
                    </a:ln>
                    <a:extLst>
                      <a:ext uri="{53640926-AAD7-44D8-BBD7-CCE9431645EC}">
                        <a14:shadowObscured xmlns:a14="http://schemas.microsoft.com/office/drawing/2010/main"/>
                      </a:ext>
                    </a:extLst>
                  </pic:spPr>
                </pic:pic>
              </a:graphicData>
            </a:graphic>
          </wp:inline>
        </w:drawing>
      </w:r>
      <w:r w:rsidR="006D2FFD" w:rsidRPr="00965B70">
        <w:rPr>
          <w:noProof/>
          <w:lang w:val="en-AU"/>
        </w:rPr>
        <mc:AlternateContent>
          <mc:Choice Requires="wps">
            <w:drawing>
              <wp:anchor distT="0" distB="0" distL="114300" distR="114300" simplePos="0" relativeHeight="251658240" behindDoc="0" locked="0" layoutInCell="1" allowOverlap="1" wp14:anchorId="3216C008" wp14:editId="329139D9">
                <wp:simplePos x="0" y="0"/>
                <wp:positionH relativeFrom="column">
                  <wp:posOffset>849086</wp:posOffset>
                </wp:positionH>
                <wp:positionV relativeFrom="paragraph">
                  <wp:posOffset>229342</wp:posOffset>
                </wp:positionV>
                <wp:extent cx="195670" cy="1965366"/>
                <wp:effectExtent l="0" t="0" r="0" b="0"/>
                <wp:wrapNone/>
                <wp:docPr id="1538378025" name="Text Box 6"/>
                <wp:cNvGraphicFramePr/>
                <a:graphic xmlns:a="http://schemas.openxmlformats.org/drawingml/2006/main">
                  <a:graphicData uri="http://schemas.microsoft.com/office/word/2010/wordprocessingShape">
                    <wps:wsp>
                      <wps:cNvSpPr txBox="1"/>
                      <wps:spPr>
                        <a:xfrm>
                          <a:off x="0" y="0"/>
                          <a:ext cx="195670" cy="1965366"/>
                        </a:xfrm>
                        <a:prstGeom prst="rect">
                          <a:avLst/>
                        </a:prstGeom>
                        <a:solidFill>
                          <a:schemeClr val="bg1"/>
                        </a:solidFill>
                        <a:ln w="6350">
                          <a:noFill/>
                        </a:ln>
                      </wps:spPr>
                      <wps:txbx>
                        <w:txbxContent>
                          <w:p w14:paraId="2796D646" w14:textId="77777777" w:rsidR="006D2FFD" w:rsidRDefault="006D2FFD" w:rsidP="006D2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6C008" id="_x0000_t202" coordsize="21600,21600" o:spt="202" path="m,l,21600r21600,l21600,xe">
                <v:stroke joinstyle="miter"/>
                <v:path gradientshapeok="t" o:connecttype="rect"/>
              </v:shapetype>
              <v:shape id="Text Box 6" o:spid="_x0000_s1026" type="#_x0000_t202" style="position:absolute;margin-left:66.85pt;margin-top:18.05pt;width:15.4pt;height:1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" fillcolor="white [3212]" stroked="f" strokeweight=".5pt">
                <v:textbox>
                  <w:txbxContent>
                    <w:p w14:paraId="2796D646" w14:textId="77777777" w:rsidR="006D2FFD" w:rsidRDefault="006D2FFD" w:rsidP="006D2FFD"/>
                  </w:txbxContent>
                </v:textbox>
              </v:shape>
            </w:pict>
          </mc:Fallback>
        </mc:AlternateContent>
      </w:r>
    </w:p>
    <w:p w14:paraId="079D9053" w14:textId="666F6669" w:rsidR="00AF5C24" w:rsidRPr="00965B70" w:rsidRDefault="00AF5C24" w:rsidP="00AF5C24">
      <w:pPr>
        <w:pStyle w:val="Caption"/>
        <w:keepNext/>
        <w:spacing w:after="240"/>
      </w:pPr>
      <w:bookmarkStart w:id="33" w:name="_Ref219974596"/>
      <w:bookmarkStart w:id="34" w:name="_Toc219975557"/>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4</w:t>
      </w:r>
      <w:r w:rsidRPr="00965B70">
        <w:fldChar w:fldCharType="end"/>
      </w:r>
      <w:bookmarkEnd w:id="33"/>
      <w:r w:rsidRPr="00965B70">
        <w:t xml:space="preserve">: </w:t>
      </w:r>
      <w:r w:rsidRPr="00965B70">
        <w:rPr>
          <w:b w:val="0"/>
          <w:bCs/>
        </w:rPr>
        <w:t>Unconfined aquifer response includes (a) natural fluctuation in groundwater level and (b) response to climate and seasonal pumping.</w:t>
      </w:r>
      <w:bookmarkEnd w:id="34"/>
    </w:p>
    <w:p w14:paraId="33353C7A" w14:textId="674FE527" w:rsidR="00AF5C24" w:rsidRPr="00965B70" w:rsidRDefault="00AF5C24" w:rsidP="006D2FFD">
      <w:pPr>
        <w:pStyle w:val="BodyText"/>
        <w:rPr>
          <w:b/>
          <w:lang w:val="en-AU"/>
        </w:rPr>
      </w:pPr>
      <w:r w:rsidRPr="00965B70">
        <w:rPr>
          <w:b/>
          <w:noProof/>
          <w:lang w:val="en-AU"/>
        </w:rPr>
        <w:drawing>
          <wp:inline distT="0" distB="0" distL="0" distR="0" wp14:anchorId="7F170014" wp14:editId="31240114">
            <wp:extent cx="6174749" cy="5400675"/>
            <wp:effectExtent l="0" t="0" r="0" b="0"/>
            <wp:docPr id="372578436" name="Picture 5" descr="The response to groundwater pumping in an unconfined aquifer is shown over many years in two figures.  The first shows an unconfined aquifer that has not been developed which has variable levels due to the aquifer responding to climate. The second figure shows both the aquifers response to climate seasonally as well as the response to groundwater pumping.  The total decline in levels is typically in the order of 2-5m after 10-20 years of pum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8436" name="Picture 5" descr="The response to groundwater pumping in an unconfined aquifer is shown over many years in two figures.  The first shows an unconfined aquifer that has not been developed which has variable levels due to the aquifer responding to climate. The second figure shows both the aquifers response to climate seasonally as well as the response to groundwater pumping.  The total decline in levels is typically in the order of 2-5m after 10-20 years of pumping. "/>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6178205" cy="5403698"/>
                    </a:xfrm>
                    <a:prstGeom prst="rect">
                      <a:avLst/>
                    </a:prstGeom>
                    <a:ln>
                      <a:noFill/>
                    </a:ln>
                    <a:extLst>
                      <a:ext uri="{53640926-AAD7-44D8-BBD7-CCE9431645EC}">
                        <a14:shadowObscured xmlns:a14="http://schemas.microsoft.com/office/drawing/2010/main"/>
                      </a:ext>
                    </a:extLst>
                  </pic:spPr>
                </pic:pic>
              </a:graphicData>
            </a:graphic>
          </wp:inline>
        </w:drawing>
      </w:r>
    </w:p>
    <w:p w14:paraId="4D5298F4" w14:textId="77777777" w:rsidR="006D2FFD" w:rsidRPr="00965B70" w:rsidRDefault="006D2FFD" w:rsidP="00E63E6D">
      <w:pPr>
        <w:pStyle w:val="Heading2"/>
        <w:rPr>
          <w:lang w:val="en-AU"/>
        </w:rPr>
      </w:pPr>
      <w:bookmarkStart w:id="35" w:name="_Toc219895323"/>
      <w:bookmarkStart w:id="36" w:name="_Toc219975416"/>
      <w:r w:rsidRPr="00965B70">
        <w:rPr>
          <w:lang w:val="en-AU"/>
        </w:rPr>
        <w:t>How we manage our groundwater</w:t>
      </w:r>
      <w:bookmarkEnd w:id="35"/>
      <w:bookmarkEnd w:id="36"/>
    </w:p>
    <w:p w14:paraId="6920ACD7" w14:textId="77777777" w:rsidR="00965B70" w:rsidRDefault="006D2FFD" w:rsidP="006D2FFD">
      <w:pPr>
        <w:pStyle w:val="BodyText"/>
        <w:rPr>
          <w:lang w:val="en-AU"/>
        </w:rPr>
      </w:pPr>
      <w:r w:rsidRPr="00965B70">
        <w:rPr>
          <w:lang w:val="en-AU"/>
        </w:rPr>
        <w:t>The Victorian</w:t>
      </w:r>
      <w:r w:rsidRPr="00965B70">
        <w:rPr>
          <w:i/>
          <w:iCs/>
          <w:lang w:val="en-AU"/>
        </w:rPr>
        <w:t xml:space="preserve"> Water Act 1989</w:t>
      </w:r>
      <w:r w:rsidRPr="00965B70">
        <w:rPr>
          <w:lang w:val="en-AU"/>
        </w:rPr>
        <w:t xml:space="preserve"> and associated water entitlements framework provides for how surface water and groundwater are shared and managed.</w:t>
      </w:r>
    </w:p>
    <w:p w14:paraId="6C3E9F11" w14:textId="7FA146A9" w:rsidR="006D2FFD" w:rsidRPr="00965B70" w:rsidRDefault="006D2FFD" w:rsidP="006D2FFD">
      <w:pPr>
        <w:pStyle w:val="BodyText"/>
        <w:rPr>
          <w:lang w:val="en-AU"/>
        </w:rPr>
      </w:pPr>
      <w:r w:rsidRPr="00965B70">
        <w:rPr>
          <w:lang w:val="en-AU"/>
        </w:rPr>
        <w:t>Access to groundwater is managed through take and use licences, which provide limits on how much water can be taken from an aquifer and when. In areas where there are many groundwater users, management areas are defined, and caps are set on the total volume of entitlement that can be issued.</w:t>
      </w:r>
    </w:p>
    <w:p w14:paraId="2B70EF4A" w14:textId="77777777" w:rsidR="00965B70" w:rsidRDefault="006D2FFD" w:rsidP="00980E9A">
      <w:pPr>
        <w:pStyle w:val="BodyText"/>
        <w:spacing w:after="120"/>
        <w:rPr>
          <w:lang w:val="en-AU"/>
        </w:rPr>
      </w:pPr>
      <w:r w:rsidRPr="00965B70">
        <w:rPr>
          <w:lang w:val="en-AU"/>
        </w:rPr>
        <w:lastRenderedPageBreak/>
        <w:t>Most groundwater use (90%) occurs in Groundwater Management Units that have defined caps on the total licensed entitlements that can be issued. Statewide, usage is distributed 60% in unconfined aquifer GMUs and 40% in confined aquifer GMUs. Use is only restricted under certain circumstances, such as through groundwater level restriction triggers that may be defined in management plans for Water Supply Protection Areas (WSPAs), seasonal allocations, or water shortage declarations during periods of drought, or less formally in local management plans (LMPs). Most groundwater users are not in areas where limits on use through groundwater level restriction triggers may be applied.</w:t>
      </w:r>
    </w:p>
    <w:p w14:paraId="14347ABC" w14:textId="2593A014" w:rsidR="006D2FFD" w:rsidRPr="00965B70" w:rsidRDefault="006D2FFD" w:rsidP="00980E9A">
      <w:pPr>
        <w:pStyle w:val="Heading2"/>
        <w:spacing w:after="240"/>
        <w:rPr>
          <w:lang w:val="en-AU"/>
        </w:rPr>
      </w:pPr>
      <w:bookmarkStart w:id="37" w:name="_Toc219895324"/>
      <w:bookmarkStart w:id="38" w:name="_Toc219975417"/>
      <w:r w:rsidRPr="00965B70">
        <w:rPr>
          <w:lang w:val="en-AU"/>
        </w:rPr>
        <w:t>Things to avoid</w:t>
      </w:r>
      <w:bookmarkEnd w:id="37"/>
      <w:bookmarkEnd w:id="38"/>
    </w:p>
    <w:p w14:paraId="2A1F5C95" w14:textId="74D3E59A" w:rsidR="00965B70" w:rsidRDefault="006D2FFD" w:rsidP="00980E9A">
      <w:pPr>
        <w:pStyle w:val="BodyText"/>
        <w:spacing w:after="120"/>
        <w:rPr>
          <w:lang w:val="en-AU"/>
        </w:rPr>
      </w:pPr>
      <w:r w:rsidRPr="00965B70">
        <w:rPr>
          <w:lang w:val="en-AU"/>
        </w:rPr>
        <w:t>Uncontrolled declines in regional groundwater levels can impact groundwater users and environments. While a small decline in groundwater levels may have negligible impacts, moderate declines may lead to supply interruptions and reduced flow to environments. Large or ongoing declines in groundwater level may lead to permanent loss of supply to users and environment (</w:t>
      </w:r>
      <w:r w:rsidR="00AE0A5C" w:rsidRPr="00965B70">
        <w:rPr>
          <w:b/>
          <w:bCs/>
          <w:lang w:val="en-AU"/>
        </w:rPr>
        <w:fldChar w:fldCharType="begin"/>
      </w:r>
      <w:r w:rsidR="00AE0A5C" w:rsidRPr="00965B70">
        <w:rPr>
          <w:b/>
          <w:bCs/>
          <w:lang w:val="en-AU"/>
        </w:rPr>
        <w:instrText xml:space="preserve"> REF _Ref219974643 \h  \* MERGEFORMAT </w:instrText>
      </w:r>
      <w:r w:rsidR="00AE0A5C" w:rsidRPr="00965B70">
        <w:rPr>
          <w:b/>
          <w:bCs/>
          <w:lang w:val="en-AU"/>
        </w:rPr>
      </w:r>
      <w:r w:rsidR="00AE0A5C" w:rsidRPr="00965B70">
        <w:rPr>
          <w:b/>
          <w:bCs/>
          <w:lang w:val="en-AU"/>
        </w:rPr>
        <w:fldChar w:fldCharType="separate"/>
      </w:r>
      <w:r w:rsidR="00D76D09" w:rsidRPr="00D76D09">
        <w:rPr>
          <w:b/>
          <w:bCs/>
          <w:lang w:val="en-AU"/>
        </w:rPr>
        <w:t>Figure 5</w:t>
      </w:r>
      <w:r w:rsidR="00AE0A5C" w:rsidRPr="00965B70">
        <w:rPr>
          <w:b/>
          <w:bCs/>
          <w:lang w:val="en-AU"/>
        </w:rPr>
        <w:fldChar w:fldCharType="end"/>
      </w:r>
      <w:r w:rsidRPr="00965B70">
        <w:rPr>
          <w:b/>
          <w:bCs/>
          <w:lang w:val="en-AU"/>
        </w:rPr>
        <w:t xml:space="preserve"> </w:t>
      </w:r>
      <w:r w:rsidRPr="00965B70">
        <w:rPr>
          <w:lang w:val="en-AU"/>
        </w:rPr>
        <w:t>and</w:t>
      </w:r>
      <w:r w:rsidRPr="00965B70">
        <w:rPr>
          <w:b/>
          <w:bCs/>
          <w:lang w:val="en-AU"/>
        </w:rPr>
        <w:t xml:space="preserve"> </w:t>
      </w:r>
      <w:r w:rsidR="00AE0A5C" w:rsidRPr="00965B70">
        <w:rPr>
          <w:b/>
          <w:bCs/>
          <w:lang w:val="en-AU"/>
        </w:rPr>
        <w:fldChar w:fldCharType="begin"/>
      </w:r>
      <w:r w:rsidR="00AE0A5C" w:rsidRPr="00965B70">
        <w:rPr>
          <w:b/>
          <w:bCs/>
          <w:lang w:val="en-AU"/>
        </w:rPr>
        <w:instrText xml:space="preserve"> REF _Ref219974654 \h  \* MERGEFORMAT </w:instrText>
      </w:r>
      <w:r w:rsidR="00AE0A5C" w:rsidRPr="00965B70">
        <w:rPr>
          <w:b/>
          <w:bCs/>
          <w:lang w:val="en-AU"/>
        </w:rPr>
      </w:r>
      <w:r w:rsidR="00AE0A5C" w:rsidRPr="00965B70">
        <w:rPr>
          <w:b/>
          <w:bCs/>
          <w:lang w:val="en-AU"/>
        </w:rPr>
        <w:fldChar w:fldCharType="separate"/>
      </w:r>
      <w:r w:rsidR="00D76D09" w:rsidRPr="00D76D09">
        <w:rPr>
          <w:b/>
          <w:bCs/>
          <w:lang w:val="en-AU"/>
        </w:rPr>
        <w:t>Figure 6</w:t>
      </w:r>
      <w:r w:rsidR="00AE0A5C" w:rsidRPr="00965B70">
        <w:rPr>
          <w:b/>
          <w:bCs/>
          <w:lang w:val="en-AU"/>
        </w:rPr>
        <w:fldChar w:fldCharType="end"/>
      </w:r>
      <w:r w:rsidRPr="00965B70">
        <w:rPr>
          <w:lang w:val="en-AU"/>
        </w:rPr>
        <w:t>). Groundwater resource managers seek to avoid the resulting economic and environmental consequences.</w:t>
      </w:r>
    </w:p>
    <w:p w14:paraId="4E0D12F7" w14:textId="76479926" w:rsidR="00AF5C24" w:rsidRPr="00965B70" w:rsidRDefault="00AF5C24" w:rsidP="008B1B9A">
      <w:pPr>
        <w:pStyle w:val="Caption"/>
        <w:keepNext/>
        <w:spacing w:after="60"/>
      </w:pPr>
      <w:bookmarkStart w:id="39" w:name="_Ref219974643"/>
      <w:bookmarkStart w:id="40" w:name="_Toc219975558"/>
      <w:bookmarkStart w:id="41" w:name="_Ref181096055"/>
      <w:r w:rsidRPr="00965B70">
        <w:t xml:space="preserve">Figure </w:t>
      </w:r>
      <w:r w:rsidRPr="00965B70">
        <w:fldChar w:fldCharType="begin"/>
      </w:r>
      <w:r w:rsidRPr="00965B70">
        <w:instrText xml:space="preserve"> SEQ Figure \* ARABIC </w:instrText>
      </w:r>
      <w:r w:rsidRPr="00965B70">
        <w:fldChar w:fldCharType="separate"/>
      </w:r>
      <w:r w:rsidR="00D76D09">
        <w:rPr>
          <w:noProof/>
        </w:rPr>
        <w:t>5</w:t>
      </w:r>
      <w:r w:rsidRPr="00965B70">
        <w:fldChar w:fldCharType="end"/>
      </w:r>
      <w:bookmarkEnd w:id="39"/>
      <w:r w:rsidRPr="00965B70">
        <w:t xml:space="preserve">: </w:t>
      </w:r>
      <w:r w:rsidRPr="00965B70">
        <w:rPr>
          <w:b w:val="0"/>
          <w:bCs/>
        </w:rPr>
        <w:t>Impacts of regional groundwater decline on water users as groundwater levels continue to decline</w:t>
      </w:r>
      <w:bookmarkEnd w:id="40"/>
    </w:p>
    <w:p w14:paraId="3038C66A" w14:textId="3D3C33DB" w:rsidR="00AF5C24" w:rsidRPr="00965B70" w:rsidRDefault="00AF5C24" w:rsidP="006D2FFD">
      <w:pPr>
        <w:pStyle w:val="BodyText"/>
        <w:rPr>
          <w:b/>
          <w:lang w:val="en-AU"/>
        </w:rPr>
      </w:pPr>
      <w:r w:rsidRPr="00965B70">
        <w:rPr>
          <w:b/>
          <w:noProof/>
          <w:lang w:val="en-AU"/>
        </w:rPr>
        <w:drawing>
          <wp:inline distT="0" distB="0" distL="0" distR="0" wp14:anchorId="499E261C" wp14:editId="1E515484">
            <wp:extent cx="6123709" cy="3005272"/>
            <wp:effectExtent l="0" t="0" r="0" b="5080"/>
            <wp:docPr id="1786560220" name="Picture 6" descr="Groundwater managers seek to prevent regional declines in groundwater level impacting on groundwater users by controlling how much groundwater can be taken and monitoring aquifer response to pumping. A series of images show how increasing declines in level can eventually interrupt or cause loss of supply to groundwat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60220" name="Picture 6" descr="Groundwater managers seek to prevent regional declines in groundwater level impacting on groundwater users by controlling how much groundwater can be taken and monitoring aquifer response to pumping. A series of images show how increasing declines in level can eventually interrupt or cause loss of supply to groundwater users."/>
                    <pic:cNvPicPr/>
                  </pic:nvPicPr>
                  <pic:blipFill rotWithShape="1">
                    <a:blip r:embed="rId26" cstate="screen">
                      <a:extLst>
                        <a:ext uri="{28A0092B-C50C-407E-A947-70E740481C1C}">
                          <a14:useLocalDpi xmlns:a14="http://schemas.microsoft.com/office/drawing/2010/main"/>
                        </a:ext>
                      </a:extLst>
                    </a:blip>
                    <a:srcRect/>
                    <a:stretch>
                      <a:fillRect/>
                    </a:stretch>
                  </pic:blipFill>
                  <pic:spPr bwMode="auto">
                    <a:xfrm>
                      <a:off x="0" y="0"/>
                      <a:ext cx="6264008" cy="3074125"/>
                    </a:xfrm>
                    <a:prstGeom prst="rect">
                      <a:avLst/>
                    </a:prstGeom>
                    <a:ln>
                      <a:noFill/>
                    </a:ln>
                    <a:extLst>
                      <a:ext uri="{53640926-AAD7-44D8-BBD7-CCE9431645EC}">
                        <a14:shadowObscured xmlns:a14="http://schemas.microsoft.com/office/drawing/2010/main"/>
                      </a:ext>
                    </a:extLst>
                  </pic:spPr>
                </pic:pic>
              </a:graphicData>
            </a:graphic>
          </wp:inline>
        </w:drawing>
      </w:r>
    </w:p>
    <w:p w14:paraId="18B64A9D" w14:textId="35023931" w:rsidR="00980E9A" w:rsidRPr="00965B70" w:rsidRDefault="00980E9A" w:rsidP="00980E9A">
      <w:pPr>
        <w:pStyle w:val="Caption"/>
        <w:keepNext/>
      </w:pPr>
      <w:bookmarkStart w:id="42" w:name="_Ref219974654"/>
      <w:bookmarkStart w:id="43" w:name="_Toc219975559"/>
      <w:bookmarkStart w:id="44" w:name="_Ref173835346"/>
      <w:bookmarkEnd w:id="41"/>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6</w:t>
      </w:r>
      <w:r w:rsidRPr="00965B70">
        <w:fldChar w:fldCharType="end"/>
      </w:r>
      <w:bookmarkEnd w:id="42"/>
      <w:r w:rsidRPr="00965B70">
        <w:t xml:space="preserve">: </w:t>
      </w:r>
      <w:r w:rsidRPr="00965B70">
        <w:rPr>
          <w:b w:val="0"/>
          <w:bCs/>
        </w:rPr>
        <w:t>Impacts of regional groundwater decline on the environment (waterways) as groundwater levels continue to decline</w:t>
      </w:r>
      <w:bookmarkEnd w:id="43"/>
    </w:p>
    <w:p w14:paraId="4F5A262F" w14:textId="31604CE8" w:rsidR="006D2FFD" w:rsidRPr="00965B70" w:rsidRDefault="00980E9A" w:rsidP="006D2FFD">
      <w:pPr>
        <w:pStyle w:val="BodyText"/>
        <w:rPr>
          <w:b/>
          <w:lang w:val="en-AU"/>
        </w:rPr>
      </w:pPr>
      <w:r w:rsidRPr="00965B70">
        <w:rPr>
          <w:b/>
          <w:noProof/>
          <w:lang w:val="en-AU"/>
        </w:rPr>
        <w:drawing>
          <wp:inline distT="0" distB="0" distL="0" distR="0" wp14:anchorId="567322BE" wp14:editId="52122CE6">
            <wp:extent cx="6132946" cy="2983967"/>
            <wp:effectExtent l="0" t="0" r="1270" b="635"/>
            <wp:docPr id="1552752304" name="Picture 7" descr="Groundwater managers seek to prevent regional declines in groundwater level impacting on the environment, such as wetlands and waterways dependent on groundwater. They do this by controlling how much groundwater can be taken and monitoring aquifer response to pumping. A series of images show how increasing declines in regional levels can lead to waterways and wetlands losing connection with groundwat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2304" name="Picture 7" descr="Groundwater managers seek to prevent regional declines in groundwater level impacting on the environment, such as wetlands and waterways dependent on groundwater. They do this by controlling how much groundwater can be taken and monitoring aquifer response to pumping. A series of images show how increasing declines in regional levels can lead to waterways and wetlands losing connection with groundwater sources."/>
                    <pic:cNvPicPr/>
                  </pic:nvPicPr>
                  <pic:blipFill>
                    <a:blip r:embed="rId27" cstate="screen">
                      <a:extLst>
                        <a:ext uri="{28A0092B-C50C-407E-A947-70E740481C1C}">
                          <a14:useLocalDpi xmlns:a14="http://schemas.microsoft.com/office/drawing/2010/main"/>
                        </a:ext>
                      </a:extLst>
                    </a:blip>
                    <a:stretch>
                      <a:fillRect/>
                    </a:stretch>
                  </pic:blipFill>
                  <pic:spPr>
                    <a:xfrm>
                      <a:off x="0" y="0"/>
                      <a:ext cx="6166936" cy="3000505"/>
                    </a:xfrm>
                    <a:prstGeom prst="rect">
                      <a:avLst/>
                    </a:prstGeom>
                  </pic:spPr>
                </pic:pic>
              </a:graphicData>
            </a:graphic>
          </wp:inline>
        </w:drawing>
      </w:r>
    </w:p>
    <w:bookmarkEnd w:id="44"/>
    <w:p w14:paraId="69E13858" w14:textId="0753BFEE" w:rsidR="006D2FFD" w:rsidRPr="00965B70" w:rsidRDefault="006D2FFD" w:rsidP="006D2FFD">
      <w:pPr>
        <w:pStyle w:val="BodyText"/>
        <w:rPr>
          <w:lang w:val="en-AU"/>
        </w:rPr>
      </w:pPr>
      <w:r w:rsidRPr="00965B70">
        <w:rPr>
          <w:lang w:val="en-AU"/>
        </w:rPr>
        <w:t>It is important for resource managers to understand the acceptable regional groundwater drawdown level. Current challenges faced by resource managers result from a lack of defined acceptable levels of drawdown. There is no standard or nationally agreed position on acceptable levels of drawdown, and information on licenced bores (for example pump depths and screen intervals) is not readily available to inform acceptable limits. In the absence of a standard or nationally agreed position, the Sustainable Yield Assessment has adopted acceptable regional drawdowns as follows (</w:t>
      </w:r>
      <w:r w:rsidR="00AE0A5C" w:rsidRPr="00965B70">
        <w:rPr>
          <w:b/>
          <w:bCs/>
          <w:lang w:val="en-AU"/>
        </w:rPr>
        <w:fldChar w:fldCharType="begin"/>
      </w:r>
      <w:r w:rsidR="00AE0A5C" w:rsidRPr="00965B70">
        <w:rPr>
          <w:b/>
          <w:bCs/>
          <w:lang w:val="en-AU"/>
        </w:rPr>
        <w:instrText xml:space="preserve"> REF _Ref219974679 \h  \* MERGEFORMAT </w:instrText>
      </w:r>
      <w:r w:rsidR="00AE0A5C" w:rsidRPr="00965B70">
        <w:rPr>
          <w:b/>
          <w:bCs/>
          <w:lang w:val="en-AU"/>
        </w:rPr>
      </w:r>
      <w:r w:rsidR="00AE0A5C" w:rsidRPr="00965B70">
        <w:rPr>
          <w:b/>
          <w:bCs/>
          <w:lang w:val="en-AU"/>
        </w:rPr>
        <w:fldChar w:fldCharType="separate"/>
      </w:r>
      <w:r w:rsidR="00D76D09" w:rsidRPr="00D76D09">
        <w:rPr>
          <w:b/>
          <w:bCs/>
          <w:lang w:val="en-AU"/>
        </w:rPr>
        <w:t>Figure 7</w:t>
      </w:r>
      <w:r w:rsidR="00AE0A5C" w:rsidRPr="00965B70">
        <w:rPr>
          <w:b/>
          <w:bCs/>
          <w:lang w:val="en-AU"/>
        </w:rPr>
        <w:fldChar w:fldCharType="end"/>
      </w:r>
      <w:r w:rsidRPr="00965B70">
        <w:rPr>
          <w:lang w:val="en-AU"/>
        </w:rPr>
        <w:t>):</w:t>
      </w:r>
    </w:p>
    <w:p w14:paraId="003B6CFA" w14:textId="77777777" w:rsidR="006D2FFD" w:rsidRPr="00965B70" w:rsidRDefault="006D2FFD" w:rsidP="0083154D">
      <w:pPr>
        <w:pStyle w:val="ListBullet"/>
        <w:spacing w:after="0"/>
        <w:rPr>
          <w:lang w:val="en-AU"/>
        </w:rPr>
      </w:pPr>
      <w:r w:rsidRPr="00965B70">
        <w:rPr>
          <w:lang w:val="en-AU"/>
        </w:rPr>
        <w:t>10 m for confined aquifers</w:t>
      </w:r>
    </w:p>
    <w:p w14:paraId="02D0609B" w14:textId="77777777" w:rsidR="006D2FFD" w:rsidRPr="00965B70" w:rsidRDefault="006D2FFD" w:rsidP="008B1B9A">
      <w:pPr>
        <w:pStyle w:val="LastBulletinList"/>
        <w:rPr>
          <w:lang w:val="en-AU"/>
        </w:rPr>
      </w:pPr>
      <w:r w:rsidRPr="00965B70">
        <w:rPr>
          <w:lang w:val="en-AU"/>
        </w:rPr>
        <w:t>2 m for unconfined aquifers.</w:t>
      </w:r>
    </w:p>
    <w:p w14:paraId="0F16CD1D" w14:textId="66519987" w:rsidR="006D2FFD" w:rsidRPr="00965B70" w:rsidRDefault="006D2FFD" w:rsidP="006D2FFD">
      <w:pPr>
        <w:pStyle w:val="BodyText"/>
        <w:rPr>
          <w:lang w:val="en-AU"/>
        </w:rPr>
      </w:pPr>
      <w:r w:rsidRPr="00965B70">
        <w:rPr>
          <w:lang w:val="en-AU"/>
        </w:rPr>
        <w:t>The 2 m and 10 m drawdowns represent the difference between the recovered water levels as compared to the predevelopment levels (</w:t>
      </w:r>
      <w:r w:rsidR="00AE0A5C" w:rsidRPr="00965B70">
        <w:rPr>
          <w:b/>
          <w:bCs/>
          <w:lang w:val="en-AU"/>
        </w:rPr>
        <w:fldChar w:fldCharType="begin"/>
      </w:r>
      <w:r w:rsidR="00AE0A5C" w:rsidRPr="00965B70">
        <w:rPr>
          <w:b/>
          <w:bCs/>
          <w:lang w:val="en-AU"/>
        </w:rPr>
        <w:instrText xml:space="preserve"> REF _Ref219974679 \h  \* MERGEFORMAT </w:instrText>
      </w:r>
      <w:r w:rsidR="00AE0A5C" w:rsidRPr="00965B70">
        <w:rPr>
          <w:b/>
          <w:bCs/>
          <w:lang w:val="en-AU"/>
        </w:rPr>
      </w:r>
      <w:r w:rsidR="00AE0A5C" w:rsidRPr="00965B70">
        <w:rPr>
          <w:b/>
          <w:bCs/>
          <w:lang w:val="en-AU"/>
        </w:rPr>
        <w:fldChar w:fldCharType="separate"/>
      </w:r>
      <w:r w:rsidR="00D76D09" w:rsidRPr="00D76D09">
        <w:rPr>
          <w:b/>
          <w:bCs/>
          <w:lang w:val="en-AU"/>
        </w:rPr>
        <w:t>Figure 7</w:t>
      </w:r>
      <w:r w:rsidR="00AE0A5C" w:rsidRPr="00965B70">
        <w:rPr>
          <w:b/>
          <w:bCs/>
          <w:lang w:val="en-AU"/>
        </w:rPr>
        <w:fldChar w:fldCharType="end"/>
      </w:r>
      <w:r w:rsidRPr="00965B70">
        <w:rPr>
          <w:lang w:val="en-AU"/>
        </w:rPr>
        <w:t>). These levels of drawdown are termed sustainable yield metrics.</w:t>
      </w:r>
    </w:p>
    <w:p w14:paraId="78C7993A" w14:textId="77777777" w:rsidR="006D2FFD" w:rsidRPr="00965B70" w:rsidRDefault="006D2FFD" w:rsidP="006D2FFD">
      <w:pPr>
        <w:pStyle w:val="BodyText"/>
        <w:rPr>
          <w:lang w:val="en-AU"/>
        </w:rPr>
      </w:pPr>
      <w:r w:rsidRPr="00965B70">
        <w:rPr>
          <w:lang w:val="en-AU"/>
        </w:rPr>
        <w:t xml:space="preserve">For confined aquifers, 10m metric is based on groundwater management plans. The assessors agreed that the existing 10m metric currently used in groundwater management </w:t>
      </w:r>
      <w:r w:rsidRPr="00965B70">
        <w:rPr>
          <w:lang w:val="en-AU"/>
        </w:rPr>
        <w:lastRenderedPageBreak/>
        <w:t>plans had been successful for maintaining the health of confined aquifers. For unconfined aquifers, the 2 m metric approximately equates to 10% of the available drawdown, which uses 10% interference rule based on standard practice for licensing applications. These levels of drawdown are what the scientific panel agreed would establish sustainable yield metrics, that when met would give the best chance of healthy groundwater landscapes over the next 20 years.</w:t>
      </w:r>
    </w:p>
    <w:p w14:paraId="5552E585" w14:textId="1A1A634B" w:rsidR="00EA6420" w:rsidRPr="00965B70" w:rsidRDefault="00EA6420" w:rsidP="00EA6420">
      <w:pPr>
        <w:pStyle w:val="Caption"/>
        <w:keepNext/>
      </w:pPr>
      <w:bookmarkStart w:id="45" w:name="_Ref219974679"/>
      <w:bookmarkStart w:id="46" w:name="_Toc219975560"/>
      <w:r w:rsidRPr="00965B70">
        <w:t xml:space="preserve">Figure </w:t>
      </w:r>
      <w:r w:rsidRPr="00965B70">
        <w:fldChar w:fldCharType="begin"/>
      </w:r>
      <w:r w:rsidRPr="00965B70">
        <w:instrText xml:space="preserve"> SEQ Figure \* ARABIC </w:instrText>
      </w:r>
      <w:r w:rsidRPr="00965B70">
        <w:fldChar w:fldCharType="separate"/>
      </w:r>
      <w:r w:rsidR="00D76D09">
        <w:rPr>
          <w:noProof/>
        </w:rPr>
        <w:t>7</w:t>
      </w:r>
      <w:r w:rsidRPr="00965B70">
        <w:fldChar w:fldCharType="end"/>
      </w:r>
      <w:bookmarkEnd w:id="45"/>
      <w:r w:rsidRPr="00965B70">
        <w:t xml:space="preserve">: </w:t>
      </w:r>
      <w:r w:rsidRPr="00965B70">
        <w:rPr>
          <w:b w:val="0"/>
          <w:bCs/>
        </w:rPr>
        <w:t>(a) Confined aquifer: 10m metric, (b) Unconfined aquifer: 2m metric.</w:t>
      </w:r>
      <w:bookmarkEnd w:id="46"/>
    </w:p>
    <w:p w14:paraId="1A93D3E2" w14:textId="201BD7C8" w:rsidR="006D2FFD" w:rsidRPr="00965B70" w:rsidRDefault="00EA6420" w:rsidP="006D2FFD">
      <w:pPr>
        <w:pStyle w:val="BodyText"/>
        <w:rPr>
          <w:lang w:val="en-AU"/>
        </w:rPr>
      </w:pPr>
      <w:r w:rsidRPr="00965B70">
        <w:rPr>
          <w:noProof/>
          <w:lang w:val="en-AU"/>
        </w:rPr>
        <w:drawing>
          <wp:inline distT="0" distB="0" distL="0" distR="0" wp14:anchorId="6731C9FA" wp14:editId="23676ECB">
            <wp:extent cx="6160655" cy="6268898"/>
            <wp:effectExtent l="0" t="0" r="0" b="5080"/>
            <wp:docPr id="740525116" name="Picture 9" descr="Two figures show the adopted acceptable regional drawdowns referred to as the sustainable yield metrics, of 10m and 2m for confined and unconfined aquifers. The hydrographs show monitored levels declining and then stabilising to the acceptable regional drawdown (10m or 2m) over a period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25116" name="Picture 9" descr="Two figures show the adopted acceptable regional drawdowns referred to as the sustainable yield metrics, of 10m and 2m for confined and unconfined aquifers. The hydrographs show monitored levels declining and then stabilising to the acceptable regional drawdown (10m or 2m) over a period of development."/>
                    <pic:cNvPicPr/>
                  </pic:nvPicPr>
                  <pic:blipFill rotWithShape="1">
                    <a:blip r:embed="rId28" cstate="screen">
                      <a:extLst>
                        <a:ext uri="{28A0092B-C50C-407E-A947-70E740481C1C}">
                          <a14:useLocalDpi xmlns:a14="http://schemas.microsoft.com/office/drawing/2010/main"/>
                        </a:ext>
                      </a:extLst>
                    </a:blip>
                    <a:srcRect/>
                    <a:stretch>
                      <a:fillRect/>
                    </a:stretch>
                  </pic:blipFill>
                  <pic:spPr bwMode="auto">
                    <a:xfrm>
                      <a:off x="0" y="0"/>
                      <a:ext cx="6172693" cy="6281148"/>
                    </a:xfrm>
                    <a:prstGeom prst="rect">
                      <a:avLst/>
                    </a:prstGeom>
                    <a:ln>
                      <a:noFill/>
                    </a:ln>
                    <a:extLst>
                      <a:ext uri="{53640926-AAD7-44D8-BBD7-CCE9431645EC}">
                        <a14:shadowObscured xmlns:a14="http://schemas.microsoft.com/office/drawing/2010/main"/>
                      </a:ext>
                    </a:extLst>
                  </pic:spPr>
                </pic:pic>
              </a:graphicData>
            </a:graphic>
          </wp:inline>
        </w:drawing>
      </w:r>
    </w:p>
    <w:p w14:paraId="3518969B" w14:textId="77777777" w:rsidR="00EA6420" w:rsidRPr="00965B70" w:rsidRDefault="00EA6420" w:rsidP="00EA6420">
      <w:pPr>
        <w:pStyle w:val="Heading1"/>
        <w:rPr>
          <w:lang w:val="en-AU"/>
        </w:rPr>
      </w:pPr>
      <w:bookmarkStart w:id="47" w:name="_Toc219895325"/>
      <w:bookmarkStart w:id="48" w:name="_Toc219975418"/>
      <w:r w:rsidRPr="00965B70">
        <w:rPr>
          <w:lang w:val="en-AU"/>
        </w:rPr>
        <w:lastRenderedPageBreak/>
        <w:t>Groundwater sustainable yield</w:t>
      </w:r>
      <w:bookmarkEnd w:id="47"/>
      <w:bookmarkEnd w:id="48"/>
    </w:p>
    <w:p w14:paraId="6FFB17FD" w14:textId="382405A8" w:rsidR="00B25A77" w:rsidRPr="00965B70" w:rsidRDefault="00B25A77" w:rsidP="00B25A77">
      <w:pPr>
        <w:pStyle w:val="HightlightBox"/>
        <w:spacing w:after="0"/>
        <w:ind w:left="284"/>
        <w:rPr>
          <w:b/>
          <w:bCs/>
          <w:sz w:val="28"/>
          <w:szCs w:val="28"/>
        </w:rPr>
      </w:pPr>
      <w:bookmarkStart w:id="49" w:name="_Hlk181021609"/>
      <w:r w:rsidRPr="00965B70">
        <w:rPr>
          <w:b/>
          <w:bCs/>
          <w:sz w:val="28"/>
          <w:szCs w:val="28"/>
        </w:rPr>
        <w:t>Key Points</w:t>
      </w:r>
    </w:p>
    <w:p w14:paraId="0F26BC0A" w14:textId="64B0DC2A" w:rsidR="00EA6420" w:rsidRPr="00965B70" w:rsidRDefault="00EA6420" w:rsidP="00B133FF">
      <w:pPr>
        <w:pStyle w:val="HightlightBox"/>
        <w:numPr>
          <w:ilvl w:val="0"/>
          <w:numId w:val="28"/>
        </w:numPr>
        <w:spacing w:after="120"/>
        <w:ind w:left="567" w:hanging="283"/>
      </w:pPr>
      <w:proofErr w:type="gramStart"/>
      <w:r w:rsidRPr="00965B70">
        <w:t>For the purpose of</w:t>
      </w:r>
      <w:proofErr w:type="gramEnd"/>
      <w:r w:rsidRPr="00965B70">
        <w:t xml:space="preserve"> this assessment, groundwater sustainable yield is defined as </w:t>
      </w:r>
      <w:r w:rsidRPr="00965B70">
        <w:rPr>
          <w:i/>
          <w:iCs/>
        </w:rPr>
        <w:t>“the groundwater extraction regime measured over a 20-year planning timeframe, allowing for acceptable levels of impact (10m in confined aquifers and 2m in unconfined aquifers) that protect groundwater dependent values”</w:t>
      </w:r>
      <w:r w:rsidRPr="00965B70">
        <w:t>.</w:t>
      </w:r>
    </w:p>
    <w:p w14:paraId="5C087212" w14:textId="77777777" w:rsidR="00EA6420" w:rsidRPr="00965B70" w:rsidRDefault="00EA6420" w:rsidP="00B133FF">
      <w:pPr>
        <w:pStyle w:val="HightlightBox"/>
        <w:numPr>
          <w:ilvl w:val="0"/>
          <w:numId w:val="28"/>
        </w:numPr>
        <w:spacing w:after="120"/>
        <w:ind w:left="567" w:hanging="283"/>
      </w:pPr>
      <w:r w:rsidRPr="00965B70">
        <w:t>The method used to calculate sustainable yield volumes prioritised simplicity and cost-effectiveness tailored to address uncertainties that affect decision making.</w:t>
      </w:r>
    </w:p>
    <w:p w14:paraId="4B0CFD59" w14:textId="77777777" w:rsidR="00EA6420" w:rsidRPr="00965B70" w:rsidRDefault="00EA6420" w:rsidP="00B133FF">
      <w:pPr>
        <w:pStyle w:val="HightlightBox"/>
        <w:numPr>
          <w:ilvl w:val="0"/>
          <w:numId w:val="28"/>
        </w:numPr>
        <w:spacing w:after="360"/>
        <w:ind w:left="567" w:hanging="283"/>
      </w:pPr>
      <w:r w:rsidRPr="00965B70">
        <w:t>In areas where simple or generic methods may not be appropriate more specific methods are to be developed.</w:t>
      </w:r>
    </w:p>
    <w:p w14:paraId="4C600CE2" w14:textId="77777777" w:rsidR="00EA6420" w:rsidRPr="00965B70" w:rsidRDefault="00EA6420" w:rsidP="00B25A77">
      <w:pPr>
        <w:pStyle w:val="Heading2"/>
        <w:spacing w:before="240"/>
        <w:rPr>
          <w:lang w:val="en-AU"/>
        </w:rPr>
      </w:pPr>
      <w:bookmarkStart w:id="50" w:name="_Toc219895326"/>
      <w:bookmarkStart w:id="51" w:name="_Toc219975419"/>
      <w:bookmarkEnd w:id="49"/>
      <w:r w:rsidRPr="00965B70">
        <w:rPr>
          <w:lang w:val="en-AU"/>
        </w:rPr>
        <w:t>The Sustainable Yield Assessment</w:t>
      </w:r>
      <w:bookmarkEnd w:id="50"/>
      <w:bookmarkEnd w:id="51"/>
    </w:p>
    <w:p w14:paraId="55A2FECB" w14:textId="77777777" w:rsidR="00965B70" w:rsidRDefault="00EA6420" w:rsidP="00EA6420">
      <w:pPr>
        <w:pStyle w:val="BodyText"/>
        <w:rPr>
          <w:lang w:val="en-AU"/>
        </w:rPr>
      </w:pPr>
      <w:r w:rsidRPr="00965B70">
        <w:rPr>
          <w:lang w:val="en-AU"/>
        </w:rPr>
        <w:t>The Sustainable Yield Assessment responds to the need to have up-to-date data to enable us to understand groundwater availability and sustainability. Victorian government agencies must be able to act if the assumptions regarding available groundwater become outdated or inaccurate.</w:t>
      </w:r>
    </w:p>
    <w:p w14:paraId="3E95F65A" w14:textId="0D5D76CB" w:rsidR="00EA6420" w:rsidRPr="00965B70" w:rsidRDefault="00EA6420" w:rsidP="00EA6420">
      <w:pPr>
        <w:pStyle w:val="BodyText"/>
        <w:rPr>
          <w:lang w:val="en-AU"/>
        </w:rPr>
      </w:pPr>
      <w:r w:rsidRPr="00965B70">
        <w:rPr>
          <w:lang w:val="en-AU"/>
        </w:rPr>
        <w:t>The Sustainable Yield Assessment provides a new information source that will support the next evolution in groundwater management, including in managing risks from climate change, now and into the future. It is the first time we have done a statewide assessment of groundwater availability across all Victoria.</w:t>
      </w:r>
    </w:p>
    <w:p w14:paraId="1A18B835" w14:textId="77777777" w:rsidR="00EA6420" w:rsidRPr="00965B70" w:rsidRDefault="00EA6420" w:rsidP="00F873D9">
      <w:pPr>
        <w:pStyle w:val="BodyText"/>
        <w:spacing w:after="200"/>
        <w:rPr>
          <w:lang w:val="en-AU"/>
        </w:rPr>
      </w:pPr>
      <w:r w:rsidRPr="00965B70">
        <w:rPr>
          <w:lang w:val="en-AU"/>
        </w:rPr>
        <w:t xml:space="preserve">The Sustainable Yield Assessment provides important information to water managers and users, improving transparency and a shared understanding. It will enable more informed </w:t>
      </w:r>
      <w:r w:rsidRPr="00965B70">
        <w:rPr>
          <w:lang w:val="en-AU"/>
        </w:rPr>
        <w:lastRenderedPageBreak/>
        <w:t>and adaptive decision making to support sustainable groundwater use, where reliability of supply and groundwater-dependent ecosystems are protected.</w:t>
      </w:r>
    </w:p>
    <w:p w14:paraId="415F971B" w14:textId="77777777" w:rsidR="00EA6420" w:rsidRPr="00965B70" w:rsidRDefault="00EA6420" w:rsidP="00F873D9">
      <w:pPr>
        <w:pStyle w:val="BodyText"/>
        <w:spacing w:after="200"/>
        <w:rPr>
          <w:lang w:val="en-AU"/>
        </w:rPr>
      </w:pPr>
      <w:r w:rsidRPr="00965B70">
        <w:rPr>
          <w:lang w:val="en-AU"/>
        </w:rPr>
        <w:t>The Sustainable Yield Assessment was applied to all aquifer types across Victoria. It used all existing information known about historical and current use and management in local and regional groundwater landscapes to determine potential for future adverse impacts from climate change and increased groundwater use.</w:t>
      </w:r>
    </w:p>
    <w:p w14:paraId="7E0E2354" w14:textId="77777777" w:rsidR="00965B70" w:rsidRDefault="00EA6420" w:rsidP="00F873D9">
      <w:pPr>
        <w:pStyle w:val="BodyText"/>
        <w:spacing w:after="200"/>
        <w:rPr>
          <w:lang w:val="en-AU"/>
        </w:rPr>
      </w:pPr>
      <w:r w:rsidRPr="00965B70">
        <w:rPr>
          <w:lang w:val="en-AU"/>
        </w:rPr>
        <w:t>The objectives of the Sustainable Yield Assessment are to develop simple and cost-effective statewide generic methods for evaluating sustainable yield volumes and their uncertainties. In areas where simple or generic methods may not be appropriate more specific methods are to be developed.</w:t>
      </w:r>
    </w:p>
    <w:p w14:paraId="003A2437" w14:textId="6915A2A9" w:rsidR="00EA6420" w:rsidRPr="00965B70" w:rsidRDefault="00EA6420" w:rsidP="00F873D9">
      <w:pPr>
        <w:pStyle w:val="BodyText"/>
        <w:spacing w:after="200"/>
        <w:rPr>
          <w:lang w:val="en-AU"/>
        </w:rPr>
      </w:pPr>
      <w:r w:rsidRPr="00965B70">
        <w:rPr>
          <w:lang w:val="en-AU"/>
        </w:rPr>
        <w:t>Groundwater sustainable yield is defined as the groundwater extraction regime measured over a 20-year planning timeframe, allowing for acceptable levels of impact that protect dependent values. This is defined as change in regional groundwater levels since groundwater development and is 10m for confined aquifers and 2m for unconfined aquifers. These are called sustainable yield metrics.</w:t>
      </w:r>
    </w:p>
    <w:p w14:paraId="518C0AA0" w14:textId="77777777" w:rsidR="00EA6420" w:rsidRPr="00965B70" w:rsidRDefault="00EA6420" w:rsidP="00F873D9">
      <w:pPr>
        <w:pStyle w:val="BodyText"/>
        <w:spacing w:after="200"/>
        <w:rPr>
          <w:lang w:val="en-AU"/>
        </w:rPr>
      </w:pPr>
      <w:r w:rsidRPr="00965B70">
        <w:rPr>
          <w:lang w:val="en-AU"/>
        </w:rPr>
        <w:t xml:space="preserve">The Sustainable Yield Assessment utilises extensive data sets and hydrogeological information that has been obtained since the last state-wide assessments for caps in the 1990s. In addition to an expanded groundwater level observation network established in the 1970s, this includes metered groundwater use since 2004, and many hydrogeological studies and assessments. </w:t>
      </w:r>
      <w:bookmarkStart w:id="52" w:name="_Hlk195695164"/>
      <w:r w:rsidRPr="00965B70">
        <w:rPr>
          <w:lang w:val="en-AU"/>
        </w:rPr>
        <w:t>Technological advances in computing contribute significantly to this assessment, with new modelling and statistical analyses, information systems (databases, geographic information systems (GIS)) used for the analysis of these statewide data sets, and presentation of outputs statewide.</w:t>
      </w:r>
      <w:bookmarkEnd w:id="52"/>
    </w:p>
    <w:p w14:paraId="3F128EC8" w14:textId="77777777" w:rsidR="00325877" w:rsidRPr="00BE17F2" w:rsidRDefault="00325877" w:rsidP="00325877">
      <w:pPr>
        <w:pStyle w:val="BodyText"/>
        <w:rPr>
          <w:rFonts w:cstheme="minorHAnsi"/>
          <w:lang w:val="en-US"/>
        </w:rPr>
      </w:pPr>
      <w:bookmarkStart w:id="53" w:name="_Toc219895327"/>
      <w:bookmarkStart w:id="54" w:name="_Toc219975420"/>
      <w:r w:rsidRPr="001D61BA">
        <w:t xml:space="preserve">The specific outputs of the assessed sustainable yields are expressed as ML/yr for the current </w:t>
      </w:r>
      <w:r>
        <w:t xml:space="preserve">GMUs, with some GMUs assessed as multiple GMU zones, </w:t>
      </w:r>
      <w:r w:rsidRPr="001D61BA">
        <w:t xml:space="preserve">and for the </w:t>
      </w:r>
      <w:r>
        <w:t>UAs</w:t>
      </w:r>
      <w:r w:rsidRPr="001D61BA">
        <w:t xml:space="preserve"> (new </w:t>
      </w:r>
      <w:r w:rsidRPr="001D61BA">
        <w:lastRenderedPageBreak/>
        <w:t>project study areas).</w:t>
      </w:r>
      <w:r w:rsidRPr="001815C2">
        <w:rPr>
          <w:rFonts w:cstheme="minorHAnsi"/>
          <w:lang w:val="en-US"/>
        </w:rPr>
        <w:t xml:space="preserve"> </w:t>
      </w:r>
      <w:r w:rsidRPr="00DB6886">
        <w:rPr>
          <w:rFonts w:cstheme="minorHAnsi"/>
        </w:rPr>
        <w:t>Some GMUs have</w:t>
      </w:r>
      <w:r>
        <w:rPr>
          <w:rFonts w:cstheme="minorHAnsi"/>
        </w:rPr>
        <w:t xml:space="preserve"> been assessed at a</w:t>
      </w:r>
      <w:r w:rsidRPr="00DB6886">
        <w:rPr>
          <w:rFonts w:cstheme="minorHAnsi"/>
        </w:rPr>
        <w:t xml:space="preserve"> sub-zone</w:t>
      </w:r>
      <w:r>
        <w:rPr>
          <w:rFonts w:cstheme="minorHAnsi"/>
        </w:rPr>
        <w:t xml:space="preserve"> level</w:t>
      </w:r>
      <w:r w:rsidRPr="00DB6886">
        <w:rPr>
          <w:rFonts w:cstheme="minorHAnsi"/>
        </w:rPr>
        <w:t xml:space="preserve">, </w:t>
      </w:r>
      <w:r>
        <w:rPr>
          <w:rFonts w:cstheme="minorHAnsi"/>
        </w:rPr>
        <w:t>which means one GMU will have multiple</w:t>
      </w:r>
      <w:r w:rsidRPr="00DB6886">
        <w:rPr>
          <w:rFonts w:cstheme="minorHAnsi"/>
        </w:rPr>
        <w:t xml:space="preserve"> sustainable yield</w:t>
      </w:r>
      <w:r>
        <w:rPr>
          <w:rFonts w:cstheme="minorHAnsi"/>
        </w:rPr>
        <w:t>s</w:t>
      </w:r>
      <w:r w:rsidRPr="00DB6886">
        <w:rPr>
          <w:rFonts w:cstheme="minorHAnsi"/>
        </w:rPr>
        <w:t>.</w:t>
      </w:r>
    </w:p>
    <w:p w14:paraId="61F0DE79" w14:textId="77777777" w:rsidR="00965B70" w:rsidRDefault="00EA6420" w:rsidP="00F873D9">
      <w:pPr>
        <w:pStyle w:val="Heading2"/>
        <w:rPr>
          <w:lang w:val="en-AU"/>
        </w:rPr>
      </w:pPr>
      <w:r w:rsidRPr="00965B70">
        <w:rPr>
          <w:lang w:val="en-AU"/>
        </w:rPr>
        <w:t>Calculating groundwater sustainable yields</w:t>
      </w:r>
      <w:bookmarkEnd w:id="53"/>
      <w:bookmarkEnd w:id="54"/>
    </w:p>
    <w:p w14:paraId="3355440C" w14:textId="672718D7" w:rsidR="00EA6420" w:rsidRPr="00965B70" w:rsidRDefault="00EA6420" w:rsidP="00EA6420">
      <w:pPr>
        <w:pStyle w:val="BodyText"/>
        <w:rPr>
          <w:lang w:val="en-AU"/>
        </w:rPr>
      </w:pPr>
      <w:r w:rsidRPr="00965B70">
        <w:rPr>
          <w:lang w:val="en-AU"/>
        </w:rPr>
        <w:t>Sustainable yield volumes, expressed as ML/yr, were calculated based on the relationship of groundwater level declines from use (and climate for unconfined aquifers) for each GMU. The drawdown–use relationships were derived from statistical models. These models used statewide data of groundwater level observations and metered use, as well as climate data for unconfined aquifers. Each sustainable yield volume comes with a measure of the uncertainty of the assessment.</w:t>
      </w:r>
    </w:p>
    <w:p w14:paraId="6DE61BEC" w14:textId="740FDDBC" w:rsidR="00965B70" w:rsidRDefault="00EA6420" w:rsidP="00EA6420">
      <w:pPr>
        <w:pStyle w:val="BodyText"/>
        <w:rPr>
          <w:lang w:val="en-AU"/>
        </w:rPr>
      </w:pPr>
      <w:r w:rsidRPr="00965B70">
        <w:rPr>
          <w:lang w:val="en-AU"/>
        </w:rPr>
        <w:t>For confined aquifer GMUs, the calculated sustainable yield volume is the annual volume extracted that results in the regional 10 m drawdown over 20 years (</w:t>
      </w:r>
      <w:r w:rsidR="00AE0A5C" w:rsidRPr="00965B70">
        <w:rPr>
          <w:b/>
          <w:bCs/>
          <w:lang w:val="en-AU"/>
        </w:rPr>
        <w:fldChar w:fldCharType="begin"/>
      </w:r>
      <w:r w:rsidR="00AE0A5C" w:rsidRPr="00965B70">
        <w:rPr>
          <w:b/>
          <w:bCs/>
          <w:lang w:val="en-AU"/>
        </w:rPr>
        <w:instrText xml:space="preserve"> REF _Ref219974679 \h  \* MERGEFORMAT </w:instrText>
      </w:r>
      <w:r w:rsidR="00AE0A5C" w:rsidRPr="00965B70">
        <w:rPr>
          <w:b/>
          <w:bCs/>
          <w:lang w:val="en-AU"/>
        </w:rPr>
      </w:r>
      <w:r w:rsidR="00AE0A5C" w:rsidRPr="00965B70">
        <w:rPr>
          <w:b/>
          <w:bCs/>
          <w:lang w:val="en-AU"/>
        </w:rPr>
        <w:fldChar w:fldCharType="separate"/>
      </w:r>
      <w:r w:rsidR="00D76D09" w:rsidRPr="00D76D09">
        <w:rPr>
          <w:b/>
          <w:bCs/>
          <w:lang w:val="en-AU"/>
        </w:rPr>
        <w:t>Figure 7</w:t>
      </w:r>
      <w:r w:rsidR="00AE0A5C" w:rsidRPr="00965B70">
        <w:rPr>
          <w:b/>
          <w:bCs/>
          <w:lang w:val="en-AU"/>
        </w:rPr>
        <w:fldChar w:fldCharType="end"/>
      </w:r>
      <w:r w:rsidR="00AE0A5C" w:rsidRPr="00965B70">
        <w:rPr>
          <w:b/>
          <w:bCs/>
          <w:lang w:val="en-AU"/>
        </w:rPr>
        <w:t>a</w:t>
      </w:r>
      <w:r w:rsidRPr="00965B70">
        <w:rPr>
          <w:lang w:val="en-AU"/>
        </w:rPr>
        <w:t>).</w:t>
      </w:r>
    </w:p>
    <w:p w14:paraId="7692EE51" w14:textId="3EE00629" w:rsidR="00965B70" w:rsidRDefault="00EA6420" w:rsidP="00EA6420">
      <w:pPr>
        <w:pStyle w:val="BodyText"/>
        <w:rPr>
          <w:lang w:val="en-AU"/>
        </w:rPr>
      </w:pPr>
      <w:r w:rsidRPr="00965B70">
        <w:rPr>
          <w:lang w:val="en-AU"/>
        </w:rPr>
        <w:t>For unconfined aquifer GMUs, the calculated sustainable yield volume is the annual volume extracted that results in a 2m average recovered drawdown over the 20-year period 2021–40 (</w:t>
      </w:r>
      <w:r w:rsidR="00AE0A5C" w:rsidRPr="00965B70">
        <w:rPr>
          <w:b/>
          <w:bCs/>
          <w:lang w:val="en-AU"/>
        </w:rPr>
        <w:fldChar w:fldCharType="begin"/>
      </w:r>
      <w:r w:rsidR="00AE0A5C" w:rsidRPr="00965B70">
        <w:rPr>
          <w:b/>
          <w:bCs/>
          <w:lang w:val="en-AU"/>
        </w:rPr>
        <w:instrText xml:space="preserve"> REF _Ref219974679 \h  \* MERGEFORMAT </w:instrText>
      </w:r>
      <w:r w:rsidR="00AE0A5C" w:rsidRPr="00965B70">
        <w:rPr>
          <w:b/>
          <w:bCs/>
          <w:lang w:val="en-AU"/>
        </w:rPr>
      </w:r>
      <w:r w:rsidR="00AE0A5C" w:rsidRPr="00965B70">
        <w:rPr>
          <w:b/>
          <w:bCs/>
          <w:lang w:val="en-AU"/>
        </w:rPr>
        <w:fldChar w:fldCharType="separate"/>
      </w:r>
      <w:r w:rsidR="00D76D09" w:rsidRPr="00D76D09">
        <w:rPr>
          <w:b/>
          <w:bCs/>
          <w:lang w:val="en-AU"/>
        </w:rPr>
        <w:t>Figure 7</w:t>
      </w:r>
      <w:r w:rsidR="00AE0A5C" w:rsidRPr="00965B70">
        <w:rPr>
          <w:b/>
          <w:bCs/>
          <w:lang w:val="en-AU"/>
        </w:rPr>
        <w:fldChar w:fldCharType="end"/>
      </w:r>
      <w:r w:rsidR="00AE0A5C" w:rsidRPr="00965B70">
        <w:rPr>
          <w:b/>
          <w:bCs/>
          <w:lang w:val="en-AU"/>
        </w:rPr>
        <w:t>b</w:t>
      </w:r>
      <w:r w:rsidRPr="00965B70">
        <w:rPr>
          <w:lang w:val="en-AU"/>
        </w:rPr>
        <w:t>). The modelled scenario is based on historic rainfall from 1975 to 2020, with a high greenhouse emissions scenario (RCP8.5), and modelling low, medium and high scenarios for 2040 and 2065. The 2040 no climate change scenario was used to estimate the sustainable yield volume. The no climate change scenario provides the baseline to assess the impact of future use and climate change and enables the verification of results against historical use and climate conditions.</w:t>
      </w:r>
    </w:p>
    <w:p w14:paraId="1DF0F22E" w14:textId="2FCA14F6" w:rsidR="00EA6420" w:rsidRPr="00965B70" w:rsidRDefault="00EA6420" w:rsidP="00EA6420">
      <w:pPr>
        <w:pStyle w:val="BodyText"/>
        <w:rPr>
          <w:lang w:val="en-AU"/>
        </w:rPr>
      </w:pPr>
      <w:r w:rsidRPr="00965B70">
        <w:rPr>
          <w:lang w:val="en-AU"/>
        </w:rPr>
        <w:t xml:space="preserve">In areas outside of GMUs, there is limited information on groundwater use and level. In these areas, the sustainable yield volumes are calculated from a percentage of throughflow for confined aquifers, and a percentage of recharge for unconfined aquifers. The percentages are calculated based on the average values across GMUs with accepted drawdown–use relationships. For confined aquifer UAs, a state-wide area-weighted </w:t>
      </w:r>
      <w:r w:rsidRPr="00965B70">
        <w:rPr>
          <w:lang w:val="en-AU"/>
        </w:rPr>
        <w:lastRenderedPageBreak/>
        <w:t>average of 30% of throughflow was used to estimate sustainable yield volumes. For unconfined aquifer UAs, the percentage applied was based on the average across GMUs with accepted drawdown–use relationships, resulting in a value of 3% of recharge.</w:t>
      </w:r>
    </w:p>
    <w:p w14:paraId="3F8784BC" w14:textId="77777777" w:rsidR="00EA6420" w:rsidRPr="00965B70" w:rsidRDefault="00EA6420" w:rsidP="00F873D9">
      <w:pPr>
        <w:pStyle w:val="BodyText"/>
        <w:spacing w:after="120"/>
        <w:rPr>
          <w:lang w:val="en-AU"/>
        </w:rPr>
      </w:pPr>
      <w:r w:rsidRPr="00965B70">
        <w:rPr>
          <w:lang w:val="en-AU"/>
        </w:rPr>
        <w:t>Semi-confined aquifer GMUs have been identified in northern and central Victoria. Most of these GMUs are unconfined with part of the aquifer confined or identified as having inter-aquifer leakage/connection. The degree of connection can be highly variable. For the purposes of reporting sustainable yield volumes, the semi-confined aquifer GMUs are reported with unconfined aquifer GMUs.</w:t>
      </w:r>
    </w:p>
    <w:p w14:paraId="4CFBF8B6" w14:textId="77777777" w:rsidR="00EA6420" w:rsidRPr="00965B70" w:rsidRDefault="00EA6420" w:rsidP="00F873D9">
      <w:pPr>
        <w:pStyle w:val="Heading2"/>
        <w:spacing w:after="240"/>
        <w:rPr>
          <w:lang w:val="en-AU"/>
        </w:rPr>
      </w:pPr>
      <w:bookmarkStart w:id="55" w:name="_Toc219895328"/>
      <w:bookmarkStart w:id="56" w:name="_Toc219975421"/>
      <w:r w:rsidRPr="00965B70">
        <w:rPr>
          <w:lang w:val="en-AU"/>
        </w:rPr>
        <w:t>Groundwater availability and risk</w:t>
      </w:r>
      <w:r w:rsidRPr="00965B70" w:rsidDel="00B11DA1">
        <w:rPr>
          <w:lang w:val="en-AU"/>
        </w:rPr>
        <w:t xml:space="preserve"> </w:t>
      </w:r>
      <w:r w:rsidRPr="00965B70">
        <w:rPr>
          <w:lang w:val="en-AU"/>
        </w:rPr>
        <w:t>to sustainability</w:t>
      </w:r>
      <w:bookmarkEnd w:id="55"/>
      <w:bookmarkEnd w:id="56"/>
    </w:p>
    <w:p w14:paraId="798144D7" w14:textId="77777777" w:rsidR="00EA6420" w:rsidRPr="00965B70" w:rsidRDefault="00EA6420" w:rsidP="00F873D9">
      <w:pPr>
        <w:pStyle w:val="BodyText"/>
        <w:spacing w:after="180"/>
        <w:rPr>
          <w:lang w:val="en-AU"/>
        </w:rPr>
      </w:pPr>
      <w:r w:rsidRPr="00965B70">
        <w:rPr>
          <w:lang w:val="en-AU"/>
        </w:rPr>
        <w:t>The risk to groundwater sustainability (that potential for groundwater level decline below acceptable levels) is assessed through comparison of groundwater use against sustainable yield volumes to identify current risk. The uncertainty in the sustainable yield volume, represented by the upper and lower bounds of sustainable yield, can increase or decrease this risk to sustainability.</w:t>
      </w:r>
    </w:p>
    <w:p w14:paraId="4ED57ECF" w14:textId="42F9AA3A" w:rsidR="00F873D9" w:rsidRPr="00965B70" w:rsidRDefault="00EA6420" w:rsidP="00F873D9">
      <w:pPr>
        <w:pStyle w:val="BodyText"/>
        <w:spacing w:after="120"/>
        <w:ind w:right="-427"/>
        <w:rPr>
          <w:lang w:val="en-AU"/>
        </w:rPr>
      </w:pPr>
      <w:r w:rsidRPr="00965B70">
        <w:rPr>
          <w:lang w:val="en-AU"/>
        </w:rPr>
        <w:t>The future risk to sustainability is assessed by reviewing the potential for increases in use up to the limits of take and/or due to climate change reducing groundwater recharge in unconfined aquifers. The potential for future use to increase up to the limits of take is the most significant risk as current statewide use is at around 35% of licensed entitlements (</w:t>
      </w:r>
      <w:r w:rsidR="00AE0A5C" w:rsidRPr="00965B70">
        <w:rPr>
          <w:b/>
          <w:bCs/>
          <w:lang w:val="en-AU"/>
        </w:rPr>
        <w:fldChar w:fldCharType="begin"/>
      </w:r>
      <w:r w:rsidR="00AE0A5C" w:rsidRPr="00965B70">
        <w:rPr>
          <w:lang w:val="en-AU"/>
        </w:rPr>
        <w:instrText xml:space="preserve"> REF _Ref219974808 \h </w:instrText>
      </w:r>
      <w:r w:rsidR="00AE0A5C" w:rsidRPr="00965B70">
        <w:rPr>
          <w:b/>
          <w:bCs/>
          <w:lang w:val="en-AU"/>
        </w:rPr>
      </w:r>
      <w:r w:rsidR="00AE0A5C" w:rsidRPr="00965B70">
        <w:rPr>
          <w:b/>
          <w:bCs/>
          <w:lang w:val="en-AU"/>
        </w:rPr>
        <w:fldChar w:fldCharType="separate"/>
      </w:r>
      <w:r w:rsidR="00D76D09" w:rsidRPr="00965B70">
        <w:rPr>
          <w:b/>
          <w:bCs/>
          <w:lang w:val="en-AU"/>
        </w:rPr>
        <w:t xml:space="preserve">Figure </w:t>
      </w:r>
      <w:r w:rsidR="00D76D09">
        <w:rPr>
          <w:b/>
          <w:bCs/>
          <w:noProof/>
          <w:lang w:val="en-AU"/>
        </w:rPr>
        <w:t>8</w:t>
      </w:r>
      <w:r w:rsidR="00AE0A5C" w:rsidRPr="00965B70">
        <w:rPr>
          <w:b/>
          <w:bCs/>
          <w:lang w:val="en-AU"/>
        </w:rPr>
        <w:fldChar w:fldCharType="end"/>
      </w:r>
      <w:r w:rsidRPr="00965B70">
        <w:rPr>
          <w:lang w:val="en-AU"/>
        </w:rPr>
        <w:t>).</w:t>
      </w:r>
    </w:p>
    <w:p w14:paraId="2A39741E" w14:textId="72534014" w:rsidR="00F873D9" w:rsidRPr="00965B70" w:rsidRDefault="00F873D9" w:rsidP="00F873D9">
      <w:pPr>
        <w:pStyle w:val="BodyText"/>
        <w:spacing w:after="0"/>
        <w:rPr>
          <w:lang w:val="en-AU"/>
        </w:rPr>
      </w:pPr>
      <w:bookmarkStart w:id="57" w:name="_Ref219974808"/>
      <w:bookmarkStart w:id="58" w:name="_Toc219975561"/>
      <w:r w:rsidRPr="00965B70">
        <w:rPr>
          <w:b/>
          <w:bCs/>
          <w:lang w:val="en-AU"/>
        </w:rPr>
        <w:t xml:space="preserve">Figure </w:t>
      </w:r>
      <w:r w:rsidRPr="00965B70">
        <w:rPr>
          <w:b/>
          <w:bCs/>
          <w:lang w:val="en-AU"/>
        </w:rPr>
        <w:fldChar w:fldCharType="begin"/>
      </w:r>
      <w:r w:rsidRPr="00965B70">
        <w:rPr>
          <w:b/>
          <w:bCs/>
          <w:lang w:val="en-AU"/>
        </w:rPr>
        <w:instrText xml:space="preserve"> SEQ Figure \* ARABIC </w:instrText>
      </w:r>
      <w:r w:rsidRPr="00965B70">
        <w:rPr>
          <w:b/>
          <w:bCs/>
          <w:lang w:val="en-AU"/>
        </w:rPr>
        <w:fldChar w:fldCharType="separate"/>
      </w:r>
      <w:r w:rsidR="00D76D09">
        <w:rPr>
          <w:b/>
          <w:bCs/>
          <w:noProof/>
          <w:lang w:val="en-AU"/>
        </w:rPr>
        <w:t>8</w:t>
      </w:r>
      <w:r w:rsidRPr="00965B70">
        <w:rPr>
          <w:b/>
          <w:bCs/>
          <w:lang w:val="en-AU"/>
        </w:rPr>
        <w:fldChar w:fldCharType="end"/>
      </w:r>
      <w:bookmarkEnd w:id="57"/>
      <w:r w:rsidRPr="00965B70">
        <w:rPr>
          <w:b/>
          <w:bCs/>
          <w:lang w:val="en-AU"/>
        </w:rPr>
        <w:t>:</w:t>
      </w:r>
      <w:r w:rsidRPr="00965B70">
        <w:rPr>
          <w:lang w:val="en-AU"/>
        </w:rPr>
        <w:t xml:space="preserve"> Groundwater annual licensed entitlement and use in Victoria (1969-2023).</w:t>
      </w:r>
      <w:bookmarkEnd w:id="58"/>
    </w:p>
    <w:p w14:paraId="42B3826E" w14:textId="77777777" w:rsidR="00EA6420" w:rsidRPr="00965B70" w:rsidRDefault="00EA6420" w:rsidP="00F873D9">
      <w:pPr>
        <w:pStyle w:val="BodyText"/>
        <w:jc w:val="center"/>
        <w:rPr>
          <w:lang w:val="en-AU"/>
        </w:rPr>
      </w:pPr>
      <w:r w:rsidRPr="00965B70">
        <w:rPr>
          <w:noProof/>
          <w:lang w:val="en-AU"/>
        </w:rPr>
        <w:lastRenderedPageBreak/>
        <w:drawing>
          <wp:inline distT="0" distB="0" distL="0" distR="0" wp14:anchorId="0F960C9F" wp14:editId="447A504D">
            <wp:extent cx="5697941" cy="3186209"/>
            <wp:effectExtent l="0" t="0" r="4445" b="1905"/>
            <wp:docPr id="2082275912" name="Picture 1" descr="Groundwater development has occurred since the 1970s with significant development up to early 2000s when groundwater caps were introduced.  Licensed groundwater take volumes are shown from 1967 to 2020 with little change since early 2000s. Licensed groundwater volumes are just under 1000 GL/yr. Metered use is shown from early 2000s with annual use typically between 200 and 400 GL/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5912" name="Picture 1" descr="Groundwater development has occurred since the 1970s with significant development up to early 2000s when groundwater caps were introduced.  Licensed groundwater take volumes are shown from 1967 to 2020 with little change since early 2000s. Licensed groundwater volumes are just under 1000 GL/yr. Metered use is shown from early 2000s with annual use typically between 200 and 400 GL/y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95901" cy="3240987"/>
                    </a:xfrm>
                    <a:prstGeom prst="rect">
                      <a:avLst/>
                    </a:prstGeom>
                    <a:noFill/>
                  </pic:spPr>
                </pic:pic>
              </a:graphicData>
            </a:graphic>
          </wp:inline>
        </w:drawing>
      </w:r>
    </w:p>
    <w:p w14:paraId="1CAACB50" w14:textId="53B082EF" w:rsidR="004B49C5" w:rsidRPr="00965B70" w:rsidRDefault="00EA6420" w:rsidP="00C81A76">
      <w:pPr>
        <w:pStyle w:val="Heading1"/>
        <w:spacing w:after="240"/>
        <w:rPr>
          <w:lang w:val="en-AU"/>
        </w:rPr>
      </w:pPr>
      <w:r w:rsidRPr="00965B70">
        <w:rPr>
          <w:rFonts w:cs="Times New Roman (Body CS)"/>
          <w:kern w:val="24"/>
          <w:lang w:val="en-AU"/>
        </w:rPr>
        <w:br w:type="page"/>
      </w:r>
      <w:bookmarkStart w:id="59" w:name="_Toc219975422"/>
      <w:r w:rsidR="004B49C5" w:rsidRPr="00965B70">
        <w:rPr>
          <w:lang w:val="en-AU"/>
        </w:rPr>
        <w:lastRenderedPageBreak/>
        <w:t>Summary of results</w:t>
      </w:r>
      <w:bookmarkEnd w:id="59"/>
    </w:p>
    <w:p w14:paraId="5F4684F7" w14:textId="605211FC" w:rsidR="004B49C5" w:rsidRPr="00965B70" w:rsidRDefault="004B49C5" w:rsidP="004B49C5">
      <w:pPr>
        <w:pStyle w:val="HightlightBox"/>
        <w:spacing w:after="0"/>
        <w:ind w:left="284"/>
        <w:rPr>
          <w:b/>
          <w:bCs/>
          <w:sz w:val="28"/>
          <w:szCs w:val="28"/>
        </w:rPr>
      </w:pPr>
      <w:r w:rsidRPr="00965B70">
        <w:rPr>
          <w:b/>
          <w:bCs/>
          <w:sz w:val="28"/>
          <w:szCs w:val="28"/>
        </w:rPr>
        <w:t>Key findings:</w:t>
      </w:r>
    </w:p>
    <w:p w14:paraId="1948089C" w14:textId="77777777" w:rsidR="004B49C5" w:rsidRPr="00965B70" w:rsidRDefault="004B49C5" w:rsidP="00B133FF">
      <w:pPr>
        <w:pStyle w:val="HightlightBox"/>
        <w:numPr>
          <w:ilvl w:val="0"/>
          <w:numId w:val="28"/>
        </w:numPr>
        <w:spacing w:after="60"/>
        <w:ind w:left="567" w:hanging="283"/>
      </w:pPr>
      <w:r w:rsidRPr="00965B70">
        <w:t>Over</w:t>
      </w:r>
      <w:r w:rsidRPr="00965B70" w:rsidDel="008C29F2">
        <w:t xml:space="preserve"> </w:t>
      </w:r>
      <w:r w:rsidRPr="00965B70">
        <w:t>1000 areas have been assessed for sustainable yield.</w:t>
      </w:r>
    </w:p>
    <w:p w14:paraId="7B7F07D5" w14:textId="4D12ACCC" w:rsidR="004B49C5" w:rsidRPr="00965B70" w:rsidRDefault="004B49C5" w:rsidP="00B133FF">
      <w:pPr>
        <w:pStyle w:val="HightlightBox"/>
        <w:numPr>
          <w:ilvl w:val="0"/>
          <w:numId w:val="28"/>
        </w:numPr>
        <w:spacing w:after="60"/>
        <w:ind w:left="567" w:hanging="283"/>
      </w:pPr>
      <w:r w:rsidRPr="00965B70">
        <w:t xml:space="preserve">Most groundwater use in Victoria is less than the sustainable yield. In </w:t>
      </w:r>
      <w:r w:rsidR="00547E70">
        <w:t>six</w:t>
      </w:r>
      <w:r w:rsidRPr="00965B70">
        <w:t xml:space="preserve"> of the 66 GMUs/GMU zones, use exceeds the sustainable yield volumes.</w:t>
      </w:r>
    </w:p>
    <w:p w14:paraId="535C7B4D" w14:textId="77777777" w:rsidR="004B49C5" w:rsidRPr="00965B70" w:rsidRDefault="004B49C5" w:rsidP="00B133FF">
      <w:pPr>
        <w:pStyle w:val="HightlightBox"/>
        <w:numPr>
          <w:ilvl w:val="0"/>
          <w:numId w:val="28"/>
        </w:numPr>
        <w:spacing w:after="60"/>
        <w:ind w:left="567" w:hanging="283"/>
      </w:pPr>
      <w:r w:rsidRPr="00965B70">
        <w:t>Three of these areas have some form of groundwater level restriction triggers already in place to manage groundwater levels.</w:t>
      </w:r>
    </w:p>
    <w:p w14:paraId="1DF31BA8" w14:textId="77777777" w:rsidR="004B49C5" w:rsidRPr="00965B70" w:rsidRDefault="004B49C5" w:rsidP="00B133FF">
      <w:pPr>
        <w:pStyle w:val="HightlightBox"/>
        <w:numPr>
          <w:ilvl w:val="0"/>
          <w:numId w:val="28"/>
        </w:numPr>
        <w:spacing w:after="60"/>
        <w:ind w:left="567" w:hanging="283"/>
      </w:pPr>
      <w:r w:rsidRPr="00965B70">
        <w:t>Climate change is a potential risk to groundwater sustainability for unconfined aquifer GMUs given their connection to surface water.</w:t>
      </w:r>
    </w:p>
    <w:p w14:paraId="1278B7FA" w14:textId="45AB33CC" w:rsidR="004B49C5" w:rsidRPr="00965B70" w:rsidRDefault="004B49C5" w:rsidP="00B133FF">
      <w:pPr>
        <w:pStyle w:val="HightlightBox"/>
        <w:numPr>
          <w:ilvl w:val="0"/>
          <w:numId w:val="28"/>
        </w:numPr>
        <w:spacing w:after="60"/>
        <w:ind w:left="567" w:hanging="283"/>
      </w:pPr>
      <w:r w:rsidRPr="00965B70">
        <w:t xml:space="preserve">The future availability and sustainability of groundwater could be at risk if use increases, particularly where licence entitlement volumes are greater than the sustainable yield in </w:t>
      </w:r>
      <w:r w:rsidR="00547E70">
        <w:t>27</w:t>
      </w:r>
      <w:r w:rsidRPr="00965B70">
        <w:t xml:space="preserve"> GMUs/GMU zones, and the existing licence volume caps exceed the sustainable yield in </w:t>
      </w:r>
      <w:r w:rsidR="00547E70">
        <w:t>39</w:t>
      </w:r>
      <w:r w:rsidRPr="00965B70">
        <w:t xml:space="preserve"> GMUs/GMU zones, and no groundwater level restriction triggers are in place.</w:t>
      </w:r>
    </w:p>
    <w:p w14:paraId="4FB0D349" w14:textId="768C1CBC" w:rsidR="004B49C5" w:rsidRPr="00965B70" w:rsidRDefault="004B49C5" w:rsidP="00B133FF">
      <w:pPr>
        <w:pStyle w:val="HightlightBox"/>
        <w:numPr>
          <w:ilvl w:val="0"/>
          <w:numId w:val="28"/>
        </w:numPr>
        <w:spacing w:after="120"/>
        <w:ind w:left="567" w:hanging="283"/>
      </w:pPr>
      <w:r w:rsidRPr="00965B70">
        <w:t>There are risks in Unincorporated Areas where caps are not in place.</w:t>
      </w:r>
    </w:p>
    <w:p w14:paraId="20E0AC06" w14:textId="4BF6208B" w:rsidR="00AD0951" w:rsidRPr="00965B70" w:rsidRDefault="00AD0951" w:rsidP="00C81A76">
      <w:pPr>
        <w:pStyle w:val="BodyText"/>
        <w:spacing w:before="360" w:after="0"/>
        <w:rPr>
          <w:lang w:val="en-AU"/>
        </w:rPr>
      </w:pPr>
      <w:r w:rsidRPr="00965B70">
        <w:rPr>
          <w:lang w:val="en-AU"/>
        </w:rPr>
        <w:t>The Sustainable Yield Assessment was conducted statewide – over 1000 areas were assessed for sustainable yield, considering both confined and unconfined aquifers (</w:t>
      </w:r>
      <w:r w:rsidR="00AE0A5C" w:rsidRPr="00965B70">
        <w:rPr>
          <w:b/>
          <w:bCs/>
          <w:lang w:val="en-AU"/>
        </w:rPr>
        <w:fldChar w:fldCharType="begin"/>
      </w:r>
      <w:r w:rsidR="00AE0A5C" w:rsidRPr="00965B70">
        <w:rPr>
          <w:b/>
          <w:bCs/>
          <w:lang w:val="en-AU"/>
        </w:rPr>
        <w:instrText xml:space="preserve"> REF _Ref219974905 \h  \* MERGEFORMAT </w:instrText>
      </w:r>
      <w:r w:rsidR="00AE0A5C" w:rsidRPr="00965B70">
        <w:rPr>
          <w:b/>
          <w:bCs/>
          <w:lang w:val="en-AU"/>
        </w:rPr>
      </w:r>
      <w:r w:rsidR="00AE0A5C" w:rsidRPr="00965B70">
        <w:rPr>
          <w:b/>
          <w:bCs/>
          <w:lang w:val="en-AU"/>
        </w:rPr>
        <w:fldChar w:fldCharType="separate"/>
      </w:r>
      <w:r w:rsidR="00D76D09" w:rsidRPr="00D76D09">
        <w:rPr>
          <w:b/>
          <w:bCs/>
          <w:lang w:val="en-AU"/>
        </w:rPr>
        <w:t>Table</w:t>
      </w:r>
      <w:r w:rsidR="00D76D09" w:rsidRPr="00965B70">
        <w:t xml:space="preserve"> </w:t>
      </w:r>
      <w:r w:rsidR="00D76D09">
        <w:rPr>
          <w:noProof/>
        </w:rPr>
        <w:t>1</w:t>
      </w:r>
      <w:r w:rsidR="00AE0A5C" w:rsidRPr="00965B70">
        <w:rPr>
          <w:b/>
          <w:bCs/>
          <w:lang w:val="en-AU"/>
        </w:rPr>
        <w:fldChar w:fldCharType="end"/>
      </w:r>
      <w:r w:rsidRPr="00965B70">
        <w:rPr>
          <w:lang w:val="en-AU"/>
        </w:rPr>
        <w:t>).</w:t>
      </w:r>
    </w:p>
    <w:p w14:paraId="66341F52" w14:textId="77777777" w:rsidR="00AD0951" w:rsidRPr="00965B70" w:rsidRDefault="00AD0951" w:rsidP="00AD0951">
      <w:pPr>
        <w:pStyle w:val="BodyText"/>
        <w:rPr>
          <w:lang w:val="en-AU"/>
        </w:rPr>
      </w:pPr>
      <w:r w:rsidRPr="00965B70">
        <w:rPr>
          <w:lang w:val="en-AU"/>
        </w:rPr>
        <w:t>The Sustainable Yield Assessment did not assign study areas based on salinity which ranges up to 35,000 mg/L total dissolved solids. While the sustainable yield could give the impression that more groundwater is available for use, salinity is a major determinant of usability of groundwater with most licensed groundwater use less than 1800 mg/L total dissolved solids.</w:t>
      </w:r>
    </w:p>
    <w:p w14:paraId="78A26F04" w14:textId="77777777" w:rsidR="00AD0951" w:rsidRPr="00965B70" w:rsidRDefault="00AD0951" w:rsidP="00AD0951">
      <w:pPr>
        <w:pStyle w:val="BodyText"/>
        <w:rPr>
          <w:lang w:val="en-AU"/>
        </w:rPr>
      </w:pPr>
      <w:r w:rsidRPr="00965B70">
        <w:rPr>
          <w:lang w:val="en-AU"/>
        </w:rPr>
        <w:lastRenderedPageBreak/>
        <w:t>A summary of the estimated sustainable yield volumes, including current use and licensed entitlements for each of Victoria’s 66 GMUs/GMU zones are presented in Appendix A. Results for the UAs are provided in the Sustainable Yield Assessment Synthesis Results Report.</w:t>
      </w:r>
    </w:p>
    <w:p w14:paraId="259D1B75" w14:textId="33AEA739" w:rsidR="00AD0951" w:rsidRPr="00965B70" w:rsidRDefault="004B031F" w:rsidP="00AE0A5C">
      <w:pPr>
        <w:pStyle w:val="BodyText"/>
        <w:rPr>
          <w:lang w:val="en-AU"/>
        </w:rPr>
      </w:pPr>
      <w:r>
        <w:rPr>
          <w:lang w:val="en-AU"/>
        </w:rPr>
        <w:t>Fourteen</w:t>
      </w:r>
      <w:r w:rsidR="00AD0951" w:rsidRPr="00965B70">
        <w:rPr>
          <w:lang w:val="en-AU"/>
        </w:rPr>
        <w:t xml:space="preserve"> of the assessed GMUs</w:t>
      </w:r>
      <w:r w:rsidR="00565BA0">
        <w:rPr>
          <w:lang w:val="en-AU"/>
        </w:rPr>
        <w:t>/GMU zones</w:t>
      </w:r>
      <w:r w:rsidR="00AD0951" w:rsidRPr="00965B70">
        <w:rPr>
          <w:lang w:val="en-AU"/>
        </w:rPr>
        <w:t xml:space="preserve"> do not have a derived SY volume as it was either not suitable for the assessed area (i.e. method was not appropriate or there were data constraints) or it is under review with further work required.</w:t>
      </w:r>
    </w:p>
    <w:p w14:paraId="17C1F2AD" w14:textId="5E9333A8" w:rsidR="00AE0A5C" w:rsidRPr="00965B70" w:rsidRDefault="00AE0A5C" w:rsidP="00AE0A5C">
      <w:pPr>
        <w:pStyle w:val="Caption"/>
        <w:keepNext/>
      </w:pPr>
      <w:bookmarkStart w:id="60" w:name="_Ref219974905"/>
      <w:bookmarkStart w:id="61" w:name="_Toc219975576"/>
      <w:r w:rsidRPr="00965B70">
        <w:t xml:space="preserve">Table </w:t>
      </w:r>
      <w:r w:rsidRPr="00965B70">
        <w:fldChar w:fldCharType="begin"/>
      </w:r>
      <w:r w:rsidRPr="00965B70">
        <w:instrText xml:space="preserve"> SEQ Table \* ARABIC </w:instrText>
      </w:r>
      <w:r w:rsidRPr="00965B70">
        <w:fldChar w:fldCharType="separate"/>
      </w:r>
      <w:r w:rsidR="00D76D09">
        <w:rPr>
          <w:noProof/>
        </w:rPr>
        <w:t>1</w:t>
      </w:r>
      <w:r w:rsidRPr="00965B70">
        <w:fldChar w:fldCharType="end"/>
      </w:r>
      <w:bookmarkEnd w:id="60"/>
      <w:r w:rsidRPr="00965B70">
        <w:t xml:space="preserve">: </w:t>
      </w:r>
      <w:r w:rsidRPr="00965B70">
        <w:rPr>
          <w:rFonts w:cs="Times New Roman (Body CS)"/>
          <w:b w:val="0"/>
          <w:kern w:val="24"/>
        </w:rPr>
        <w:t>Number of areas assessed in the Sustainable Yield Assessment</w:t>
      </w:r>
      <w:bookmarkEnd w:id="61"/>
    </w:p>
    <w:tbl>
      <w:tblPr>
        <w:tblStyle w:val="Style2"/>
        <w:tblpPr w:leftFromText="181" w:rightFromText="181" w:bottomFromText="567" w:vertAnchor="text" w:tblpY="1"/>
        <w:tblOverlap w:val="never"/>
        <w:tblW w:w="5000" w:type="pct"/>
        <w:tblLook w:val="04A0" w:firstRow="1" w:lastRow="0" w:firstColumn="1" w:lastColumn="0" w:noHBand="0" w:noVBand="1"/>
        <w:tblCaption w:val="Number of areas assessed in the Sustainable Yield Assessment"/>
        <w:tblDescription w:val="Number of areas assessed in the Sustainable Yield Assessment"/>
      </w:tblPr>
      <w:tblGrid>
        <w:gridCol w:w="3204"/>
        <w:gridCol w:w="3207"/>
        <w:gridCol w:w="3207"/>
      </w:tblGrid>
      <w:tr w:rsidR="00AD0951" w:rsidRPr="00965B70" w14:paraId="4D49EF00" w14:textId="77777777" w:rsidTr="00C81A76">
        <w:trPr>
          <w:cnfStyle w:val="100000000000" w:firstRow="1" w:lastRow="0" w:firstColumn="0" w:lastColumn="0" w:oddVBand="0" w:evenVBand="0" w:oddHBand="0" w:evenHBand="0" w:firstRowFirstColumn="0" w:firstRowLastColumn="0" w:lastRowFirstColumn="0" w:lastRowLastColumn="0"/>
          <w:cantSplit/>
          <w:tblHeader/>
        </w:trPr>
        <w:tc>
          <w:tcPr>
            <w:tcW w:w="1666" w:type="pct"/>
          </w:tcPr>
          <w:p w14:paraId="17331878" w14:textId="77777777" w:rsidR="00AD0951" w:rsidRPr="00965B70" w:rsidRDefault="00AD0951" w:rsidP="00C81A76">
            <w:pPr>
              <w:pStyle w:val="Tabletext"/>
              <w:rPr>
                <w:lang w:val="en-AU"/>
              </w:rPr>
            </w:pPr>
            <w:r w:rsidRPr="00965B70">
              <w:rPr>
                <w:lang w:val="en-AU"/>
              </w:rPr>
              <w:t>Aquifer type</w:t>
            </w:r>
          </w:p>
        </w:tc>
        <w:tc>
          <w:tcPr>
            <w:tcW w:w="1667" w:type="pct"/>
          </w:tcPr>
          <w:p w14:paraId="1E3E7994" w14:textId="44D98C14" w:rsidR="00AD0951" w:rsidRPr="00965B70" w:rsidRDefault="00AD0951" w:rsidP="00C81A76">
            <w:pPr>
              <w:pStyle w:val="Tabletext"/>
              <w:jc w:val="center"/>
              <w:rPr>
                <w:lang w:val="en-AU"/>
              </w:rPr>
            </w:pPr>
            <w:r w:rsidRPr="00965B70">
              <w:rPr>
                <w:lang w:val="en-AU"/>
              </w:rPr>
              <w:t>GMUs</w:t>
            </w:r>
            <w:r w:rsidR="009B5CC9">
              <w:rPr>
                <w:lang w:val="en-AU"/>
              </w:rPr>
              <w:t>/GMU Zones</w:t>
            </w:r>
          </w:p>
        </w:tc>
        <w:tc>
          <w:tcPr>
            <w:tcW w:w="1667" w:type="pct"/>
          </w:tcPr>
          <w:p w14:paraId="5DCAEF44" w14:textId="77777777" w:rsidR="00AD0951" w:rsidRPr="00965B70" w:rsidRDefault="00AD0951" w:rsidP="00C81A76">
            <w:pPr>
              <w:pStyle w:val="Tabletext"/>
              <w:jc w:val="center"/>
              <w:rPr>
                <w:lang w:val="en-AU"/>
              </w:rPr>
            </w:pPr>
            <w:r w:rsidRPr="00965B70">
              <w:rPr>
                <w:lang w:val="en-AU"/>
              </w:rPr>
              <w:t>UAs</w:t>
            </w:r>
          </w:p>
        </w:tc>
      </w:tr>
      <w:tr w:rsidR="00AD0951" w:rsidRPr="00965B70" w14:paraId="79091F3A" w14:textId="77777777" w:rsidTr="00C81A76">
        <w:tc>
          <w:tcPr>
            <w:tcW w:w="1666" w:type="pct"/>
          </w:tcPr>
          <w:p w14:paraId="2862B109" w14:textId="77777777" w:rsidR="00AD0951" w:rsidRPr="00965B70" w:rsidRDefault="00AD0951" w:rsidP="00C81A76">
            <w:pPr>
              <w:pStyle w:val="Tabletext"/>
              <w:rPr>
                <w:lang w:val="en-AU"/>
              </w:rPr>
            </w:pPr>
            <w:r w:rsidRPr="00965B70">
              <w:rPr>
                <w:lang w:val="en-AU"/>
              </w:rPr>
              <w:t>Confined</w:t>
            </w:r>
          </w:p>
        </w:tc>
        <w:tc>
          <w:tcPr>
            <w:tcW w:w="1667" w:type="pct"/>
          </w:tcPr>
          <w:p w14:paraId="6D2E7E88" w14:textId="77777777" w:rsidR="00AD0951" w:rsidRPr="00965B70" w:rsidRDefault="00AD0951" w:rsidP="00C81A76">
            <w:pPr>
              <w:pStyle w:val="Tabletext"/>
              <w:jc w:val="center"/>
              <w:rPr>
                <w:lang w:val="en-AU"/>
              </w:rPr>
            </w:pPr>
            <w:r w:rsidRPr="00965B70">
              <w:rPr>
                <w:lang w:val="en-AU"/>
              </w:rPr>
              <w:t>22</w:t>
            </w:r>
          </w:p>
        </w:tc>
        <w:tc>
          <w:tcPr>
            <w:tcW w:w="1667" w:type="pct"/>
          </w:tcPr>
          <w:p w14:paraId="2BB92690" w14:textId="77777777" w:rsidR="00AD0951" w:rsidRPr="00965B70" w:rsidRDefault="00AD0951" w:rsidP="00C81A76">
            <w:pPr>
              <w:pStyle w:val="Tabletext"/>
              <w:jc w:val="center"/>
              <w:rPr>
                <w:lang w:val="en-AU"/>
              </w:rPr>
            </w:pPr>
            <w:r w:rsidRPr="00965B70">
              <w:rPr>
                <w:lang w:val="en-AU"/>
              </w:rPr>
              <w:t>33</w:t>
            </w:r>
          </w:p>
        </w:tc>
      </w:tr>
      <w:tr w:rsidR="00AD0951" w:rsidRPr="00965B70" w14:paraId="69F03EF9" w14:textId="77777777" w:rsidTr="00C81A76">
        <w:tc>
          <w:tcPr>
            <w:tcW w:w="1666" w:type="pct"/>
          </w:tcPr>
          <w:p w14:paraId="6DFFE7C2" w14:textId="77777777" w:rsidR="00AD0951" w:rsidRPr="00965B70" w:rsidDel="00BD5DBB" w:rsidRDefault="00AD0951" w:rsidP="00C81A76">
            <w:pPr>
              <w:pStyle w:val="Tabletext"/>
              <w:rPr>
                <w:lang w:val="en-AU"/>
              </w:rPr>
            </w:pPr>
            <w:r w:rsidRPr="00965B70">
              <w:rPr>
                <w:lang w:val="en-AU"/>
              </w:rPr>
              <w:t>Unconfined</w:t>
            </w:r>
          </w:p>
        </w:tc>
        <w:tc>
          <w:tcPr>
            <w:tcW w:w="1667" w:type="pct"/>
          </w:tcPr>
          <w:p w14:paraId="0D6AE8B4" w14:textId="77777777" w:rsidR="00AD0951" w:rsidRPr="00965B70" w:rsidDel="00BD5DBB" w:rsidRDefault="00AD0951" w:rsidP="00C81A76">
            <w:pPr>
              <w:pStyle w:val="Tabletext"/>
              <w:jc w:val="center"/>
              <w:rPr>
                <w:lang w:val="en-AU"/>
              </w:rPr>
            </w:pPr>
            <w:r w:rsidRPr="00965B70">
              <w:rPr>
                <w:lang w:val="en-AU"/>
              </w:rPr>
              <w:t>44</w:t>
            </w:r>
          </w:p>
        </w:tc>
        <w:tc>
          <w:tcPr>
            <w:tcW w:w="1667" w:type="pct"/>
          </w:tcPr>
          <w:p w14:paraId="596DF22B" w14:textId="77777777" w:rsidR="00AD0951" w:rsidRPr="00965B70" w:rsidDel="00BD5DBB" w:rsidRDefault="00AD0951" w:rsidP="00C81A76">
            <w:pPr>
              <w:pStyle w:val="Tabletext"/>
              <w:jc w:val="center"/>
              <w:rPr>
                <w:lang w:val="en-AU"/>
              </w:rPr>
            </w:pPr>
            <w:r w:rsidRPr="00965B70">
              <w:rPr>
                <w:lang w:val="en-AU"/>
              </w:rPr>
              <w:t>1,182</w:t>
            </w:r>
          </w:p>
        </w:tc>
      </w:tr>
    </w:tbl>
    <w:p w14:paraId="50EDC54B" w14:textId="22238DDC" w:rsidR="00965B70" w:rsidRDefault="00AD0951" w:rsidP="00AD0951">
      <w:pPr>
        <w:pStyle w:val="BodyText"/>
        <w:rPr>
          <w:lang w:val="en-AU"/>
        </w:rPr>
      </w:pPr>
      <w:r w:rsidRPr="00965B70">
        <w:rPr>
          <w:lang w:val="en-AU"/>
        </w:rPr>
        <w:t>Sustainable yield volumes for the confined aquifer GMUs</w:t>
      </w:r>
      <w:r w:rsidR="00B237DD">
        <w:rPr>
          <w:lang w:val="en-AU"/>
        </w:rPr>
        <w:t>/GMU zones</w:t>
      </w:r>
      <w:r w:rsidRPr="00965B70">
        <w:rPr>
          <w:lang w:val="en-AU"/>
        </w:rPr>
        <w:t xml:space="preserve"> range from 900 ML/yr to 23,900</w:t>
      </w:r>
      <w:r w:rsidR="00C81A76" w:rsidRPr="00965B70">
        <w:rPr>
          <w:lang w:val="en-AU"/>
        </w:rPr>
        <w:t> </w:t>
      </w:r>
      <w:r w:rsidRPr="00965B70">
        <w:rPr>
          <w:lang w:val="en-AU"/>
        </w:rPr>
        <w:t>ML/yr, with an average of 5,900 ML/yr (</w:t>
      </w:r>
      <w:r w:rsidR="00AE0A5C" w:rsidRPr="00965B70">
        <w:rPr>
          <w:b/>
          <w:bCs/>
          <w:lang w:val="en-AU"/>
        </w:rPr>
        <w:fldChar w:fldCharType="begin"/>
      </w:r>
      <w:r w:rsidR="00AE0A5C" w:rsidRPr="00965B70">
        <w:rPr>
          <w:b/>
          <w:bCs/>
          <w:lang w:val="en-AU"/>
        </w:rPr>
        <w:instrText xml:space="preserve"> REF _Ref219974945 \h  \* MERGEFORMAT </w:instrText>
      </w:r>
      <w:r w:rsidR="00AE0A5C" w:rsidRPr="00965B70">
        <w:rPr>
          <w:b/>
          <w:bCs/>
          <w:lang w:val="en-AU"/>
        </w:rPr>
      </w:r>
      <w:r w:rsidR="00AE0A5C" w:rsidRPr="00965B70">
        <w:rPr>
          <w:b/>
          <w:bCs/>
          <w:lang w:val="en-AU"/>
        </w:rPr>
        <w:fldChar w:fldCharType="separate"/>
      </w:r>
      <w:r w:rsidR="00D76D09" w:rsidRPr="00D76D09">
        <w:rPr>
          <w:b/>
          <w:bCs/>
          <w:lang w:val="en-AU"/>
        </w:rPr>
        <w:t>Figure 9</w:t>
      </w:r>
      <w:r w:rsidR="00AE0A5C" w:rsidRPr="00965B70">
        <w:rPr>
          <w:b/>
          <w:bCs/>
          <w:lang w:val="en-AU"/>
        </w:rPr>
        <w:fldChar w:fldCharType="end"/>
      </w:r>
      <w:r w:rsidRPr="00965B70">
        <w:rPr>
          <w:lang w:val="en-AU"/>
        </w:rPr>
        <w:t>). The average uncertainty for confined aquifer GMUs</w:t>
      </w:r>
      <w:r w:rsidR="00B237DD">
        <w:rPr>
          <w:lang w:val="en-AU"/>
        </w:rPr>
        <w:t>/GMU zones</w:t>
      </w:r>
      <w:r w:rsidRPr="00965B70">
        <w:rPr>
          <w:lang w:val="en-AU"/>
        </w:rPr>
        <w:t xml:space="preserve"> is in the order of - 42% to + 36% of the sustainable yield volumes (</w:t>
      </w:r>
      <w:r w:rsidR="00AE0A5C" w:rsidRPr="00965B70">
        <w:rPr>
          <w:b/>
          <w:bCs/>
          <w:lang w:val="en-AU"/>
        </w:rPr>
        <w:fldChar w:fldCharType="begin"/>
      </w:r>
      <w:r w:rsidR="00AE0A5C" w:rsidRPr="00965B70">
        <w:rPr>
          <w:b/>
          <w:bCs/>
          <w:lang w:val="en-AU"/>
        </w:rPr>
        <w:instrText xml:space="preserve"> REF _Ref219974945 \h  \* MERGEFORMAT </w:instrText>
      </w:r>
      <w:r w:rsidR="00AE0A5C" w:rsidRPr="00965B70">
        <w:rPr>
          <w:b/>
          <w:bCs/>
          <w:lang w:val="en-AU"/>
        </w:rPr>
      </w:r>
      <w:r w:rsidR="00AE0A5C" w:rsidRPr="00965B70">
        <w:rPr>
          <w:b/>
          <w:bCs/>
          <w:lang w:val="en-AU"/>
        </w:rPr>
        <w:fldChar w:fldCharType="separate"/>
      </w:r>
      <w:r w:rsidR="00D76D09" w:rsidRPr="00D76D09">
        <w:rPr>
          <w:b/>
          <w:bCs/>
          <w:lang w:val="en-AU"/>
        </w:rPr>
        <w:t>Figure 9</w:t>
      </w:r>
      <w:r w:rsidR="00AE0A5C" w:rsidRPr="00965B70">
        <w:rPr>
          <w:b/>
          <w:bCs/>
          <w:lang w:val="en-AU"/>
        </w:rPr>
        <w:fldChar w:fldCharType="end"/>
      </w:r>
      <w:r w:rsidRPr="00965B70">
        <w:rPr>
          <w:lang w:val="en-AU"/>
        </w:rPr>
        <w:t>).</w:t>
      </w:r>
    </w:p>
    <w:p w14:paraId="01464E93" w14:textId="0B517CA2" w:rsidR="00C81A76" w:rsidRPr="00965B70" w:rsidRDefault="00C81A76" w:rsidP="00C81A76">
      <w:pPr>
        <w:pStyle w:val="Caption"/>
        <w:keepNext/>
        <w:spacing w:after="360"/>
      </w:pPr>
      <w:bookmarkStart w:id="62" w:name="_Ref219974945"/>
      <w:bookmarkStart w:id="63" w:name="_Toc219975562"/>
      <w:bookmarkStart w:id="64" w:name="_Ref187928284"/>
      <w:bookmarkStart w:id="65" w:name="_Ref181096380"/>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9</w:t>
      </w:r>
      <w:r w:rsidRPr="00965B70">
        <w:fldChar w:fldCharType="end"/>
      </w:r>
      <w:bookmarkEnd w:id="62"/>
      <w:r w:rsidRPr="00965B70">
        <w:t xml:space="preserve">: </w:t>
      </w:r>
      <w:r w:rsidRPr="00965B70">
        <w:rPr>
          <w:b w:val="0"/>
          <w:bCs/>
        </w:rPr>
        <w:t>Sustainable Yield and uncertainty band for confined aquifer GMUs</w:t>
      </w:r>
      <w:bookmarkEnd w:id="63"/>
    </w:p>
    <w:p w14:paraId="0EEF4C5E" w14:textId="4BFDB8E3" w:rsidR="00AD0951" w:rsidRPr="00965B70" w:rsidRDefault="00AD0951" w:rsidP="00AD0951">
      <w:pPr>
        <w:pStyle w:val="BodyText"/>
        <w:rPr>
          <w:b/>
          <w:lang w:val="en-AU"/>
        </w:rPr>
      </w:pPr>
      <w:r w:rsidRPr="00965B70">
        <w:rPr>
          <w:b/>
          <w:noProof/>
          <w:lang w:val="en-AU"/>
        </w:rPr>
        <w:drawing>
          <wp:inline distT="0" distB="0" distL="0" distR="0" wp14:anchorId="48BCC5D2" wp14:editId="499DC423">
            <wp:extent cx="6059424" cy="5956996"/>
            <wp:effectExtent l="0" t="0" r="0" b="0"/>
            <wp:docPr id="1405496308" name="Picture 1" descr="Sustainable yield volumes for the confined aquifer GMUs are shown, including the lower and upper bounds of the sustainable y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6308" name="Picture 1" descr="Sustainable yield volumes for the confined aquifer GMUs are shown, including the lower and upper bounds of the sustainable yield. "/>
                    <pic:cNvPicPr/>
                  </pic:nvPicPr>
                  <pic:blipFill rotWithShape="1">
                    <a:blip r:embed="rId30" cstate="screen">
                      <a:extLst>
                        <a:ext uri="{28A0092B-C50C-407E-A947-70E740481C1C}">
                          <a14:useLocalDpi xmlns:a14="http://schemas.microsoft.com/office/drawing/2010/main"/>
                        </a:ext>
                      </a:extLst>
                    </a:blip>
                    <a:srcRect l="-3169" r="921"/>
                    <a:stretch>
                      <a:fillRect/>
                    </a:stretch>
                  </pic:blipFill>
                  <pic:spPr bwMode="auto">
                    <a:xfrm>
                      <a:off x="0" y="0"/>
                      <a:ext cx="6076527" cy="5973810"/>
                    </a:xfrm>
                    <a:prstGeom prst="rect">
                      <a:avLst/>
                    </a:prstGeom>
                    <a:ln>
                      <a:noFill/>
                    </a:ln>
                    <a:extLst>
                      <a:ext uri="{53640926-AAD7-44D8-BBD7-CCE9431645EC}">
                        <a14:shadowObscured xmlns:a14="http://schemas.microsoft.com/office/drawing/2010/main"/>
                      </a:ext>
                    </a:extLst>
                  </pic:spPr>
                </pic:pic>
              </a:graphicData>
            </a:graphic>
          </wp:inline>
        </w:drawing>
      </w:r>
      <w:bookmarkEnd w:id="64"/>
    </w:p>
    <w:p w14:paraId="08EAC353" w14:textId="6FF4F3EE" w:rsidR="00AD0951" w:rsidRDefault="00AD0951" w:rsidP="00AD0951">
      <w:pPr>
        <w:pStyle w:val="BodyText"/>
        <w:rPr>
          <w:lang w:val="en-AU"/>
        </w:rPr>
      </w:pPr>
      <w:r w:rsidRPr="00965B70">
        <w:rPr>
          <w:lang w:val="en-AU"/>
        </w:rPr>
        <w:t>Sustainable yield volumes for the unconfined aquifer GMUs</w:t>
      </w:r>
      <w:r w:rsidR="00CF2301">
        <w:rPr>
          <w:lang w:val="en-AU"/>
        </w:rPr>
        <w:t>/GMU Zones</w:t>
      </w:r>
      <w:r w:rsidRPr="00965B70">
        <w:rPr>
          <w:lang w:val="en-AU"/>
        </w:rPr>
        <w:t xml:space="preserve"> range from 200 ML/yr to 43,500 ML/yr, with an average of 7,000 ML/yr. The average uncertainty for unconfined aquifer GMUs</w:t>
      </w:r>
      <w:r w:rsidR="00CF2301">
        <w:rPr>
          <w:lang w:val="en-AU"/>
        </w:rPr>
        <w:t>/GMU Zones</w:t>
      </w:r>
      <w:r w:rsidRPr="00965B70">
        <w:rPr>
          <w:lang w:val="en-AU"/>
        </w:rPr>
        <w:t xml:space="preserve"> ranges from -50% to +200% of the sustainable yield volumes (</w:t>
      </w:r>
      <w:r w:rsidR="00AE0A5C" w:rsidRPr="00965B70">
        <w:rPr>
          <w:b/>
          <w:bCs/>
          <w:lang w:val="en-AU"/>
        </w:rPr>
        <w:fldChar w:fldCharType="begin"/>
      </w:r>
      <w:r w:rsidR="00AE0A5C" w:rsidRPr="00965B70">
        <w:rPr>
          <w:b/>
          <w:bCs/>
          <w:lang w:val="en-AU"/>
        </w:rPr>
        <w:instrText xml:space="preserve"> REF _Ref219974976 \h  \* MERGEFORMAT </w:instrText>
      </w:r>
      <w:r w:rsidR="00AE0A5C" w:rsidRPr="00965B70">
        <w:rPr>
          <w:b/>
          <w:bCs/>
          <w:lang w:val="en-AU"/>
        </w:rPr>
      </w:r>
      <w:r w:rsidR="00AE0A5C" w:rsidRPr="00965B70">
        <w:rPr>
          <w:b/>
          <w:bCs/>
          <w:lang w:val="en-AU"/>
        </w:rPr>
        <w:fldChar w:fldCharType="separate"/>
      </w:r>
      <w:r w:rsidR="00D76D09" w:rsidRPr="00D76D09">
        <w:rPr>
          <w:b/>
          <w:bCs/>
          <w:lang w:val="en-AU"/>
        </w:rPr>
        <w:t>Figure 10</w:t>
      </w:r>
      <w:r w:rsidR="00AE0A5C" w:rsidRPr="00965B70">
        <w:rPr>
          <w:b/>
          <w:bCs/>
          <w:lang w:val="en-AU"/>
        </w:rPr>
        <w:fldChar w:fldCharType="end"/>
      </w:r>
      <w:r w:rsidRPr="00965B70">
        <w:rPr>
          <w:lang w:val="en-AU"/>
        </w:rPr>
        <w:t>).</w:t>
      </w:r>
    </w:p>
    <w:p w14:paraId="043BB394" w14:textId="77777777" w:rsidR="00DB3FF0" w:rsidRPr="00965B70" w:rsidRDefault="00DB3FF0" w:rsidP="00AD0951">
      <w:pPr>
        <w:pStyle w:val="BodyText"/>
        <w:rPr>
          <w:lang w:val="en-AU"/>
        </w:rPr>
      </w:pPr>
    </w:p>
    <w:p w14:paraId="0587AFD6" w14:textId="59851F45" w:rsidR="00DC3225" w:rsidRPr="00965B70" w:rsidRDefault="00DC3225" w:rsidP="00DC3225">
      <w:pPr>
        <w:pStyle w:val="Caption"/>
        <w:keepNext/>
        <w:spacing w:after="240"/>
      </w:pPr>
      <w:bookmarkStart w:id="66" w:name="_Ref219974976"/>
      <w:bookmarkStart w:id="67" w:name="_Toc219975563"/>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10</w:t>
      </w:r>
      <w:r w:rsidRPr="00965B70">
        <w:fldChar w:fldCharType="end"/>
      </w:r>
      <w:bookmarkEnd w:id="66"/>
      <w:r w:rsidRPr="00965B70">
        <w:t xml:space="preserve">: </w:t>
      </w:r>
      <w:r w:rsidRPr="00965B70">
        <w:rPr>
          <w:b w:val="0"/>
          <w:bCs/>
        </w:rPr>
        <w:t>Sustainable Yield and uncertainty band for unconfined aquifer GMUs</w:t>
      </w:r>
      <w:bookmarkEnd w:id="67"/>
    </w:p>
    <w:p w14:paraId="510FA47B" w14:textId="4B145F6F" w:rsidR="00357A1F" w:rsidRPr="00965B70" w:rsidRDefault="00357A1F" w:rsidP="00AD0951">
      <w:pPr>
        <w:pStyle w:val="BodyText"/>
        <w:rPr>
          <w:lang w:val="en-AU"/>
        </w:rPr>
      </w:pPr>
      <w:r>
        <w:rPr>
          <w:noProof/>
        </w:rPr>
        <w:drawing>
          <wp:inline distT="0" distB="0" distL="0" distR="0" wp14:anchorId="6A24851F" wp14:editId="5B08B4C7">
            <wp:extent cx="6120130" cy="6165215"/>
            <wp:effectExtent l="0" t="0" r="0" b="6985"/>
            <wp:docPr id="147557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6165215"/>
                    </a:xfrm>
                    <a:prstGeom prst="rect">
                      <a:avLst/>
                    </a:prstGeom>
                    <a:noFill/>
                    <a:ln>
                      <a:noFill/>
                    </a:ln>
                  </pic:spPr>
                </pic:pic>
              </a:graphicData>
            </a:graphic>
          </wp:inline>
        </w:drawing>
      </w:r>
    </w:p>
    <w:p w14:paraId="61CA06B2" w14:textId="77777777" w:rsidR="00AD0951" w:rsidRPr="00965B70" w:rsidRDefault="00AD0951" w:rsidP="00DC3225">
      <w:pPr>
        <w:pStyle w:val="Heading2"/>
        <w:numPr>
          <w:ilvl w:val="0"/>
          <w:numId w:val="0"/>
        </w:numPr>
        <w:rPr>
          <w:lang w:val="en-AU"/>
        </w:rPr>
      </w:pPr>
      <w:bookmarkStart w:id="68" w:name="_Toc219973085"/>
      <w:bookmarkStart w:id="69" w:name="_Toc219975423"/>
      <w:bookmarkEnd w:id="65"/>
      <w:r w:rsidRPr="00965B70">
        <w:rPr>
          <w:lang w:val="en-AU"/>
        </w:rPr>
        <w:t>Risk to sustainability</w:t>
      </w:r>
      <w:bookmarkEnd w:id="68"/>
      <w:bookmarkEnd w:id="69"/>
    </w:p>
    <w:p w14:paraId="1E6FD34D" w14:textId="7619B33F" w:rsidR="00AD0951" w:rsidRPr="00965B70" w:rsidRDefault="00AD0951" w:rsidP="00AD0951">
      <w:pPr>
        <w:pStyle w:val="BodyText"/>
        <w:rPr>
          <w:lang w:val="en-AU"/>
        </w:rPr>
      </w:pPr>
      <w:r w:rsidRPr="00965B70">
        <w:rPr>
          <w:lang w:val="en-AU"/>
        </w:rPr>
        <w:t>Groundwater use in most of the GMUs</w:t>
      </w:r>
      <w:r w:rsidR="00A341B6">
        <w:rPr>
          <w:lang w:val="en-AU"/>
        </w:rPr>
        <w:t>/GMU Zones</w:t>
      </w:r>
      <w:r w:rsidRPr="00965B70">
        <w:rPr>
          <w:lang w:val="en-AU"/>
        </w:rPr>
        <w:t xml:space="preserve"> across Victoria is less than the estimated sustainable yield. Regional groundwater level decline associated with that use is within the adopted sustainable yield metrics for most GMUs</w:t>
      </w:r>
      <w:r w:rsidR="00A341B6">
        <w:rPr>
          <w:lang w:val="en-AU"/>
        </w:rPr>
        <w:t>/GMU Zones</w:t>
      </w:r>
      <w:r w:rsidRPr="00965B70">
        <w:rPr>
          <w:lang w:val="en-AU"/>
        </w:rPr>
        <w:t>.</w:t>
      </w:r>
    </w:p>
    <w:p w14:paraId="4309F562" w14:textId="4FA6BBEC" w:rsidR="00AD0951" w:rsidRPr="00965B70" w:rsidRDefault="00AD0951" w:rsidP="00AD0951">
      <w:pPr>
        <w:pStyle w:val="BodyText"/>
        <w:rPr>
          <w:lang w:val="en-AU"/>
        </w:rPr>
      </w:pPr>
      <w:r w:rsidRPr="00965B70">
        <w:rPr>
          <w:lang w:val="en-AU"/>
        </w:rPr>
        <w:t xml:space="preserve">In </w:t>
      </w:r>
      <w:r w:rsidR="00DB3FF0">
        <w:rPr>
          <w:lang w:val="en-AU"/>
        </w:rPr>
        <w:t>six</w:t>
      </w:r>
      <w:r w:rsidRPr="00965B70">
        <w:rPr>
          <w:lang w:val="en-AU"/>
        </w:rPr>
        <w:t xml:space="preserve"> GMUs/GMU zones, groundwater use exceeds the sustainable yield volumes (</w:t>
      </w:r>
      <w:r w:rsidR="00AE0A5C" w:rsidRPr="00965B70">
        <w:rPr>
          <w:b/>
          <w:bCs/>
          <w:lang w:val="en-AU"/>
        </w:rPr>
        <w:fldChar w:fldCharType="begin"/>
      </w:r>
      <w:r w:rsidR="00AE0A5C" w:rsidRPr="00965B70">
        <w:rPr>
          <w:b/>
          <w:bCs/>
          <w:lang w:val="en-AU"/>
        </w:rPr>
        <w:instrText xml:space="preserve"> REF _Ref219974998 \h  \* MERGEFORMAT </w:instrText>
      </w:r>
      <w:r w:rsidR="00AE0A5C" w:rsidRPr="00965B70">
        <w:rPr>
          <w:b/>
          <w:bCs/>
          <w:lang w:val="en-AU"/>
        </w:rPr>
      </w:r>
      <w:r w:rsidR="00AE0A5C" w:rsidRPr="00965B70">
        <w:rPr>
          <w:b/>
          <w:bCs/>
          <w:lang w:val="en-AU"/>
        </w:rPr>
        <w:fldChar w:fldCharType="separate"/>
      </w:r>
      <w:r w:rsidR="00D76D09" w:rsidRPr="00D76D09">
        <w:rPr>
          <w:b/>
          <w:bCs/>
          <w:lang w:val="en-AU"/>
        </w:rPr>
        <w:t>Figure 11</w:t>
      </w:r>
      <w:r w:rsidR="00AE0A5C" w:rsidRPr="00965B70">
        <w:rPr>
          <w:b/>
          <w:bCs/>
          <w:lang w:val="en-AU"/>
        </w:rPr>
        <w:fldChar w:fldCharType="end"/>
      </w:r>
      <w:r w:rsidRPr="00965B70">
        <w:rPr>
          <w:b/>
          <w:bCs/>
          <w:lang w:val="en-AU"/>
        </w:rPr>
        <w:t xml:space="preserve"> </w:t>
      </w:r>
      <w:r w:rsidRPr="00965B70">
        <w:rPr>
          <w:lang w:val="en-AU"/>
        </w:rPr>
        <w:t>to</w:t>
      </w:r>
      <w:r w:rsidRPr="00965B70">
        <w:rPr>
          <w:b/>
          <w:bCs/>
          <w:lang w:val="en-AU"/>
        </w:rPr>
        <w:t xml:space="preserve"> </w:t>
      </w:r>
      <w:r w:rsidR="00AE0A5C" w:rsidRPr="00965B70">
        <w:rPr>
          <w:b/>
          <w:bCs/>
          <w:lang w:val="en-AU"/>
        </w:rPr>
        <w:fldChar w:fldCharType="begin"/>
      </w:r>
      <w:r w:rsidR="00AE0A5C" w:rsidRPr="00965B70">
        <w:rPr>
          <w:b/>
          <w:bCs/>
          <w:lang w:val="en-AU"/>
        </w:rPr>
        <w:instrText xml:space="preserve"> REF _Ref219975007 \h  \* MERGEFORMAT </w:instrText>
      </w:r>
      <w:r w:rsidR="00AE0A5C" w:rsidRPr="00965B70">
        <w:rPr>
          <w:b/>
          <w:bCs/>
          <w:lang w:val="en-AU"/>
        </w:rPr>
      </w:r>
      <w:r w:rsidR="00AE0A5C" w:rsidRPr="00965B70">
        <w:rPr>
          <w:b/>
          <w:bCs/>
          <w:lang w:val="en-AU"/>
        </w:rPr>
        <w:fldChar w:fldCharType="separate"/>
      </w:r>
      <w:r w:rsidR="00D76D09" w:rsidRPr="00D76D09">
        <w:rPr>
          <w:b/>
          <w:bCs/>
          <w:lang w:val="en-AU"/>
        </w:rPr>
        <w:t>Figure 14</w:t>
      </w:r>
      <w:r w:rsidR="00AE0A5C" w:rsidRPr="00965B70">
        <w:rPr>
          <w:b/>
          <w:bCs/>
          <w:lang w:val="en-AU"/>
        </w:rPr>
        <w:fldChar w:fldCharType="end"/>
      </w:r>
      <w:r w:rsidRPr="00965B70">
        <w:rPr>
          <w:lang w:val="en-AU"/>
        </w:rPr>
        <w:t xml:space="preserve">) Three of these areas have “groundwater level restriction triggers” in place </w:t>
      </w:r>
      <w:r w:rsidRPr="00965B70">
        <w:rPr>
          <w:lang w:val="en-AU"/>
        </w:rPr>
        <w:lastRenderedPageBreak/>
        <w:t>to manage groundwater levels sustainably and three have implemented restrictions on occasions in recent years. A review of the triggers has not been undertaken but is recommended to ensure these triggers are effective.</w:t>
      </w:r>
    </w:p>
    <w:p w14:paraId="7DA330CE" w14:textId="1DE5A418" w:rsidR="00DC3225" w:rsidRPr="00965B70" w:rsidRDefault="00DC3225" w:rsidP="00DC3225">
      <w:pPr>
        <w:pStyle w:val="Caption"/>
        <w:keepNext/>
        <w:spacing w:after="240"/>
        <w:ind w:right="-143"/>
      </w:pPr>
      <w:bookmarkStart w:id="70" w:name="_Ref219974998"/>
      <w:bookmarkStart w:id="71" w:name="_Toc219975564"/>
      <w:r w:rsidRPr="00965B70">
        <w:t xml:space="preserve">Figure </w:t>
      </w:r>
      <w:r w:rsidRPr="00965B70">
        <w:fldChar w:fldCharType="begin"/>
      </w:r>
      <w:r w:rsidRPr="00965B70">
        <w:instrText xml:space="preserve"> SEQ Figure \* ARABIC </w:instrText>
      </w:r>
      <w:r w:rsidRPr="00965B70">
        <w:fldChar w:fldCharType="separate"/>
      </w:r>
      <w:r w:rsidR="00D76D09">
        <w:rPr>
          <w:noProof/>
        </w:rPr>
        <w:t>11</w:t>
      </w:r>
      <w:r w:rsidRPr="00965B70">
        <w:fldChar w:fldCharType="end"/>
      </w:r>
      <w:bookmarkEnd w:id="70"/>
      <w:r w:rsidRPr="00965B70">
        <w:t xml:space="preserve">: </w:t>
      </w:r>
      <w:r w:rsidRPr="00965B70">
        <w:rPr>
          <w:b w:val="0"/>
          <w:bCs/>
        </w:rPr>
        <w:t>Impacts of uncertainty on current risk to sustainability for confined aquifer GMUs</w:t>
      </w:r>
      <w:bookmarkEnd w:id="71"/>
    </w:p>
    <w:p w14:paraId="780057BE" w14:textId="33C215EF" w:rsidR="00AD0951" w:rsidRPr="00965B70" w:rsidRDefault="00AD0951" w:rsidP="00AD0951">
      <w:pPr>
        <w:pStyle w:val="BodyText"/>
        <w:rPr>
          <w:lang w:val="en-AU"/>
        </w:rPr>
      </w:pPr>
      <w:r w:rsidRPr="00965B70">
        <w:rPr>
          <w:noProof/>
          <w:lang w:val="en-AU"/>
        </w:rPr>
        <w:drawing>
          <wp:inline distT="0" distB="0" distL="0" distR="0" wp14:anchorId="2E1B5AF4" wp14:editId="5A2F9CE3">
            <wp:extent cx="6018028" cy="5712700"/>
            <wp:effectExtent l="0" t="0" r="1905" b="2540"/>
            <wp:docPr id="95475683" name="Picture 1" descr="Sustainable yield volumes for confined aquifer GMUs are compared to current use volumes to determine the current risk to sustainability, with use in most GMUs less than that Sustainable yiel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5683" name="Picture 1" descr="Sustainable yield volumes for confined aquifer GMUs are compared to current use volumes to determine the current risk to sustainability, with use in most GMUs less than that Sustainable yield volume."/>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t="-403" b="-403"/>
                    <a:stretch>
                      <a:fillRect/>
                    </a:stretch>
                  </pic:blipFill>
                  <pic:spPr bwMode="auto">
                    <a:xfrm>
                      <a:off x="0" y="0"/>
                      <a:ext cx="6033735" cy="5727610"/>
                    </a:xfrm>
                    <a:prstGeom prst="rect">
                      <a:avLst/>
                    </a:prstGeom>
                    <a:noFill/>
                    <a:ln>
                      <a:noFill/>
                    </a:ln>
                    <a:extLst>
                      <a:ext uri="{53640926-AAD7-44D8-BBD7-CCE9431645EC}">
                        <a14:shadowObscured xmlns:a14="http://schemas.microsoft.com/office/drawing/2010/main"/>
                      </a:ext>
                    </a:extLst>
                  </pic:spPr>
                </pic:pic>
              </a:graphicData>
            </a:graphic>
          </wp:inline>
        </w:drawing>
      </w:r>
      <w:r w:rsidRPr="00965B70">
        <w:rPr>
          <w:lang w:val="en-AU"/>
        </w:rPr>
        <w:br w:type="page"/>
      </w:r>
    </w:p>
    <w:p w14:paraId="40F1DE6F" w14:textId="2A3C5BC1" w:rsidR="00DC3225" w:rsidRPr="00965B70" w:rsidRDefault="00DC3225" w:rsidP="00DC3225">
      <w:pPr>
        <w:pStyle w:val="Caption"/>
        <w:keepNext/>
        <w:spacing w:after="240"/>
      </w:pPr>
      <w:bookmarkStart w:id="72" w:name="_Toc219975565"/>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12</w:t>
      </w:r>
      <w:r w:rsidRPr="00965B70">
        <w:fldChar w:fldCharType="end"/>
      </w:r>
      <w:r w:rsidRPr="00965B70">
        <w:t xml:space="preserve">: </w:t>
      </w:r>
      <w:r w:rsidRPr="00965B70">
        <w:rPr>
          <w:rFonts w:cs="Times New Roman (Body CS)"/>
          <w:b w:val="0"/>
          <w:bCs/>
          <w:kern w:val="24"/>
        </w:rPr>
        <w:t>Current risk to sustainability for confined aquifer GMUs</w:t>
      </w:r>
      <w:bookmarkEnd w:id="72"/>
    </w:p>
    <w:p w14:paraId="40C4BA96" w14:textId="2541B8E7" w:rsidR="00AD0951" w:rsidRDefault="00AD0951" w:rsidP="00AD0951">
      <w:pPr>
        <w:pStyle w:val="BodyText"/>
        <w:rPr>
          <w:lang w:val="en-AU"/>
        </w:rPr>
      </w:pPr>
      <w:r w:rsidRPr="00965B70">
        <w:rPr>
          <w:noProof/>
          <w:lang w:val="en-AU"/>
        </w:rPr>
        <w:drawing>
          <wp:inline distT="0" distB="0" distL="0" distR="0" wp14:anchorId="57CF6500" wp14:editId="15E3AB4E">
            <wp:extent cx="6251944" cy="4286394"/>
            <wp:effectExtent l="0" t="0" r="0" b="0"/>
            <wp:docPr id="333505328" name="Picture 1" descr="The current risk to sustainability for confined aquifer GMUs is mapped for Victoria showing those GMUs where use is either less than or greater than the sustainable yield volume, or where there is no sustainable yiel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5328" name="Picture 1" descr="The current risk to sustainability for confined aquifer GMUs is mapped for Victoria showing those GMUs where use is either less than or greater than the sustainable yield volume, or where there is no sustainable yield volum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272346" cy="4300382"/>
                    </a:xfrm>
                    <a:prstGeom prst="rect">
                      <a:avLst/>
                    </a:prstGeom>
                    <a:noFill/>
                    <a:ln>
                      <a:noFill/>
                    </a:ln>
                  </pic:spPr>
                </pic:pic>
              </a:graphicData>
            </a:graphic>
          </wp:inline>
        </w:drawing>
      </w:r>
    </w:p>
    <w:p w14:paraId="014E9E36" w14:textId="0784D999" w:rsidR="00800E10" w:rsidRDefault="00800E10">
      <w:pPr>
        <w:suppressAutoHyphens w:val="0"/>
        <w:spacing w:after="160"/>
        <w:rPr>
          <w:rFonts w:cs="Times New Roman (Body CS)"/>
          <w:kern w:val="24"/>
        </w:rPr>
      </w:pPr>
      <w:r>
        <w:br w:type="page"/>
      </w:r>
    </w:p>
    <w:p w14:paraId="411987C5" w14:textId="778CA8C5" w:rsidR="00DC3225" w:rsidRPr="00965B70" w:rsidRDefault="00DC3225" w:rsidP="00DC3225">
      <w:pPr>
        <w:pStyle w:val="Caption"/>
        <w:keepNext/>
        <w:spacing w:after="240"/>
        <w:ind w:right="-427"/>
      </w:pPr>
      <w:bookmarkStart w:id="73" w:name="_Toc219975566"/>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13</w:t>
      </w:r>
      <w:r w:rsidRPr="00965B70">
        <w:fldChar w:fldCharType="end"/>
      </w:r>
      <w:r w:rsidRPr="00965B70">
        <w:t xml:space="preserve">: </w:t>
      </w:r>
      <w:r w:rsidRPr="00965B70">
        <w:rPr>
          <w:b w:val="0"/>
          <w:bCs/>
        </w:rPr>
        <w:t>Impacts of uncertainty on current risk to sustainability for unconfined aquifer GMUs</w:t>
      </w:r>
      <w:bookmarkEnd w:id="73"/>
    </w:p>
    <w:p w14:paraId="3BB841E5" w14:textId="3796C61D" w:rsidR="0014468B" w:rsidRDefault="0014468B" w:rsidP="00AD0951">
      <w:pPr>
        <w:pStyle w:val="BodyText"/>
        <w:rPr>
          <w:lang w:val="en-AU"/>
        </w:rPr>
      </w:pPr>
      <w:r>
        <w:rPr>
          <w:noProof/>
        </w:rPr>
        <w:drawing>
          <wp:inline distT="0" distB="0" distL="0" distR="0" wp14:anchorId="238C2D70" wp14:editId="64876F87">
            <wp:extent cx="6120130" cy="5542915"/>
            <wp:effectExtent l="0" t="0" r="0" b="635"/>
            <wp:docPr id="272306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5542915"/>
                    </a:xfrm>
                    <a:prstGeom prst="rect">
                      <a:avLst/>
                    </a:prstGeom>
                    <a:noFill/>
                    <a:ln>
                      <a:noFill/>
                    </a:ln>
                  </pic:spPr>
                </pic:pic>
              </a:graphicData>
            </a:graphic>
          </wp:inline>
        </w:drawing>
      </w:r>
    </w:p>
    <w:p w14:paraId="3D0E7E98" w14:textId="77777777" w:rsidR="00511985" w:rsidRDefault="00511985" w:rsidP="00AD0951">
      <w:pPr>
        <w:pStyle w:val="BodyText"/>
        <w:rPr>
          <w:lang w:val="en-AU"/>
        </w:rPr>
      </w:pPr>
    </w:p>
    <w:p w14:paraId="3259E4B9" w14:textId="169DC154" w:rsidR="00AD0951" w:rsidRPr="00965B70" w:rsidRDefault="00AD0951" w:rsidP="00AD0951">
      <w:pPr>
        <w:pStyle w:val="BodyText"/>
        <w:rPr>
          <w:lang w:val="en-AU"/>
        </w:rPr>
      </w:pPr>
      <w:r w:rsidRPr="00965B70">
        <w:rPr>
          <w:lang w:val="en-AU"/>
        </w:rPr>
        <w:br w:type="page"/>
      </w:r>
    </w:p>
    <w:p w14:paraId="082E9F96" w14:textId="1679AFD2" w:rsidR="002E7837" w:rsidRPr="00965B70" w:rsidRDefault="002E7837" w:rsidP="002E7837">
      <w:pPr>
        <w:pStyle w:val="Caption"/>
        <w:keepNext/>
      </w:pPr>
      <w:bookmarkStart w:id="74" w:name="_Ref219975007"/>
      <w:bookmarkStart w:id="75" w:name="_Toc219975567"/>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14</w:t>
      </w:r>
      <w:r w:rsidRPr="00965B70">
        <w:fldChar w:fldCharType="end"/>
      </w:r>
      <w:bookmarkEnd w:id="74"/>
      <w:r w:rsidRPr="00965B70">
        <w:t xml:space="preserve">: </w:t>
      </w:r>
      <w:r w:rsidRPr="00965B70">
        <w:rPr>
          <w:b w:val="0"/>
          <w:bCs/>
        </w:rPr>
        <w:t>Current risk to sustainability for unconfined aquifer GMUs</w:t>
      </w:r>
      <w:bookmarkEnd w:id="75"/>
    </w:p>
    <w:p w14:paraId="307CE981" w14:textId="3100C719" w:rsidR="00F65098" w:rsidRDefault="005B1E13" w:rsidP="00AD0951">
      <w:pPr>
        <w:pStyle w:val="BodyText"/>
        <w:rPr>
          <w:lang w:val="en-AU"/>
        </w:rPr>
      </w:pPr>
      <w:r>
        <w:rPr>
          <w:noProof/>
        </w:rPr>
        <w:drawing>
          <wp:inline distT="0" distB="0" distL="0" distR="0" wp14:anchorId="02E2625D" wp14:editId="75A15804">
            <wp:extent cx="6120130" cy="4196715"/>
            <wp:effectExtent l="0" t="0" r="0" b="0"/>
            <wp:docPr id="156643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196715"/>
                    </a:xfrm>
                    <a:prstGeom prst="rect">
                      <a:avLst/>
                    </a:prstGeom>
                    <a:noFill/>
                    <a:ln>
                      <a:noFill/>
                    </a:ln>
                  </pic:spPr>
                </pic:pic>
              </a:graphicData>
            </a:graphic>
          </wp:inline>
        </w:drawing>
      </w:r>
    </w:p>
    <w:p w14:paraId="08BED5EB" w14:textId="4B96352D" w:rsidR="00AD0951" w:rsidRPr="00965B70" w:rsidRDefault="00AD0951" w:rsidP="00AD0951">
      <w:pPr>
        <w:pStyle w:val="BodyText"/>
        <w:rPr>
          <w:lang w:val="en-AU"/>
        </w:rPr>
      </w:pPr>
      <w:r w:rsidRPr="00965B70">
        <w:rPr>
          <w:lang w:val="en-AU"/>
        </w:rPr>
        <w:t>In respect to future risks to sustainability, climate change does not directly affect the future availability and sustainability of groundwater in confined aquifers due to lack of connection to the atmospheric environment. However, unconfined aquifers may be significantly influenced, with the range of projected changes in sustainable yields spanning up to a 50% decrease (drier climate) to more than 200% increase (wetter climate) based on plausible scenarios of future climate (</w:t>
      </w:r>
      <w:r w:rsidR="00AE0A5C" w:rsidRPr="00965B70">
        <w:rPr>
          <w:b/>
          <w:lang w:val="en-AU"/>
        </w:rPr>
        <w:fldChar w:fldCharType="begin"/>
      </w:r>
      <w:r w:rsidR="00AE0A5C" w:rsidRPr="00965B70">
        <w:rPr>
          <w:b/>
          <w:lang w:val="en-AU"/>
        </w:rPr>
        <w:instrText xml:space="preserve"> REF _Ref219974976 \h  \* MERGEFORMAT </w:instrText>
      </w:r>
      <w:r w:rsidR="00AE0A5C" w:rsidRPr="00965B70">
        <w:rPr>
          <w:b/>
          <w:lang w:val="en-AU"/>
        </w:rPr>
      </w:r>
      <w:r w:rsidR="00AE0A5C" w:rsidRPr="00965B70">
        <w:rPr>
          <w:b/>
          <w:lang w:val="en-AU"/>
        </w:rPr>
        <w:fldChar w:fldCharType="separate"/>
      </w:r>
      <w:r w:rsidR="00D76D09" w:rsidRPr="00D76D09">
        <w:rPr>
          <w:b/>
          <w:lang w:val="en-AU"/>
        </w:rPr>
        <w:t>Figure 10</w:t>
      </w:r>
      <w:r w:rsidR="00AE0A5C" w:rsidRPr="00965B70">
        <w:rPr>
          <w:b/>
          <w:lang w:val="en-AU"/>
        </w:rPr>
        <w:fldChar w:fldCharType="end"/>
      </w:r>
      <w:r w:rsidRPr="00965B70">
        <w:rPr>
          <w:lang w:val="en-AU"/>
        </w:rPr>
        <w:t>).</w:t>
      </w:r>
    </w:p>
    <w:p w14:paraId="1C214CE6" w14:textId="5CFB8628" w:rsidR="00AD0951" w:rsidRPr="00965B70" w:rsidRDefault="00AD0951" w:rsidP="002E7837">
      <w:pPr>
        <w:pStyle w:val="BodyText"/>
        <w:ind w:right="-1"/>
        <w:rPr>
          <w:lang w:val="en-AU"/>
        </w:rPr>
      </w:pPr>
      <w:r w:rsidRPr="00965B70">
        <w:rPr>
          <w:lang w:val="en-AU"/>
        </w:rPr>
        <w:t xml:space="preserve">Licence entitlements are greater than the sustainable yield in </w:t>
      </w:r>
      <w:r w:rsidR="00397BF3">
        <w:rPr>
          <w:lang w:val="en-AU"/>
        </w:rPr>
        <w:t>27</w:t>
      </w:r>
      <w:r w:rsidRPr="00965B70">
        <w:rPr>
          <w:lang w:val="en-AU"/>
        </w:rPr>
        <w:t xml:space="preserve"> GMUs</w:t>
      </w:r>
      <w:r w:rsidR="00154DF5">
        <w:rPr>
          <w:lang w:val="en-AU"/>
        </w:rPr>
        <w:t>/GMU Zones</w:t>
      </w:r>
      <w:r w:rsidRPr="00965B70">
        <w:rPr>
          <w:lang w:val="en-AU"/>
        </w:rPr>
        <w:t xml:space="preserve"> and in </w:t>
      </w:r>
      <w:r w:rsidR="00397BF3">
        <w:rPr>
          <w:lang w:val="en-AU"/>
        </w:rPr>
        <w:t>39</w:t>
      </w:r>
      <w:r w:rsidRPr="00965B70">
        <w:rPr>
          <w:lang w:val="en-AU"/>
        </w:rPr>
        <w:t xml:space="preserve"> GMUs</w:t>
      </w:r>
      <w:r w:rsidR="00154DF5">
        <w:rPr>
          <w:lang w:val="en-AU"/>
        </w:rPr>
        <w:t>/GMU Zones</w:t>
      </w:r>
      <w:r w:rsidRPr="00965B70">
        <w:rPr>
          <w:lang w:val="en-AU"/>
        </w:rPr>
        <w:t xml:space="preserve"> the caps exceed the sustainable yield. The future availability and sustainability of groundwater could be at risk if use increases. The future demand for groundwater use has not been assessed in the Sustainable Yield Assessment. However, since current use is approximately 35% of licensed entitlement, there is potential for increased use. This may occur through licence holders increasing take up to 100% of their </w:t>
      </w:r>
      <w:r w:rsidRPr="00965B70">
        <w:rPr>
          <w:lang w:val="en-AU"/>
        </w:rPr>
        <w:lastRenderedPageBreak/>
        <w:t>entitlement and/or trading their unused part of their entitlement which may be used by the new entitlement holder.</w:t>
      </w:r>
    </w:p>
    <w:p w14:paraId="5CB919B8" w14:textId="7EEFC6A5" w:rsidR="00AD0951" w:rsidRPr="00965B70" w:rsidRDefault="00AD0951" w:rsidP="00AD0951">
      <w:pPr>
        <w:pStyle w:val="BodyText"/>
        <w:rPr>
          <w:lang w:val="en-AU"/>
        </w:rPr>
      </w:pPr>
      <w:r w:rsidRPr="00965B70">
        <w:rPr>
          <w:lang w:val="en-AU"/>
        </w:rPr>
        <w:t xml:space="preserve">Caps manage the volume of entitlement that is allocated in an area and groundwater level restriction triggers are sometimes used to help manage use in a particular year to ensure groundwater levels are sustainable. Fifty nine of the sixty-six GMUs/GMU zones do not have any form of groundwater level restriction triggers. This highlights a gap in the current limits of take, particularly in </w:t>
      </w:r>
      <w:r w:rsidR="00597B0F">
        <w:rPr>
          <w:lang w:val="en-AU"/>
        </w:rPr>
        <w:t>27</w:t>
      </w:r>
      <w:r w:rsidRPr="00965B70">
        <w:rPr>
          <w:lang w:val="en-AU"/>
        </w:rPr>
        <w:t xml:space="preserve"> GMUs</w:t>
      </w:r>
      <w:r w:rsidR="00526C04">
        <w:rPr>
          <w:lang w:val="en-AU"/>
        </w:rPr>
        <w:t>/GMU Zones</w:t>
      </w:r>
      <w:r w:rsidRPr="00965B70">
        <w:rPr>
          <w:lang w:val="en-AU"/>
        </w:rPr>
        <w:t xml:space="preserve"> where licence entitlement volumes exceed the sustainable yield, and in </w:t>
      </w:r>
      <w:r w:rsidR="00597B0F">
        <w:rPr>
          <w:lang w:val="en-AU"/>
        </w:rPr>
        <w:t>39</w:t>
      </w:r>
      <w:r w:rsidRPr="00965B70">
        <w:rPr>
          <w:lang w:val="en-AU"/>
        </w:rPr>
        <w:t xml:space="preserve"> GMUs</w:t>
      </w:r>
      <w:r w:rsidR="00526C04">
        <w:rPr>
          <w:lang w:val="en-AU"/>
        </w:rPr>
        <w:t>/GMU Zones</w:t>
      </w:r>
      <w:r w:rsidRPr="00965B70">
        <w:rPr>
          <w:lang w:val="en-AU"/>
        </w:rPr>
        <w:t xml:space="preserve"> where existing licence volume caps are higher than the sustainable yield</w:t>
      </w:r>
      <w:r w:rsidRPr="00965B70" w:rsidDel="007B5920">
        <w:rPr>
          <w:lang w:val="en-AU"/>
        </w:rPr>
        <w:t xml:space="preserve"> </w:t>
      </w:r>
      <w:r w:rsidRPr="00965B70">
        <w:rPr>
          <w:lang w:val="en-AU"/>
        </w:rPr>
        <w:t>(</w:t>
      </w:r>
      <w:r w:rsidR="00AE0A5C" w:rsidRPr="00965B70">
        <w:rPr>
          <w:b/>
          <w:bCs/>
          <w:lang w:val="en-AU"/>
        </w:rPr>
        <w:fldChar w:fldCharType="begin"/>
      </w:r>
      <w:r w:rsidR="00AE0A5C" w:rsidRPr="00965B70">
        <w:rPr>
          <w:b/>
          <w:bCs/>
          <w:lang w:val="en-AU"/>
        </w:rPr>
        <w:instrText xml:space="preserve"> REF _Ref219975056 \h  \* MERGEFORMAT </w:instrText>
      </w:r>
      <w:r w:rsidR="00AE0A5C" w:rsidRPr="00965B70">
        <w:rPr>
          <w:b/>
          <w:bCs/>
          <w:lang w:val="en-AU"/>
        </w:rPr>
      </w:r>
      <w:r w:rsidR="00AE0A5C" w:rsidRPr="00965B70">
        <w:rPr>
          <w:b/>
          <w:bCs/>
          <w:lang w:val="en-AU"/>
        </w:rPr>
        <w:fldChar w:fldCharType="separate"/>
      </w:r>
      <w:r w:rsidR="00D76D09" w:rsidRPr="00D76D09">
        <w:rPr>
          <w:b/>
          <w:bCs/>
          <w:lang w:val="en-AU"/>
        </w:rPr>
        <w:t>Figure 15</w:t>
      </w:r>
      <w:r w:rsidR="00AE0A5C" w:rsidRPr="00965B70">
        <w:rPr>
          <w:b/>
          <w:bCs/>
          <w:lang w:val="en-AU"/>
        </w:rPr>
        <w:fldChar w:fldCharType="end"/>
      </w:r>
      <w:r w:rsidRPr="00965B70">
        <w:rPr>
          <w:b/>
          <w:bCs/>
          <w:lang w:val="en-AU"/>
        </w:rPr>
        <w:t xml:space="preserve"> </w:t>
      </w:r>
      <w:r w:rsidRPr="00965B70">
        <w:rPr>
          <w:lang w:val="en-AU"/>
        </w:rPr>
        <w:t>to</w:t>
      </w:r>
      <w:r w:rsidRPr="00965B70">
        <w:rPr>
          <w:b/>
          <w:bCs/>
          <w:lang w:val="en-AU"/>
        </w:rPr>
        <w:t xml:space="preserve"> </w:t>
      </w:r>
      <w:r w:rsidR="00AE0A5C" w:rsidRPr="00965B70">
        <w:rPr>
          <w:b/>
          <w:bCs/>
          <w:lang w:val="en-AU"/>
        </w:rPr>
        <w:fldChar w:fldCharType="begin"/>
      </w:r>
      <w:r w:rsidR="00AE0A5C" w:rsidRPr="00965B70">
        <w:rPr>
          <w:b/>
          <w:bCs/>
          <w:lang w:val="en-AU"/>
        </w:rPr>
        <w:instrText xml:space="preserve"> REF _Ref219975068 \h  \* MERGEFORMAT </w:instrText>
      </w:r>
      <w:r w:rsidR="00AE0A5C" w:rsidRPr="00965B70">
        <w:rPr>
          <w:b/>
          <w:bCs/>
          <w:lang w:val="en-AU"/>
        </w:rPr>
      </w:r>
      <w:r w:rsidR="00AE0A5C" w:rsidRPr="00965B70">
        <w:rPr>
          <w:b/>
          <w:bCs/>
          <w:lang w:val="en-AU"/>
        </w:rPr>
        <w:fldChar w:fldCharType="separate"/>
      </w:r>
      <w:r w:rsidR="00D76D09" w:rsidRPr="00D76D09">
        <w:rPr>
          <w:b/>
          <w:bCs/>
          <w:lang w:val="en-AU"/>
        </w:rPr>
        <w:t>Figure 18</w:t>
      </w:r>
      <w:r w:rsidR="00AE0A5C" w:rsidRPr="00965B70">
        <w:rPr>
          <w:b/>
          <w:bCs/>
          <w:lang w:val="en-AU"/>
        </w:rPr>
        <w:fldChar w:fldCharType="end"/>
      </w:r>
      <w:r w:rsidRPr="00965B70">
        <w:rPr>
          <w:lang w:val="en-AU"/>
        </w:rPr>
        <w:t>). Moreover, in UAs use could increase through issuing new entitlements as no caps are currently in place. However, in most UAs, use and entitlements are minimal and less than the sustainable yield volumes.</w:t>
      </w:r>
      <w:r w:rsidRPr="00965B70">
        <w:rPr>
          <w:lang w:val="en-AU"/>
        </w:rPr>
        <w:br w:type="page"/>
      </w:r>
    </w:p>
    <w:p w14:paraId="59AA656E" w14:textId="0415984A" w:rsidR="00714D96" w:rsidRPr="00965B70" w:rsidRDefault="00714D96" w:rsidP="00714D96">
      <w:pPr>
        <w:pStyle w:val="Caption"/>
        <w:keepNext/>
        <w:spacing w:after="240"/>
      </w:pPr>
      <w:bookmarkStart w:id="76" w:name="_Ref219975056"/>
      <w:bookmarkStart w:id="77" w:name="_Toc219975568"/>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15</w:t>
      </w:r>
      <w:r w:rsidRPr="00965B70">
        <w:fldChar w:fldCharType="end"/>
      </w:r>
      <w:bookmarkEnd w:id="76"/>
      <w:r w:rsidRPr="00965B70">
        <w:t xml:space="preserve">: </w:t>
      </w:r>
      <w:r w:rsidRPr="00965B70">
        <w:rPr>
          <w:rFonts w:cs="Times New Roman (Body CS)"/>
          <w:b w:val="0"/>
          <w:bCs/>
          <w:kern w:val="24"/>
        </w:rPr>
        <w:t>Impacts of uncertainty on future risk to sustainability for confined aquifer GMUs</w:t>
      </w:r>
      <w:bookmarkEnd w:id="77"/>
    </w:p>
    <w:p w14:paraId="719EEC28" w14:textId="77777777" w:rsidR="001E6967" w:rsidRDefault="00AD0951" w:rsidP="00AD0951">
      <w:pPr>
        <w:pStyle w:val="BodyText"/>
        <w:rPr>
          <w:lang w:val="en-AU"/>
        </w:rPr>
      </w:pPr>
      <w:r w:rsidRPr="00965B70">
        <w:rPr>
          <w:noProof/>
          <w:lang w:val="en-AU"/>
        </w:rPr>
        <w:drawing>
          <wp:inline distT="0" distB="0" distL="0" distR="0" wp14:anchorId="35AB9C2D" wp14:editId="0FB6377C">
            <wp:extent cx="6073861" cy="5513064"/>
            <wp:effectExtent l="0" t="0" r="3175" b="0"/>
            <wp:docPr id="1010462343" name="Picture 1" descr="Sustainable yield volumes for confined aquifer GMUs are compared to licensed entitlement volumes to determine the future risk to sustainability, with licensed entitlements in half of the GMUs less than that Sustainable yiel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62343" name="Picture 1" descr="Sustainable yield volumes for confined aquifer GMUs are compared to licensed entitlement volumes to determine the future risk to sustainability, with licensed entitlements in half of the GMUs less than that Sustainable yield volume."/>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38" r="-38"/>
                    <a:stretch>
                      <a:fillRect/>
                    </a:stretch>
                  </pic:blipFill>
                  <pic:spPr bwMode="auto">
                    <a:xfrm>
                      <a:off x="0" y="0"/>
                      <a:ext cx="6073861" cy="5513064"/>
                    </a:xfrm>
                    <a:prstGeom prst="rect">
                      <a:avLst/>
                    </a:prstGeom>
                    <a:noFill/>
                    <a:ln>
                      <a:noFill/>
                    </a:ln>
                    <a:extLst>
                      <a:ext uri="{53640926-AAD7-44D8-BBD7-CCE9431645EC}">
                        <a14:shadowObscured xmlns:a14="http://schemas.microsoft.com/office/drawing/2010/main"/>
                      </a:ext>
                    </a:extLst>
                  </pic:spPr>
                </pic:pic>
              </a:graphicData>
            </a:graphic>
          </wp:inline>
        </w:drawing>
      </w:r>
    </w:p>
    <w:p w14:paraId="77F83196" w14:textId="4F28F72A" w:rsidR="00AD0951" w:rsidRPr="00965B70" w:rsidRDefault="00AD0951" w:rsidP="00AD0951">
      <w:pPr>
        <w:pStyle w:val="BodyText"/>
        <w:rPr>
          <w:lang w:val="en-AU"/>
        </w:rPr>
      </w:pPr>
      <w:r w:rsidRPr="00965B70">
        <w:rPr>
          <w:lang w:val="en-AU"/>
        </w:rPr>
        <w:br w:type="page"/>
      </w:r>
    </w:p>
    <w:p w14:paraId="04123C8F" w14:textId="35FD64F7" w:rsidR="00DD2097" w:rsidRPr="00965B70" w:rsidRDefault="00DD2097" w:rsidP="00DD2097">
      <w:pPr>
        <w:pStyle w:val="Caption"/>
        <w:keepNext/>
      </w:pPr>
      <w:bookmarkStart w:id="78" w:name="_Toc219975569"/>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16</w:t>
      </w:r>
      <w:r w:rsidRPr="00965B70">
        <w:fldChar w:fldCharType="end"/>
      </w:r>
      <w:r w:rsidRPr="00965B70">
        <w:t xml:space="preserve">: </w:t>
      </w:r>
      <w:r w:rsidRPr="00965B70">
        <w:rPr>
          <w:rFonts w:cs="Times New Roman (Body CS)"/>
          <w:b w:val="0"/>
          <w:bCs/>
          <w:kern w:val="24"/>
        </w:rPr>
        <w:t>Future risk to sustainability for confined aquifer GMUs</w:t>
      </w:r>
      <w:bookmarkEnd w:id="78"/>
    </w:p>
    <w:p w14:paraId="318300F0" w14:textId="195762C4" w:rsidR="00AD0951" w:rsidRPr="00965B70" w:rsidRDefault="00AD0951" w:rsidP="00AD0951">
      <w:pPr>
        <w:pStyle w:val="BodyText"/>
        <w:rPr>
          <w:lang w:val="en-AU"/>
        </w:rPr>
      </w:pPr>
      <w:r w:rsidRPr="00965B70">
        <w:rPr>
          <w:noProof/>
          <w:lang w:val="en-AU"/>
        </w:rPr>
        <w:drawing>
          <wp:inline distT="0" distB="0" distL="0" distR="0" wp14:anchorId="14976C82" wp14:editId="0798E5D8">
            <wp:extent cx="6265302" cy="4295553"/>
            <wp:effectExtent l="0" t="0" r="0" b="0"/>
            <wp:docPr id="60975387" name="Picture 3" descr="The future risk to sustainability for confined aquifer GMUs is mapped for Victoria showing those GMUs where licensed entitlement is either less than or greater than the sustainable yield volume, or where there is no sustainable yiel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387" name="Picture 3" descr="The future risk to sustainability for confined aquifer GMUs is mapped for Victoria showing those GMUs where licensed entitlement is either less than or greater than the sustainable yield volume, or where there is no sustainable yield volum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283884" cy="4308293"/>
                    </a:xfrm>
                    <a:prstGeom prst="rect">
                      <a:avLst/>
                    </a:prstGeom>
                    <a:noFill/>
                    <a:ln>
                      <a:noFill/>
                    </a:ln>
                  </pic:spPr>
                </pic:pic>
              </a:graphicData>
            </a:graphic>
          </wp:inline>
        </w:drawing>
      </w:r>
      <w:r w:rsidRPr="00965B70">
        <w:rPr>
          <w:lang w:val="en-AU"/>
        </w:rPr>
        <w:br w:type="page"/>
      </w:r>
    </w:p>
    <w:p w14:paraId="0B935326" w14:textId="569474CC" w:rsidR="00DD2097" w:rsidRPr="00965B70" w:rsidRDefault="00DD2097" w:rsidP="00DD2097">
      <w:pPr>
        <w:pStyle w:val="Caption"/>
        <w:keepNext/>
        <w:spacing w:after="240"/>
        <w:ind w:right="-285"/>
      </w:pPr>
      <w:bookmarkStart w:id="79" w:name="_Toc219975570"/>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17</w:t>
      </w:r>
      <w:r w:rsidRPr="00965B70">
        <w:fldChar w:fldCharType="end"/>
      </w:r>
      <w:r w:rsidRPr="00965B70">
        <w:t xml:space="preserve">: </w:t>
      </w:r>
      <w:r w:rsidRPr="00965B70">
        <w:rPr>
          <w:rFonts w:cs="Times New Roman (Body CS)"/>
          <w:b w:val="0"/>
          <w:bCs/>
          <w:kern w:val="24"/>
        </w:rPr>
        <w:t>Impacts of uncertainty on future risk to sustainability for unconfined aquifer GMUs</w:t>
      </w:r>
      <w:bookmarkEnd w:id="79"/>
    </w:p>
    <w:p w14:paraId="02D2F957" w14:textId="7CF36F1E" w:rsidR="00BB0E7F" w:rsidRDefault="00BB0E7F" w:rsidP="00AD0951">
      <w:pPr>
        <w:pStyle w:val="BodyText"/>
        <w:rPr>
          <w:lang w:val="en-AU"/>
        </w:rPr>
      </w:pPr>
      <w:r>
        <w:rPr>
          <w:noProof/>
        </w:rPr>
        <w:drawing>
          <wp:inline distT="0" distB="0" distL="0" distR="0" wp14:anchorId="624CCA6A" wp14:editId="06224861">
            <wp:extent cx="6120130" cy="5205730"/>
            <wp:effectExtent l="0" t="0" r="0" b="0"/>
            <wp:docPr id="925899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5205730"/>
                    </a:xfrm>
                    <a:prstGeom prst="rect">
                      <a:avLst/>
                    </a:prstGeom>
                    <a:noFill/>
                    <a:ln>
                      <a:noFill/>
                    </a:ln>
                  </pic:spPr>
                </pic:pic>
              </a:graphicData>
            </a:graphic>
          </wp:inline>
        </w:drawing>
      </w:r>
    </w:p>
    <w:p w14:paraId="41CF1E86" w14:textId="472AABCE" w:rsidR="00AD0951" w:rsidRPr="00965B70" w:rsidRDefault="00AD0951" w:rsidP="00AD0951">
      <w:pPr>
        <w:pStyle w:val="BodyText"/>
        <w:rPr>
          <w:lang w:val="en-AU"/>
        </w:rPr>
      </w:pPr>
      <w:r w:rsidRPr="00965B70">
        <w:rPr>
          <w:lang w:val="en-AU"/>
        </w:rPr>
        <w:br w:type="page"/>
      </w:r>
    </w:p>
    <w:p w14:paraId="68660944" w14:textId="5499B70E" w:rsidR="00DD2097" w:rsidRPr="00965B70" w:rsidRDefault="00DD2097" w:rsidP="00DD2097">
      <w:pPr>
        <w:pStyle w:val="Caption"/>
        <w:keepNext/>
      </w:pPr>
      <w:bookmarkStart w:id="80" w:name="_Ref219975068"/>
      <w:bookmarkStart w:id="81" w:name="_Toc219975571"/>
      <w:r w:rsidRPr="00965B70">
        <w:lastRenderedPageBreak/>
        <w:t xml:space="preserve">Figure </w:t>
      </w:r>
      <w:r w:rsidRPr="00965B70">
        <w:fldChar w:fldCharType="begin"/>
      </w:r>
      <w:r w:rsidRPr="00965B70">
        <w:instrText xml:space="preserve"> SEQ Figure \* ARABIC </w:instrText>
      </w:r>
      <w:r w:rsidRPr="00965B70">
        <w:fldChar w:fldCharType="separate"/>
      </w:r>
      <w:r w:rsidR="00D76D09">
        <w:rPr>
          <w:noProof/>
        </w:rPr>
        <w:t>18</w:t>
      </w:r>
      <w:r w:rsidRPr="00965B70">
        <w:fldChar w:fldCharType="end"/>
      </w:r>
      <w:bookmarkEnd w:id="80"/>
      <w:r w:rsidRPr="00965B70">
        <w:t xml:space="preserve">: </w:t>
      </w:r>
      <w:r w:rsidRPr="00965B70">
        <w:rPr>
          <w:rFonts w:cs="Times New Roman (Body CS)"/>
          <w:b w:val="0"/>
          <w:bCs/>
          <w:kern w:val="24"/>
        </w:rPr>
        <w:t>Future risk to sustainability for unconfined aquifer GMUs</w:t>
      </w:r>
      <w:bookmarkEnd w:id="81"/>
    </w:p>
    <w:p w14:paraId="778F240F" w14:textId="2897164E" w:rsidR="00EC09AA" w:rsidRDefault="00EC09AA" w:rsidP="00AE0A5C">
      <w:pPr>
        <w:pStyle w:val="BodyText"/>
        <w:spacing w:after="120"/>
        <w:rPr>
          <w:lang w:val="en-AU"/>
        </w:rPr>
      </w:pPr>
      <w:r>
        <w:rPr>
          <w:noProof/>
        </w:rPr>
        <w:drawing>
          <wp:inline distT="0" distB="0" distL="0" distR="0" wp14:anchorId="4E0E38F7" wp14:editId="37792DD4">
            <wp:extent cx="6120130" cy="4196715"/>
            <wp:effectExtent l="0" t="0" r="0" b="0"/>
            <wp:docPr id="901119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196715"/>
                    </a:xfrm>
                    <a:prstGeom prst="rect">
                      <a:avLst/>
                    </a:prstGeom>
                    <a:noFill/>
                    <a:ln>
                      <a:noFill/>
                    </a:ln>
                  </pic:spPr>
                </pic:pic>
              </a:graphicData>
            </a:graphic>
          </wp:inline>
        </w:drawing>
      </w:r>
    </w:p>
    <w:p w14:paraId="5726BA88" w14:textId="77777777" w:rsidR="00EC09AA" w:rsidRPr="00965B70" w:rsidRDefault="00EC09AA" w:rsidP="00AE0A5C">
      <w:pPr>
        <w:pStyle w:val="BodyText"/>
        <w:spacing w:after="120"/>
        <w:rPr>
          <w:lang w:val="en-AU"/>
        </w:rPr>
      </w:pPr>
    </w:p>
    <w:p w14:paraId="61BA9C0F" w14:textId="77777777" w:rsidR="00AD0951" w:rsidRPr="00965B70" w:rsidRDefault="00AD0951" w:rsidP="00AE0A5C">
      <w:pPr>
        <w:pStyle w:val="BodyText"/>
        <w:spacing w:after="0"/>
        <w:rPr>
          <w:lang w:val="en-AU"/>
        </w:rPr>
      </w:pPr>
      <w:r w:rsidRPr="00965B70">
        <w:rPr>
          <w:lang w:val="en-AU"/>
        </w:rPr>
        <w:t xml:space="preserve">DEECA carried out a thorough quality assurance process to interrogate the assessment done for every system. In some cases, the sustainable yield estimate was not accepted, due to limited reliable monitoring and use data sets, results that were inconsistent with more detailed technical information or issues with the technical assessment itself. For these systems, we’re taking one of two approaches: either recommending the results </w:t>
      </w:r>
      <w:proofErr w:type="gramStart"/>
      <w:r w:rsidRPr="00965B70">
        <w:rPr>
          <w:lang w:val="en-AU"/>
        </w:rPr>
        <w:t>be</w:t>
      </w:r>
      <w:proofErr w:type="gramEnd"/>
      <w:r w:rsidRPr="00965B70">
        <w:rPr>
          <w:lang w:val="en-AU"/>
        </w:rPr>
        <w:t xml:space="preserve"> re-assessed using improved methods, more data, or more appropriate assumptions, or holding off on using the results for now as we already have detailed local information that is the “best available information” to guide groundwater management:</w:t>
      </w:r>
    </w:p>
    <w:p w14:paraId="4F01D0E7" w14:textId="77777777" w:rsidR="00AD0951" w:rsidRPr="00965B70" w:rsidRDefault="00AD0951" w:rsidP="00DD2097">
      <w:pPr>
        <w:pStyle w:val="ListBullet"/>
        <w:rPr>
          <w:lang w:val="en-AU"/>
        </w:rPr>
      </w:pPr>
      <w:r w:rsidRPr="00965B70">
        <w:rPr>
          <w:b/>
          <w:lang w:val="en-AU"/>
        </w:rPr>
        <w:t>Under review:</w:t>
      </w:r>
      <w:r w:rsidRPr="00965B70">
        <w:rPr>
          <w:lang w:val="en-AU"/>
        </w:rPr>
        <w:t xml:space="preserve"> The Sustainable Yield Assessment model outputs do not align with historic observations, monitoring data, other empirical evidence, or prior detailed studies from the area. This typically means the results are uncertain and require </w:t>
      </w:r>
      <w:r w:rsidRPr="00965B70">
        <w:rPr>
          <w:lang w:val="en-AU"/>
        </w:rPr>
        <w:lastRenderedPageBreak/>
        <w:t>reassessment using an improved method, additional data, or a more appropriate metric. Re-assessment of these systems is proposed/being considered.</w:t>
      </w:r>
    </w:p>
    <w:p w14:paraId="13B80583" w14:textId="77777777" w:rsidR="00AD0951" w:rsidRPr="00965B70" w:rsidRDefault="00AD0951" w:rsidP="00DD2097">
      <w:pPr>
        <w:pStyle w:val="LastBulletinList"/>
        <w:rPr>
          <w:lang w:val="en-AU"/>
        </w:rPr>
      </w:pPr>
      <w:r w:rsidRPr="00965B70">
        <w:rPr>
          <w:b/>
          <w:lang w:val="en-AU"/>
        </w:rPr>
        <w:t xml:space="preserve">Not suitable: </w:t>
      </w:r>
      <w:r w:rsidRPr="00965B70">
        <w:rPr>
          <w:lang w:val="en-AU"/>
        </w:rPr>
        <w:t>Sustainable Yield Assessment model outputs do not align with historic observations, monitoring data, other empirical evidence, or prior detailed studies from the area but re-assessment of the sustainable yield is not proposed. This is due to management objectives that cannot be considered by the sustainable yield assessment but can be considered by more detailed local information that is already available. No further action is proposed.</w:t>
      </w:r>
    </w:p>
    <w:p w14:paraId="5804043D" w14:textId="77777777" w:rsidR="00965B70" w:rsidRDefault="00AD0951" w:rsidP="00DD2097">
      <w:pPr>
        <w:pStyle w:val="Normalbeforebullets"/>
      </w:pPr>
      <w:r w:rsidRPr="00965B70">
        <w:t>GMUs where the sustainable yield is under review, for the following reasons:</w:t>
      </w:r>
    </w:p>
    <w:p w14:paraId="568A7579" w14:textId="02678272" w:rsidR="00AD0951" w:rsidRPr="00965B70" w:rsidRDefault="00AD0951" w:rsidP="00DD2097">
      <w:pPr>
        <w:pStyle w:val="ListBullet"/>
        <w:rPr>
          <w:lang w:val="en-AU"/>
        </w:rPr>
      </w:pPr>
      <w:r w:rsidRPr="00965B70">
        <w:rPr>
          <w:lang w:val="en-AU"/>
        </w:rPr>
        <w:t>Lower Ovens GMA – use-drawdown relationship was developed based on three observation bores, but only two were accepted through the quality assurance process. The third was found to not align with the known characteristics of the system.</w:t>
      </w:r>
    </w:p>
    <w:p w14:paraId="18C98C4F" w14:textId="77777777" w:rsidR="00AD0951" w:rsidRPr="00965B70" w:rsidRDefault="00AD0951" w:rsidP="00DD2097">
      <w:pPr>
        <w:pStyle w:val="ListBullet"/>
        <w:rPr>
          <w:lang w:val="en-AU"/>
        </w:rPr>
      </w:pPr>
      <w:r w:rsidRPr="00965B70">
        <w:rPr>
          <w:lang w:val="en-AU"/>
        </w:rPr>
        <w:t>Wy Yung GMA – the use–drawdown relationship did not align with observed historical drawdown. The recharge method produced recharge volumes that significantly exceed historical use and the likely capacity of the aquifer, given its shallow base.</w:t>
      </w:r>
    </w:p>
    <w:p w14:paraId="07187504" w14:textId="77777777" w:rsidR="00AD0951" w:rsidRPr="00965B70" w:rsidRDefault="00AD0951" w:rsidP="00DD2097">
      <w:pPr>
        <w:pStyle w:val="ListBullet"/>
        <w:rPr>
          <w:lang w:val="en-AU"/>
        </w:rPr>
      </w:pPr>
      <w:r w:rsidRPr="00965B70">
        <w:rPr>
          <w:lang w:val="en-AU"/>
        </w:rPr>
        <w:t>Giffard GMA – the use-drawdown relationship was not accepted as the complexities of factors influencing groundwater drawdown in the GMA were not properly considered in the modelled relationship.</w:t>
      </w:r>
    </w:p>
    <w:p w14:paraId="504DC46A" w14:textId="77777777" w:rsidR="00AD0951" w:rsidRPr="00965B70" w:rsidRDefault="00AD0951" w:rsidP="00DD2097">
      <w:pPr>
        <w:pStyle w:val="ListBullet"/>
        <w:rPr>
          <w:lang w:val="en-AU"/>
        </w:rPr>
      </w:pPr>
      <w:r w:rsidRPr="00965B70">
        <w:rPr>
          <w:lang w:val="en-AU"/>
        </w:rPr>
        <w:t>Paaratte GMA – the sustainable yield was calculated using use-drawdown relationship, however, due to deep confined nature of aquifer, the sustainable yield metric may not be suitable - Process underway to better understand local context to inform a more suitable metric.</w:t>
      </w:r>
    </w:p>
    <w:p w14:paraId="071971C2" w14:textId="1C9511A7" w:rsidR="000105F8" w:rsidRDefault="000105F8" w:rsidP="000105F8">
      <w:pPr>
        <w:pStyle w:val="ListBullet"/>
      </w:pPr>
      <w:r w:rsidRPr="428D62BB">
        <w:t xml:space="preserve">Hawkesdale GMA, Heywood GMA, </w:t>
      </w:r>
      <w:r w:rsidR="008F6015" w:rsidRPr="00965B70">
        <w:rPr>
          <w:lang w:val="en-AU"/>
        </w:rPr>
        <w:t>Nullawarre</w:t>
      </w:r>
      <w:r w:rsidR="008F6015" w:rsidRPr="428D62BB">
        <w:t xml:space="preserve"> </w:t>
      </w:r>
      <w:r w:rsidRPr="428D62BB">
        <w:t xml:space="preserve">WSPA, and </w:t>
      </w:r>
      <w:proofErr w:type="spellStart"/>
      <w:r w:rsidRPr="428D62BB">
        <w:t>Yangery</w:t>
      </w:r>
      <w:proofErr w:type="spellEnd"/>
      <w:r w:rsidRPr="428D62BB">
        <w:t xml:space="preserve"> WSPA - the use-drawdown relationships developed did not align with historical data. The recharge volumes for these GMUs were also not accepted.</w:t>
      </w:r>
    </w:p>
    <w:p w14:paraId="32D236F6" w14:textId="1B9ED5F3" w:rsidR="00EC09AA" w:rsidRPr="001A352D" w:rsidRDefault="00941F21" w:rsidP="00941F21">
      <w:pPr>
        <w:pStyle w:val="ListBullet"/>
      </w:pPr>
      <w:r w:rsidRPr="00941F21">
        <w:rPr>
          <w:lang w:val="en-AU"/>
        </w:rPr>
        <w:lastRenderedPageBreak/>
        <w:t xml:space="preserve">Glenormiston </w:t>
      </w:r>
      <w:r w:rsidR="001A352D" w:rsidRPr="009F01BB">
        <w:t xml:space="preserve">GMA - </w:t>
      </w:r>
      <w:r w:rsidR="00295571">
        <w:rPr>
          <w:lang w:val="en-AU"/>
        </w:rPr>
        <w:t>t</w:t>
      </w:r>
      <w:r w:rsidR="00295571" w:rsidRPr="00295571">
        <w:rPr>
          <w:lang w:val="en-AU"/>
        </w:rPr>
        <w:t xml:space="preserve">he use–drawdown relationship was not accepted due to a lack of sufficient data to validate the sustainable yield volume. In addition, the recharge volumes assessed for the limestone and volcanics aquifers across the </w:t>
      </w:r>
      <w:r w:rsidR="005A5CB9" w:rsidRPr="00295571">
        <w:rPr>
          <w:lang w:val="en-AU"/>
        </w:rPr>
        <w:t>Southwest</w:t>
      </w:r>
      <w:r w:rsidR="00295571" w:rsidRPr="00295571">
        <w:rPr>
          <w:lang w:val="en-AU"/>
        </w:rPr>
        <w:t xml:space="preserve"> region were not accepted, with further work required to estimate the sustainable yield volume</w:t>
      </w:r>
      <w:r w:rsidR="00295571">
        <w:rPr>
          <w:lang w:val="en-AU"/>
        </w:rPr>
        <w:t>.</w:t>
      </w:r>
    </w:p>
    <w:p w14:paraId="442CAEED" w14:textId="77777777" w:rsidR="00965B70" w:rsidRDefault="00AD0951" w:rsidP="00DD2097">
      <w:pPr>
        <w:pStyle w:val="Normalbeforebullets"/>
      </w:pPr>
      <w:r w:rsidRPr="00965B70">
        <w:t>The derived sustainable yield was not suitable for the following GMUs for the reasons outlined below:</w:t>
      </w:r>
    </w:p>
    <w:p w14:paraId="501830DF" w14:textId="2D23742D" w:rsidR="00AD0951" w:rsidRPr="00965B70" w:rsidRDefault="00AD0951" w:rsidP="00DD2097">
      <w:pPr>
        <w:pStyle w:val="ListBullet"/>
        <w:rPr>
          <w:lang w:val="en-AU"/>
        </w:rPr>
      </w:pPr>
      <w:r w:rsidRPr="00965B70">
        <w:rPr>
          <w:lang w:val="en-AU"/>
        </w:rPr>
        <w:t>Shepparton Irrigation Region – there was not enough use data to validate a use-drawdown relationship. This management area promotes use of groundwater to suppress water table rise and salinisation, which cannot be considered through the sustainable yield assessment.</w:t>
      </w:r>
    </w:p>
    <w:p w14:paraId="7D0487E9" w14:textId="77777777" w:rsidR="00965B70" w:rsidRDefault="00AD0951" w:rsidP="00DD2097">
      <w:pPr>
        <w:pStyle w:val="ListBullet"/>
        <w:rPr>
          <w:lang w:val="en-AU"/>
        </w:rPr>
      </w:pPr>
      <w:r w:rsidRPr="00965B70">
        <w:rPr>
          <w:lang w:val="en-AU"/>
        </w:rPr>
        <w:t>Jan Juc GMA - the sustainable yield methodology does not consider acid generation, which is a feature of this region. More detailed studies are currently underway (outside of sustainable yield) which can better consider the range of management objectives for the area.</w:t>
      </w:r>
    </w:p>
    <w:p w14:paraId="686216C7" w14:textId="013F8601" w:rsidR="00AD0951" w:rsidRPr="00965B70" w:rsidRDefault="00AD0951" w:rsidP="00DD2097">
      <w:pPr>
        <w:pStyle w:val="LastBulletinList"/>
        <w:rPr>
          <w:lang w:val="en-AU"/>
        </w:rPr>
      </w:pPr>
      <w:r w:rsidRPr="00965B70">
        <w:rPr>
          <w:lang w:val="en-AU"/>
        </w:rPr>
        <w:t>Gerangamete and Gellibrand GMAs - sustainable yield does not align with prior metric for Boundary Creek - More detailed local studies are applied to management decisions through the Barwon Downs Remediation and Environmental Protection Plan</w:t>
      </w:r>
    </w:p>
    <w:p w14:paraId="515C6509" w14:textId="77777777" w:rsidR="00965B70" w:rsidRDefault="00AD0951" w:rsidP="00DD2097">
      <w:pPr>
        <w:pStyle w:val="Normalbeforebullets"/>
      </w:pPr>
      <w:r w:rsidRPr="00965B70">
        <w:t>Further work may be required to:</w:t>
      </w:r>
    </w:p>
    <w:p w14:paraId="00C4D6DF" w14:textId="77777777" w:rsidR="00965B70" w:rsidRDefault="00AD0951" w:rsidP="00DD2097">
      <w:pPr>
        <w:pStyle w:val="ListBullet"/>
        <w:rPr>
          <w:lang w:val="en-AU"/>
        </w:rPr>
      </w:pPr>
      <w:r w:rsidRPr="00965B70">
        <w:rPr>
          <w:lang w:val="en-AU"/>
        </w:rPr>
        <w:t>classify groundwater resources and study areas according to salinity ranges.</w:t>
      </w:r>
    </w:p>
    <w:p w14:paraId="2072DD88" w14:textId="7CC1636F" w:rsidR="00AD0951" w:rsidRPr="00495E6F" w:rsidRDefault="00AD0951" w:rsidP="00AD0951">
      <w:pPr>
        <w:pStyle w:val="ListBullet"/>
        <w:rPr>
          <w:lang w:val="en-AU"/>
        </w:rPr>
      </w:pPr>
      <w:r w:rsidRPr="00965B70">
        <w:rPr>
          <w:lang w:val="en-AU"/>
        </w:rPr>
        <w:t>review the effectiveness of existing triggers to inform improved future management.</w:t>
      </w:r>
      <w:r w:rsidRPr="00495E6F">
        <w:rPr>
          <w:lang w:val="en-AU"/>
        </w:rPr>
        <w:br w:type="page"/>
      </w:r>
    </w:p>
    <w:p w14:paraId="71A95D94" w14:textId="77777777" w:rsidR="00AD0951" w:rsidRPr="00965B70" w:rsidRDefault="00AD0951" w:rsidP="00DD2097">
      <w:pPr>
        <w:pStyle w:val="Heading1"/>
        <w:ind w:right="-427"/>
        <w:rPr>
          <w:lang w:val="en-AU"/>
        </w:rPr>
      </w:pPr>
      <w:bookmarkStart w:id="82" w:name="_Toc185405242"/>
      <w:bookmarkStart w:id="83" w:name="_Toc219895330"/>
      <w:bookmarkStart w:id="84" w:name="_Toc219975424"/>
      <w:bookmarkEnd w:id="82"/>
      <w:r w:rsidRPr="00965B70">
        <w:rPr>
          <w:lang w:val="en-AU"/>
        </w:rPr>
        <w:lastRenderedPageBreak/>
        <w:t>Suitability of the output – fit for purpose</w:t>
      </w:r>
      <w:bookmarkEnd w:id="83"/>
      <w:bookmarkEnd w:id="84"/>
    </w:p>
    <w:p w14:paraId="0977F94B" w14:textId="77777777" w:rsidR="00AD0951" w:rsidRPr="00965B70" w:rsidRDefault="00AD0951" w:rsidP="00DD2097">
      <w:pPr>
        <w:pStyle w:val="Normalbeforebullets"/>
      </w:pPr>
      <w:r w:rsidRPr="00965B70">
        <w:t>The sustainable yield volumes, whilst having a level of uncertainty, are considered fit-for-purpose to:</w:t>
      </w:r>
    </w:p>
    <w:p w14:paraId="5AA375C1" w14:textId="77777777" w:rsidR="00AD0951" w:rsidRPr="00965B70" w:rsidRDefault="00AD0951" w:rsidP="00DD2097">
      <w:pPr>
        <w:pStyle w:val="ListBullet"/>
        <w:rPr>
          <w:lang w:val="en-AU"/>
        </w:rPr>
      </w:pPr>
      <w:r w:rsidRPr="00965B70">
        <w:rPr>
          <w:lang w:val="en-AU"/>
        </w:rPr>
        <w:t>inform risks to groundwater resources and groundwater-dependent values</w:t>
      </w:r>
    </w:p>
    <w:p w14:paraId="4BE96034" w14:textId="77777777" w:rsidR="00AD0951" w:rsidRPr="00965B70" w:rsidRDefault="00AD0951" w:rsidP="00DD2097">
      <w:pPr>
        <w:pStyle w:val="ListBullet"/>
        <w:rPr>
          <w:lang w:val="en-AU"/>
        </w:rPr>
      </w:pPr>
      <w:r w:rsidRPr="00965B70">
        <w:rPr>
          <w:lang w:val="en-AU"/>
        </w:rPr>
        <w:t>inform groundwater resource management planning</w:t>
      </w:r>
    </w:p>
    <w:p w14:paraId="531C84BB" w14:textId="77777777" w:rsidR="00AD0951" w:rsidRPr="00965B70" w:rsidRDefault="00AD0951" w:rsidP="00DD2097">
      <w:pPr>
        <w:pStyle w:val="LastBulletinList"/>
        <w:rPr>
          <w:lang w:val="en-AU"/>
        </w:rPr>
      </w:pPr>
      <w:r w:rsidRPr="00965B70">
        <w:rPr>
          <w:lang w:val="en-AU"/>
        </w:rPr>
        <w:t>inform the setting and/or review of caps on entitlements for groundwater resources, where applicable.</w:t>
      </w:r>
    </w:p>
    <w:p w14:paraId="53BBD2B2" w14:textId="2210A511" w:rsidR="00AD0951" w:rsidRPr="00965B70" w:rsidRDefault="00AD0951" w:rsidP="00AD0951">
      <w:pPr>
        <w:pStyle w:val="BodyText"/>
        <w:rPr>
          <w:lang w:val="en-AU"/>
        </w:rPr>
      </w:pPr>
      <w:r w:rsidRPr="00965B70">
        <w:rPr>
          <w:lang w:val="en-AU"/>
        </w:rPr>
        <w:t>The sustainable yield volumes are not considered suitable for implementing restrictions on use due to the uncertainty range in the assessed volumes. Instead, restrictions based on observed groundwater levels are preferred as they are simpler to implement and more accepted by the community. This is the approach currently used in some GMUs.</w:t>
      </w:r>
      <w:r w:rsidRPr="00965B70">
        <w:rPr>
          <w:lang w:val="en-AU"/>
        </w:rPr>
        <w:br w:type="page"/>
      </w:r>
    </w:p>
    <w:p w14:paraId="678EEB40" w14:textId="77777777" w:rsidR="00AD0951" w:rsidRPr="00965B70" w:rsidRDefault="00AD0951" w:rsidP="00AD0951">
      <w:pPr>
        <w:pStyle w:val="Heading1"/>
        <w:rPr>
          <w:lang w:val="en-AU"/>
        </w:rPr>
      </w:pPr>
      <w:bookmarkStart w:id="85" w:name="_Toc219895331"/>
      <w:bookmarkStart w:id="86" w:name="_Toc219975425"/>
      <w:r w:rsidRPr="00965B70">
        <w:rPr>
          <w:lang w:val="en-AU"/>
        </w:rPr>
        <w:lastRenderedPageBreak/>
        <w:t>Get involved</w:t>
      </w:r>
      <w:bookmarkEnd w:id="85"/>
      <w:bookmarkEnd w:id="86"/>
    </w:p>
    <w:p w14:paraId="70E3E85D" w14:textId="77777777" w:rsidR="00AD0951" w:rsidRPr="00965B70" w:rsidRDefault="00AD0951" w:rsidP="00AD0951">
      <w:pPr>
        <w:pStyle w:val="BodyText"/>
        <w:rPr>
          <w:lang w:val="en-AU"/>
        </w:rPr>
      </w:pPr>
      <w:r w:rsidRPr="00965B70">
        <w:rPr>
          <w:lang w:val="en-AU"/>
        </w:rPr>
        <w:t>The Sustainable Yield Assessment for Victoria is part of GM2030, a statement of priorities for DEECA and the rural water corporations (Lower Murray Water, Goulburn–Murray Water, Grampians Wimmera Mallee Water and Southern Rural Water).</w:t>
      </w:r>
    </w:p>
    <w:p w14:paraId="72562A1F" w14:textId="77777777" w:rsidR="00AD0951" w:rsidRPr="00965B70" w:rsidRDefault="00AD0951" w:rsidP="00AD0951">
      <w:pPr>
        <w:pStyle w:val="BodyText"/>
        <w:rPr>
          <w:lang w:val="en-AU"/>
        </w:rPr>
      </w:pPr>
      <w:r w:rsidRPr="00965B70">
        <w:rPr>
          <w:lang w:val="en-AU"/>
        </w:rPr>
        <w:t>The results of Sustainable Yield Assessment will inform GM2030, and the work being carried out by DEECA and the rural water corporations to support more informed decision-making for groundwater management licensing in the future under a changing climate. This will ensure we continue to protect the environment and living cultural landscapes from unacceptable impacts, support economic development opportunities and continued access to groundwater for all users. This work will occur right up until 2030.</w:t>
      </w:r>
    </w:p>
    <w:p w14:paraId="4388EF73" w14:textId="757808AB" w:rsidR="00DD2097" w:rsidRPr="00965B70" w:rsidRDefault="00AD0951" w:rsidP="00AD0951">
      <w:pPr>
        <w:pStyle w:val="BodyText"/>
        <w:rPr>
          <w:lang w:val="en-AU"/>
        </w:rPr>
        <w:sectPr w:rsidR="00DD2097" w:rsidRPr="00965B70" w:rsidSect="00EB277B">
          <w:footerReference w:type="default" r:id="rId40"/>
          <w:pgSz w:w="11906" w:h="16838"/>
          <w:pgMar w:top="1134" w:right="1134" w:bottom="1134" w:left="1134" w:header="720" w:footer="454" w:gutter="0"/>
          <w:cols w:space="720"/>
          <w:noEndnote/>
          <w:docGrid w:linePitch="326"/>
        </w:sectPr>
      </w:pPr>
      <w:r w:rsidRPr="00965B70">
        <w:rPr>
          <w:lang w:val="en-AU"/>
        </w:rPr>
        <w:t xml:space="preserve">DEECA’s GM2030 team will continue working with water users, Traditional Owners, stakeholders and the community. Anyone can register to be involved or receive future communication on GM2030 by emailing </w:t>
      </w:r>
      <w:hyperlink r:id="rId41" w:tooltip="Hyperlink to send an email to the Department of Energy, Environment and Climate Action regarding Groundwater Management 2030" w:history="1">
        <w:r w:rsidRPr="00965B70">
          <w:rPr>
            <w:rStyle w:val="Hyperlink"/>
            <w:lang w:val="en-AU"/>
          </w:rPr>
          <w:t>GM.2030@deeca.vic.gov.au</w:t>
        </w:r>
      </w:hyperlink>
      <w:r w:rsidRPr="00965B70">
        <w:rPr>
          <w:lang w:val="en-AU"/>
        </w:rPr>
        <w:t>.</w:t>
      </w:r>
    </w:p>
    <w:p w14:paraId="4E95AC9C" w14:textId="77777777" w:rsidR="00DD2097" w:rsidRPr="00965B70" w:rsidRDefault="00DD2097" w:rsidP="00B25A12">
      <w:pPr>
        <w:pStyle w:val="Heading1"/>
        <w:numPr>
          <w:ilvl w:val="0"/>
          <w:numId w:val="0"/>
        </w:numPr>
        <w:spacing w:after="120"/>
        <w:rPr>
          <w:lang w:val="en-AU"/>
        </w:rPr>
      </w:pPr>
      <w:bookmarkStart w:id="87" w:name="_Toc219975426"/>
      <w:r w:rsidRPr="00965B70">
        <w:rPr>
          <w:lang w:val="en-AU"/>
        </w:rPr>
        <w:lastRenderedPageBreak/>
        <w:t>Appendix A</w:t>
      </w:r>
      <w:bookmarkEnd w:id="87"/>
    </w:p>
    <w:p w14:paraId="346AD184" w14:textId="2B1C9EFB" w:rsidR="00AE0A5C" w:rsidRPr="00965B70" w:rsidRDefault="00AE0A5C" w:rsidP="00AE0A5C">
      <w:pPr>
        <w:pStyle w:val="Caption"/>
        <w:keepNext/>
      </w:pPr>
      <w:bookmarkStart w:id="88" w:name="_Toc219975583"/>
      <w:r w:rsidRPr="00965B70">
        <w:t xml:space="preserve">Table A- </w:t>
      </w:r>
      <w:r w:rsidRPr="00965B70">
        <w:fldChar w:fldCharType="begin"/>
      </w:r>
      <w:r w:rsidRPr="00965B70">
        <w:instrText xml:space="preserve"> SEQ Table_A- \* ARABIC </w:instrText>
      </w:r>
      <w:r w:rsidRPr="00965B70">
        <w:fldChar w:fldCharType="separate"/>
      </w:r>
      <w:r w:rsidR="00D76D09">
        <w:rPr>
          <w:noProof/>
        </w:rPr>
        <w:t>1</w:t>
      </w:r>
      <w:r w:rsidRPr="00965B70">
        <w:fldChar w:fldCharType="end"/>
      </w:r>
      <w:r w:rsidRPr="00965B70">
        <w:t xml:space="preserve">: </w:t>
      </w:r>
      <w:r w:rsidRPr="00965B70">
        <w:rPr>
          <w:b w:val="0"/>
          <w:bCs/>
        </w:rPr>
        <w:t>Confined aquifer GMU sustainable yield, Permissible Consumptive Volume, entitlement and use</w:t>
      </w:r>
      <w:bookmarkEnd w:id="88"/>
    </w:p>
    <w:tbl>
      <w:tblPr>
        <w:tblStyle w:val="Style2"/>
        <w:tblW w:w="4960" w:type="pct"/>
        <w:tblLayout w:type="fixed"/>
        <w:tblLook w:val="04A0" w:firstRow="1" w:lastRow="0" w:firstColumn="1" w:lastColumn="0" w:noHBand="0" w:noVBand="1"/>
        <w:tblCaption w:val="Confined aquifer GMU sustainable yield, Permissible Consumptive Volume, entitlement and use"/>
        <w:tblDescription w:val="Confined aquifer GMU sustainable yield, Permissible Consumptive Volume, entitlement and use"/>
      </w:tblPr>
      <w:tblGrid>
        <w:gridCol w:w="1919"/>
        <w:gridCol w:w="2323"/>
        <w:gridCol w:w="3544"/>
        <w:gridCol w:w="1106"/>
        <w:gridCol w:w="1109"/>
        <w:gridCol w:w="1109"/>
        <w:gridCol w:w="1106"/>
        <w:gridCol w:w="1109"/>
        <w:gridCol w:w="1109"/>
      </w:tblGrid>
      <w:tr w:rsidR="00DD2097" w:rsidRPr="00965B70" w14:paraId="0EDE00F4" w14:textId="77777777" w:rsidTr="00B25A12">
        <w:trPr>
          <w:cnfStyle w:val="100000000000" w:firstRow="1" w:lastRow="0" w:firstColumn="0" w:lastColumn="0" w:oddVBand="0" w:evenVBand="0" w:oddHBand="0" w:evenHBand="0" w:firstRowFirstColumn="0" w:firstRowLastColumn="0" w:lastRowFirstColumn="0" w:lastRowLastColumn="0"/>
          <w:cantSplit/>
          <w:trHeight w:val="1236"/>
          <w:tblHeader/>
        </w:trPr>
        <w:tc>
          <w:tcPr>
            <w:tcW w:w="665" w:type="pct"/>
            <w:vAlign w:val="center"/>
            <w:hideMark/>
          </w:tcPr>
          <w:p w14:paraId="5F73F09D" w14:textId="77777777" w:rsidR="00DD2097" w:rsidRPr="00965B70" w:rsidRDefault="00DD2097" w:rsidP="00B25A12">
            <w:pPr>
              <w:pStyle w:val="TableHeadingCentre"/>
              <w:jc w:val="left"/>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Region</w:t>
            </w:r>
          </w:p>
        </w:tc>
        <w:tc>
          <w:tcPr>
            <w:tcW w:w="805" w:type="pct"/>
            <w:vAlign w:val="center"/>
            <w:hideMark/>
          </w:tcPr>
          <w:p w14:paraId="7DE2A22E" w14:textId="77777777" w:rsidR="00DD2097" w:rsidRPr="00965B70" w:rsidRDefault="00DD2097" w:rsidP="00B25A12">
            <w:pPr>
              <w:pStyle w:val="TableHeadingCentre"/>
              <w:jc w:val="left"/>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GMU</w:t>
            </w:r>
          </w:p>
        </w:tc>
        <w:tc>
          <w:tcPr>
            <w:tcW w:w="1228" w:type="pct"/>
            <w:vAlign w:val="center"/>
            <w:hideMark/>
          </w:tcPr>
          <w:p w14:paraId="7A74B52B" w14:textId="77777777" w:rsidR="00DD2097" w:rsidRPr="00965B70" w:rsidRDefault="00DD2097" w:rsidP="00B25A12">
            <w:pPr>
              <w:pStyle w:val="TableHeadingCentre"/>
              <w:jc w:val="left"/>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Sustainable Yield Method</w:t>
            </w:r>
          </w:p>
        </w:tc>
        <w:tc>
          <w:tcPr>
            <w:tcW w:w="383" w:type="pct"/>
            <w:hideMark/>
          </w:tcPr>
          <w:p w14:paraId="2F484EC3" w14:textId="0C8EC72E" w:rsidR="00DD2097" w:rsidRPr="00965B70" w:rsidRDefault="00DD2097" w:rsidP="00D40AFB">
            <w:pPr>
              <w:pStyle w:val="TableHeadingCentre"/>
              <w:rPr>
                <w:rFonts w:ascii="Arial" w:hAnsi="Arial" w:cs="Arial"/>
                <w:b/>
                <w:bCs/>
                <w:color w:val="000000" w:themeColor="text1"/>
                <w:sz w:val="18"/>
                <w:szCs w:val="18"/>
              </w:rPr>
            </w:pPr>
            <w:r w:rsidRPr="00965B70">
              <w:rPr>
                <w:rFonts w:asciiTheme="majorHAnsi" w:hAnsiTheme="majorHAnsi" w:cstheme="majorHAnsi"/>
                <w:b/>
                <w:bCs/>
                <w:color w:val="000000" w:themeColor="text1"/>
                <w:sz w:val="18"/>
                <w:szCs w:val="18"/>
              </w:rPr>
              <w:t>SY</w:t>
            </w:r>
            <w:r w:rsidR="00D40AFB" w:rsidRPr="00965B70">
              <w:rPr>
                <w:rFonts w:asciiTheme="majorHAnsi" w:hAnsiTheme="majorHAnsi" w:cstheme="majorHAnsi"/>
                <w:b/>
                <w:bCs/>
                <w:color w:val="000000" w:themeColor="text1"/>
                <w:sz w:val="18"/>
                <w:szCs w:val="18"/>
              </w:rPr>
              <w:br/>
            </w:r>
            <w:r w:rsidRPr="00965B70">
              <w:rPr>
                <w:rFonts w:asciiTheme="majorHAnsi" w:hAnsiTheme="majorHAnsi" w:cstheme="majorHAnsi"/>
                <w:b/>
                <w:bCs/>
                <w:color w:val="000000" w:themeColor="text1"/>
                <w:sz w:val="18"/>
                <w:szCs w:val="18"/>
              </w:rPr>
              <w:t>volume (ML/yr)</w:t>
            </w:r>
          </w:p>
        </w:tc>
        <w:tc>
          <w:tcPr>
            <w:tcW w:w="384" w:type="pct"/>
            <w:hideMark/>
          </w:tcPr>
          <w:p w14:paraId="04025593" w14:textId="4D7B6E2F" w:rsidR="00DD2097" w:rsidRPr="00965B70" w:rsidRDefault="00DD2097" w:rsidP="00DB4B3C">
            <w:pPr>
              <w:pStyle w:val="TableHeadingCentre"/>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SY</w:t>
            </w:r>
            <w:r w:rsidR="00B25A12" w:rsidRPr="00965B70">
              <w:rPr>
                <w:rFonts w:asciiTheme="majorHAnsi" w:hAnsiTheme="majorHAnsi" w:cstheme="majorHAnsi"/>
                <w:b/>
                <w:bCs/>
                <w:color w:val="000000" w:themeColor="text1"/>
                <w:sz w:val="18"/>
                <w:szCs w:val="18"/>
              </w:rPr>
              <w:br/>
            </w:r>
            <w:r w:rsidRPr="00965B70">
              <w:rPr>
                <w:rFonts w:asciiTheme="majorHAnsi" w:hAnsiTheme="majorHAnsi" w:cstheme="majorHAnsi"/>
                <w:b/>
                <w:bCs/>
                <w:color w:val="000000" w:themeColor="text1"/>
                <w:sz w:val="18"/>
                <w:szCs w:val="18"/>
              </w:rPr>
              <w:t>Lower band (ML/yr)</w:t>
            </w:r>
          </w:p>
        </w:tc>
        <w:tc>
          <w:tcPr>
            <w:tcW w:w="384" w:type="pct"/>
            <w:hideMark/>
          </w:tcPr>
          <w:p w14:paraId="6899ADDC" w14:textId="5C7BF551" w:rsidR="00DD2097" w:rsidRPr="00965B70" w:rsidRDefault="00DD2097" w:rsidP="00DB4B3C">
            <w:pPr>
              <w:pStyle w:val="TableHeadingCentre"/>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 xml:space="preserve">SY </w:t>
            </w:r>
            <w:r w:rsidR="00D40AFB" w:rsidRPr="00965B70">
              <w:rPr>
                <w:rFonts w:asciiTheme="majorHAnsi" w:hAnsiTheme="majorHAnsi" w:cstheme="majorHAnsi"/>
                <w:b/>
                <w:bCs/>
                <w:color w:val="000000" w:themeColor="text1"/>
                <w:sz w:val="18"/>
                <w:szCs w:val="18"/>
              </w:rPr>
              <w:br/>
            </w:r>
            <w:r w:rsidRPr="00965B70">
              <w:rPr>
                <w:rFonts w:asciiTheme="majorHAnsi" w:hAnsiTheme="majorHAnsi" w:cstheme="majorHAnsi"/>
                <w:b/>
                <w:bCs/>
                <w:color w:val="000000" w:themeColor="text1"/>
                <w:sz w:val="18"/>
                <w:szCs w:val="18"/>
              </w:rPr>
              <w:t>Upper band (ML/yr)</w:t>
            </w:r>
          </w:p>
        </w:tc>
        <w:tc>
          <w:tcPr>
            <w:tcW w:w="383" w:type="pct"/>
          </w:tcPr>
          <w:p w14:paraId="6AAFB95F" w14:textId="77777777" w:rsidR="00DD2097" w:rsidRPr="00965B70" w:rsidRDefault="00DD2097" w:rsidP="00DB4B3C">
            <w:pPr>
              <w:pStyle w:val="TableHeadingCentre"/>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PCV (ML/yr)</w:t>
            </w:r>
          </w:p>
        </w:tc>
        <w:tc>
          <w:tcPr>
            <w:tcW w:w="384" w:type="pct"/>
          </w:tcPr>
          <w:p w14:paraId="7267534A" w14:textId="77777777" w:rsidR="00DD2097" w:rsidRPr="00965B70" w:rsidRDefault="00DD2097" w:rsidP="008463E8">
            <w:pPr>
              <w:pStyle w:val="TableHeadingCentre"/>
              <w:spacing w:after="120"/>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Average Entitlement (2016-2021) (ML/yr)</w:t>
            </w:r>
          </w:p>
        </w:tc>
        <w:tc>
          <w:tcPr>
            <w:tcW w:w="384" w:type="pct"/>
            <w:hideMark/>
          </w:tcPr>
          <w:p w14:paraId="00F33FAA" w14:textId="1A7F1AD1" w:rsidR="00DD2097" w:rsidRPr="00965B70" w:rsidRDefault="00DD2097" w:rsidP="008463E8">
            <w:pPr>
              <w:pStyle w:val="TableHeadingCentre"/>
              <w:spacing w:after="120"/>
              <w:rPr>
                <w:rFonts w:asciiTheme="majorHAnsi" w:hAnsiTheme="majorHAnsi" w:cstheme="majorHAnsi"/>
                <w:b/>
                <w:bCs/>
                <w:color w:val="000000" w:themeColor="text1"/>
                <w:sz w:val="18"/>
                <w:szCs w:val="18"/>
              </w:rPr>
            </w:pPr>
            <w:r w:rsidRPr="00965B70">
              <w:rPr>
                <w:rFonts w:asciiTheme="majorHAnsi" w:hAnsiTheme="majorHAnsi" w:cstheme="majorHAnsi"/>
                <w:b/>
                <w:bCs/>
                <w:color w:val="000000" w:themeColor="text1"/>
                <w:sz w:val="18"/>
                <w:szCs w:val="18"/>
              </w:rPr>
              <w:t xml:space="preserve">Average use </w:t>
            </w:r>
            <w:r w:rsidR="00D40AFB" w:rsidRPr="00965B70">
              <w:rPr>
                <w:rFonts w:asciiTheme="majorHAnsi" w:hAnsiTheme="majorHAnsi" w:cstheme="majorHAnsi"/>
                <w:b/>
                <w:bCs/>
                <w:color w:val="000000" w:themeColor="text1"/>
                <w:sz w:val="18"/>
                <w:szCs w:val="18"/>
              </w:rPr>
              <w:br/>
            </w:r>
            <w:r w:rsidRPr="00965B70">
              <w:rPr>
                <w:rFonts w:asciiTheme="majorHAnsi" w:hAnsiTheme="majorHAnsi" w:cstheme="majorHAnsi"/>
                <w:b/>
                <w:bCs/>
                <w:color w:val="000000" w:themeColor="text1"/>
                <w:sz w:val="18"/>
                <w:szCs w:val="18"/>
              </w:rPr>
              <w:t>(2016-2021) (ML/yr)</w:t>
            </w:r>
          </w:p>
        </w:tc>
      </w:tr>
      <w:tr w:rsidR="00DD2097" w:rsidRPr="00965B70" w14:paraId="2E485797" w14:textId="77777777" w:rsidTr="008463E8">
        <w:trPr>
          <w:trHeight w:val="288"/>
        </w:trPr>
        <w:tc>
          <w:tcPr>
            <w:tcW w:w="665" w:type="pct"/>
            <w:noWrap/>
            <w:hideMark/>
          </w:tcPr>
          <w:p w14:paraId="75D739D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Western Victoria</w:t>
            </w:r>
          </w:p>
        </w:tc>
        <w:tc>
          <w:tcPr>
            <w:tcW w:w="805" w:type="pct"/>
            <w:noWrap/>
            <w:hideMark/>
          </w:tcPr>
          <w:p w14:paraId="5CD341C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Murrayville GMA</w:t>
            </w:r>
          </w:p>
        </w:tc>
        <w:tc>
          <w:tcPr>
            <w:tcW w:w="1228" w:type="pct"/>
            <w:noWrap/>
            <w:hideMark/>
          </w:tcPr>
          <w:p w14:paraId="2F8FBF8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hideMark/>
          </w:tcPr>
          <w:p w14:paraId="38B322B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10,400</w:t>
            </w:r>
          </w:p>
        </w:tc>
        <w:tc>
          <w:tcPr>
            <w:tcW w:w="384" w:type="pct"/>
            <w:noWrap/>
            <w:hideMark/>
          </w:tcPr>
          <w:p w14:paraId="4B469DD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9,500</w:t>
            </w:r>
          </w:p>
        </w:tc>
        <w:tc>
          <w:tcPr>
            <w:tcW w:w="384" w:type="pct"/>
            <w:noWrap/>
            <w:hideMark/>
          </w:tcPr>
          <w:p w14:paraId="6F2139A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11,400</w:t>
            </w:r>
          </w:p>
        </w:tc>
        <w:tc>
          <w:tcPr>
            <w:tcW w:w="383" w:type="pct"/>
          </w:tcPr>
          <w:p w14:paraId="68ACEC7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11,005</w:t>
            </w:r>
          </w:p>
        </w:tc>
        <w:tc>
          <w:tcPr>
            <w:tcW w:w="384" w:type="pct"/>
          </w:tcPr>
          <w:p w14:paraId="4CF891B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9,755</w:t>
            </w:r>
          </w:p>
        </w:tc>
        <w:tc>
          <w:tcPr>
            <w:tcW w:w="384" w:type="pct"/>
            <w:noWrap/>
            <w:hideMark/>
          </w:tcPr>
          <w:p w14:paraId="76FBA07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5,408</w:t>
            </w:r>
          </w:p>
        </w:tc>
      </w:tr>
      <w:tr w:rsidR="00DD2097" w:rsidRPr="00965B70" w14:paraId="75A494F5" w14:textId="77777777" w:rsidTr="008463E8">
        <w:trPr>
          <w:trHeight w:val="288"/>
        </w:trPr>
        <w:tc>
          <w:tcPr>
            <w:tcW w:w="665" w:type="pct"/>
            <w:noWrap/>
            <w:hideMark/>
          </w:tcPr>
          <w:p w14:paraId="28550BA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Western Victoria</w:t>
            </w:r>
          </w:p>
        </w:tc>
        <w:tc>
          <w:tcPr>
            <w:tcW w:w="805" w:type="pct"/>
            <w:noWrap/>
            <w:hideMark/>
          </w:tcPr>
          <w:p w14:paraId="61ACF0AA" w14:textId="77777777" w:rsidR="00DD2097" w:rsidRPr="00965B70" w:rsidRDefault="00DD2097" w:rsidP="00D40AFB">
            <w:pPr>
              <w:pStyle w:val="TableTextLeft"/>
              <w:spacing w:after="120" w:line="276" w:lineRule="auto"/>
              <w:rPr>
                <w:rFonts w:cstheme="minorHAnsi"/>
                <w:color w:val="000000" w:themeColor="text1"/>
                <w:sz w:val="18"/>
                <w:szCs w:val="18"/>
              </w:rPr>
            </w:pPr>
            <w:r w:rsidRPr="00965B70">
              <w:rPr>
                <w:rFonts w:cstheme="minorHAnsi"/>
                <w:color w:val="000000" w:themeColor="text1"/>
                <w:sz w:val="18"/>
                <w:szCs w:val="18"/>
              </w:rPr>
              <w:t>West Wimmera GMA – Tertiary Confined Sand Aquifer</w:t>
            </w:r>
          </w:p>
        </w:tc>
        <w:tc>
          <w:tcPr>
            <w:tcW w:w="1228" w:type="pct"/>
            <w:noWrap/>
            <w:hideMark/>
          </w:tcPr>
          <w:p w14:paraId="4299924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 xml:space="preserve">Percentage of throughflow flux </w:t>
            </w:r>
          </w:p>
        </w:tc>
        <w:tc>
          <w:tcPr>
            <w:tcW w:w="383" w:type="pct"/>
            <w:noWrap/>
            <w:hideMark/>
          </w:tcPr>
          <w:p w14:paraId="188DBCE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1,100</w:t>
            </w:r>
          </w:p>
        </w:tc>
        <w:tc>
          <w:tcPr>
            <w:tcW w:w="384" w:type="pct"/>
            <w:noWrap/>
            <w:hideMark/>
          </w:tcPr>
          <w:p w14:paraId="1094E79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900</w:t>
            </w:r>
          </w:p>
        </w:tc>
        <w:tc>
          <w:tcPr>
            <w:tcW w:w="384" w:type="pct"/>
            <w:noWrap/>
            <w:hideMark/>
          </w:tcPr>
          <w:p w14:paraId="3B84BD5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1,300</w:t>
            </w:r>
          </w:p>
        </w:tc>
        <w:tc>
          <w:tcPr>
            <w:tcW w:w="383" w:type="pct"/>
          </w:tcPr>
          <w:p w14:paraId="6E6031E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1,550</w:t>
            </w:r>
          </w:p>
        </w:tc>
        <w:tc>
          <w:tcPr>
            <w:tcW w:w="384" w:type="pct"/>
          </w:tcPr>
          <w:p w14:paraId="7B685F4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0</w:t>
            </w:r>
          </w:p>
        </w:tc>
        <w:tc>
          <w:tcPr>
            <w:tcW w:w="384" w:type="pct"/>
            <w:noWrap/>
            <w:hideMark/>
          </w:tcPr>
          <w:p w14:paraId="6E1D507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0</w:t>
            </w:r>
          </w:p>
        </w:tc>
      </w:tr>
      <w:tr w:rsidR="00DD2097" w:rsidRPr="00965B70" w14:paraId="7CC30C0A" w14:textId="77777777" w:rsidTr="008463E8">
        <w:trPr>
          <w:trHeight w:val="288"/>
        </w:trPr>
        <w:tc>
          <w:tcPr>
            <w:tcW w:w="665" w:type="pct"/>
            <w:noWrap/>
            <w:hideMark/>
          </w:tcPr>
          <w:p w14:paraId="45F36FF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Northern Victoria</w:t>
            </w:r>
          </w:p>
        </w:tc>
        <w:tc>
          <w:tcPr>
            <w:tcW w:w="805" w:type="pct"/>
            <w:noWrap/>
            <w:hideMark/>
          </w:tcPr>
          <w:p w14:paraId="271B456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Katunga WSPA</w:t>
            </w:r>
          </w:p>
        </w:tc>
        <w:tc>
          <w:tcPr>
            <w:tcW w:w="1228" w:type="pct"/>
            <w:noWrap/>
            <w:hideMark/>
          </w:tcPr>
          <w:p w14:paraId="5C423EC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hideMark/>
          </w:tcPr>
          <w:p w14:paraId="746E771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23,900</w:t>
            </w:r>
          </w:p>
        </w:tc>
        <w:tc>
          <w:tcPr>
            <w:tcW w:w="384" w:type="pct"/>
            <w:noWrap/>
            <w:hideMark/>
          </w:tcPr>
          <w:p w14:paraId="4CDC56D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19,300</w:t>
            </w:r>
          </w:p>
        </w:tc>
        <w:tc>
          <w:tcPr>
            <w:tcW w:w="384" w:type="pct"/>
            <w:noWrap/>
            <w:hideMark/>
          </w:tcPr>
          <w:p w14:paraId="3BFB947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28,700</w:t>
            </w:r>
          </w:p>
        </w:tc>
        <w:tc>
          <w:tcPr>
            <w:tcW w:w="383" w:type="pct"/>
          </w:tcPr>
          <w:p w14:paraId="3D7BCC2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60,577</w:t>
            </w:r>
          </w:p>
        </w:tc>
        <w:tc>
          <w:tcPr>
            <w:tcW w:w="384" w:type="pct"/>
          </w:tcPr>
          <w:p w14:paraId="5154117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60,209</w:t>
            </w:r>
          </w:p>
        </w:tc>
        <w:tc>
          <w:tcPr>
            <w:tcW w:w="384" w:type="pct"/>
            <w:noWrap/>
            <w:hideMark/>
          </w:tcPr>
          <w:p w14:paraId="212E000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27,785</w:t>
            </w:r>
          </w:p>
        </w:tc>
      </w:tr>
      <w:tr w:rsidR="00DD2097" w:rsidRPr="00965B70" w14:paraId="7D9226FE" w14:textId="77777777" w:rsidTr="008463E8">
        <w:trPr>
          <w:trHeight w:val="288"/>
        </w:trPr>
        <w:tc>
          <w:tcPr>
            <w:tcW w:w="665" w:type="pct"/>
            <w:noWrap/>
          </w:tcPr>
          <w:p w14:paraId="61B1C82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tcPr>
          <w:p w14:paraId="7C57746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Corinella GMA</w:t>
            </w:r>
          </w:p>
        </w:tc>
        <w:tc>
          <w:tcPr>
            <w:tcW w:w="1228" w:type="pct"/>
            <w:noWrap/>
          </w:tcPr>
          <w:p w14:paraId="08615175" w14:textId="3FB1E972" w:rsidR="00DD2097" w:rsidRPr="00965B70" w:rsidRDefault="00DD2097" w:rsidP="00D40AFB">
            <w:pPr>
              <w:pStyle w:val="TableTextLeft"/>
              <w:spacing w:after="120" w:line="276" w:lineRule="auto"/>
              <w:rPr>
                <w:rFonts w:cstheme="minorHAnsi"/>
                <w:color w:val="000000" w:themeColor="text1"/>
                <w:sz w:val="18"/>
                <w:szCs w:val="18"/>
              </w:rPr>
            </w:pPr>
            <w:r w:rsidRPr="00965B70">
              <w:rPr>
                <w:rFonts w:cstheme="minorHAnsi"/>
                <w:color w:val="000000" w:themeColor="text1"/>
                <w:sz w:val="18"/>
                <w:szCs w:val="18"/>
              </w:rPr>
              <w:t>Confined use-drawdown method an</w:t>
            </w:r>
            <w:r w:rsidR="00D40AFB" w:rsidRPr="00965B70">
              <w:rPr>
                <w:rFonts w:cstheme="minorHAnsi"/>
                <w:color w:val="000000" w:themeColor="text1"/>
                <w:sz w:val="18"/>
                <w:szCs w:val="18"/>
              </w:rPr>
              <w:t xml:space="preserve"> </w:t>
            </w:r>
            <w:r w:rsidR="008463E8" w:rsidRPr="00965B70">
              <w:rPr>
                <w:rFonts w:cstheme="minorHAnsi"/>
                <w:color w:val="000000" w:themeColor="text1"/>
                <w:sz w:val="18"/>
                <w:szCs w:val="18"/>
              </w:rPr>
              <w:br/>
            </w:r>
            <w:r w:rsidRPr="00965B70">
              <w:rPr>
                <w:rFonts w:cstheme="minorHAnsi"/>
                <w:color w:val="000000" w:themeColor="text1"/>
                <w:sz w:val="18"/>
                <w:szCs w:val="18"/>
              </w:rPr>
              <w:t>Unconfined percentage of recharge</w:t>
            </w:r>
          </w:p>
        </w:tc>
        <w:tc>
          <w:tcPr>
            <w:tcW w:w="383" w:type="pct"/>
            <w:noWrap/>
          </w:tcPr>
          <w:p w14:paraId="187EA05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1,760</w:t>
            </w:r>
          </w:p>
        </w:tc>
        <w:tc>
          <w:tcPr>
            <w:tcW w:w="384" w:type="pct"/>
            <w:noWrap/>
          </w:tcPr>
          <w:p w14:paraId="4CDAE5B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400</w:t>
            </w:r>
          </w:p>
        </w:tc>
        <w:tc>
          <w:tcPr>
            <w:tcW w:w="384" w:type="pct"/>
            <w:noWrap/>
          </w:tcPr>
          <w:p w14:paraId="04ABF78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2,900</w:t>
            </w:r>
          </w:p>
        </w:tc>
        <w:tc>
          <w:tcPr>
            <w:tcW w:w="383" w:type="pct"/>
          </w:tcPr>
          <w:p w14:paraId="5443992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2,550</w:t>
            </w:r>
          </w:p>
        </w:tc>
        <w:tc>
          <w:tcPr>
            <w:tcW w:w="384" w:type="pct"/>
          </w:tcPr>
          <w:p w14:paraId="4058812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662</w:t>
            </w:r>
          </w:p>
        </w:tc>
        <w:tc>
          <w:tcPr>
            <w:tcW w:w="384" w:type="pct"/>
            <w:noWrap/>
          </w:tcPr>
          <w:p w14:paraId="1E60AB2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60</w:t>
            </w:r>
          </w:p>
        </w:tc>
      </w:tr>
      <w:tr w:rsidR="00DD2097" w:rsidRPr="00965B70" w14:paraId="21F1C409" w14:textId="77777777" w:rsidTr="008463E8">
        <w:trPr>
          <w:trHeight w:val="288"/>
        </w:trPr>
        <w:tc>
          <w:tcPr>
            <w:tcW w:w="665" w:type="pct"/>
            <w:noWrap/>
          </w:tcPr>
          <w:p w14:paraId="6AEED0D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tcPr>
          <w:p w14:paraId="66CE979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Moe GMA</w:t>
            </w:r>
          </w:p>
        </w:tc>
        <w:tc>
          <w:tcPr>
            <w:tcW w:w="1228" w:type="pct"/>
            <w:noWrap/>
          </w:tcPr>
          <w:p w14:paraId="373D28D7" w14:textId="275594B4" w:rsidR="00DD2097" w:rsidRPr="00965B70" w:rsidRDefault="00DD2097" w:rsidP="00D40AFB">
            <w:pPr>
              <w:pStyle w:val="TableTextLeft"/>
              <w:spacing w:after="120" w:line="276" w:lineRule="auto"/>
              <w:rPr>
                <w:rFonts w:cstheme="minorHAnsi"/>
                <w:color w:val="000000" w:themeColor="text1"/>
                <w:sz w:val="18"/>
                <w:szCs w:val="18"/>
              </w:rPr>
            </w:pPr>
            <w:r w:rsidRPr="00965B70">
              <w:rPr>
                <w:rFonts w:cstheme="minorHAnsi"/>
                <w:color w:val="000000" w:themeColor="text1"/>
                <w:sz w:val="18"/>
                <w:szCs w:val="18"/>
              </w:rPr>
              <w:t>Confined use-drawdown method an</w:t>
            </w:r>
            <w:r w:rsidR="00D40AFB" w:rsidRPr="00965B70">
              <w:rPr>
                <w:rFonts w:cstheme="minorHAnsi"/>
                <w:color w:val="000000" w:themeColor="text1"/>
                <w:sz w:val="18"/>
                <w:szCs w:val="18"/>
              </w:rPr>
              <w:t xml:space="preserve"> </w:t>
            </w:r>
            <w:r w:rsidR="008463E8" w:rsidRPr="00965B70">
              <w:rPr>
                <w:rFonts w:cstheme="minorHAnsi"/>
                <w:color w:val="000000" w:themeColor="text1"/>
                <w:sz w:val="18"/>
                <w:szCs w:val="18"/>
              </w:rPr>
              <w:br/>
            </w:r>
            <w:r w:rsidRPr="00965B70">
              <w:rPr>
                <w:rFonts w:cstheme="minorHAnsi"/>
                <w:color w:val="000000" w:themeColor="text1"/>
                <w:sz w:val="18"/>
                <w:szCs w:val="18"/>
              </w:rPr>
              <w:t>Unconfined use-drawdown method</w:t>
            </w:r>
          </w:p>
        </w:tc>
        <w:tc>
          <w:tcPr>
            <w:tcW w:w="383" w:type="pct"/>
            <w:noWrap/>
          </w:tcPr>
          <w:p w14:paraId="4054A33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3,600</w:t>
            </w:r>
          </w:p>
        </w:tc>
        <w:tc>
          <w:tcPr>
            <w:tcW w:w="384" w:type="pct"/>
            <w:noWrap/>
          </w:tcPr>
          <w:p w14:paraId="0A071A8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2,200</w:t>
            </w:r>
          </w:p>
        </w:tc>
        <w:tc>
          <w:tcPr>
            <w:tcW w:w="384" w:type="pct"/>
            <w:noWrap/>
          </w:tcPr>
          <w:p w14:paraId="4D92605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4,500</w:t>
            </w:r>
          </w:p>
        </w:tc>
        <w:tc>
          <w:tcPr>
            <w:tcW w:w="383" w:type="pct"/>
          </w:tcPr>
          <w:p w14:paraId="0386267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8,200</w:t>
            </w:r>
          </w:p>
        </w:tc>
        <w:tc>
          <w:tcPr>
            <w:tcW w:w="384" w:type="pct"/>
          </w:tcPr>
          <w:p w14:paraId="4C7EAD0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3,861</w:t>
            </w:r>
          </w:p>
        </w:tc>
        <w:tc>
          <w:tcPr>
            <w:tcW w:w="384" w:type="pct"/>
            <w:noWrap/>
          </w:tcPr>
          <w:p w14:paraId="32C09A7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826</w:t>
            </w:r>
          </w:p>
        </w:tc>
      </w:tr>
      <w:tr w:rsidR="00DD2097" w:rsidRPr="00965B70" w14:paraId="5F0AA90C" w14:textId="77777777" w:rsidTr="008463E8">
        <w:trPr>
          <w:trHeight w:val="288"/>
        </w:trPr>
        <w:tc>
          <w:tcPr>
            <w:tcW w:w="665" w:type="pct"/>
            <w:noWrap/>
            <w:hideMark/>
          </w:tcPr>
          <w:p w14:paraId="52FA3EB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hideMark/>
          </w:tcPr>
          <w:p w14:paraId="6545148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Orbost GMA</w:t>
            </w:r>
          </w:p>
        </w:tc>
        <w:tc>
          <w:tcPr>
            <w:tcW w:w="1228" w:type="pct"/>
            <w:noWrap/>
            <w:hideMark/>
          </w:tcPr>
          <w:p w14:paraId="26323AC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hideMark/>
          </w:tcPr>
          <w:p w14:paraId="700641D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3,000</w:t>
            </w:r>
          </w:p>
        </w:tc>
        <w:tc>
          <w:tcPr>
            <w:tcW w:w="384" w:type="pct"/>
            <w:noWrap/>
            <w:hideMark/>
          </w:tcPr>
          <w:p w14:paraId="3B194CA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2,100</w:t>
            </w:r>
          </w:p>
        </w:tc>
        <w:tc>
          <w:tcPr>
            <w:tcW w:w="384" w:type="pct"/>
            <w:noWrap/>
            <w:hideMark/>
          </w:tcPr>
          <w:p w14:paraId="549F1B5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3,800</w:t>
            </w:r>
          </w:p>
        </w:tc>
        <w:tc>
          <w:tcPr>
            <w:tcW w:w="383" w:type="pct"/>
          </w:tcPr>
          <w:p w14:paraId="76E946B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1,217</w:t>
            </w:r>
          </w:p>
        </w:tc>
        <w:tc>
          <w:tcPr>
            <w:tcW w:w="384" w:type="pct"/>
          </w:tcPr>
          <w:p w14:paraId="6E4B312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1,216</w:t>
            </w:r>
          </w:p>
        </w:tc>
        <w:tc>
          <w:tcPr>
            <w:tcW w:w="384" w:type="pct"/>
            <w:noWrap/>
            <w:hideMark/>
          </w:tcPr>
          <w:p w14:paraId="55A9681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294</w:t>
            </w:r>
          </w:p>
        </w:tc>
      </w:tr>
      <w:tr w:rsidR="00DD2097" w:rsidRPr="00965B70" w14:paraId="22832AC4" w14:textId="77777777" w:rsidTr="008463E8">
        <w:trPr>
          <w:trHeight w:val="288"/>
        </w:trPr>
        <w:tc>
          <w:tcPr>
            <w:tcW w:w="665" w:type="pct"/>
            <w:noWrap/>
            <w:hideMark/>
          </w:tcPr>
          <w:p w14:paraId="37040CC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hideMark/>
          </w:tcPr>
          <w:p w14:paraId="316AD27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Giffard GMA</w:t>
            </w:r>
          </w:p>
        </w:tc>
        <w:tc>
          <w:tcPr>
            <w:tcW w:w="1228" w:type="pct"/>
            <w:noWrap/>
            <w:hideMark/>
          </w:tcPr>
          <w:p w14:paraId="6A19AE9E" w14:textId="25C7A697" w:rsidR="00DD2097" w:rsidRPr="00965B70" w:rsidRDefault="00D40AFB"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w:t>
            </w:r>
          </w:p>
        </w:tc>
        <w:tc>
          <w:tcPr>
            <w:tcW w:w="383" w:type="pct"/>
            <w:noWrap/>
          </w:tcPr>
          <w:p w14:paraId="764CDFD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 SY volume</w:t>
            </w:r>
          </w:p>
        </w:tc>
        <w:tc>
          <w:tcPr>
            <w:tcW w:w="384" w:type="pct"/>
            <w:noWrap/>
          </w:tcPr>
          <w:p w14:paraId="7E34A31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tcPr>
          <w:p w14:paraId="4461444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6284538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5,689</w:t>
            </w:r>
          </w:p>
        </w:tc>
        <w:tc>
          <w:tcPr>
            <w:tcW w:w="384" w:type="pct"/>
          </w:tcPr>
          <w:p w14:paraId="0985E4D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5,688</w:t>
            </w:r>
          </w:p>
        </w:tc>
        <w:tc>
          <w:tcPr>
            <w:tcW w:w="384" w:type="pct"/>
            <w:noWrap/>
            <w:hideMark/>
          </w:tcPr>
          <w:p w14:paraId="70A91B2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2,475</w:t>
            </w:r>
          </w:p>
        </w:tc>
      </w:tr>
      <w:tr w:rsidR="00DD2097" w:rsidRPr="00965B70" w14:paraId="64790046" w14:textId="77777777" w:rsidTr="008463E8">
        <w:trPr>
          <w:trHeight w:val="288"/>
        </w:trPr>
        <w:tc>
          <w:tcPr>
            <w:tcW w:w="665" w:type="pct"/>
            <w:noWrap/>
            <w:hideMark/>
          </w:tcPr>
          <w:p w14:paraId="1D0C704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hideMark/>
          </w:tcPr>
          <w:p w14:paraId="013B394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Rosedale GMA</w:t>
            </w:r>
          </w:p>
        </w:tc>
        <w:tc>
          <w:tcPr>
            <w:tcW w:w="1228" w:type="pct"/>
            <w:noWrap/>
            <w:hideMark/>
          </w:tcPr>
          <w:p w14:paraId="5811B74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3AB01D9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5,700</w:t>
            </w:r>
          </w:p>
        </w:tc>
        <w:tc>
          <w:tcPr>
            <w:tcW w:w="384" w:type="pct"/>
            <w:noWrap/>
          </w:tcPr>
          <w:p w14:paraId="116D160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3,000</w:t>
            </w:r>
          </w:p>
        </w:tc>
        <w:tc>
          <w:tcPr>
            <w:tcW w:w="384" w:type="pct"/>
            <w:noWrap/>
          </w:tcPr>
          <w:p w14:paraId="20F21BE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10,100</w:t>
            </w:r>
          </w:p>
        </w:tc>
        <w:tc>
          <w:tcPr>
            <w:tcW w:w="383" w:type="pct"/>
          </w:tcPr>
          <w:p w14:paraId="03242F5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23,373</w:t>
            </w:r>
          </w:p>
        </w:tc>
        <w:tc>
          <w:tcPr>
            <w:tcW w:w="384" w:type="pct"/>
          </w:tcPr>
          <w:p w14:paraId="1E39546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22,312</w:t>
            </w:r>
          </w:p>
        </w:tc>
        <w:tc>
          <w:tcPr>
            <w:tcW w:w="384" w:type="pct"/>
            <w:noWrap/>
            <w:hideMark/>
          </w:tcPr>
          <w:p w14:paraId="1867E2E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8,828</w:t>
            </w:r>
          </w:p>
        </w:tc>
      </w:tr>
      <w:tr w:rsidR="00DD2097" w:rsidRPr="00965B70" w14:paraId="08C2775C" w14:textId="77777777" w:rsidTr="008463E8">
        <w:trPr>
          <w:trHeight w:val="288"/>
        </w:trPr>
        <w:tc>
          <w:tcPr>
            <w:tcW w:w="665" w:type="pct"/>
            <w:noWrap/>
            <w:hideMark/>
          </w:tcPr>
          <w:p w14:paraId="110C726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hideMark/>
          </w:tcPr>
          <w:p w14:paraId="258D54E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Sale WSPA</w:t>
            </w:r>
          </w:p>
        </w:tc>
        <w:tc>
          <w:tcPr>
            <w:tcW w:w="1228" w:type="pct"/>
            <w:noWrap/>
            <w:hideMark/>
          </w:tcPr>
          <w:p w14:paraId="39FFBF7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hideMark/>
          </w:tcPr>
          <w:p w14:paraId="2361415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14,300</w:t>
            </w:r>
          </w:p>
        </w:tc>
        <w:tc>
          <w:tcPr>
            <w:tcW w:w="384" w:type="pct"/>
            <w:noWrap/>
            <w:hideMark/>
          </w:tcPr>
          <w:p w14:paraId="6514DC9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12,600</w:t>
            </w:r>
          </w:p>
        </w:tc>
        <w:tc>
          <w:tcPr>
            <w:tcW w:w="384" w:type="pct"/>
            <w:noWrap/>
            <w:hideMark/>
          </w:tcPr>
          <w:p w14:paraId="6C60080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18,100</w:t>
            </w:r>
          </w:p>
        </w:tc>
        <w:tc>
          <w:tcPr>
            <w:tcW w:w="383" w:type="pct"/>
          </w:tcPr>
          <w:p w14:paraId="3B2055E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21,238</w:t>
            </w:r>
          </w:p>
        </w:tc>
        <w:tc>
          <w:tcPr>
            <w:tcW w:w="384" w:type="pct"/>
          </w:tcPr>
          <w:p w14:paraId="628C274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21,205</w:t>
            </w:r>
          </w:p>
        </w:tc>
        <w:tc>
          <w:tcPr>
            <w:tcW w:w="384" w:type="pct"/>
            <w:noWrap/>
            <w:hideMark/>
          </w:tcPr>
          <w:p w14:paraId="35CCB18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11,029</w:t>
            </w:r>
          </w:p>
        </w:tc>
      </w:tr>
      <w:tr w:rsidR="00DD2097" w:rsidRPr="00965B70" w14:paraId="4D11B94F" w14:textId="77777777" w:rsidTr="008463E8">
        <w:trPr>
          <w:trHeight w:val="288"/>
        </w:trPr>
        <w:tc>
          <w:tcPr>
            <w:tcW w:w="665" w:type="pct"/>
            <w:noWrap/>
            <w:hideMark/>
          </w:tcPr>
          <w:p w14:paraId="2769C19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lastRenderedPageBreak/>
              <w:t>Gippsland</w:t>
            </w:r>
          </w:p>
        </w:tc>
        <w:tc>
          <w:tcPr>
            <w:tcW w:w="805" w:type="pct"/>
            <w:noWrap/>
            <w:hideMark/>
          </w:tcPr>
          <w:p w14:paraId="1F33938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Yarram WSPA</w:t>
            </w:r>
          </w:p>
        </w:tc>
        <w:tc>
          <w:tcPr>
            <w:tcW w:w="1228" w:type="pct"/>
            <w:noWrap/>
            <w:hideMark/>
          </w:tcPr>
          <w:p w14:paraId="18B01A5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36EFED4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9,200</w:t>
            </w:r>
          </w:p>
        </w:tc>
        <w:tc>
          <w:tcPr>
            <w:tcW w:w="384" w:type="pct"/>
            <w:noWrap/>
          </w:tcPr>
          <w:p w14:paraId="2D6D821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3,400</w:t>
            </w:r>
          </w:p>
        </w:tc>
        <w:tc>
          <w:tcPr>
            <w:tcW w:w="384" w:type="pct"/>
            <w:noWrap/>
          </w:tcPr>
          <w:p w14:paraId="5D23D3D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17,900</w:t>
            </w:r>
          </w:p>
        </w:tc>
        <w:tc>
          <w:tcPr>
            <w:tcW w:w="383" w:type="pct"/>
          </w:tcPr>
          <w:p w14:paraId="4283B1A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25,690</w:t>
            </w:r>
          </w:p>
        </w:tc>
        <w:tc>
          <w:tcPr>
            <w:tcW w:w="384" w:type="pct"/>
          </w:tcPr>
          <w:p w14:paraId="5142605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25,665</w:t>
            </w:r>
          </w:p>
        </w:tc>
        <w:tc>
          <w:tcPr>
            <w:tcW w:w="384" w:type="pct"/>
            <w:noWrap/>
            <w:hideMark/>
          </w:tcPr>
          <w:p w14:paraId="7A7747F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11,482</w:t>
            </w:r>
          </w:p>
        </w:tc>
      </w:tr>
      <w:tr w:rsidR="00DD2097" w:rsidRPr="00965B70" w14:paraId="3166C971" w14:textId="77777777" w:rsidTr="008463E8">
        <w:trPr>
          <w:trHeight w:val="288"/>
        </w:trPr>
        <w:tc>
          <w:tcPr>
            <w:tcW w:w="665" w:type="pct"/>
            <w:noWrap/>
          </w:tcPr>
          <w:p w14:paraId="3BFEE40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Gippsland</w:t>
            </w:r>
          </w:p>
        </w:tc>
        <w:tc>
          <w:tcPr>
            <w:tcW w:w="805" w:type="pct"/>
            <w:noWrap/>
          </w:tcPr>
          <w:p w14:paraId="3C7F336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 xml:space="preserve">Stratford GMA </w:t>
            </w:r>
          </w:p>
        </w:tc>
        <w:tc>
          <w:tcPr>
            <w:tcW w:w="1228" w:type="pct"/>
            <w:noWrap/>
          </w:tcPr>
          <w:p w14:paraId="76E3626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Percentage of throughflow flux</w:t>
            </w:r>
          </w:p>
        </w:tc>
        <w:tc>
          <w:tcPr>
            <w:tcW w:w="383" w:type="pct"/>
            <w:noWrap/>
          </w:tcPr>
          <w:p w14:paraId="0C43433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11,100</w:t>
            </w:r>
          </w:p>
        </w:tc>
        <w:tc>
          <w:tcPr>
            <w:tcW w:w="384" w:type="pct"/>
            <w:noWrap/>
          </w:tcPr>
          <w:p w14:paraId="0B7766F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6,600</w:t>
            </w:r>
          </w:p>
        </w:tc>
        <w:tc>
          <w:tcPr>
            <w:tcW w:w="384" w:type="pct"/>
            <w:noWrap/>
          </w:tcPr>
          <w:p w14:paraId="7EB693A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15,200</w:t>
            </w:r>
          </w:p>
        </w:tc>
        <w:tc>
          <w:tcPr>
            <w:tcW w:w="383" w:type="pct"/>
          </w:tcPr>
          <w:p w14:paraId="3D4A8FA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27,686</w:t>
            </w:r>
          </w:p>
        </w:tc>
        <w:tc>
          <w:tcPr>
            <w:tcW w:w="384" w:type="pct"/>
          </w:tcPr>
          <w:p w14:paraId="7075155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37,119</w:t>
            </w:r>
          </w:p>
        </w:tc>
        <w:tc>
          <w:tcPr>
            <w:tcW w:w="384" w:type="pct"/>
            <w:noWrap/>
          </w:tcPr>
          <w:p w14:paraId="56C07C2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22,625</w:t>
            </w:r>
          </w:p>
        </w:tc>
      </w:tr>
      <w:tr w:rsidR="00DD2097" w:rsidRPr="00965B70" w14:paraId="7CAD1BC2" w14:textId="77777777" w:rsidTr="008463E8">
        <w:trPr>
          <w:trHeight w:val="288"/>
        </w:trPr>
        <w:tc>
          <w:tcPr>
            <w:tcW w:w="665" w:type="pct"/>
            <w:noWrap/>
          </w:tcPr>
          <w:p w14:paraId="4F4ACA8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Central Victoria</w:t>
            </w:r>
          </w:p>
        </w:tc>
        <w:tc>
          <w:tcPr>
            <w:tcW w:w="805" w:type="pct"/>
            <w:noWrap/>
          </w:tcPr>
          <w:p w14:paraId="03481B5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Frankston GMA</w:t>
            </w:r>
          </w:p>
        </w:tc>
        <w:tc>
          <w:tcPr>
            <w:tcW w:w="1228" w:type="pct"/>
            <w:noWrap/>
          </w:tcPr>
          <w:p w14:paraId="004CEBD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21FF47E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2,300</w:t>
            </w:r>
          </w:p>
        </w:tc>
        <w:tc>
          <w:tcPr>
            <w:tcW w:w="384" w:type="pct"/>
            <w:noWrap/>
          </w:tcPr>
          <w:p w14:paraId="59775D3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300</w:t>
            </w:r>
          </w:p>
        </w:tc>
        <w:tc>
          <w:tcPr>
            <w:tcW w:w="384" w:type="pct"/>
            <w:noWrap/>
          </w:tcPr>
          <w:p w14:paraId="53407FF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2,800</w:t>
            </w:r>
          </w:p>
        </w:tc>
        <w:tc>
          <w:tcPr>
            <w:tcW w:w="383" w:type="pct"/>
          </w:tcPr>
          <w:p w14:paraId="6C7A174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3,200</w:t>
            </w:r>
          </w:p>
        </w:tc>
        <w:tc>
          <w:tcPr>
            <w:tcW w:w="384" w:type="pct"/>
          </w:tcPr>
          <w:p w14:paraId="22DBAB8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2,273</w:t>
            </w:r>
          </w:p>
        </w:tc>
        <w:tc>
          <w:tcPr>
            <w:tcW w:w="384" w:type="pct"/>
            <w:noWrap/>
          </w:tcPr>
          <w:p w14:paraId="60501E7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230</w:t>
            </w:r>
          </w:p>
        </w:tc>
      </w:tr>
      <w:tr w:rsidR="00DD2097" w:rsidRPr="00965B70" w14:paraId="36725CC5" w14:textId="77777777" w:rsidTr="008463E8">
        <w:trPr>
          <w:trHeight w:val="288"/>
        </w:trPr>
        <w:tc>
          <w:tcPr>
            <w:tcW w:w="665" w:type="pct"/>
            <w:noWrap/>
          </w:tcPr>
          <w:p w14:paraId="180ED69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Central Victoria</w:t>
            </w:r>
          </w:p>
        </w:tc>
        <w:tc>
          <w:tcPr>
            <w:tcW w:w="805" w:type="pct"/>
            <w:noWrap/>
          </w:tcPr>
          <w:p w14:paraId="0C4B351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Koo Wee Rup WSPA</w:t>
            </w:r>
          </w:p>
        </w:tc>
        <w:tc>
          <w:tcPr>
            <w:tcW w:w="1228" w:type="pct"/>
            <w:noWrap/>
          </w:tcPr>
          <w:p w14:paraId="3C40DC8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 for 2m drawdown for UTAF/UMTA and</w:t>
            </w:r>
          </w:p>
          <w:p w14:paraId="1F599FE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Percentage of throughflow flux for LTA</w:t>
            </w:r>
          </w:p>
        </w:tc>
        <w:tc>
          <w:tcPr>
            <w:tcW w:w="383" w:type="pct"/>
            <w:noWrap/>
          </w:tcPr>
          <w:p w14:paraId="4C575D5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4,700</w:t>
            </w:r>
          </w:p>
        </w:tc>
        <w:tc>
          <w:tcPr>
            <w:tcW w:w="384" w:type="pct"/>
            <w:noWrap/>
          </w:tcPr>
          <w:p w14:paraId="4EA4D44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1,950</w:t>
            </w:r>
          </w:p>
        </w:tc>
        <w:tc>
          <w:tcPr>
            <w:tcW w:w="384" w:type="pct"/>
            <w:noWrap/>
          </w:tcPr>
          <w:p w14:paraId="24719E4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9,150</w:t>
            </w:r>
          </w:p>
        </w:tc>
        <w:tc>
          <w:tcPr>
            <w:tcW w:w="383" w:type="pct"/>
          </w:tcPr>
          <w:p w14:paraId="35D22A3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12,915</w:t>
            </w:r>
          </w:p>
        </w:tc>
        <w:tc>
          <w:tcPr>
            <w:tcW w:w="384" w:type="pct"/>
          </w:tcPr>
          <w:p w14:paraId="5AAA55B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12,589</w:t>
            </w:r>
          </w:p>
        </w:tc>
        <w:tc>
          <w:tcPr>
            <w:tcW w:w="384" w:type="pct"/>
            <w:noWrap/>
          </w:tcPr>
          <w:p w14:paraId="53A6861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3,610</w:t>
            </w:r>
          </w:p>
        </w:tc>
      </w:tr>
      <w:tr w:rsidR="00DD2097" w:rsidRPr="00965B70" w14:paraId="29BB1028" w14:textId="77777777" w:rsidTr="008463E8">
        <w:trPr>
          <w:trHeight w:val="288"/>
        </w:trPr>
        <w:tc>
          <w:tcPr>
            <w:tcW w:w="665" w:type="pct"/>
            <w:noWrap/>
          </w:tcPr>
          <w:p w14:paraId="5C5DD18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Central Victoria</w:t>
            </w:r>
          </w:p>
        </w:tc>
        <w:tc>
          <w:tcPr>
            <w:tcW w:w="805" w:type="pct"/>
            <w:noWrap/>
          </w:tcPr>
          <w:p w14:paraId="163CDBD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Moorabbin GMA</w:t>
            </w:r>
          </w:p>
        </w:tc>
        <w:tc>
          <w:tcPr>
            <w:tcW w:w="1228" w:type="pct"/>
            <w:noWrap/>
          </w:tcPr>
          <w:p w14:paraId="37CAF49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 for 2m drawdown for UTAF and</w:t>
            </w:r>
          </w:p>
          <w:p w14:paraId="0015254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Percentage of throughflow flux for LTA</w:t>
            </w:r>
          </w:p>
        </w:tc>
        <w:tc>
          <w:tcPr>
            <w:tcW w:w="383" w:type="pct"/>
            <w:noWrap/>
          </w:tcPr>
          <w:p w14:paraId="464332D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2,400</w:t>
            </w:r>
          </w:p>
        </w:tc>
        <w:tc>
          <w:tcPr>
            <w:tcW w:w="384" w:type="pct"/>
            <w:noWrap/>
          </w:tcPr>
          <w:p w14:paraId="1B03129E"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1,850</w:t>
            </w:r>
          </w:p>
        </w:tc>
        <w:tc>
          <w:tcPr>
            <w:tcW w:w="384" w:type="pct"/>
            <w:noWrap/>
          </w:tcPr>
          <w:p w14:paraId="5FEDFFB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2,800</w:t>
            </w:r>
          </w:p>
        </w:tc>
        <w:tc>
          <w:tcPr>
            <w:tcW w:w="383" w:type="pct"/>
          </w:tcPr>
          <w:p w14:paraId="4877811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2,700</w:t>
            </w:r>
          </w:p>
        </w:tc>
        <w:tc>
          <w:tcPr>
            <w:tcW w:w="384" w:type="pct"/>
          </w:tcPr>
          <w:p w14:paraId="2BA0545B"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2,606</w:t>
            </w:r>
          </w:p>
        </w:tc>
        <w:tc>
          <w:tcPr>
            <w:tcW w:w="384" w:type="pct"/>
            <w:noWrap/>
          </w:tcPr>
          <w:p w14:paraId="40D0EA5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1,096</w:t>
            </w:r>
          </w:p>
        </w:tc>
      </w:tr>
      <w:tr w:rsidR="00DD2097" w:rsidRPr="00965B70" w14:paraId="58D84CD0" w14:textId="77777777" w:rsidTr="008463E8">
        <w:trPr>
          <w:trHeight w:val="288"/>
        </w:trPr>
        <w:tc>
          <w:tcPr>
            <w:tcW w:w="665" w:type="pct"/>
            <w:noWrap/>
          </w:tcPr>
          <w:p w14:paraId="08678E6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Central Victoria</w:t>
            </w:r>
          </w:p>
        </w:tc>
        <w:tc>
          <w:tcPr>
            <w:tcW w:w="805" w:type="pct"/>
            <w:noWrap/>
          </w:tcPr>
          <w:p w14:paraId="07CDA31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Boneo GMA</w:t>
            </w:r>
          </w:p>
        </w:tc>
        <w:tc>
          <w:tcPr>
            <w:tcW w:w="1228" w:type="pct"/>
            <w:noWrap/>
          </w:tcPr>
          <w:p w14:paraId="76F55A6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Percentage of throughflow flux</w:t>
            </w:r>
          </w:p>
        </w:tc>
        <w:tc>
          <w:tcPr>
            <w:tcW w:w="383" w:type="pct"/>
            <w:noWrap/>
          </w:tcPr>
          <w:p w14:paraId="3D9A071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1,200</w:t>
            </w:r>
          </w:p>
        </w:tc>
        <w:tc>
          <w:tcPr>
            <w:tcW w:w="384" w:type="pct"/>
            <w:noWrap/>
          </w:tcPr>
          <w:p w14:paraId="590F104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tcPr>
          <w:p w14:paraId="31F0C84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7D409DD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 PCV</w:t>
            </w:r>
          </w:p>
        </w:tc>
        <w:tc>
          <w:tcPr>
            <w:tcW w:w="384" w:type="pct"/>
          </w:tcPr>
          <w:p w14:paraId="7138F308" w14:textId="77777777" w:rsid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Extraction: 2700</w:t>
            </w:r>
          </w:p>
          <w:p w14:paraId="38082BB2" w14:textId="1FED6499"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Injection: 2700</w:t>
            </w:r>
          </w:p>
        </w:tc>
        <w:tc>
          <w:tcPr>
            <w:tcW w:w="384" w:type="pct"/>
            <w:noWrap/>
          </w:tcPr>
          <w:p w14:paraId="2C810D01" w14:textId="77777777" w:rsidR="00DD2097" w:rsidRPr="00965B70" w:rsidRDefault="00DD2097" w:rsidP="008463E8">
            <w:pPr>
              <w:pStyle w:val="TableTextLeft"/>
              <w:spacing w:after="0" w:line="240" w:lineRule="auto"/>
              <w:rPr>
                <w:rFonts w:cstheme="minorHAnsi"/>
                <w:color w:val="000000" w:themeColor="text1"/>
                <w:sz w:val="18"/>
                <w:szCs w:val="18"/>
              </w:rPr>
            </w:pPr>
            <w:r w:rsidRPr="00965B70">
              <w:rPr>
                <w:rFonts w:cstheme="minorHAnsi"/>
                <w:color w:val="000000" w:themeColor="text1"/>
                <w:sz w:val="18"/>
                <w:szCs w:val="18"/>
              </w:rPr>
              <w:t>Extraction (2011-2021): 448</w:t>
            </w:r>
          </w:p>
          <w:p w14:paraId="6DDCA1D2" w14:textId="77777777" w:rsidR="00DD2097" w:rsidRPr="00965B70" w:rsidRDefault="00DD2097" w:rsidP="008463E8">
            <w:pPr>
              <w:pStyle w:val="TableTextLeft"/>
              <w:spacing w:after="0" w:line="240" w:lineRule="auto"/>
              <w:rPr>
                <w:rFonts w:cstheme="minorHAnsi"/>
                <w:color w:val="000000" w:themeColor="text1"/>
                <w:sz w:val="18"/>
                <w:szCs w:val="18"/>
              </w:rPr>
            </w:pPr>
            <w:r w:rsidRPr="00965B70">
              <w:rPr>
                <w:rFonts w:cstheme="minorHAnsi"/>
                <w:color w:val="000000" w:themeColor="text1"/>
                <w:sz w:val="18"/>
                <w:szCs w:val="18"/>
              </w:rPr>
              <w:t>Injection (2011-2021): 322</w:t>
            </w:r>
          </w:p>
          <w:p w14:paraId="4438F9EA" w14:textId="77777777" w:rsidR="00DD2097" w:rsidRPr="00965B70" w:rsidRDefault="00DD2097" w:rsidP="008463E8">
            <w:pPr>
              <w:pStyle w:val="TableTextLeft"/>
              <w:spacing w:after="0" w:line="240" w:lineRule="auto"/>
              <w:rPr>
                <w:rFonts w:cstheme="minorHAnsi"/>
                <w:color w:val="000000" w:themeColor="text1"/>
                <w:sz w:val="18"/>
                <w:szCs w:val="18"/>
              </w:rPr>
            </w:pPr>
            <w:r w:rsidRPr="00965B70">
              <w:rPr>
                <w:rFonts w:cstheme="minorHAnsi"/>
                <w:color w:val="000000" w:themeColor="text1"/>
                <w:sz w:val="18"/>
                <w:szCs w:val="18"/>
              </w:rPr>
              <w:t>Net extraction (2011-2021): 126</w:t>
            </w:r>
          </w:p>
        </w:tc>
      </w:tr>
      <w:tr w:rsidR="00DD2097" w:rsidRPr="00965B70" w14:paraId="1E52F335" w14:textId="77777777" w:rsidTr="008463E8">
        <w:trPr>
          <w:trHeight w:val="288"/>
        </w:trPr>
        <w:tc>
          <w:tcPr>
            <w:tcW w:w="665" w:type="pct"/>
            <w:noWrap/>
          </w:tcPr>
          <w:p w14:paraId="7D07BA59"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2C84F30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Condah WSPA</w:t>
            </w:r>
          </w:p>
        </w:tc>
        <w:tc>
          <w:tcPr>
            <w:tcW w:w="1228" w:type="pct"/>
            <w:noWrap/>
          </w:tcPr>
          <w:p w14:paraId="036C0F6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63980E0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3,000</w:t>
            </w:r>
          </w:p>
        </w:tc>
        <w:tc>
          <w:tcPr>
            <w:tcW w:w="384" w:type="pct"/>
            <w:noWrap/>
          </w:tcPr>
          <w:p w14:paraId="5B5E148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2,100</w:t>
            </w:r>
          </w:p>
        </w:tc>
        <w:tc>
          <w:tcPr>
            <w:tcW w:w="384" w:type="pct"/>
            <w:noWrap/>
          </w:tcPr>
          <w:p w14:paraId="43475D6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3,400</w:t>
            </w:r>
          </w:p>
        </w:tc>
        <w:tc>
          <w:tcPr>
            <w:tcW w:w="383" w:type="pct"/>
          </w:tcPr>
          <w:p w14:paraId="23D7461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7,475</w:t>
            </w:r>
          </w:p>
        </w:tc>
        <w:tc>
          <w:tcPr>
            <w:tcW w:w="384" w:type="pct"/>
          </w:tcPr>
          <w:p w14:paraId="14A9662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7,469</w:t>
            </w:r>
          </w:p>
        </w:tc>
        <w:tc>
          <w:tcPr>
            <w:tcW w:w="384" w:type="pct"/>
            <w:noWrap/>
          </w:tcPr>
          <w:p w14:paraId="41C0D90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2,782</w:t>
            </w:r>
          </w:p>
        </w:tc>
      </w:tr>
      <w:tr w:rsidR="00DD2097" w:rsidRPr="00965B70" w14:paraId="27549B80" w14:textId="77777777" w:rsidTr="008463E8">
        <w:trPr>
          <w:trHeight w:val="288"/>
        </w:trPr>
        <w:tc>
          <w:tcPr>
            <w:tcW w:w="665" w:type="pct"/>
            <w:noWrap/>
            <w:hideMark/>
          </w:tcPr>
          <w:p w14:paraId="6F48EFEC"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lastRenderedPageBreak/>
              <w:t>South West</w:t>
            </w:r>
            <w:proofErr w:type="gramEnd"/>
            <w:r w:rsidRPr="00965B70">
              <w:rPr>
                <w:rFonts w:cstheme="minorHAnsi"/>
                <w:color w:val="000000" w:themeColor="text1"/>
                <w:sz w:val="18"/>
                <w:szCs w:val="18"/>
              </w:rPr>
              <w:t xml:space="preserve"> Victoria</w:t>
            </w:r>
          </w:p>
        </w:tc>
        <w:tc>
          <w:tcPr>
            <w:tcW w:w="805" w:type="pct"/>
            <w:noWrap/>
            <w:hideMark/>
          </w:tcPr>
          <w:p w14:paraId="5C292F5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 xml:space="preserve">Cut Paw </w:t>
            </w:r>
            <w:proofErr w:type="spellStart"/>
            <w:r w:rsidRPr="00965B70">
              <w:rPr>
                <w:rFonts w:cstheme="minorHAnsi"/>
                <w:color w:val="000000" w:themeColor="text1"/>
                <w:sz w:val="18"/>
                <w:szCs w:val="18"/>
              </w:rPr>
              <w:t>Paw</w:t>
            </w:r>
            <w:proofErr w:type="spellEnd"/>
            <w:r w:rsidRPr="00965B70">
              <w:rPr>
                <w:rFonts w:cstheme="minorHAnsi"/>
                <w:color w:val="000000" w:themeColor="text1"/>
                <w:sz w:val="18"/>
                <w:szCs w:val="18"/>
              </w:rPr>
              <w:t xml:space="preserve"> GMA</w:t>
            </w:r>
          </w:p>
        </w:tc>
        <w:tc>
          <w:tcPr>
            <w:tcW w:w="1228" w:type="pct"/>
            <w:noWrap/>
            <w:hideMark/>
          </w:tcPr>
          <w:p w14:paraId="330ADB9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 xml:space="preserve"> Percentage of throughflow flux</w:t>
            </w:r>
          </w:p>
        </w:tc>
        <w:tc>
          <w:tcPr>
            <w:tcW w:w="383" w:type="pct"/>
            <w:noWrap/>
            <w:hideMark/>
          </w:tcPr>
          <w:p w14:paraId="4296799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900</w:t>
            </w:r>
          </w:p>
        </w:tc>
        <w:tc>
          <w:tcPr>
            <w:tcW w:w="384" w:type="pct"/>
            <w:noWrap/>
            <w:hideMark/>
          </w:tcPr>
          <w:p w14:paraId="21C41C0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hideMark/>
          </w:tcPr>
          <w:p w14:paraId="7B7427E2"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322B062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3,650</w:t>
            </w:r>
          </w:p>
        </w:tc>
        <w:tc>
          <w:tcPr>
            <w:tcW w:w="384" w:type="pct"/>
          </w:tcPr>
          <w:p w14:paraId="37980C8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517</w:t>
            </w:r>
          </w:p>
        </w:tc>
        <w:tc>
          <w:tcPr>
            <w:tcW w:w="384" w:type="pct"/>
            <w:noWrap/>
            <w:hideMark/>
          </w:tcPr>
          <w:p w14:paraId="5F24F19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99</w:t>
            </w:r>
          </w:p>
        </w:tc>
      </w:tr>
      <w:tr w:rsidR="00DD2097" w:rsidRPr="00965B70" w14:paraId="31EF08E7" w14:textId="77777777" w:rsidTr="008463E8">
        <w:trPr>
          <w:trHeight w:val="288"/>
        </w:trPr>
        <w:tc>
          <w:tcPr>
            <w:tcW w:w="665" w:type="pct"/>
            <w:noWrap/>
          </w:tcPr>
          <w:p w14:paraId="73DE4414"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30E6B78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Gerangamete GMA</w:t>
            </w:r>
          </w:p>
        </w:tc>
        <w:tc>
          <w:tcPr>
            <w:tcW w:w="1228" w:type="pct"/>
            <w:noWrap/>
          </w:tcPr>
          <w:p w14:paraId="1E1B0D5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noWrap/>
          </w:tcPr>
          <w:p w14:paraId="0EDC441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 SY volume</w:t>
            </w:r>
          </w:p>
        </w:tc>
        <w:tc>
          <w:tcPr>
            <w:tcW w:w="384" w:type="pct"/>
            <w:noWrap/>
          </w:tcPr>
          <w:p w14:paraId="332BD1C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tcPr>
          <w:p w14:paraId="331BD9C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4E7F2F6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239</w:t>
            </w:r>
          </w:p>
        </w:tc>
        <w:tc>
          <w:tcPr>
            <w:tcW w:w="384" w:type="pct"/>
          </w:tcPr>
          <w:p w14:paraId="004ADA3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12,142</w:t>
            </w:r>
          </w:p>
        </w:tc>
        <w:tc>
          <w:tcPr>
            <w:tcW w:w="384" w:type="pct"/>
            <w:noWrap/>
          </w:tcPr>
          <w:p w14:paraId="52A22840"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3,524</w:t>
            </w:r>
          </w:p>
        </w:tc>
      </w:tr>
      <w:tr w:rsidR="00DD2097" w:rsidRPr="00965B70" w14:paraId="38EC01D8" w14:textId="77777777" w:rsidTr="008463E8">
        <w:trPr>
          <w:trHeight w:val="288"/>
        </w:trPr>
        <w:tc>
          <w:tcPr>
            <w:tcW w:w="665" w:type="pct"/>
            <w:noWrap/>
          </w:tcPr>
          <w:p w14:paraId="3A354C20"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29B6490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Portland GMA</w:t>
            </w:r>
          </w:p>
        </w:tc>
        <w:tc>
          <w:tcPr>
            <w:tcW w:w="1228" w:type="pct"/>
            <w:noWrap/>
          </w:tcPr>
          <w:p w14:paraId="511C96D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50D3954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9,500</w:t>
            </w:r>
          </w:p>
        </w:tc>
        <w:tc>
          <w:tcPr>
            <w:tcW w:w="384" w:type="pct"/>
            <w:noWrap/>
          </w:tcPr>
          <w:p w14:paraId="60121F6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6,200</w:t>
            </w:r>
          </w:p>
        </w:tc>
        <w:tc>
          <w:tcPr>
            <w:tcW w:w="384" w:type="pct"/>
            <w:noWrap/>
          </w:tcPr>
          <w:p w14:paraId="324B9A1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10,000</w:t>
            </w:r>
          </w:p>
        </w:tc>
        <w:tc>
          <w:tcPr>
            <w:tcW w:w="383" w:type="pct"/>
          </w:tcPr>
          <w:p w14:paraId="196459B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7,795</w:t>
            </w:r>
          </w:p>
        </w:tc>
        <w:tc>
          <w:tcPr>
            <w:tcW w:w="384" w:type="pct"/>
          </w:tcPr>
          <w:p w14:paraId="39D2EC7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7,794</w:t>
            </w:r>
          </w:p>
        </w:tc>
        <w:tc>
          <w:tcPr>
            <w:tcW w:w="384" w:type="pct"/>
            <w:noWrap/>
          </w:tcPr>
          <w:p w14:paraId="6BC67E6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2,606</w:t>
            </w:r>
          </w:p>
        </w:tc>
      </w:tr>
      <w:tr w:rsidR="00DD2097" w:rsidRPr="00965B70" w14:paraId="0A8060B4" w14:textId="77777777" w:rsidTr="008463E8">
        <w:trPr>
          <w:trHeight w:val="288"/>
        </w:trPr>
        <w:tc>
          <w:tcPr>
            <w:tcW w:w="665" w:type="pct"/>
            <w:noWrap/>
          </w:tcPr>
          <w:p w14:paraId="510F9FCC"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5F723744" w14:textId="77777777" w:rsidR="00DD2097" w:rsidRPr="00965B70" w:rsidRDefault="00DD2097" w:rsidP="00D40AFB">
            <w:pPr>
              <w:pStyle w:val="TableTextLeft"/>
              <w:spacing w:after="120" w:line="240" w:lineRule="auto"/>
              <w:rPr>
                <w:rFonts w:cstheme="minorHAnsi"/>
                <w:color w:val="000000" w:themeColor="text1"/>
                <w:sz w:val="18"/>
                <w:szCs w:val="18"/>
              </w:rPr>
            </w:pPr>
            <w:proofErr w:type="spellStart"/>
            <w:r w:rsidRPr="00965B70">
              <w:rPr>
                <w:rFonts w:cstheme="minorHAnsi"/>
                <w:color w:val="000000" w:themeColor="text1"/>
                <w:sz w:val="18"/>
                <w:szCs w:val="18"/>
              </w:rPr>
              <w:t>Newlingrook</w:t>
            </w:r>
            <w:proofErr w:type="spellEnd"/>
            <w:r w:rsidRPr="00965B70">
              <w:rPr>
                <w:rFonts w:cstheme="minorHAnsi"/>
                <w:color w:val="000000" w:themeColor="text1"/>
                <w:sz w:val="18"/>
                <w:szCs w:val="18"/>
              </w:rPr>
              <w:t xml:space="preserve"> GMA</w:t>
            </w:r>
          </w:p>
        </w:tc>
        <w:tc>
          <w:tcPr>
            <w:tcW w:w="1228" w:type="pct"/>
            <w:noWrap/>
          </w:tcPr>
          <w:p w14:paraId="3BBF039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Confined use-drawdown method</w:t>
            </w:r>
          </w:p>
        </w:tc>
        <w:tc>
          <w:tcPr>
            <w:tcW w:w="383" w:type="pct"/>
            <w:noWrap/>
          </w:tcPr>
          <w:p w14:paraId="29F9BA8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2,000</w:t>
            </w:r>
          </w:p>
        </w:tc>
        <w:tc>
          <w:tcPr>
            <w:tcW w:w="384" w:type="pct"/>
            <w:noWrap/>
          </w:tcPr>
          <w:p w14:paraId="6C75C4D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300</w:t>
            </w:r>
          </w:p>
        </w:tc>
        <w:tc>
          <w:tcPr>
            <w:tcW w:w="384" w:type="pct"/>
            <w:noWrap/>
          </w:tcPr>
          <w:p w14:paraId="7D0DCA0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2,800</w:t>
            </w:r>
          </w:p>
        </w:tc>
        <w:tc>
          <w:tcPr>
            <w:tcW w:w="383" w:type="pct"/>
          </w:tcPr>
          <w:p w14:paraId="150CE29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1,977</w:t>
            </w:r>
          </w:p>
        </w:tc>
        <w:tc>
          <w:tcPr>
            <w:tcW w:w="384" w:type="pct"/>
          </w:tcPr>
          <w:p w14:paraId="2A5D5F3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1,957</w:t>
            </w:r>
          </w:p>
        </w:tc>
        <w:tc>
          <w:tcPr>
            <w:tcW w:w="384" w:type="pct"/>
            <w:noWrap/>
          </w:tcPr>
          <w:p w14:paraId="5B19DEA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145</w:t>
            </w:r>
          </w:p>
        </w:tc>
      </w:tr>
      <w:tr w:rsidR="00DD2097" w:rsidRPr="00965B70" w14:paraId="02A52901" w14:textId="77777777" w:rsidTr="008463E8">
        <w:trPr>
          <w:trHeight w:val="288"/>
        </w:trPr>
        <w:tc>
          <w:tcPr>
            <w:tcW w:w="665" w:type="pct"/>
            <w:noWrap/>
          </w:tcPr>
          <w:p w14:paraId="7A0A824C"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0035A48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Paaratte GMA</w:t>
            </w:r>
          </w:p>
        </w:tc>
        <w:tc>
          <w:tcPr>
            <w:tcW w:w="1228" w:type="pct"/>
            <w:noWrap/>
          </w:tcPr>
          <w:p w14:paraId="24F6BAA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noWrap/>
          </w:tcPr>
          <w:p w14:paraId="28641F38"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 SY volume</w:t>
            </w:r>
          </w:p>
        </w:tc>
        <w:tc>
          <w:tcPr>
            <w:tcW w:w="384" w:type="pct"/>
            <w:noWrap/>
          </w:tcPr>
          <w:p w14:paraId="240E7B31"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tcPr>
          <w:p w14:paraId="5A98C41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31A79686"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4,606</w:t>
            </w:r>
          </w:p>
        </w:tc>
        <w:tc>
          <w:tcPr>
            <w:tcW w:w="384" w:type="pct"/>
          </w:tcPr>
          <w:p w14:paraId="0546694D"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3,190</w:t>
            </w:r>
          </w:p>
        </w:tc>
        <w:tc>
          <w:tcPr>
            <w:tcW w:w="384" w:type="pct"/>
            <w:noWrap/>
          </w:tcPr>
          <w:p w14:paraId="7942618C"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321</w:t>
            </w:r>
          </w:p>
        </w:tc>
      </w:tr>
      <w:tr w:rsidR="00DD2097" w:rsidRPr="00965B70" w14:paraId="3C99F68F" w14:textId="77777777" w:rsidTr="008463E8">
        <w:trPr>
          <w:trHeight w:val="288"/>
        </w:trPr>
        <w:tc>
          <w:tcPr>
            <w:tcW w:w="665" w:type="pct"/>
            <w:noWrap/>
          </w:tcPr>
          <w:p w14:paraId="1522C97B" w14:textId="77777777" w:rsidR="00DD2097" w:rsidRPr="00965B70" w:rsidRDefault="00DD2097" w:rsidP="00D40AFB">
            <w:pPr>
              <w:pStyle w:val="TableTextLeft"/>
              <w:spacing w:after="120" w:line="240" w:lineRule="auto"/>
              <w:rPr>
                <w:rFonts w:cstheme="minorHAnsi"/>
                <w:color w:val="000000" w:themeColor="text1"/>
                <w:sz w:val="18"/>
                <w:szCs w:val="18"/>
              </w:rPr>
            </w:pPr>
            <w:proofErr w:type="gramStart"/>
            <w:r w:rsidRPr="00965B70">
              <w:rPr>
                <w:rFonts w:cstheme="minorHAnsi"/>
                <w:color w:val="000000" w:themeColor="text1"/>
                <w:sz w:val="18"/>
                <w:szCs w:val="18"/>
              </w:rPr>
              <w:t>South West</w:t>
            </w:r>
            <w:proofErr w:type="gramEnd"/>
            <w:r w:rsidRPr="00965B70">
              <w:rPr>
                <w:rFonts w:cstheme="minorHAnsi"/>
                <w:color w:val="000000" w:themeColor="text1"/>
                <w:sz w:val="18"/>
                <w:szCs w:val="18"/>
              </w:rPr>
              <w:t xml:space="preserve"> Victoria</w:t>
            </w:r>
          </w:p>
        </w:tc>
        <w:tc>
          <w:tcPr>
            <w:tcW w:w="805" w:type="pct"/>
            <w:noWrap/>
          </w:tcPr>
          <w:p w14:paraId="72983D6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Jan Juc GMA – Lower Eastern View Formation</w:t>
            </w:r>
          </w:p>
        </w:tc>
        <w:tc>
          <w:tcPr>
            <w:tcW w:w="1228" w:type="pct"/>
            <w:noWrap/>
          </w:tcPr>
          <w:p w14:paraId="5578F229"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noWrap/>
          </w:tcPr>
          <w:p w14:paraId="1BEEE2E4"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No SY volume</w:t>
            </w:r>
          </w:p>
        </w:tc>
        <w:tc>
          <w:tcPr>
            <w:tcW w:w="384" w:type="pct"/>
            <w:noWrap/>
          </w:tcPr>
          <w:p w14:paraId="3683100F"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4" w:type="pct"/>
            <w:noWrap/>
          </w:tcPr>
          <w:p w14:paraId="5D0BD103"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NA</w:t>
            </w:r>
          </w:p>
        </w:tc>
        <w:tc>
          <w:tcPr>
            <w:tcW w:w="383" w:type="pct"/>
          </w:tcPr>
          <w:p w14:paraId="295E3775"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7,000</w:t>
            </w:r>
          </w:p>
        </w:tc>
        <w:tc>
          <w:tcPr>
            <w:tcW w:w="384" w:type="pct"/>
          </w:tcPr>
          <w:p w14:paraId="1E825567"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7,000</w:t>
            </w:r>
          </w:p>
        </w:tc>
        <w:tc>
          <w:tcPr>
            <w:tcW w:w="384" w:type="pct"/>
            <w:noWrap/>
          </w:tcPr>
          <w:p w14:paraId="0913185A" w14:textId="77777777" w:rsidR="00DD2097" w:rsidRPr="00965B70" w:rsidRDefault="00DD2097" w:rsidP="00D40AFB">
            <w:pPr>
              <w:pStyle w:val="TableTextLeft"/>
              <w:spacing w:after="120" w:line="240" w:lineRule="auto"/>
              <w:rPr>
                <w:rFonts w:cstheme="minorHAnsi"/>
                <w:color w:val="000000" w:themeColor="text1"/>
                <w:sz w:val="18"/>
                <w:szCs w:val="18"/>
              </w:rPr>
            </w:pPr>
            <w:r w:rsidRPr="00965B70">
              <w:rPr>
                <w:rFonts w:cstheme="minorHAnsi"/>
                <w:color w:val="000000" w:themeColor="text1"/>
                <w:sz w:val="18"/>
                <w:szCs w:val="18"/>
              </w:rPr>
              <w:t>2,801</w:t>
            </w:r>
          </w:p>
        </w:tc>
      </w:tr>
    </w:tbl>
    <w:p w14:paraId="54B7BE6D" w14:textId="73994DDF" w:rsidR="00DD2097" w:rsidRPr="00495E6F" w:rsidRDefault="00DD2097" w:rsidP="00495E6F">
      <w:pPr>
        <w:spacing w:before="480"/>
        <w:rPr>
          <w:bCs/>
          <w:szCs w:val="24"/>
        </w:rPr>
      </w:pPr>
      <w:r w:rsidRPr="00965B70">
        <w:rPr>
          <w:b/>
          <w:szCs w:val="24"/>
        </w:rPr>
        <w:t>NA</w:t>
      </w:r>
      <w:r w:rsidRPr="00965B70">
        <w:rPr>
          <w:bCs/>
          <w:szCs w:val="24"/>
        </w:rPr>
        <w:t xml:space="preserve"> = not applicable</w:t>
      </w:r>
      <w:r w:rsidRPr="00965B70">
        <w:rPr>
          <w:b/>
        </w:rPr>
        <w:br w:type="page"/>
      </w:r>
    </w:p>
    <w:p w14:paraId="0EC6DA29" w14:textId="14C40D2F" w:rsidR="001D292E" w:rsidRPr="00965B70" w:rsidRDefault="001D292E" w:rsidP="001D292E">
      <w:pPr>
        <w:pStyle w:val="Caption"/>
        <w:keepNext/>
      </w:pPr>
      <w:bookmarkStart w:id="89" w:name="_Toc219975584"/>
      <w:r w:rsidRPr="00965B70">
        <w:lastRenderedPageBreak/>
        <w:t xml:space="preserve">Table A- </w:t>
      </w:r>
      <w:r w:rsidRPr="00965B70">
        <w:fldChar w:fldCharType="begin"/>
      </w:r>
      <w:r w:rsidRPr="00965B70">
        <w:instrText xml:space="preserve"> SEQ Table_A- \* ARABIC </w:instrText>
      </w:r>
      <w:r w:rsidRPr="00965B70">
        <w:fldChar w:fldCharType="separate"/>
      </w:r>
      <w:r w:rsidR="00D76D09">
        <w:rPr>
          <w:noProof/>
        </w:rPr>
        <w:t>2</w:t>
      </w:r>
      <w:r w:rsidRPr="00965B70">
        <w:fldChar w:fldCharType="end"/>
      </w:r>
      <w:r w:rsidRPr="00965B70">
        <w:t xml:space="preserve">: </w:t>
      </w:r>
      <w:r w:rsidRPr="00965B70">
        <w:rPr>
          <w:b w:val="0"/>
          <w:bCs/>
        </w:rPr>
        <w:t>Unconfined and semi-confined aquifer GMU sustainable yield, Permissible Consumptive Volume, entitlement and use</w:t>
      </w:r>
      <w:bookmarkEnd w:id="89"/>
    </w:p>
    <w:tbl>
      <w:tblPr>
        <w:tblStyle w:val="Style2"/>
        <w:tblW w:w="5000" w:type="pct"/>
        <w:tblLayout w:type="fixed"/>
        <w:tblLook w:val="04A0" w:firstRow="1" w:lastRow="0" w:firstColumn="1" w:lastColumn="0" w:noHBand="0" w:noVBand="1"/>
        <w:tblCaption w:val="Unconfined and semi-confined aquifer GMU sustainable yield, Permissible Consumptive Volume, entitlement and use"/>
        <w:tblDescription w:val="Unconfined and semi-confined aquifer GMU sustainable yield, Permissible Consumptive Volume, entitlement and use"/>
      </w:tblPr>
      <w:tblGrid>
        <w:gridCol w:w="1834"/>
        <w:gridCol w:w="3402"/>
        <w:gridCol w:w="3827"/>
        <w:gridCol w:w="917"/>
        <w:gridCol w:w="914"/>
        <w:gridCol w:w="914"/>
        <w:gridCol w:w="914"/>
        <w:gridCol w:w="914"/>
        <w:gridCol w:w="914"/>
      </w:tblGrid>
      <w:tr w:rsidR="00DD2097" w:rsidRPr="00965B70" w14:paraId="56F305AE" w14:textId="77777777" w:rsidTr="00B25A12">
        <w:trPr>
          <w:cnfStyle w:val="100000000000" w:firstRow="1" w:lastRow="0" w:firstColumn="0" w:lastColumn="0" w:oddVBand="0" w:evenVBand="0" w:oddHBand="0" w:evenHBand="0" w:firstRowFirstColumn="0" w:firstRowLastColumn="0" w:lastRowFirstColumn="0" w:lastRowLastColumn="0"/>
          <w:cantSplit/>
          <w:trHeight w:val="792"/>
          <w:tblHeader/>
        </w:trPr>
        <w:tc>
          <w:tcPr>
            <w:tcW w:w="630" w:type="pct"/>
            <w:hideMark/>
          </w:tcPr>
          <w:p w14:paraId="3A88F557" w14:textId="77777777" w:rsidR="00DD2097" w:rsidRPr="00965B70" w:rsidRDefault="00DD2097" w:rsidP="00B25A12">
            <w:pPr>
              <w:spacing w:after="0" w:line="240" w:lineRule="auto"/>
              <w:rPr>
                <w:rFonts w:asciiTheme="majorHAnsi" w:hAnsiTheme="majorHAnsi" w:cstheme="majorHAnsi"/>
                <w:b w:val="0"/>
                <w:bCs/>
                <w:color w:val="201547"/>
                <w:sz w:val="18"/>
                <w:szCs w:val="18"/>
              </w:rPr>
            </w:pPr>
            <w:r w:rsidRPr="00965B70">
              <w:rPr>
                <w:rFonts w:asciiTheme="majorHAnsi" w:hAnsiTheme="majorHAnsi" w:cstheme="majorHAnsi"/>
                <w:sz w:val="18"/>
                <w:szCs w:val="18"/>
              </w:rPr>
              <w:t>Region</w:t>
            </w:r>
          </w:p>
        </w:tc>
        <w:tc>
          <w:tcPr>
            <w:tcW w:w="1169" w:type="pct"/>
            <w:hideMark/>
          </w:tcPr>
          <w:p w14:paraId="3338CDAB" w14:textId="77777777" w:rsidR="00DD2097" w:rsidRPr="00965B70" w:rsidRDefault="00DD2097" w:rsidP="00B25A12">
            <w:pPr>
              <w:spacing w:after="0" w:line="240" w:lineRule="auto"/>
              <w:rPr>
                <w:rFonts w:asciiTheme="majorHAnsi" w:hAnsiTheme="majorHAnsi" w:cstheme="majorHAnsi"/>
                <w:b w:val="0"/>
                <w:bCs/>
                <w:color w:val="201547"/>
                <w:sz w:val="18"/>
                <w:szCs w:val="18"/>
              </w:rPr>
            </w:pPr>
            <w:r w:rsidRPr="00965B70">
              <w:rPr>
                <w:rFonts w:asciiTheme="majorHAnsi" w:hAnsiTheme="majorHAnsi" w:cstheme="majorHAnsi"/>
                <w:sz w:val="18"/>
                <w:szCs w:val="18"/>
              </w:rPr>
              <w:t>GMU</w:t>
            </w:r>
          </w:p>
        </w:tc>
        <w:tc>
          <w:tcPr>
            <w:tcW w:w="1315" w:type="pct"/>
            <w:hideMark/>
          </w:tcPr>
          <w:p w14:paraId="2536E267" w14:textId="77777777" w:rsidR="00DD2097" w:rsidRPr="00965B70" w:rsidRDefault="00DD2097" w:rsidP="00B25A12">
            <w:pPr>
              <w:spacing w:after="0" w:line="240" w:lineRule="auto"/>
              <w:rPr>
                <w:rFonts w:asciiTheme="majorHAnsi" w:hAnsiTheme="majorHAnsi" w:cstheme="majorHAnsi"/>
                <w:b w:val="0"/>
                <w:bCs/>
                <w:color w:val="201547"/>
                <w:sz w:val="18"/>
                <w:szCs w:val="18"/>
              </w:rPr>
            </w:pPr>
            <w:r w:rsidRPr="00965B70">
              <w:rPr>
                <w:rFonts w:asciiTheme="majorHAnsi" w:hAnsiTheme="majorHAnsi" w:cstheme="majorHAnsi"/>
                <w:sz w:val="18"/>
                <w:szCs w:val="18"/>
              </w:rPr>
              <w:t>Sustainable Yield Method</w:t>
            </w:r>
          </w:p>
        </w:tc>
        <w:tc>
          <w:tcPr>
            <w:tcW w:w="315" w:type="pct"/>
            <w:hideMark/>
          </w:tcPr>
          <w:p w14:paraId="4598559F" w14:textId="093AA1F8" w:rsidR="00DD2097" w:rsidRPr="00965B70" w:rsidRDefault="00DD2097" w:rsidP="00DB4B3C">
            <w:pPr>
              <w:spacing w:after="0" w:line="240" w:lineRule="auto"/>
              <w:jc w:val="center"/>
              <w:rPr>
                <w:rFonts w:asciiTheme="majorHAnsi" w:hAnsiTheme="majorHAnsi" w:cstheme="majorHAnsi"/>
                <w:b w:val="0"/>
                <w:bCs/>
                <w:color w:val="201547"/>
                <w:sz w:val="16"/>
                <w:szCs w:val="16"/>
              </w:rPr>
            </w:pPr>
            <w:r w:rsidRPr="00965B70">
              <w:rPr>
                <w:rFonts w:asciiTheme="majorHAnsi" w:hAnsiTheme="majorHAnsi" w:cstheme="majorHAnsi"/>
                <w:sz w:val="16"/>
                <w:szCs w:val="16"/>
              </w:rPr>
              <w:t>SY</w:t>
            </w:r>
            <w:r w:rsidR="008A35C9" w:rsidRPr="00965B70">
              <w:rPr>
                <w:rFonts w:asciiTheme="majorHAnsi" w:hAnsiTheme="majorHAnsi" w:cstheme="majorHAnsi"/>
                <w:sz w:val="16"/>
                <w:szCs w:val="16"/>
              </w:rPr>
              <w:br/>
            </w:r>
            <w:r w:rsidRPr="00965B70">
              <w:rPr>
                <w:rFonts w:asciiTheme="majorHAnsi" w:hAnsiTheme="majorHAnsi" w:cstheme="majorHAnsi"/>
                <w:sz w:val="16"/>
                <w:szCs w:val="16"/>
              </w:rPr>
              <w:t>volume</w:t>
            </w:r>
            <w:r w:rsidR="008A35C9" w:rsidRPr="00965B70">
              <w:rPr>
                <w:rFonts w:asciiTheme="majorHAnsi" w:hAnsiTheme="majorHAnsi" w:cstheme="majorHAnsi"/>
                <w:sz w:val="16"/>
                <w:szCs w:val="16"/>
              </w:rPr>
              <w:br/>
            </w:r>
            <w:r w:rsidRPr="00965B70">
              <w:rPr>
                <w:rFonts w:asciiTheme="majorHAnsi" w:hAnsiTheme="majorHAnsi" w:cstheme="majorHAnsi"/>
                <w:sz w:val="16"/>
                <w:szCs w:val="16"/>
              </w:rPr>
              <w:t>ML/yr)</w:t>
            </w:r>
          </w:p>
        </w:tc>
        <w:tc>
          <w:tcPr>
            <w:tcW w:w="314" w:type="pct"/>
            <w:hideMark/>
          </w:tcPr>
          <w:p w14:paraId="00198431" w14:textId="77777777" w:rsidR="00DD2097" w:rsidRPr="00965B70" w:rsidRDefault="00DD2097" w:rsidP="00DB4B3C">
            <w:pPr>
              <w:spacing w:after="0" w:line="240" w:lineRule="auto"/>
              <w:jc w:val="center"/>
              <w:rPr>
                <w:rFonts w:asciiTheme="majorHAnsi" w:hAnsiTheme="majorHAnsi" w:cstheme="majorHAnsi"/>
                <w:b w:val="0"/>
                <w:bCs/>
                <w:color w:val="201547"/>
                <w:sz w:val="16"/>
                <w:szCs w:val="16"/>
              </w:rPr>
            </w:pPr>
            <w:r w:rsidRPr="00965B70">
              <w:rPr>
                <w:rFonts w:asciiTheme="majorHAnsi" w:hAnsiTheme="majorHAnsi" w:cstheme="majorHAnsi"/>
                <w:bCs/>
                <w:sz w:val="16"/>
                <w:szCs w:val="16"/>
              </w:rPr>
              <w:t>SY</w:t>
            </w:r>
            <w:r w:rsidRPr="00965B70">
              <w:rPr>
                <w:rFonts w:asciiTheme="majorHAnsi" w:hAnsiTheme="majorHAnsi" w:cstheme="majorHAnsi"/>
                <w:sz w:val="16"/>
                <w:szCs w:val="16"/>
              </w:rPr>
              <w:t xml:space="preserve"> Lower band (ML/yr)</w:t>
            </w:r>
          </w:p>
        </w:tc>
        <w:tc>
          <w:tcPr>
            <w:tcW w:w="314" w:type="pct"/>
            <w:hideMark/>
          </w:tcPr>
          <w:p w14:paraId="6DF0ED97" w14:textId="77777777" w:rsidR="00DD2097" w:rsidRPr="00965B70" w:rsidRDefault="00DD2097" w:rsidP="00DB4B3C">
            <w:pPr>
              <w:spacing w:after="0" w:line="240" w:lineRule="auto"/>
              <w:jc w:val="center"/>
              <w:rPr>
                <w:rFonts w:asciiTheme="majorHAnsi" w:hAnsiTheme="majorHAnsi" w:cstheme="majorHAnsi"/>
                <w:b w:val="0"/>
                <w:bCs/>
                <w:color w:val="201547"/>
                <w:sz w:val="16"/>
                <w:szCs w:val="16"/>
              </w:rPr>
            </w:pPr>
            <w:r w:rsidRPr="00965B70">
              <w:rPr>
                <w:rFonts w:asciiTheme="majorHAnsi" w:hAnsiTheme="majorHAnsi" w:cstheme="majorHAnsi"/>
                <w:bCs/>
                <w:sz w:val="16"/>
                <w:szCs w:val="16"/>
              </w:rPr>
              <w:t xml:space="preserve">SY </w:t>
            </w:r>
            <w:r w:rsidRPr="00965B70">
              <w:rPr>
                <w:rFonts w:asciiTheme="majorHAnsi" w:hAnsiTheme="majorHAnsi" w:cstheme="majorHAnsi"/>
                <w:sz w:val="16"/>
                <w:szCs w:val="16"/>
              </w:rPr>
              <w:t>Upper band (ML/yr)</w:t>
            </w:r>
          </w:p>
        </w:tc>
        <w:tc>
          <w:tcPr>
            <w:tcW w:w="314" w:type="pct"/>
          </w:tcPr>
          <w:p w14:paraId="4ED7B6FD" w14:textId="77777777" w:rsidR="00DD2097" w:rsidRPr="00965B70" w:rsidRDefault="00DD2097" w:rsidP="00DB4B3C">
            <w:pPr>
              <w:spacing w:after="0" w:line="240" w:lineRule="auto"/>
              <w:jc w:val="center"/>
              <w:rPr>
                <w:rFonts w:asciiTheme="majorHAnsi" w:hAnsiTheme="majorHAnsi" w:cstheme="majorHAnsi"/>
                <w:b w:val="0"/>
                <w:sz w:val="16"/>
                <w:szCs w:val="16"/>
              </w:rPr>
            </w:pPr>
            <w:r w:rsidRPr="00965B70">
              <w:rPr>
                <w:rFonts w:asciiTheme="majorHAnsi" w:hAnsiTheme="majorHAnsi" w:cstheme="majorHAnsi"/>
                <w:sz w:val="16"/>
                <w:szCs w:val="16"/>
              </w:rPr>
              <w:t>PCV (ML/yr)</w:t>
            </w:r>
          </w:p>
        </w:tc>
        <w:tc>
          <w:tcPr>
            <w:tcW w:w="314" w:type="pct"/>
          </w:tcPr>
          <w:p w14:paraId="4493D60F" w14:textId="4D55F092" w:rsidR="00DD2097" w:rsidRPr="00965B70" w:rsidRDefault="00DD2097" w:rsidP="008A35C9">
            <w:pPr>
              <w:spacing w:after="120" w:line="240" w:lineRule="auto"/>
              <w:jc w:val="center"/>
              <w:rPr>
                <w:rFonts w:asciiTheme="majorHAnsi" w:hAnsiTheme="majorHAnsi" w:cstheme="majorHAnsi"/>
                <w:b w:val="0"/>
                <w:bCs/>
                <w:sz w:val="16"/>
                <w:szCs w:val="16"/>
              </w:rPr>
            </w:pPr>
            <w:r w:rsidRPr="00965B70">
              <w:rPr>
                <w:rFonts w:asciiTheme="majorHAnsi" w:hAnsiTheme="majorHAnsi" w:cstheme="majorHAnsi"/>
                <w:bCs/>
                <w:sz w:val="15"/>
                <w:szCs w:val="15"/>
              </w:rPr>
              <w:t xml:space="preserve">Average </w:t>
            </w:r>
            <w:r w:rsidRPr="00965B70">
              <w:rPr>
                <w:rFonts w:asciiTheme="majorHAnsi" w:hAnsiTheme="majorHAnsi" w:cstheme="majorHAnsi"/>
                <w:sz w:val="15"/>
                <w:szCs w:val="15"/>
              </w:rPr>
              <w:t>Entitlement</w:t>
            </w:r>
            <w:r w:rsidRPr="00965B70">
              <w:rPr>
                <w:rFonts w:asciiTheme="majorHAnsi" w:hAnsiTheme="majorHAnsi" w:cstheme="majorHAnsi"/>
                <w:sz w:val="16"/>
                <w:szCs w:val="16"/>
              </w:rPr>
              <w:t xml:space="preserve"> (</w:t>
            </w:r>
            <w:r w:rsidRPr="00965B70">
              <w:rPr>
                <w:rFonts w:asciiTheme="majorHAnsi" w:hAnsiTheme="majorHAnsi" w:cstheme="majorHAnsi"/>
                <w:sz w:val="15"/>
                <w:szCs w:val="15"/>
              </w:rPr>
              <w:t>2016-21)</w:t>
            </w:r>
            <w:r w:rsidRPr="00965B70">
              <w:rPr>
                <w:rFonts w:asciiTheme="majorHAnsi" w:hAnsiTheme="majorHAnsi" w:cstheme="majorHAnsi"/>
                <w:sz w:val="16"/>
                <w:szCs w:val="16"/>
              </w:rPr>
              <w:t xml:space="preserve"> (ML/yr)</w:t>
            </w:r>
          </w:p>
        </w:tc>
        <w:tc>
          <w:tcPr>
            <w:tcW w:w="314" w:type="pct"/>
            <w:hideMark/>
          </w:tcPr>
          <w:p w14:paraId="7687E898" w14:textId="2FA13784" w:rsidR="00DD2097" w:rsidRPr="00965B70" w:rsidRDefault="00DD2097" w:rsidP="00DB4B3C">
            <w:pPr>
              <w:spacing w:after="0" w:line="240" w:lineRule="auto"/>
              <w:jc w:val="center"/>
              <w:rPr>
                <w:rFonts w:asciiTheme="majorHAnsi" w:hAnsiTheme="majorHAnsi" w:cstheme="majorHAnsi"/>
                <w:b w:val="0"/>
                <w:bCs/>
                <w:color w:val="201547"/>
                <w:sz w:val="16"/>
                <w:szCs w:val="16"/>
              </w:rPr>
            </w:pPr>
            <w:r w:rsidRPr="00965B70">
              <w:rPr>
                <w:rFonts w:asciiTheme="majorHAnsi" w:hAnsiTheme="majorHAnsi" w:cstheme="majorHAnsi"/>
                <w:sz w:val="16"/>
                <w:szCs w:val="16"/>
              </w:rPr>
              <w:t xml:space="preserve">Average use </w:t>
            </w:r>
            <w:r w:rsidRPr="00965B70">
              <w:rPr>
                <w:rFonts w:asciiTheme="majorHAnsi" w:hAnsiTheme="majorHAnsi" w:cstheme="majorHAnsi"/>
                <w:sz w:val="15"/>
                <w:szCs w:val="15"/>
              </w:rPr>
              <w:t>(</w:t>
            </w:r>
            <w:r w:rsidRPr="00965B70">
              <w:rPr>
                <w:rFonts w:asciiTheme="majorHAnsi" w:hAnsiTheme="majorHAnsi" w:cstheme="majorHAnsi"/>
                <w:bCs/>
                <w:sz w:val="15"/>
                <w:szCs w:val="15"/>
              </w:rPr>
              <w:t>2016-21)</w:t>
            </w:r>
            <w:r w:rsidRPr="00965B70">
              <w:rPr>
                <w:rFonts w:asciiTheme="majorHAnsi" w:hAnsiTheme="majorHAnsi" w:cstheme="majorHAnsi"/>
                <w:bCs/>
                <w:sz w:val="16"/>
                <w:szCs w:val="16"/>
              </w:rPr>
              <w:t xml:space="preserve"> (</w:t>
            </w:r>
            <w:r w:rsidRPr="00965B70">
              <w:rPr>
                <w:rFonts w:asciiTheme="majorHAnsi" w:hAnsiTheme="majorHAnsi" w:cstheme="majorHAnsi"/>
                <w:sz w:val="16"/>
                <w:szCs w:val="16"/>
              </w:rPr>
              <w:t>ML/yr)</w:t>
            </w:r>
          </w:p>
        </w:tc>
      </w:tr>
      <w:tr w:rsidR="00DD2097" w:rsidRPr="00965B70" w14:paraId="57988806" w14:textId="77777777" w:rsidTr="008A35C9">
        <w:trPr>
          <w:trHeight w:val="288"/>
        </w:trPr>
        <w:tc>
          <w:tcPr>
            <w:tcW w:w="630" w:type="pct"/>
            <w:noWrap/>
            <w:hideMark/>
          </w:tcPr>
          <w:p w14:paraId="442DC4CB"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2AE37EC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Big Desert Zone </w:t>
            </w:r>
          </w:p>
        </w:tc>
        <w:tc>
          <w:tcPr>
            <w:tcW w:w="1315" w:type="pct"/>
            <w:noWrap/>
            <w:hideMark/>
          </w:tcPr>
          <w:p w14:paraId="7482983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w:t>
            </w:r>
          </w:p>
        </w:tc>
        <w:tc>
          <w:tcPr>
            <w:tcW w:w="315" w:type="pct"/>
            <w:noWrap/>
          </w:tcPr>
          <w:p w14:paraId="51174C1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6,900</w:t>
            </w:r>
          </w:p>
        </w:tc>
        <w:tc>
          <w:tcPr>
            <w:tcW w:w="314" w:type="pct"/>
            <w:noWrap/>
          </w:tcPr>
          <w:p w14:paraId="05CF698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5,600</w:t>
            </w:r>
          </w:p>
        </w:tc>
        <w:tc>
          <w:tcPr>
            <w:tcW w:w="314" w:type="pct"/>
            <w:noWrap/>
          </w:tcPr>
          <w:p w14:paraId="010FF8A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9,700</w:t>
            </w:r>
          </w:p>
        </w:tc>
        <w:tc>
          <w:tcPr>
            <w:tcW w:w="314" w:type="pct"/>
          </w:tcPr>
          <w:p w14:paraId="5CC1B56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25</w:t>
            </w:r>
          </w:p>
        </w:tc>
        <w:tc>
          <w:tcPr>
            <w:tcW w:w="314" w:type="pct"/>
          </w:tcPr>
          <w:p w14:paraId="0E59928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c>
          <w:tcPr>
            <w:tcW w:w="314" w:type="pct"/>
            <w:noWrap/>
            <w:hideMark/>
          </w:tcPr>
          <w:p w14:paraId="1D5817D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r>
      <w:tr w:rsidR="00DD2097" w:rsidRPr="00965B70" w14:paraId="37A0394D" w14:textId="77777777" w:rsidTr="008A35C9">
        <w:trPr>
          <w:trHeight w:val="288"/>
        </w:trPr>
        <w:tc>
          <w:tcPr>
            <w:tcW w:w="630" w:type="pct"/>
            <w:noWrap/>
            <w:hideMark/>
          </w:tcPr>
          <w:p w14:paraId="11A728F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54DC77CE"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Gymbowen Zone* </w:t>
            </w:r>
          </w:p>
        </w:tc>
        <w:tc>
          <w:tcPr>
            <w:tcW w:w="1315" w:type="pct"/>
            <w:noWrap/>
            <w:hideMark/>
          </w:tcPr>
          <w:p w14:paraId="28ED0A6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w:t>
            </w:r>
          </w:p>
        </w:tc>
        <w:tc>
          <w:tcPr>
            <w:tcW w:w="315" w:type="pct"/>
            <w:noWrap/>
          </w:tcPr>
          <w:p w14:paraId="28B3FE5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1,800</w:t>
            </w:r>
          </w:p>
        </w:tc>
        <w:tc>
          <w:tcPr>
            <w:tcW w:w="314" w:type="pct"/>
            <w:noWrap/>
          </w:tcPr>
          <w:p w14:paraId="1C30ED9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1,700</w:t>
            </w:r>
          </w:p>
        </w:tc>
        <w:tc>
          <w:tcPr>
            <w:tcW w:w="314" w:type="pct"/>
            <w:noWrap/>
          </w:tcPr>
          <w:p w14:paraId="1C17136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3,100</w:t>
            </w:r>
          </w:p>
        </w:tc>
        <w:tc>
          <w:tcPr>
            <w:tcW w:w="314" w:type="pct"/>
          </w:tcPr>
          <w:p w14:paraId="3C50C2B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2,000</w:t>
            </w:r>
          </w:p>
        </w:tc>
        <w:tc>
          <w:tcPr>
            <w:tcW w:w="314" w:type="pct"/>
          </w:tcPr>
          <w:p w14:paraId="014BC8D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1,052</w:t>
            </w:r>
          </w:p>
        </w:tc>
        <w:tc>
          <w:tcPr>
            <w:tcW w:w="314" w:type="pct"/>
            <w:noWrap/>
            <w:hideMark/>
          </w:tcPr>
          <w:p w14:paraId="5363D2F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232</w:t>
            </w:r>
          </w:p>
        </w:tc>
      </w:tr>
      <w:tr w:rsidR="00DD2097" w:rsidRPr="00965B70" w14:paraId="0627683F" w14:textId="77777777" w:rsidTr="008A35C9">
        <w:trPr>
          <w:trHeight w:val="288"/>
        </w:trPr>
        <w:tc>
          <w:tcPr>
            <w:tcW w:w="630" w:type="pct"/>
            <w:noWrap/>
            <w:hideMark/>
          </w:tcPr>
          <w:p w14:paraId="18C3046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0C8DD86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Little Desert Zone </w:t>
            </w:r>
          </w:p>
        </w:tc>
        <w:tc>
          <w:tcPr>
            <w:tcW w:w="1315" w:type="pct"/>
            <w:noWrap/>
            <w:hideMark/>
          </w:tcPr>
          <w:p w14:paraId="38B415E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w:t>
            </w:r>
          </w:p>
        </w:tc>
        <w:tc>
          <w:tcPr>
            <w:tcW w:w="315" w:type="pct"/>
            <w:noWrap/>
          </w:tcPr>
          <w:p w14:paraId="6FBA008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1,200</w:t>
            </w:r>
          </w:p>
        </w:tc>
        <w:tc>
          <w:tcPr>
            <w:tcW w:w="314" w:type="pct"/>
            <w:noWrap/>
          </w:tcPr>
          <w:p w14:paraId="4DB26C2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1,000</w:t>
            </w:r>
          </w:p>
        </w:tc>
        <w:tc>
          <w:tcPr>
            <w:tcW w:w="314" w:type="pct"/>
            <w:noWrap/>
          </w:tcPr>
          <w:p w14:paraId="50EB971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2,100</w:t>
            </w:r>
          </w:p>
        </w:tc>
        <w:tc>
          <w:tcPr>
            <w:tcW w:w="314" w:type="pct"/>
          </w:tcPr>
          <w:p w14:paraId="79102A6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25</w:t>
            </w:r>
          </w:p>
        </w:tc>
        <w:tc>
          <w:tcPr>
            <w:tcW w:w="314" w:type="pct"/>
          </w:tcPr>
          <w:p w14:paraId="7C38154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c>
          <w:tcPr>
            <w:tcW w:w="314" w:type="pct"/>
            <w:noWrap/>
            <w:hideMark/>
          </w:tcPr>
          <w:p w14:paraId="0E95068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r>
      <w:tr w:rsidR="00DD2097" w:rsidRPr="00965B70" w14:paraId="0B8AB79D" w14:textId="77777777" w:rsidTr="00B25A12">
        <w:trPr>
          <w:trHeight w:val="369"/>
        </w:trPr>
        <w:tc>
          <w:tcPr>
            <w:tcW w:w="630" w:type="pct"/>
            <w:noWrap/>
            <w:hideMark/>
          </w:tcPr>
          <w:p w14:paraId="30D6E32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3ED4ED5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w:t>
            </w:r>
            <w:proofErr w:type="spellStart"/>
            <w:r w:rsidRPr="00965B70">
              <w:rPr>
                <w:rFonts w:cstheme="minorHAnsi"/>
                <w:color w:val="000000"/>
                <w:sz w:val="18"/>
                <w:szCs w:val="18"/>
              </w:rPr>
              <w:t>Neuarpur</w:t>
            </w:r>
            <w:proofErr w:type="spellEnd"/>
            <w:r w:rsidRPr="00965B70">
              <w:rPr>
                <w:rFonts w:cstheme="minorHAnsi"/>
                <w:color w:val="000000"/>
                <w:sz w:val="18"/>
                <w:szCs w:val="18"/>
              </w:rPr>
              <w:t xml:space="preserve"> Zone </w:t>
            </w:r>
          </w:p>
        </w:tc>
        <w:tc>
          <w:tcPr>
            <w:tcW w:w="1315" w:type="pct"/>
            <w:noWrap/>
            <w:hideMark/>
          </w:tcPr>
          <w:p w14:paraId="09A2EA5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Prior studies</w:t>
            </w:r>
          </w:p>
        </w:tc>
        <w:tc>
          <w:tcPr>
            <w:tcW w:w="315" w:type="pct"/>
            <w:noWrap/>
            <w:hideMark/>
          </w:tcPr>
          <w:p w14:paraId="4A04F87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14,000</w:t>
            </w:r>
          </w:p>
        </w:tc>
        <w:tc>
          <w:tcPr>
            <w:tcW w:w="314" w:type="pct"/>
            <w:noWrap/>
            <w:hideMark/>
          </w:tcPr>
          <w:p w14:paraId="3BBD373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hideMark/>
          </w:tcPr>
          <w:p w14:paraId="64FCED9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56345A5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24,750</w:t>
            </w:r>
          </w:p>
        </w:tc>
        <w:tc>
          <w:tcPr>
            <w:tcW w:w="314" w:type="pct"/>
          </w:tcPr>
          <w:p w14:paraId="317A2E7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24,691</w:t>
            </w:r>
          </w:p>
        </w:tc>
        <w:tc>
          <w:tcPr>
            <w:tcW w:w="314" w:type="pct"/>
            <w:noWrap/>
            <w:hideMark/>
          </w:tcPr>
          <w:p w14:paraId="375679C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13,860</w:t>
            </w:r>
          </w:p>
        </w:tc>
      </w:tr>
      <w:tr w:rsidR="00DD2097" w:rsidRPr="00965B70" w14:paraId="19CEF5A1" w14:textId="77777777" w:rsidTr="00B25A12">
        <w:trPr>
          <w:trHeight w:val="369"/>
        </w:trPr>
        <w:tc>
          <w:tcPr>
            <w:tcW w:w="630" w:type="pct"/>
            <w:noWrap/>
            <w:hideMark/>
          </w:tcPr>
          <w:p w14:paraId="63B2C03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5B8541C4"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Northern Zone* </w:t>
            </w:r>
          </w:p>
        </w:tc>
        <w:tc>
          <w:tcPr>
            <w:tcW w:w="1315" w:type="pct"/>
            <w:noWrap/>
            <w:hideMark/>
          </w:tcPr>
          <w:p w14:paraId="2238EE1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hideMark/>
          </w:tcPr>
          <w:p w14:paraId="7D12EC2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18,600</w:t>
            </w:r>
          </w:p>
        </w:tc>
        <w:tc>
          <w:tcPr>
            <w:tcW w:w="314" w:type="pct"/>
            <w:noWrap/>
            <w:hideMark/>
          </w:tcPr>
          <w:p w14:paraId="59FA816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9,100</w:t>
            </w:r>
          </w:p>
        </w:tc>
        <w:tc>
          <w:tcPr>
            <w:tcW w:w="314" w:type="pct"/>
            <w:noWrap/>
            <w:hideMark/>
          </w:tcPr>
          <w:p w14:paraId="7A4392E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31,200</w:t>
            </w:r>
          </w:p>
        </w:tc>
        <w:tc>
          <w:tcPr>
            <w:tcW w:w="314" w:type="pct"/>
          </w:tcPr>
          <w:p w14:paraId="0D67882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22,390</w:t>
            </w:r>
          </w:p>
        </w:tc>
        <w:tc>
          <w:tcPr>
            <w:tcW w:w="314" w:type="pct"/>
          </w:tcPr>
          <w:p w14:paraId="57DE162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21,932</w:t>
            </w:r>
          </w:p>
        </w:tc>
        <w:tc>
          <w:tcPr>
            <w:tcW w:w="314" w:type="pct"/>
            <w:noWrap/>
            <w:hideMark/>
          </w:tcPr>
          <w:p w14:paraId="7E04D0E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5,900</w:t>
            </w:r>
          </w:p>
        </w:tc>
      </w:tr>
      <w:tr w:rsidR="00DD2097" w:rsidRPr="00965B70" w14:paraId="43B2B249" w14:textId="77777777" w:rsidTr="00B25A12">
        <w:trPr>
          <w:trHeight w:val="369"/>
        </w:trPr>
        <w:tc>
          <w:tcPr>
            <w:tcW w:w="630" w:type="pct"/>
            <w:noWrap/>
            <w:hideMark/>
          </w:tcPr>
          <w:p w14:paraId="33B1CE85"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Wimmera</w:t>
            </w:r>
          </w:p>
        </w:tc>
        <w:tc>
          <w:tcPr>
            <w:tcW w:w="1169" w:type="pct"/>
            <w:noWrap/>
            <w:hideMark/>
          </w:tcPr>
          <w:p w14:paraId="474CA48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West Wimmera GMA - Southern Zone </w:t>
            </w:r>
          </w:p>
        </w:tc>
        <w:tc>
          <w:tcPr>
            <w:tcW w:w="1315" w:type="pct"/>
            <w:noWrap/>
            <w:hideMark/>
          </w:tcPr>
          <w:p w14:paraId="62508B35"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w:t>
            </w:r>
          </w:p>
        </w:tc>
        <w:tc>
          <w:tcPr>
            <w:tcW w:w="315" w:type="pct"/>
            <w:noWrap/>
            <w:hideMark/>
          </w:tcPr>
          <w:p w14:paraId="46F96AF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5,800</w:t>
            </w:r>
          </w:p>
        </w:tc>
        <w:tc>
          <w:tcPr>
            <w:tcW w:w="314" w:type="pct"/>
            <w:noWrap/>
            <w:hideMark/>
          </w:tcPr>
          <w:p w14:paraId="698A339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4,500</w:t>
            </w:r>
          </w:p>
        </w:tc>
        <w:tc>
          <w:tcPr>
            <w:tcW w:w="314" w:type="pct"/>
            <w:noWrap/>
            <w:hideMark/>
          </w:tcPr>
          <w:p w14:paraId="75EB07B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6,600</w:t>
            </w:r>
          </w:p>
        </w:tc>
        <w:tc>
          <w:tcPr>
            <w:tcW w:w="314" w:type="pct"/>
          </w:tcPr>
          <w:p w14:paraId="5493F71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6,469</w:t>
            </w:r>
          </w:p>
        </w:tc>
        <w:tc>
          <w:tcPr>
            <w:tcW w:w="314" w:type="pct"/>
          </w:tcPr>
          <w:p w14:paraId="4B7AC75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5,648</w:t>
            </w:r>
          </w:p>
        </w:tc>
        <w:tc>
          <w:tcPr>
            <w:tcW w:w="314" w:type="pct"/>
            <w:noWrap/>
            <w:hideMark/>
          </w:tcPr>
          <w:p w14:paraId="403EC90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1,950</w:t>
            </w:r>
          </w:p>
        </w:tc>
      </w:tr>
      <w:tr w:rsidR="00DD2097" w:rsidRPr="00965B70" w14:paraId="17CCED5B" w14:textId="77777777" w:rsidTr="00B25A12">
        <w:trPr>
          <w:trHeight w:val="369"/>
        </w:trPr>
        <w:tc>
          <w:tcPr>
            <w:tcW w:w="630" w:type="pct"/>
            <w:noWrap/>
          </w:tcPr>
          <w:p w14:paraId="396E82D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5F9D862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Barnawartha GMA</w:t>
            </w:r>
          </w:p>
        </w:tc>
        <w:tc>
          <w:tcPr>
            <w:tcW w:w="1315" w:type="pct"/>
            <w:noWrap/>
          </w:tcPr>
          <w:p w14:paraId="392FAA0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7499D88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700</w:t>
            </w:r>
          </w:p>
        </w:tc>
        <w:tc>
          <w:tcPr>
            <w:tcW w:w="314" w:type="pct"/>
            <w:noWrap/>
          </w:tcPr>
          <w:p w14:paraId="4D14B00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300</w:t>
            </w:r>
          </w:p>
        </w:tc>
        <w:tc>
          <w:tcPr>
            <w:tcW w:w="314" w:type="pct"/>
            <w:noWrap/>
          </w:tcPr>
          <w:p w14:paraId="2DB1AF1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3,400</w:t>
            </w:r>
          </w:p>
        </w:tc>
        <w:tc>
          <w:tcPr>
            <w:tcW w:w="314" w:type="pct"/>
          </w:tcPr>
          <w:p w14:paraId="1498030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2,100</w:t>
            </w:r>
          </w:p>
        </w:tc>
        <w:tc>
          <w:tcPr>
            <w:tcW w:w="314" w:type="pct"/>
          </w:tcPr>
          <w:p w14:paraId="26B97B1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375</w:t>
            </w:r>
          </w:p>
        </w:tc>
        <w:tc>
          <w:tcPr>
            <w:tcW w:w="314" w:type="pct"/>
            <w:noWrap/>
          </w:tcPr>
          <w:p w14:paraId="34B4D14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61</w:t>
            </w:r>
          </w:p>
        </w:tc>
      </w:tr>
      <w:tr w:rsidR="00DD2097" w:rsidRPr="00965B70" w14:paraId="5228692A" w14:textId="77777777" w:rsidTr="008A35C9">
        <w:trPr>
          <w:trHeight w:val="288"/>
        </w:trPr>
        <w:tc>
          <w:tcPr>
            <w:tcW w:w="630" w:type="pct"/>
            <w:noWrap/>
          </w:tcPr>
          <w:p w14:paraId="2BBA72C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2AD146E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Broken GMA*</w:t>
            </w:r>
          </w:p>
        </w:tc>
        <w:tc>
          <w:tcPr>
            <w:tcW w:w="1315" w:type="pct"/>
            <w:noWrap/>
          </w:tcPr>
          <w:p w14:paraId="39990DB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3FB0E9F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6,300</w:t>
            </w:r>
          </w:p>
        </w:tc>
        <w:tc>
          <w:tcPr>
            <w:tcW w:w="314" w:type="pct"/>
            <w:noWrap/>
          </w:tcPr>
          <w:p w14:paraId="010DA96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6,300</w:t>
            </w:r>
          </w:p>
        </w:tc>
        <w:tc>
          <w:tcPr>
            <w:tcW w:w="314" w:type="pct"/>
            <w:noWrap/>
          </w:tcPr>
          <w:p w14:paraId="04290FD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10,200</w:t>
            </w:r>
          </w:p>
        </w:tc>
        <w:tc>
          <w:tcPr>
            <w:tcW w:w="314" w:type="pct"/>
          </w:tcPr>
          <w:p w14:paraId="3650834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3,732</w:t>
            </w:r>
          </w:p>
        </w:tc>
        <w:tc>
          <w:tcPr>
            <w:tcW w:w="314" w:type="pct"/>
          </w:tcPr>
          <w:p w14:paraId="49C8B1D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2,902</w:t>
            </w:r>
          </w:p>
        </w:tc>
        <w:tc>
          <w:tcPr>
            <w:tcW w:w="314" w:type="pct"/>
            <w:noWrap/>
          </w:tcPr>
          <w:p w14:paraId="335B571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1,217</w:t>
            </w:r>
          </w:p>
        </w:tc>
      </w:tr>
      <w:tr w:rsidR="00DD2097" w:rsidRPr="00965B70" w14:paraId="1D543518" w14:textId="77777777" w:rsidTr="00B25A12">
        <w:trPr>
          <w:trHeight w:val="340"/>
        </w:trPr>
        <w:tc>
          <w:tcPr>
            <w:tcW w:w="630" w:type="pct"/>
            <w:noWrap/>
          </w:tcPr>
          <w:p w14:paraId="7357545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784C410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Cardigan GMA</w:t>
            </w:r>
          </w:p>
        </w:tc>
        <w:tc>
          <w:tcPr>
            <w:tcW w:w="1315" w:type="pct"/>
            <w:noWrap/>
          </w:tcPr>
          <w:p w14:paraId="2067DA9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4B3A01D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2,100</w:t>
            </w:r>
          </w:p>
        </w:tc>
        <w:tc>
          <w:tcPr>
            <w:tcW w:w="314" w:type="pct"/>
            <w:noWrap/>
          </w:tcPr>
          <w:p w14:paraId="0B64676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1,100</w:t>
            </w:r>
          </w:p>
        </w:tc>
        <w:tc>
          <w:tcPr>
            <w:tcW w:w="314" w:type="pct"/>
            <w:noWrap/>
          </w:tcPr>
          <w:p w14:paraId="25E0726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2,900</w:t>
            </w:r>
          </w:p>
        </w:tc>
        <w:tc>
          <w:tcPr>
            <w:tcW w:w="314" w:type="pct"/>
          </w:tcPr>
          <w:p w14:paraId="2E92916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3,967</w:t>
            </w:r>
          </w:p>
        </w:tc>
        <w:tc>
          <w:tcPr>
            <w:tcW w:w="314" w:type="pct"/>
          </w:tcPr>
          <w:p w14:paraId="47E19D3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3,888</w:t>
            </w:r>
          </w:p>
        </w:tc>
        <w:tc>
          <w:tcPr>
            <w:tcW w:w="314" w:type="pct"/>
            <w:noWrap/>
          </w:tcPr>
          <w:p w14:paraId="3558738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895</w:t>
            </w:r>
          </w:p>
        </w:tc>
      </w:tr>
      <w:tr w:rsidR="00DD2097" w:rsidRPr="00965B70" w14:paraId="30DD10DD" w14:textId="77777777" w:rsidTr="00B25A12">
        <w:trPr>
          <w:trHeight w:val="340"/>
        </w:trPr>
        <w:tc>
          <w:tcPr>
            <w:tcW w:w="630" w:type="pct"/>
            <w:noWrap/>
          </w:tcPr>
          <w:p w14:paraId="42859EA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1B244AB5"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Victorian Mineral Springs GMA</w:t>
            </w:r>
          </w:p>
        </w:tc>
        <w:tc>
          <w:tcPr>
            <w:tcW w:w="1315" w:type="pct"/>
            <w:noWrap/>
          </w:tcPr>
          <w:p w14:paraId="5A52B3A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31C30CD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2,800</w:t>
            </w:r>
          </w:p>
        </w:tc>
        <w:tc>
          <w:tcPr>
            <w:tcW w:w="314" w:type="pct"/>
            <w:noWrap/>
          </w:tcPr>
          <w:p w14:paraId="22CFB77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1,600</w:t>
            </w:r>
          </w:p>
        </w:tc>
        <w:tc>
          <w:tcPr>
            <w:tcW w:w="314" w:type="pct"/>
            <w:noWrap/>
          </w:tcPr>
          <w:p w14:paraId="15BF497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3,800</w:t>
            </w:r>
          </w:p>
        </w:tc>
        <w:tc>
          <w:tcPr>
            <w:tcW w:w="314" w:type="pct"/>
          </w:tcPr>
          <w:p w14:paraId="6673561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6,024</w:t>
            </w:r>
          </w:p>
        </w:tc>
        <w:tc>
          <w:tcPr>
            <w:tcW w:w="314" w:type="pct"/>
          </w:tcPr>
          <w:p w14:paraId="71BB939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5,044</w:t>
            </w:r>
          </w:p>
        </w:tc>
        <w:tc>
          <w:tcPr>
            <w:tcW w:w="314" w:type="pct"/>
            <w:noWrap/>
          </w:tcPr>
          <w:p w14:paraId="4419E7C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1,154</w:t>
            </w:r>
          </w:p>
        </w:tc>
      </w:tr>
      <w:tr w:rsidR="00DD2097" w:rsidRPr="00965B70" w14:paraId="2FC39D0E" w14:textId="77777777" w:rsidTr="008A35C9">
        <w:trPr>
          <w:trHeight w:val="288"/>
        </w:trPr>
        <w:tc>
          <w:tcPr>
            <w:tcW w:w="630" w:type="pct"/>
            <w:noWrap/>
          </w:tcPr>
          <w:p w14:paraId="2BDCACC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4BDD1480"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Eildon GMA</w:t>
            </w:r>
          </w:p>
        </w:tc>
        <w:tc>
          <w:tcPr>
            <w:tcW w:w="1315" w:type="pct"/>
            <w:noWrap/>
          </w:tcPr>
          <w:p w14:paraId="7B6853E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6C67CA3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1,400</w:t>
            </w:r>
          </w:p>
        </w:tc>
        <w:tc>
          <w:tcPr>
            <w:tcW w:w="314" w:type="pct"/>
            <w:noWrap/>
          </w:tcPr>
          <w:p w14:paraId="64C57F3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1,400</w:t>
            </w:r>
          </w:p>
        </w:tc>
        <w:tc>
          <w:tcPr>
            <w:tcW w:w="314" w:type="pct"/>
            <w:noWrap/>
          </w:tcPr>
          <w:p w14:paraId="07AE35B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2,200</w:t>
            </w:r>
          </w:p>
        </w:tc>
        <w:tc>
          <w:tcPr>
            <w:tcW w:w="314" w:type="pct"/>
          </w:tcPr>
          <w:p w14:paraId="414FE4C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1,496</w:t>
            </w:r>
          </w:p>
        </w:tc>
        <w:tc>
          <w:tcPr>
            <w:tcW w:w="314" w:type="pct"/>
          </w:tcPr>
          <w:p w14:paraId="3107A53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607</w:t>
            </w:r>
          </w:p>
        </w:tc>
        <w:tc>
          <w:tcPr>
            <w:tcW w:w="314" w:type="pct"/>
            <w:noWrap/>
          </w:tcPr>
          <w:p w14:paraId="0D5923E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200</w:t>
            </w:r>
          </w:p>
        </w:tc>
      </w:tr>
      <w:tr w:rsidR="00DD2097" w:rsidRPr="00965B70" w14:paraId="5C93145E" w14:textId="77777777" w:rsidTr="00B25A12">
        <w:trPr>
          <w:trHeight w:val="340"/>
        </w:trPr>
        <w:tc>
          <w:tcPr>
            <w:tcW w:w="630" w:type="pct"/>
            <w:noWrap/>
          </w:tcPr>
          <w:p w14:paraId="7E6CDBC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31385C40"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Kiewa GMA*</w:t>
            </w:r>
          </w:p>
        </w:tc>
        <w:tc>
          <w:tcPr>
            <w:tcW w:w="1315" w:type="pct"/>
            <w:noWrap/>
          </w:tcPr>
          <w:p w14:paraId="5A37DFE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2C96C81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2,200</w:t>
            </w:r>
          </w:p>
        </w:tc>
        <w:tc>
          <w:tcPr>
            <w:tcW w:w="314" w:type="pct"/>
            <w:noWrap/>
          </w:tcPr>
          <w:p w14:paraId="2F87D6C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1,300</w:t>
            </w:r>
          </w:p>
        </w:tc>
        <w:tc>
          <w:tcPr>
            <w:tcW w:w="314" w:type="pct"/>
            <w:noWrap/>
          </w:tcPr>
          <w:p w14:paraId="09476CC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3,500</w:t>
            </w:r>
          </w:p>
        </w:tc>
        <w:tc>
          <w:tcPr>
            <w:tcW w:w="314" w:type="pct"/>
          </w:tcPr>
          <w:p w14:paraId="1424078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3,852</w:t>
            </w:r>
          </w:p>
        </w:tc>
        <w:tc>
          <w:tcPr>
            <w:tcW w:w="314" w:type="pct"/>
          </w:tcPr>
          <w:p w14:paraId="454075B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3,115</w:t>
            </w:r>
          </w:p>
        </w:tc>
        <w:tc>
          <w:tcPr>
            <w:tcW w:w="314" w:type="pct"/>
            <w:noWrap/>
          </w:tcPr>
          <w:p w14:paraId="54F1D55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876</w:t>
            </w:r>
          </w:p>
        </w:tc>
      </w:tr>
      <w:tr w:rsidR="00DD2097" w:rsidRPr="00965B70" w14:paraId="3AE363A3" w14:textId="77777777" w:rsidTr="00B25A12">
        <w:trPr>
          <w:trHeight w:val="340"/>
        </w:trPr>
        <w:tc>
          <w:tcPr>
            <w:tcW w:w="630" w:type="pct"/>
            <w:noWrap/>
          </w:tcPr>
          <w:p w14:paraId="1181543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29884AF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Loddon Highlands WSPA</w:t>
            </w:r>
          </w:p>
        </w:tc>
        <w:tc>
          <w:tcPr>
            <w:tcW w:w="1315" w:type="pct"/>
            <w:noWrap/>
          </w:tcPr>
          <w:p w14:paraId="6CB10480"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5E069EB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10,100</w:t>
            </w:r>
          </w:p>
        </w:tc>
        <w:tc>
          <w:tcPr>
            <w:tcW w:w="314" w:type="pct"/>
            <w:noWrap/>
          </w:tcPr>
          <w:p w14:paraId="3F044BE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5,800</w:t>
            </w:r>
          </w:p>
        </w:tc>
        <w:tc>
          <w:tcPr>
            <w:tcW w:w="314" w:type="pct"/>
            <w:noWrap/>
          </w:tcPr>
          <w:p w14:paraId="22E1440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13,200</w:t>
            </w:r>
          </w:p>
        </w:tc>
        <w:tc>
          <w:tcPr>
            <w:tcW w:w="314" w:type="pct"/>
          </w:tcPr>
          <w:p w14:paraId="36FA6E5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20,697</w:t>
            </w:r>
          </w:p>
        </w:tc>
        <w:tc>
          <w:tcPr>
            <w:tcW w:w="314" w:type="pct"/>
          </w:tcPr>
          <w:p w14:paraId="4068F91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20,503</w:t>
            </w:r>
          </w:p>
        </w:tc>
        <w:tc>
          <w:tcPr>
            <w:tcW w:w="314" w:type="pct"/>
            <w:noWrap/>
          </w:tcPr>
          <w:p w14:paraId="1628EB9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7,407</w:t>
            </w:r>
          </w:p>
        </w:tc>
      </w:tr>
      <w:tr w:rsidR="00DD2097" w:rsidRPr="00965B70" w14:paraId="3B5A5F4E" w14:textId="77777777" w:rsidTr="00B25A12">
        <w:trPr>
          <w:trHeight w:val="340"/>
        </w:trPr>
        <w:tc>
          <w:tcPr>
            <w:tcW w:w="630" w:type="pct"/>
            <w:noWrap/>
          </w:tcPr>
          <w:p w14:paraId="4072453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7AD7645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Lower Campaspe Valley WSPA*</w:t>
            </w:r>
          </w:p>
        </w:tc>
        <w:tc>
          <w:tcPr>
            <w:tcW w:w="1315" w:type="pct"/>
            <w:noWrap/>
          </w:tcPr>
          <w:p w14:paraId="3431515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630B756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33,700</w:t>
            </w:r>
          </w:p>
        </w:tc>
        <w:tc>
          <w:tcPr>
            <w:tcW w:w="314" w:type="pct"/>
            <w:noWrap/>
          </w:tcPr>
          <w:p w14:paraId="49A43D6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24,900</w:t>
            </w:r>
          </w:p>
        </w:tc>
        <w:tc>
          <w:tcPr>
            <w:tcW w:w="314" w:type="pct"/>
            <w:noWrap/>
          </w:tcPr>
          <w:p w14:paraId="3CD530E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41,000</w:t>
            </w:r>
          </w:p>
        </w:tc>
        <w:tc>
          <w:tcPr>
            <w:tcW w:w="314" w:type="pct"/>
          </w:tcPr>
          <w:p w14:paraId="59C0D6A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55,875</w:t>
            </w:r>
          </w:p>
        </w:tc>
        <w:tc>
          <w:tcPr>
            <w:tcW w:w="314" w:type="pct"/>
          </w:tcPr>
          <w:p w14:paraId="55F7468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55,860</w:t>
            </w:r>
          </w:p>
        </w:tc>
        <w:tc>
          <w:tcPr>
            <w:tcW w:w="314" w:type="pct"/>
            <w:noWrap/>
          </w:tcPr>
          <w:p w14:paraId="0A5A0AB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38,225</w:t>
            </w:r>
          </w:p>
        </w:tc>
      </w:tr>
      <w:tr w:rsidR="00DD2097" w:rsidRPr="00965B70" w14:paraId="453D8839" w14:textId="77777777" w:rsidTr="008A35C9">
        <w:trPr>
          <w:trHeight w:val="288"/>
        </w:trPr>
        <w:tc>
          <w:tcPr>
            <w:tcW w:w="630" w:type="pct"/>
            <w:noWrap/>
          </w:tcPr>
          <w:p w14:paraId="1507161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lastRenderedPageBreak/>
              <w:t>Northern Central</w:t>
            </w:r>
          </w:p>
        </w:tc>
        <w:tc>
          <w:tcPr>
            <w:tcW w:w="1169" w:type="pct"/>
            <w:noWrap/>
          </w:tcPr>
          <w:p w14:paraId="4BE759A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Lower Ovens GMA*</w:t>
            </w:r>
          </w:p>
        </w:tc>
        <w:tc>
          <w:tcPr>
            <w:tcW w:w="1315" w:type="pct"/>
            <w:noWrap/>
          </w:tcPr>
          <w:p w14:paraId="0566573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422BED9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2A47485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0BAF4D8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5F3E340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25,200</w:t>
            </w:r>
          </w:p>
        </w:tc>
        <w:tc>
          <w:tcPr>
            <w:tcW w:w="314" w:type="pct"/>
          </w:tcPr>
          <w:p w14:paraId="705E86F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19,888</w:t>
            </w:r>
          </w:p>
        </w:tc>
        <w:tc>
          <w:tcPr>
            <w:tcW w:w="314" w:type="pct"/>
            <w:noWrap/>
          </w:tcPr>
          <w:p w14:paraId="756BD7A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8,948</w:t>
            </w:r>
          </w:p>
        </w:tc>
      </w:tr>
      <w:tr w:rsidR="00DD2097" w:rsidRPr="00965B70" w14:paraId="0D64010F" w14:textId="77777777" w:rsidTr="008A35C9">
        <w:trPr>
          <w:trHeight w:val="288"/>
        </w:trPr>
        <w:tc>
          <w:tcPr>
            <w:tcW w:w="630" w:type="pct"/>
            <w:noWrap/>
          </w:tcPr>
          <w:p w14:paraId="649FC91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60F2AE7B"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Mid Goulburn GMA*</w:t>
            </w:r>
          </w:p>
        </w:tc>
        <w:tc>
          <w:tcPr>
            <w:tcW w:w="1315" w:type="pct"/>
            <w:noWrap/>
          </w:tcPr>
          <w:p w14:paraId="591C7BD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34C7310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4,500</w:t>
            </w:r>
          </w:p>
        </w:tc>
        <w:tc>
          <w:tcPr>
            <w:tcW w:w="314" w:type="pct"/>
            <w:noWrap/>
          </w:tcPr>
          <w:p w14:paraId="58AFEE0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4,000</w:t>
            </w:r>
          </w:p>
        </w:tc>
        <w:tc>
          <w:tcPr>
            <w:tcW w:w="314" w:type="pct"/>
            <w:noWrap/>
          </w:tcPr>
          <w:p w14:paraId="704B1CE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6,000</w:t>
            </w:r>
          </w:p>
        </w:tc>
        <w:tc>
          <w:tcPr>
            <w:tcW w:w="314" w:type="pct"/>
          </w:tcPr>
          <w:p w14:paraId="0CA13AD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12,470</w:t>
            </w:r>
          </w:p>
        </w:tc>
        <w:tc>
          <w:tcPr>
            <w:tcW w:w="314" w:type="pct"/>
          </w:tcPr>
          <w:p w14:paraId="205A168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12,432</w:t>
            </w:r>
          </w:p>
        </w:tc>
        <w:tc>
          <w:tcPr>
            <w:tcW w:w="314" w:type="pct"/>
            <w:noWrap/>
          </w:tcPr>
          <w:p w14:paraId="3B1E1DA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3,535</w:t>
            </w:r>
          </w:p>
        </w:tc>
      </w:tr>
      <w:tr w:rsidR="00DD2097" w:rsidRPr="00965B70" w14:paraId="4BDA9CCC" w14:textId="77777777" w:rsidTr="008A35C9">
        <w:trPr>
          <w:trHeight w:val="288"/>
        </w:trPr>
        <w:tc>
          <w:tcPr>
            <w:tcW w:w="630" w:type="pct"/>
            <w:noWrap/>
          </w:tcPr>
          <w:p w14:paraId="5089662E"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4221C25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Mid Loddon GMA*</w:t>
            </w:r>
          </w:p>
        </w:tc>
        <w:tc>
          <w:tcPr>
            <w:tcW w:w="1315" w:type="pct"/>
            <w:noWrap/>
          </w:tcPr>
          <w:p w14:paraId="242A207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7F2CFF7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19,900</w:t>
            </w:r>
          </w:p>
        </w:tc>
        <w:tc>
          <w:tcPr>
            <w:tcW w:w="314" w:type="pct"/>
            <w:noWrap/>
          </w:tcPr>
          <w:p w14:paraId="7C50C6C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12,100</w:t>
            </w:r>
          </w:p>
        </w:tc>
        <w:tc>
          <w:tcPr>
            <w:tcW w:w="314" w:type="pct"/>
            <w:noWrap/>
          </w:tcPr>
          <w:p w14:paraId="41E69EA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25,700</w:t>
            </w:r>
          </w:p>
        </w:tc>
        <w:tc>
          <w:tcPr>
            <w:tcW w:w="314" w:type="pct"/>
          </w:tcPr>
          <w:p w14:paraId="4760545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34,037</w:t>
            </w:r>
          </w:p>
        </w:tc>
        <w:tc>
          <w:tcPr>
            <w:tcW w:w="314" w:type="pct"/>
          </w:tcPr>
          <w:p w14:paraId="55905CE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33,917</w:t>
            </w:r>
          </w:p>
        </w:tc>
        <w:tc>
          <w:tcPr>
            <w:tcW w:w="314" w:type="pct"/>
            <w:noWrap/>
          </w:tcPr>
          <w:p w14:paraId="1E48045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21,450</w:t>
            </w:r>
          </w:p>
        </w:tc>
      </w:tr>
      <w:tr w:rsidR="00DD2097" w:rsidRPr="00965B70" w14:paraId="68F63A7D" w14:textId="77777777" w:rsidTr="008A35C9">
        <w:trPr>
          <w:trHeight w:val="288"/>
        </w:trPr>
        <w:tc>
          <w:tcPr>
            <w:tcW w:w="630" w:type="pct"/>
            <w:noWrap/>
          </w:tcPr>
          <w:p w14:paraId="1CBE243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458101B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Shepparton Irrigation GMA</w:t>
            </w:r>
          </w:p>
        </w:tc>
        <w:tc>
          <w:tcPr>
            <w:tcW w:w="1315" w:type="pct"/>
            <w:noWrap/>
          </w:tcPr>
          <w:p w14:paraId="012C97B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26C5EC9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1212999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6E9B7D2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5E1C247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PCV</w:t>
            </w:r>
          </w:p>
        </w:tc>
        <w:tc>
          <w:tcPr>
            <w:tcW w:w="314" w:type="pct"/>
          </w:tcPr>
          <w:p w14:paraId="78AF66E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187,114</w:t>
            </w:r>
          </w:p>
        </w:tc>
        <w:tc>
          <w:tcPr>
            <w:tcW w:w="314" w:type="pct"/>
            <w:noWrap/>
          </w:tcPr>
          <w:p w14:paraId="7C0BBA4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86,860</w:t>
            </w:r>
          </w:p>
        </w:tc>
      </w:tr>
      <w:tr w:rsidR="00DD2097" w:rsidRPr="00965B70" w14:paraId="4B2D2645" w14:textId="77777777" w:rsidTr="008A35C9">
        <w:trPr>
          <w:trHeight w:val="288"/>
        </w:trPr>
        <w:tc>
          <w:tcPr>
            <w:tcW w:w="630" w:type="pct"/>
            <w:noWrap/>
          </w:tcPr>
          <w:p w14:paraId="492EC1A0"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21C6E66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Strathbogie GMA</w:t>
            </w:r>
          </w:p>
        </w:tc>
        <w:tc>
          <w:tcPr>
            <w:tcW w:w="1315" w:type="pct"/>
            <w:noWrap/>
          </w:tcPr>
          <w:p w14:paraId="6681B7A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196EC73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4,800</w:t>
            </w:r>
          </w:p>
        </w:tc>
        <w:tc>
          <w:tcPr>
            <w:tcW w:w="314" w:type="pct"/>
            <w:noWrap/>
          </w:tcPr>
          <w:p w14:paraId="49DDBBD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4,800</w:t>
            </w:r>
          </w:p>
        </w:tc>
        <w:tc>
          <w:tcPr>
            <w:tcW w:w="314" w:type="pct"/>
            <w:noWrap/>
          </w:tcPr>
          <w:p w14:paraId="5A7BCA5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7,300</w:t>
            </w:r>
          </w:p>
        </w:tc>
        <w:tc>
          <w:tcPr>
            <w:tcW w:w="314" w:type="pct"/>
          </w:tcPr>
          <w:p w14:paraId="5A0D93D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1,660</w:t>
            </w:r>
          </w:p>
        </w:tc>
        <w:tc>
          <w:tcPr>
            <w:tcW w:w="314" w:type="pct"/>
          </w:tcPr>
          <w:p w14:paraId="55EE6A9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1,417</w:t>
            </w:r>
          </w:p>
        </w:tc>
        <w:tc>
          <w:tcPr>
            <w:tcW w:w="314" w:type="pct"/>
            <w:noWrap/>
          </w:tcPr>
          <w:p w14:paraId="367BEC8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974</w:t>
            </w:r>
          </w:p>
        </w:tc>
      </w:tr>
      <w:tr w:rsidR="00DD2097" w:rsidRPr="00965B70" w14:paraId="569ECEFB" w14:textId="77777777" w:rsidTr="008A35C9">
        <w:trPr>
          <w:trHeight w:val="288"/>
        </w:trPr>
        <w:tc>
          <w:tcPr>
            <w:tcW w:w="630" w:type="pct"/>
            <w:noWrap/>
          </w:tcPr>
          <w:p w14:paraId="1E220640"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1A568F4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Upper Goulburn GMA</w:t>
            </w:r>
          </w:p>
        </w:tc>
        <w:tc>
          <w:tcPr>
            <w:tcW w:w="1315" w:type="pct"/>
            <w:noWrap/>
          </w:tcPr>
          <w:p w14:paraId="05C3825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386B2A0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3,500</w:t>
            </w:r>
          </w:p>
        </w:tc>
        <w:tc>
          <w:tcPr>
            <w:tcW w:w="314" w:type="pct"/>
            <w:noWrap/>
          </w:tcPr>
          <w:p w14:paraId="0237344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3,300</w:t>
            </w:r>
          </w:p>
        </w:tc>
        <w:tc>
          <w:tcPr>
            <w:tcW w:w="314" w:type="pct"/>
            <w:noWrap/>
          </w:tcPr>
          <w:p w14:paraId="1ADCEE9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5,800</w:t>
            </w:r>
          </w:p>
        </w:tc>
        <w:tc>
          <w:tcPr>
            <w:tcW w:w="314" w:type="pct"/>
          </w:tcPr>
          <w:p w14:paraId="28BAFC0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8,568</w:t>
            </w:r>
          </w:p>
        </w:tc>
        <w:tc>
          <w:tcPr>
            <w:tcW w:w="314" w:type="pct"/>
          </w:tcPr>
          <w:p w14:paraId="2863F7E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6,086</w:t>
            </w:r>
          </w:p>
        </w:tc>
        <w:tc>
          <w:tcPr>
            <w:tcW w:w="314" w:type="pct"/>
            <w:noWrap/>
          </w:tcPr>
          <w:p w14:paraId="1E2A44D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1,992</w:t>
            </w:r>
          </w:p>
        </w:tc>
      </w:tr>
      <w:tr w:rsidR="00DD2097" w:rsidRPr="00965B70" w14:paraId="5DA63CDA" w14:textId="77777777" w:rsidTr="008A35C9">
        <w:trPr>
          <w:trHeight w:val="288"/>
        </w:trPr>
        <w:tc>
          <w:tcPr>
            <w:tcW w:w="630" w:type="pct"/>
            <w:noWrap/>
          </w:tcPr>
          <w:p w14:paraId="257750D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6D654A4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Upper Murray GMA</w:t>
            </w:r>
          </w:p>
        </w:tc>
        <w:tc>
          <w:tcPr>
            <w:tcW w:w="1315" w:type="pct"/>
            <w:noWrap/>
          </w:tcPr>
          <w:p w14:paraId="61DE8D0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31D4670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9,300</w:t>
            </w:r>
          </w:p>
        </w:tc>
        <w:tc>
          <w:tcPr>
            <w:tcW w:w="314" w:type="pct"/>
            <w:noWrap/>
          </w:tcPr>
          <w:p w14:paraId="3C82826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5,300</w:t>
            </w:r>
          </w:p>
        </w:tc>
        <w:tc>
          <w:tcPr>
            <w:tcW w:w="314" w:type="pct"/>
            <w:noWrap/>
          </w:tcPr>
          <w:p w14:paraId="75D1FFC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9,300</w:t>
            </w:r>
          </w:p>
        </w:tc>
        <w:tc>
          <w:tcPr>
            <w:tcW w:w="314" w:type="pct"/>
          </w:tcPr>
          <w:p w14:paraId="144EB5B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7,674</w:t>
            </w:r>
          </w:p>
        </w:tc>
        <w:tc>
          <w:tcPr>
            <w:tcW w:w="314" w:type="pct"/>
          </w:tcPr>
          <w:p w14:paraId="2A9DCBF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3,496</w:t>
            </w:r>
          </w:p>
        </w:tc>
        <w:tc>
          <w:tcPr>
            <w:tcW w:w="314" w:type="pct"/>
            <w:noWrap/>
          </w:tcPr>
          <w:p w14:paraId="02A70CE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814</w:t>
            </w:r>
          </w:p>
        </w:tc>
      </w:tr>
      <w:tr w:rsidR="00DD2097" w:rsidRPr="00965B70" w14:paraId="5BB2A4F8" w14:textId="77777777" w:rsidTr="008A35C9">
        <w:trPr>
          <w:trHeight w:val="288"/>
        </w:trPr>
        <w:tc>
          <w:tcPr>
            <w:tcW w:w="630" w:type="pct"/>
            <w:noWrap/>
          </w:tcPr>
          <w:p w14:paraId="4D794F9D"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41F0116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Upper Ovens WSPA</w:t>
            </w:r>
          </w:p>
        </w:tc>
        <w:tc>
          <w:tcPr>
            <w:tcW w:w="1315" w:type="pct"/>
            <w:noWrap/>
          </w:tcPr>
          <w:p w14:paraId="31D86E5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570CE15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2,300</w:t>
            </w:r>
          </w:p>
        </w:tc>
        <w:tc>
          <w:tcPr>
            <w:tcW w:w="314" w:type="pct"/>
            <w:noWrap/>
          </w:tcPr>
          <w:p w14:paraId="242E484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1,500</w:t>
            </w:r>
          </w:p>
        </w:tc>
        <w:tc>
          <w:tcPr>
            <w:tcW w:w="314" w:type="pct"/>
            <w:noWrap/>
          </w:tcPr>
          <w:p w14:paraId="1E97E56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3,300</w:t>
            </w:r>
          </w:p>
        </w:tc>
        <w:tc>
          <w:tcPr>
            <w:tcW w:w="314" w:type="pct"/>
          </w:tcPr>
          <w:p w14:paraId="44483B7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PCV</w:t>
            </w:r>
          </w:p>
        </w:tc>
        <w:tc>
          <w:tcPr>
            <w:tcW w:w="314" w:type="pct"/>
          </w:tcPr>
          <w:p w14:paraId="221E340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3,625</w:t>
            </w:r>
          </w:p>
        </w:tc>
        <w:tc>
          <w:tcPr>
            <w:tcW w:w="314" w:type="pct"/>
            <w:noWrap/>
          </w:tcPr>
          <w:p w14:paraId="7BBEA45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1,317</w:t>
            </w:r>
          </w:p>
        </w:tc>
      </w:tr>
      <w:tr w:rsidR="00DD2097" w:rsidRPr="00965B70" w14:paraId="1AE4DC58" w14:textId="77777777" w:rsidTr="008A35C9">
        <w:trPr>
          <w:trHeight w:val="288"/>
        </w:trPr>
        <w:tc>
          <w:tcPr>
            <w:tcW w:w="630" w:type="pct"/>
            <w:noWrap/>
          </w:tcPr>
          <w:p w14:paraId="6F6FAD5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Northern Central</w:t>
            </w:r>
          </w:p>
        </w:tc>
        <w:tc>
          <w:tcPr>
            <w:tcW w:w="1169" w:type="pct"/>
            <w:noWrap/>
          </w:tcPr>
          <w:p w14:paraId="2A5A988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West Goulburn GMA*</w:t>
            </w:r>
          </w:p>
        </w:tc>
        <w:tc>
          <w:tcPr>
            <w:tcW w:w="1315" w:type="pct"/>
            <w:noWrap/>
          </w:tcPr>
          <w:p w14:paraId="7099974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 excluding highlands</w:t>
            </w:r>
          </w:p>
        </w:tc>
        <w:tc>
          <w:tcPr>
            <w:tcW w:w="315" w:type="pct"/>
            <w:noWrap/>
          </w:tcPr>
          <w:p w14:paraId="4F4C854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6,800</w:t>
            </w:r>
          </w:p>
        </w:tc>
        <w:tc>
          <w:tcPr>
            <w:tcW w:w="314" w:type="pct"/>
            <w:noWrap/>
          </w:tcPr>
          <w:p w14:paraId="45A11D5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5,600</w:t>
            </w:r>
          </w:p>
        </w:tc>
        <w:tc>
          <w:tcPr>
            <w:tcW w:w="314" w:type="pct"/>
            <w:noWrap/>
          </w:tcPr>
          <w:p w14:paraId="50EFE08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9,100</w:t>
            </w:r>
          </w:p>
        </w:tc>
        <w:tc>
          <w:tcPr>
            <w:tcW w:w="314" w:type="pct"/>
          </w:tcPr>
          <w:p w14:paraId="1D84BAC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PCV</w:t>
            </w:r>
          </w:p>
        </w:tc>
        <w:tc>
          <w:tcPr>
            <w:tcW w:w="314" w:type="pct"/>
          </w:tcPr>
          <w:p w14:paraId="07FD950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2,997</w:t>
            </w:r>
          </w:p>
        </w:tc>
        <w:tc>
          <w:tcPr>
            <w:tcW w:w="314" w:type="pct"/>
            <w:noWrap/>
          </w:tcPr>
          <w:p w14:paraId="264AB3E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1,359</w:t>
            </w:r>
          </w:p>
        </w:tc>
      </w:tr>
      <w:tr w:rsidR="00DD2097" w:rsidRPr="00965B70" w14:paraId="7B62AF13" w14:textId="77777777" w:rsidTr="008A35C9">
        <w:trPr>
          <w:trHeight w:val="288"/>
        </w:trPr>
        <w:tc>
          <w:tcPr>
            <w:tcW w:w="630" w:type="pct"/>
            <w:noWrap/>
          </w:tcPr>
          <w:p w14:paraId="58E5E89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Gippsland</w:t>
            </w:r>
          </w:p>
        </w:tc>
        <w:tc>
          <w:tcPr>
            <w:tcW w:w="1169" w:type="pct"/>
            <w:noWrap/>
          </w:tcPr>
          <w:p w14:paraId="0719EEA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Denison GMA</w:t>
            </w:r>
          </w:p>
        </w:tc>
        <w:tc>
          <w:tcPr>
            <w:tcW w:w="1315" w:type="pct"/>
            <w:noWrap/>
          </w:tcPr>
          <w:p w14:paraId="08E492A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43DA9CF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15,200</w:t>
            </w:r>
          </w:p>
        </w:tc>
        <w:tc>
          <w:tcPr>
            <w:tcW w:w="314" w:type="pct"/>
            <w:noWrap/>
          </w:tcPr>
          <w:p w14:paraId="34C434C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11,500</w:t>
            </w:r>
          </w:p>
        </w:tc>
        <w:tc>
          <w:tcPr>
            <w:tcW w:w="314" w:type="pct"/>
            <w:noWrap/>
          </w:tcPr>
          <w:p w14:paraId="66288A1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19,100</w:t>
            </w:r>
          </w:p>
        </w:tc>
        <w:tc>
          <w:tcPr>
            <w:tcW w:w="314" w:type="pct"/>
          </w:tcPr>
          <w:p w14:paraId="3C471E4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18,502</w:t>
            </w:r>
          </w:p>
        </w:tc>
        <w:tc>
          <w:tcPr>
            <w:tcW w:w="314" w:type="pct"/>
          </w:tcPr>
          <w:p w14:paraId="0F6155E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18,499</w:t>
            </w:r>
          </w:p>
        </w:tc>
        <w:tc>
          <w:tcPr>
            <w:tcW w:w="314" w:type="pct"/>
            <w:noWrap/>
          </w:tcPr>
          <w:p w14:paraId="242A073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7,679</w:t>
            </w:r>
          </w:p>
        </w:tc>
      </w:tr>
      <w:tr w:rsidR="00DD2097" w:rsidRPr="00965B70" w14:paraId="4FA14DCA" w14:textId="77777777" w:rsidTr="008A35C9">
        <w:trPr>
          <w:trHeight w:val="288"/>
        </w:trPr>
        <w:tc>
          <w:tcPr>
            <w:tcW w:w="630" w:type="pct"/>
            <w:noWrap/>
          </w:tcPr>
          <w:p w14:paraId="13E368A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Gippsland</w:t>
            </w:r>
          </w:p>
        </w:tc>
        <w:tc>
          <w:tcPr>
            <w:tcW w:w="1169" w:type="pct"/>
            <w:noWrap/>
          </w:tcPr>
          <w:p w14:paraId="1632DF8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Leongatha GMA</w:t>
            </w:r>
          </w:p>
        </w:tc>
        <w:tc>
          <w:tcPr>
            <w:tcW w:w="1315" w:type="pct"/>
            <w:noWrap/>
          </w:tcPr>
          <w:p w14:paraId="38B535F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1AE470B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1,900</w:t>
            </w:r>
          </w:p>
        </w:tc>
        <w:tc>
          <w:tcPr>
            <w:tcW w:w="314" w:type="pct"/>
            <w:noWrap/>
          </w:tcPr>
          <w:p w14:paraId="48C40AF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1,100</w:t>
            </w:r>
          </w:p>
        </w:tc>
        <w:tc>
          <w:tcPr>
            <w:tcW w:w="314" w:type="pct"/>
            <w:noWrap/>
          </w:tcPr>
          <w:p w14:paraId="23E5AFA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2,700</w:t>
            </w:r>
          </w:p>
        </w:tc>
        <w:tc>
          <w:tcPr>
            <w:tcW w:w="314" w:type="pct"/>
          </w:tcPr>
          <w:p w14:paraId="3D9142A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6,500</w:t>
            </w:r>
          </w:p>
        </w:tc>
        <w:tc>
          <w:tcPr>
            <w:tcW w:w="314" w:type="pct"/>
          </w:tcPr>
          <w:p w14:paraId="08B80E5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1,803</w:t>
            </w:r>
          </w:p>
        </w:tc>
        <w:tc>
          <w:tcPr>
            <w:tcW w:w="314" w:type="pct"/>
            <w:noWrap/>
          </w:tcPr>
          <w:p w14:paraId="1809EBA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184</w:t>
            </w:r>
          </w:p>
        </w:tc>
      </w:tr>
      <w:tr w:rsidR="00DD2097" w:rsidRPr="00965B70" w14:paraId="7808DC9F" w14:textId="77777777" w:rsidTr="008A35C9">
        <w:trPr>
          <w:trHeight w:val="288"/>
        </w:trPr>
        <w:tc>
          <w:tcPr>
            <w:tcW w:w="630" w:type="pct"/>
            <w:noWrap/>
          </w:tcPr>
          <w:p w14:paraId="7A32111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Gippsland</w:t>
            </w:r>
          </w:p>
        </w:tc>
        <w:tc>
          <w:tcPr>
            <w:tcW w:w="1169" w:type="pct"/>
            <w:noWrap/>
          </w:tcPr>
          <w:p w14:paraId="6DC700A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Tarwin GMA</w:t>
            </w:r>
          </w:p>
        </w:tc>
        <w:tc>
          <w:tcPr>
            <w:tcW w:w="1315" w:type="pct"/>
            <w:noWrap/>
          </w:tcPr>
          <w:p w14:paraId="06715B1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Percentage of recharge volume</w:t>
            </w:r>
          </w:p>
        </w:tc>
        <w:tc>
          <w:tcPr>
            <w:tcW w:w="315" w:type="pct"/>
            <w:noWrap/>
          </w:tcPr>
          <w:p w14:paraId="45C0596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300</w:t>
            </w:r>
          </w:p>
        </w:tc>
        <w:tc>
          <w:tcPr>
            <w:tcW w:w="314" w:type="pct"/>
            <w:noWrap/>
          </w:tcPr>
          <w:p w14:paraId="7F3261F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250</w:t>
            </w:r>
          </w:p>
        </w:tc>
        <w:tc>
          <w:tcPr>
            <w:tcW w:w="314" w:type="pct"/>
            <w:noWrap/>
          </w:tcPr>
          <w:p w14:paraId="4AE423C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350</w:t>
            </w:r>
          </w:p>
        </w:tc>
        <w:tc>
          <w:tcPr>
            <w:tcW w:w="314" w:type="pct"/>
          </w:tcPr>
          <w:p w14:paraId="2D3C8EC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1,300</w:t>
            </w:r>
          </w:p>
        </w:tc>
        <w:tc>
          <w:tcPr>
            <w:tcW w:w="314" w:type="pct"/>
          </w:tcPr>
          <w:p w14:paraId="073E8F8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54</w:t>
            </w:r>
          </w:p>
        </w:tc>
        <w:tc>
          <w:tcPr>
            <w:tcW w:w="314" w:type="pct"/>
            <w:noWrap/>
          </w:tcPr>
          <w:p w14:paraId="06153E6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w:t>
            </w:r>
          </w:p>
        </w:tc>
      </w:tr>
      <w:tr w:rsidR="00DD2097" w:rsidRPr="00965B70" w14:paraId="5532C1C8" w14:textId="77777777" w:rsidTr="008A35C9">
        <w:trPr>
          <w:trHeight w:val="288"/>
        </w:trPr>
        <w:tc>
          <w:tcPr>
            <w:tcW w:w="630" w:type="pct"/>
            <w:noWrap/>
          </w:tcPr>
          <w:p w14:paraId="0704B7B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Gippsland</w:t>
            </w:r>
          </w:p>
        </w:tc>
        <w:tc>
          <w:tcPr>
            <w:tcW w:w="1169" w:type="pct"/>
            <w:noWrap/>
          </w:tcPr>
          <w:p w14:paraId="5B0906B4" w14:textId="77777777" w:rsidR="00DD2097" w:rsidRPr="00965B70" w:rsidRDefault="00DD2097" w:rsidP="008A35C9">
            <w:pPr>
              <w:spacing w:after="60" w:line="276" w:lineRule="auto"/>
              <w:rPr>
                <w:rFonts w:cstheme="minorHAnsi"/>
                <w:color w:val="000000"/>
                <w:sz w:val="18"/>
                <w:szCs w:val="18"/>
              </w:rPr>
            </w:pPr>
            <w:proofErr w:type="spellStart"/>
            <w:r w:rsidRPr="00965B70">
              <w:rPr>
                <w:rFonts w:cstheme="minorHAnsi"/>
                <w:color w:val="000000"/>
                <w:sz w:val="18"/>
                <w:szCs w:val="18"/>
              </w:rPr>
              <w:t>Wa</w:t>
            </w:r>
            <w:proofErr w:type="spellEnd"/>
            <w:r w:rsidRPr="00965B70">
              <w:rPr>
                <w:rFonts w:cstheme="minorHAnsi"/>
                <w:color w:val="000000"/>
                <w:sz w:val="18"/>
                <w:szCs w:val="18"/>
              </w:rPr>
              <w:t xml:space="preserve"> De Lock GMA</w:t>
            </w:r>
          </w:p>
        </w:tc>
        <w:tc>
          <w:tcPr>
            <w:tcW w:w="1315" w:type="pct"/>
            <w:noWrap/>
          </w:tcPr>
          <w:p w14:paraId="045300B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7F4EE70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43,500</w:t>
            </w:r>
          </w:p>
        </w:tc>
        <w:tc>
          <w:tcPr>
            <w:tcW w:w="314" w:type="pct"/>
            <w:noWrap/>
          </w:tcPr>
          <w:p w14:paraId="11012DF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31,800</w:t>
            </w:r>
          </w:p>
        </w:tc>
        <w:tc>
          <w:tcPr>
            <w:tcW w:w="314" w:type="pct"/>
            <w:noWrap/>
          </w:tcPr>
          <w:p w14:paraId="754D285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57,200</w:t>
            </w:r>
          </w:p>
        </w:tc>
        <w:tc>
          <w:tcPr>
            <w:tcW w:w="314" w:type="pct"/>
          </w:tcPr>
          <w:p w14:paraId="2C11294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30,735</w:t>
            </w:r>
          </w:p>
        </w:tc>
        <w:tc>
          <w:tcPr>
            <w:tcW w:w="314" w:type="pct"/>
          </w:tcPr>
          <w:p w14:paraId="2969984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29,131</w:t>
            </w:r>
          </w:p>
        </w:tc>
        <w:tc>
          <w:tcPr>
            <w:tcW w:w="314" w:type="pct"/>
            <w:noWrap/>
          </w:tcPr>
          <w:p w14:paraId="5303D5E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7,750</w:t>
            </w:r>
          </w:p>
        </w:tc>
      </w:tr>
      <w:tr w:rsidR="00DD2097" w:rsidRPr="00965B70" w14:paraId="2B635B9A" w14:textId="77777777" w:rsidTr="008A35C9">
        <w:trPr>
          <w:trHeight w:val="288"/>
        </w:trPr>
        <w:tc>
          <w:tcPr>
            <w:tcW w:w="630" w:type="pct"/>
            <w:noWrap/>
          </w:tcPr>
          <w:p w14:paraId="174109F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Gippsland</w:t>
            </w:r>
          </w:p>
        </w:tc>
        <w:tc>
          <w:tcPr>
            <w:tcW w:w="1169" w:type="pct"/>
            <w:noWrap/>
          </w:tcPr>
          <w:p w14:paraId="35275F2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Wy Yung GMA</w:t>
            </w:r>
          </w:p>
        </w:tc>
        <w:tc>
          <w:tcPr>
            <w:tcW w:w="1315" w:type="pct"/>
            <w:noWrap/>
          </w:tcPr>
          <w:p w14:paraId="427A5DFE"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6B74B8A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77DCE7A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70AF338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0C59924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7,463</w:t>
            </w:r>
          </w:p>
        </w:tc>
        <w:tc>
          <w:tcPr>
            <w:tcW w:w="314" w:type="pct"/>
          </w:tcPr>
          <w:p w14:paraId="634C55A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7,462</w:t>
            </w:r>
          </w:p>
        </w:tc>
        <w:tc>
          <w:tcPr>
            <w:tcW w:w="314" w:type="pct"/>
            <w:noWrap/>
          </w:tcPr>
          <w:p w14:paraId="027DB3B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970</w:t>
            </w:r>
          </w:p>
        </w:tc>
      </w:tr>
      <w:tr w:rsidR="00DD2097" w:rsidRPr="00965B70" w14:paraId="1F33CD98" w14:textId="77777777" w:rsidTr="008A35C9">
        <w:trPr>
          <w:trHeight w:val="288"/>
        </w:trPr>
        <w:tc>
          <w:tcPr>
            <w:tcW w:w="630" w:type="pct"/>
            <w:noWrap/>
          </w:tcPr>
          <w:p w14:paraId="1DBDF5A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lastRenderedPageBreak/>
              <w:t>Central Victoria</w:t>
            </w:r>
          </w:p>
        </w:tc>
        <w:tc>
          <w:tcPr>
            <w:tcW w:w="1169" w:type="pct"/>
            <w:noWrap/>
          </w:tcPr>
          <w:p w14:paraId="1B867FFC"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Bungaree GMA</w:t>
            </w:r>
          </w:p>
        </w:tc>
        <w:tc>
          <w:tcPr>
            <w:tcW w:w="1315" w:type="pct"/>
            <w:noWrap/>
          </w:tcPr>
          <w:p w14:paraId="11E8986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232A6CB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2,800</w:t>
            </w:r>
          </w:p>
        </w:tc>
        <w:tc>
          <w:tcPr>
            <w:tcW w:w="314" w:type="pct"/>
            <w:noWrap/>
          </w:tcPr>
          <w:p w14:paraId="2D98CFF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1,600</w:t>
            </w:r>
          </w:p>
        </w:tc>
        <w:tc>
          <w:tcPr>
            <w:tcW w:w="314" w:type="pct"/>
            <w:noWrap/>
          </w:tcPr>
          <w:p w14:paraId="5A70094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3,900</w:t>
            </w:r>
          </w:p>
        </w:tc>
        <w:tc>
          <w:tcPr>
            <w:tcW w:w="314" w:type="pct"/>
          </w:tcPr>
          <w:p w14:paraId="171FF57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5,334</w:t>
            </w:r>
          </w:p>
        </w:tc>
        <w:tc>
          <w:tcPr>
            <w:tcW w:w="314" w:type="pct"/>
          </w:tcPr>
          <w:p w14:paraId="4019349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5,293</w:t>
            </w:r>
          </w:p>
        </w:tc>
        <w:tc>
          <w:tcPr>
            <w:tcW w:w="314" w:type="pct"/>
            <w:noWrap/>
          </w:tcPr>
          <w:p w14:paraId="22046F7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2,700</w:t>
            </w:r>
          </w:p>
        </w:tc>
      </w:tr>
      <w:tr w:rsidR="00DD2097" w:rsidRPr="00965B70" w14:paraId="21569417" w14:textId="77777777" w:rsidTr="008A35C9">
        <w:trPr>
          <w:trHeight w:val="288"/>
        </w:trPr>
        <w:tc>
          <w:tcPr>
            <w:tcW w:w="630" w:type="pct"/>
            <w:noWrap/>
          </w:tcPr>
          <w:p w14:paraId="2162F2A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w:t>
            </w:r>
          </w:p>
        </w:tc>
        <w:tc>
          <w:tcPr>
            <w:tcW w:w="1169" w:type="pct"/>
            <w:noWrap/>
          </w:tcPr>
          <w:p w14:paraId="6C038725" w14:textId="77777777" w:rsidR="00DD2097" w:rsidRPr="00965B70" w:rsidRDefault="00DD2097" w:rsidP="008A35C9">
            <w:pPr>
              <w:spacing w:after="60" w:line="276" w:lineRule="auto"/>
              <w:rPr>
                <w:rFonts w:cstheme="minorHAnsi"/>
                <w:color w:val="000000"/>
                <w:sz w:val="18"/>
                <w:szCs w:val="18"/>
              </w:rPr>
            </w:pPr>
            <w:proofErr w:type="spellStart"/>
            <w:r w:rsidRPr="00965B70">
              <w:rPr>
                <w:rFonts w:cstheme="minorHAnsi"/>
                <w:color w:val="000000"/>
                <w:sz w:val="18"/>
                <w:szCs w:val="18"/>
              </w:rPr>
              <w:t>Deutgam</w:t>
            </w:r>
            <w:proofErr w:type="spellEnd"/>
            <w:r w:rsidRPr="00965B70">
              <w:rPr>
                <w:rFonts w:cstheme="minorHAnsi"/>
                <w:color w:val="000000"/>
                <w:sz w:val="18"/>
                <w:szCs w:val="18"/>
              </w:rPr>
              <w:t xml:space="preserve"> WSPA</w:t>
            </w:r>
          </w:p>
        </w:tc>
        <w:tc>
          <w:tcPr>
            <w:tcW w:w="1315" w:type="pct"/>
            <w:noWrap/>
          </w:tcPr>
          <w:p w14:paraId="5E64832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5108AB5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5,500</w:t>
            </w:r>
          </w:p>
        </w:tc>
        <w:tc>
          <w:tcPr>
            <w:tcW w:w="314" w:type="pct"/>
            <w:noWrap/>
          </w:tcPr>
          <w:p w14:paraId="54A0F9B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3,400</w:t>
            </w:r>
          </w:p>
        </w:tc>
        <w:tc>
          <w:tcPr>
            <w:tcW w:w="314" w:type="pct"/>
            <w:noWrap/>
          </w:tcPr>
          <w:p w14:paraId="3E9909F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7,100</w:t>
            </w:r>
          </w:p>
        </w:tc>
        <w:tc>
          <w:tcPr>
            <w:tcW w:w="314" w:type="pct"/>
          </w:tcPr>
          <w:p w14:paraId="102142A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5,100</w:t>
            </w:r>
          </w:p>
        </w:tc>
        <w:tc>
          <w:tcPr>
            <w:tcW w:w="314" w:type="pct"/>
          </w:tcPr>
          <w:p w14:paraId="67077B7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5,082</w:t>
            </w:r>
          </w:p>
        </w:tc>
        <w:tc>
          <w:tcPr>
            <w:tcW w:w="314" w:type="pct"/>
            <w:noWrap/>
          </w:tcPr>
          <w:p w14:paraId="2517E91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625</w:t>
            </w:r>
          </w:p>
        </w:tc>
      </w:tr>
      <w:tr w:rsidR="00DD2097" w:rsidRPr="00965B70" w14:paraId="769389B1" w14:textId="77777777" w:rsidTr="008A35C9">
        <w:trPr>
          <w:trHeight w:val="288"/>
        </w:trPr>
        <w:tc>
          <w:tcPr>
            <w:tcW w:w="630" w:type="pct"/>
            <w:noWrap/>
          </w:tcPr>
          <w:p w14:paraId="117C03A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w:t>
            </w:r>
          </w:p>
        </w:tc>
        <w:tc>
          <w:tcPr>
            <w:tcW w:w="1169" w:type="pct"/>
            <w:noWrap/>
          </w:tcPr>
          <w:p w14:paraId="5DA6156F"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Lancefield GMA</w:t>
            </w:r>
          </w:p>
        </w:tc>
        <w:tc>
          <w:tcPr>
            <w:tcW w:w="1315" w:type="pct"/>
            <w:noWrap/>
          </w:tcPr>
          <w:p w14:paraId="47911A64"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24AE4AB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900</w:t>
            </w:r>
          </w:p>
        </w:tc>
        <w:tc>
          <w:tcPr>
            <w:tcW w:w="314" w:type="pct"/>
            <w:noWrap/>
          </w:tcPr>
          <w:p w14:paraId="4D7526E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500</w:t>
            </w:r>
          </w:p>
        </w:tc>
        <w:tc>
          <w:tcPr>
            <w:tcW w:w="314" w:type="pct"/>
            <w:noWrap/>
          </w:tcPr>
          <w:p w14:paraId="226205E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1,400</w:t>
            </w:r>
          </w:p>
        </w:tc>
        <w:tc>
          <w:tcPr>
            <w:tcW w:w="314" w:type="pct"/>
          </w:tcPr>
          <w:p w14:paraId="2589E35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1,485</w:t>
            </w:r>
          </w:p>
        </w:tc>
        <w:tc>
          <w:tcPr>
            <w:tcW w:w="314" w:type="pct"/>
          </w:tcPr>
          <w:p w14:paraId="35E3215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1,378</w:t>
            </w:r>
          </w:p>
        </w:tc>
        <w:tc>
          <w:tcPr>
            <w:tcW w:w="314" w:type="pct"/>
            <w:noWrap/>
          </w:tcPr>
          <w:p w14:paraId="65833BA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303</w:t>
            </w:r>
          </w:p>
        </w:tc>
      </w:tr>
      <w:tr w:rsidR="00DD2097" w:rsidRPr="00965B70" w14:paraId="2BE6BD26" w14:textId="77777777" w:rsidTr="008A35C9">
        <w:trPr>
          <w:trHeight w:val="288"/>
        </w:trPr>
        <w:tc>
          <w:tcPr>
            <w:tcW w:w="630" w:type="pct"/>
            <w:noWrap/>
          </w:tcPr>
          <w:p w14:paraId="1516555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w:t>
            </w:r>
          </w:p>
        </w:tc>
        <w:tc>
          <w:tcPr>
            <w:tcW w:w="1169" w:type="pct"/>
            <w:noWrap/>
          </w:tcPr>
          <w:p w14:paraId="14D3F49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Merrimu GMA</w:t>
            </w:r>
          </w:p>
        </w:tc>
        <w:tc>
          <w:tcPr>
            <w:tcW w:w="1315" w:type="pct"/>
            <w:noWrap/>
          </w:tcPr>
          <w:p w14:paraId="225B41D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21F987A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200</w:t>
            </w:r>
          </w:p>
        </w:tc>
        <w:tc>
          <w:tcPr>
            <w:tcW w:w="314" w:type="pct"/>
            <w:noWrap/>
          </w:tcPr>
          <w:p w14:paraId="7CD70F5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150</w:t>
            </w:r>
          </w:p>
        </w:tc>
        <w:tc>
          <w:tcPr>
            <w:tcW w:w="314" w:type="pct"/>
            <w:noWrap/>
          </w:tcPr>
          <w:p w14:paraId="6174D42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300</w:t>
            </w:r>
          </w:p>
        </w:tc>
        <w:tc>
          <w:tcPr>
            <w:tcW w:w="314" w:type="pct"/>
          </w:tcPr>
          <w:p w14:paraId="59FC8C2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451</w:t>
            </w:r>
          </w:p>
        </w:tc>
        <w:tc>
          <w:tcPr>
            <w:tcW w:w="314" w:type="pct"/>
          </w:tcPr>
          <w:p w14:paraId="48998AC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w:t>
            </w:r>
          </w:p>
        </w:tc>
        <w:tc>
          <w:tcPr>
            <w:tcW w:w="314" w:type="pct"/>
            <w:noWrap/>
          </w:tcPr>
          <w:p w14:paraId="456E19F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15</w:t>
            </w:r>
          </w:p>
        </w:tc>
      </w:tr>
      <w:tr w:rsidR="00DD2097" w:rsidRPr="00965B70" w14:paraId="1FECB59F" w14:textId="77777777" w:rsidTr="008A35C9">
        <w:trPr>
          <w:trHeight w:val="288"/>
        </w:trPr>
        <w:tc>
          <w:tcPr>
            <w:tcW w:w="630" w:type="pct"/>
            <w:noWrap/>
          </w:tcPr>
          <w:p w14:paraId="4DF318EB"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w:t>
            </w:r>
          </w:p>
        </w:tc>
        <w:tc>
          <w:tcPr>
            <w:tcW w:w="1169" w:type="pct"/>
            <w:noWrap/>
          </w:tcPr>
          <w:p w14:paraId="020FDF7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Nepean GMA</w:t>
            </w:r>
          </w:p>
        </w:tc>
        <w:tc>
          <w:tcPr>
            <w:tcW w:w="1315" w:type="pct"/>
            <w:noWrap/>
          </w:tcPr>
          <w:p w14:paraId="35FCA7E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38C13FC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3,000</w:t>
            </w:r>
          </w:p>
        </w:tc>
        <w:tc>
          <w:tcPr>
            <w:tcW w:w="314" w:type="pct"/>
            <w:noWrap/>
          </w:tcPr>
          <w:p w14:paraId="68B97CE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2,100</w:t>
            </w:r>
          </w:p>
        </w:tc>
        <w:tc>
          <w:tcPr>
            <w:tcW w:w="314" w:type="pct"/>
            <w:noWrap/>
          </w:tcPr>
          <w:p w14:paraId="2EF8A2A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3,500</w:t>
            </w:r>
          </w:p>
        </w:tc>
        <w:tc>
          <w:tcPr>
            <w:tcW w:w="314" w:type="pct"/>
          </w:tcPr>
          <w:p w14:paraId="13857FA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6,110</w:t>
            </w:r>
          </w:p>
        </w:tc>
        <w:tc>
          <w:tcPr>
            <w:tcW w:w="314" w:type="pct"/>
          </w:tcPr>
          <w:p w14:paraId="037EAAA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6,110</w:t>
            </w:r>
          </w:p>
        </w:tc>
        <w:tc>
          <w:tcPr>
            <w:tcW w:w="314" w:type="pct"/>
            <w:noWrap/>
          </w:tcPr>
          <w:p w14:paraId="2D653D4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2,812</w:t>
            </w:r>
          </w:p>
        </w:tc>
      </w:tr>
      <w:tr w:rsidR="00DD2097" w:rsidRPr="00965B70" w14:paraId="752CF282" w14:textId="77777777" w:rsidTr="008A35C9">
        <w:trPr>
          <w:trHeight w:val="288"/>
        </w:trPr>
        <w:tc>
          <w:tcPr>
            <w:tcW w:w="630" w:type="pct"/>
            <w:noWrap/>
          </w:tcPr>
          <w:p w14:paraId="57004CA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Central Victoria</w:t>
            </w:r>
          </w:p>
        </w:tc>
        <w:tc>
          <w:tcPr>
            <w:tcW w:w="1169" w:type="pct"/>
            <w:noWrap/>
          </w:tcPr>
          <w:p w14:paraId="4189B634"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Wandin Yallock GMA</w:t>
            </w:r>
          </w:p>
        </w:tc>
        <w:tc>
          <w:tcPr>
            <w:tcW w:w="1315" w:type="pct"/>
            <w:noWrap/>
          </w:tcPr>
          <w:p w14:paraId="5B1FB55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6A7BC8C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2,000</w:t>
            </w:r>
          </w:p>
        </w:tc>
        <w:tc>
          <w:tcPr>
            <w:tcW w:w="314" w:type="pct"/>
            <w:noWrap/>
          </w:tcPr>
          <w:p w14:paraId="29D1764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1,100</w:t>
            </w:r>
          </w:p>
        </w:tc>
        <w:tc>
          <w:tcPr>
            <w:tcW w:w="314" w:type="pct"/>
            <w:noWrap/>
          </w:tcPr>
          <w:p w14:paraId="63B30CF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2,800</w:t>
            </w:r>
          </w:p>
        </w:tc>
        <w:tc>
          <w:tcPr>
            <w:tcW w:w="314" w:type="pct"/>
          </w:tcPr>
          <w:p w14:paraId="6704EF5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3,027</w:t>
            </w:r>
          </w:p>
        </w:tc>
        <w:tc>
          <w:tcPr>
            <w:tcW w:w="314" w:type="pct"/>
          </w:tcPr>
          <w:p w14:paraId="435DC7D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3,015</w:t>
            </w:r>
          </w:p>
        </w:tc>
        <w:tc>
          <w:tcPr>
            <w:tcW w:w="314" w:type="pct"/>
            <w:noWrap/>
          </w:tcPr>
          <w:p w14:paraId="7FC9A0D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638</w:t>
            </w:r>
          </w:p>
        </w:tc>
      </w:tr>
      <w:tr w:rsidR="00DD2097" w:rsidRPr="00965B70" w14:paraId="23D3CCCD" w14:textId="77777777" w:rsidTr="008A35C9">
        <w:trPr>
          <w:trHeight w:val="288"/>
        </w:trPr>
        <w:tc>
          <w:tcPr>
            <w:tcW w:w="630" w:type="pct"/>
            <w:noWrap/>
          </w:tcPr>
          <w:p w14:paraId="5860564B"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02DB58D6" w14:textId="77777777" w:rsidR="00DD2097" w:rsidRPr="00965B70" w:rsidRDefault="00DD2097" w:rsidP="008A35C9">
            <w:pPr>
              <w:spacing w:after="60" w:line="276" w:lineRule="auto"/>
              <w:rPr>
                <w:rFonts w:cstheme="minorHAnsi"/>
                <w:color w:val="000000"/>
                <w:sz w:val="18"/>
                <w:szCs w:val="18"/>
              </w:rPr>
            </w:pPr>
            <w:proofErr w:type="spellStart"/>
            <w:r w:rsidRPr="00965B70">
              <w:rPr>
                <w:rFonts w:cstheme="minorHAnsi"/>
                <w:color w:val="000000"/>
                <w:sz w:val="18"/>
                <w:szCs w:val="18"/>
              </w:rPr>
              <w:t>Colongulac</w:t>
            </w:r>
            <w:proofErr w:type="spellEnd"/>
            <w:r w:rsidRPr="00965B70">
              <w:rPr>
                <w:rFonts w:cstheme="minorHAnsi"/>
                <w:color w:val="000000"/>
                <w:sz w:val="18"/>
                <w:szCs w:val="18"/>
              </w:rPr>
              <w:t xml:space="preserve"> GMA</w:t>
            </w:r>
          </w:p>
        </w:tc>
        <w:tc>
          <w:tcPr>
            <w:tcW w:w="1315" w:type="pct"/>
            <w:noWrap/>
          </w:tcPr>
          <w:p w14:paraId="33EBB83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750647A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4,600</w:t>
            </w:r>
          </w:p>
        </w:tc>
        <w:tc>
          <w:tcPr>
            <w:tcW w:w="314" w:type="pct"/>
            <w:noWrap/>
          </w:tcPr>
          <w:p w14:paraId="0CF8D62D"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413D287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6246CFF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4,695</w:t>
            </w:r>
          </w:p>
        </w:tc>
        <w:tc>
          <w:tcPr>
            <w:tcW w:w="314" w:type="pct"/>
          </w:tcPr>
          <w:p w14:paraId="51A6574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4,405</w:t>
            </w:r>
          </w:p>
        </w:tc>
        <w:tc>
          <w:tcPr>
            <w:tcW w:w="314" w:type="pct"/>
            <w:noWrap/>
          </w:tcPr>
          <w:p w14:paraId="756E4ED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1,331</w:t>
            </w:r>
          </w:p>
        </w:tc>
      </w:tr>
      <w:tr w:rsidR="00DD2097" w:rsidRPr="00965B70" w14:paraId="362A4135" w14:textId="77777777" w:rsidTr="008A35C9">
        <w:trPr>
          <w:trHeight w:val="288"/>
        </w:trPr>
        <w:tc>
          <w:tcPr>
            <w:tcW w:w="630" w:type="pct"/>
            <w:noWrap/>
          </w:tcPr>
          <w:p w14:paraId="0F649297"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20587496"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Jan Juc GMA - Upper Eastern View Formation</w:t>
            </w:r>
          </w:p>
        </w:tc>
        <w:tc>
          <w:tcPr>
            <w:tcW w:w="1315" w:type="pct"/>
            <w:noWrap/>
          </w:tcPr>
          <w:p w14:paraId="7C7D6E23"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72F7382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1131877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342761C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65DE34C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4,250</w:t>
            </w:r>
          </w:p>
        </w:tc>
        <w:tc>
          <w:tcPr>
            <w:tcW w:w="314" w:type="pct"/>
          </w:tcPr>
          <w:p w14:paraId="189BA65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4,000</w:t>
            </w:r>
          </w:p>
        </w:tc>
        <w:tc>
          <w:tcPr>
            <w:tcW w:w="314" w:type="pct"/>
            <w:noWrap/>
          </w:tcPr>
          <w:p w14:paraId="264813B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591</w:t>
            </w:r>
          </w:p>
        </w:tc>
      </w:tr>
      <w:tr w:rsidR="00DD2097" w:rsidRPr="00965B70" w14:paraId="00C1E016" w14:textId="77777777" w:rsidTr="008A35C9">
        <w:trPr>
          <w:trHeight w:val="288"/>
        </w:trPr>
        <w:tc>
          <w:tcPr>
            <w:tcW w:w="630" w:type="pct"/>
            <w:noWrap/>
          </w:tcPr>
          <w:p w14:paraId="0E145849"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3D8BADAE"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Gellibrand</w:t>
            </w:r>
          </w:p>
        </w:tc>
        <w:tc>
          <w:tcPr>
            <w:tcW w:w="1315" w:type="pct"/>
            <w:noWrap/>
          </w:tcPr>
          <w:p w14:paraId="3292B8C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41C7E94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2D4D6F6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0EB8CDF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62C251F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c>
          <w:tcPr>
            <w:tcW w:w="314" w:type="pct"/>
          </w:tcPr>
          <w:p w14:paraId="53D0989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c>
          <w:tcPr>
            <w:tcW w:w="314" w:type="pct"/>
            <w:noWrap/>
          </w:tcPr>
          <w:p w14:paraId="047B142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0</w:t>
            </w:r>
          </w:p>
        </w:tc>
      </w:tr>
      <w:tr w:rsidR="00DD2097" w:rsidRPr="00965B70" w14:paraId="784CDA39" w14:textId="77777777" w:rsidTr="008A35C9">
        <w:trPr>
          <w:trHeight w:val="288"/>
        </w:trPr>
        <w:tc>
          <w:tcPr>
            <w:tcW w:w="630" w:type="pct"/>
            <w:noWrap/>
          </w:tcPr>
          <w:p w14:paraId="28BE6863"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2BB760E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Former Glenelg WSPA (includes Zones 1B, 2B and parts of 3B of the South Australia – Victoria Designated Area)</w:t>
            </w:r>
          </w:p>
        </w:tc>
        <w:tc>
          <w:tcPr>
            <w:tcW w:w="1315" w:type="pct"/>
            <w:noWrap/>
          </w:tcPr>
          <w:p w14:paraId="350C5E95"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Confined use-drawdown method for 2m drawdown</w:t>
            </w:r>
          </w:p>
        </w:tc>
        <w:tc>
          <w:tcPr>
            <w:tcW w:w="315" w:type="pct"/>
            <w:noWrap/>
          </w:tcPr>
          <w:p w14:paraId="36955D3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6,100</w:t>
            </w:r>
          </w:p>
        </w:tc>
        <w:tc>
          <w:tcPr>
            <w:tcW w:w="314" w:type="pct"/>
            <w:noWrap/>
          </w:tcPr>
          <w:p w14:paraId="1B2622C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4,400</w:t>
            </w:r>
          </w:p>
        </w:tc>
        <w:tc>
          <w:tcPr>
            <w:tcW w:w="314" w:type="pct"/>
            <w:noWrap/>
          </w:tcPr>
          <w:p w14:paraId="2111A82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6,900</w:t>
            </w:r>
          </w:p>
        </w:tc>
        <w:tc>
          <w:tcPr>
            <w:tcW w:w="314" w:type="pct"/>
          </w:tcPr>
          <w:p w14:paraId="3D6BC06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33,262</w:t>
            </w:r>
          </w:p>
        </w:tc>
        <w:tc>
          <w:tcPr>
            <w:tcW w:w="314" w:type="pct"/>
          </w:tcPr>
          <w:p w14:paraId="69C1BF2E"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16,025</w:t>
            </w:r>
          </w:p>
        </w:tc>
        <w:tc>
          <w:tcPr>
            <w:tcW w:w="314" w:type="pct"/>
            <w:noWrap/>
          </w:tcPr>
          <w:p w14:paraId="48D040A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5,957</w:t>
            </w:r>
          </w:p>
        </w:tc>
      </w:tr>
      <w:tr w:rsidR="00C729DF" w:rsidRPr="00965B70" w14:paraId="032CE666" w14:textId="77777777" w:rsidTr="008A35C9">
        <w:trPr>
          <w:trHeight w:val="288"/>
        </w:trPr>
        <w:tc>
          <w:tcPr>
            <w:tcW w:w="630" w:type="pct"/>
            <w:noWrap/>
          </w:tcPr>
          <w:p w14:paraId="375CA635" w14:textId="77777777" w:rsidR="00C729DF" w:rsidRPr="00965B70" w:rsidRDefault="00C729DF" w:rsidP="00C729DF">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p>
        </w:tc>
        <w:tc>
          <w:tcPr>
            <w:tcW w:w="1169" w:type="pct"/>
            <w:noWrap/>
          </w:tcPr>
          <w:p w14:paraId="78610F80" w14:textId="77777777" w:rsidR="00C729DF" w:rsidRPr="00965B70" w:rsidRDefault="00C729DF" w:rsidP="00C729DF">
            <w:pPr>
              <w:spacing w:after="60" w:line="276" w:lineRule="auto"/>
              <w:rPr>
                <w:rFonts w:cstheme="minorHAnsi"/>
                <w:color w:val="000000"/>
                <w:sz w:val="18"/>
                <w:szCs w:val="18"/>
              </w:rPr>
            </w:pPr>
            <w:r w:rsidRPr="00965B70">
              <w:rPr>
                <w:rFonts w:cstheme="minorHAnsi"/>
                <w:color w:val="000000"/>
                <w:sz w:val="18"/>
                <w:szCs w:val="18"/>
              </w:rPr>
              <w:t>Glenormiston GMA</w:t>
            </w:r>
          </w:p>
        </w:tc>
        <w:tc>
          <w:tcPr>
            <w:tcW w:w="1315" w:type="pct"/>
            <w:noWrap/>
          </w:tcPr>
          <w:p w14:paraId="3E9C8FF2" w14:textId="1A0DB034" w:rsidR="00C729DF" w:rsidRPr="00965B70" w:rsidRDefault="00C729DF" w:rsidP="00C729DF">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174B06B7" w14:textId="5EB5DDE0"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344D5F1E" w14:textId="65653584"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1746C410" w14:textId="3306CEEC"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10DC5C34" w14:textId="77777777"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2,698</w:t>
            </w:r>
          </w:p>
        </w:tc>
        <w:tc>
          <w:tcPr>
            <w:tcW w:w="314" w:type="pct"/>
          </w:tcPr>
          <w:p w14:paraId="70C9E7D1" w14:textId="77777777"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2,636</w:t>
            </w:r>
          </w:p>
        </w:tc>
        <w:tc>
          <w:tcPr>
            <w:tcW w:w="314" w:type="pct"/>
            <w:noWrap/>
          </w:tcPr>
          <w:p w14:paraId="0CCF2E39" w14:textId="77777777" w:rsidR="00C729DF" w:rsidRPr="00965B70" w:rsidRDefault="00C729DF" w:rsidP="00C729DF">
            <w:pPr>
              <w:spacing w:after="60" w:line="276" w:lineRule="auto"/>
              <w:jc w:val="center"/>
              <w:rPr>
                <w:rFonts w:cstheme="minorHAnsi"/>
                <w:color w:val="000000"/>
                <w:sz w:val="18"/>
                <w:szCs w:val="18"/>
              </w:rPr>
            </w:pPr>
            <w:r w:rsidRPr="00965B70">
              <w:rPr>
                <w:rFonts w:cstheme="minorHAnsi"/>
                <w:color w:val="000000"/>
                <w:sz w:val="18"/>
                <w:szCs w:val="18"/>
              </w:rPr>
              <w:t>1,273</w:t>
            </w:r>
          </w:p>
        </w:tc>
      </w:tr>
      <w:tr w:rsidR="00DD2097" w:rsidRPr="00965B70" w14:paraId="41A87560" w14:textId="77777777" w:rsidTr="008A35C9">
        <w:trPr>
          <w:trHeight w:val="288"/>
        </w:trPr>
        <w:tc>
          <w:tcPr>
            <w:tcW w:w="630" w:type="pct"/>
            <w:noWrap/>
          </w:tcPr>
          <w:p w14:paraId="6C8F988A"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5BDBDCE5"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Hawkesdale GMA</w:t>
            </w:r>
          </w:p>
        </w:tc>
        <w:tc>
          <w:tcPr>
            <w:tcW w:w="1315" w:type="pct"/>
            <w:noWrap/>
          </w:tcPr>
          <w:p w14:paraId="1CB62A37"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137E3E7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6D2F6E2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4FA222A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1A18B2B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16,161</w:t>
            </w:r>
          </w:p>
        </w:tc>
        <w:tc>
          <w:tcPr>
            <w:tcW w:w="314" w:type="pct"/>
          </w:tcPr>
          <w:p w14:paraId="408C0F7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12,451</w:t>
            </w:r>
          </w:p>
        </w:tc>
        <w:tc>
          <w:tcPr>
            <w:tcW w:w="314" w:type="pct"/>
            <w:noWrap/>
          </w:tcPr>
          <w:p w14:paraId="5839EF9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5,040</w:t>
            </w:r>
          </w:p>
        </w:tc>
      </w:tr>
      <w:tr w:rsidR="00DD2097" w:rsidRPr="00965B70" w14:paraId="4B735E1D" w14:textId="77777777" w:rsidTr="008A35C9">
        <w:trPr>
          <w:trHeight w:val="288"/>
        </w:trPr>
        <w:tc>
          <w:tcPr>
            <w:tcW w:w="630" w:type="pct"/>
            <w:noWrap/>
          </w:tcPr>
          <w:p w14:paraId="76ABCCB2"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37D8CD4A"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Heywood GMA</w:t>
            </w:r>
          </w:p>
        </w:tc>
        <w:tc>
          <w:tcPr>
            <w:tcW w:w="1315" w:type="pct"/>
            <w:noWrap/>
          </w:tcPr>
          <w:p w14:paraId="134856B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593290BA"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03E713E7"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52F340B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59065E02"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8,500</w:t>
            </w:r>
          </w:p>
        </w:tc>
        <w:tc>
          <w:tcPr>
            <w:tcW w:w="314" w:type="pct"/>
          </w:tcPr>
          <w:p w14:paraId="64514F09"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7,011</w:t>
            </w:r>
          </w:p>
        </w:tc>
        <w:tc>
          <w:tcPr>
            <w:tcW w:w="314" w:type="pct"/>
            <w:noWrap/>
          </w:tcPr>
          <w:p w14:paraId="1E52041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1,688</w:t>
            </w:r>
          </w:p>
        </w:tc>
      </w:tr>
      <w:tr w:rsidR="00DD2097" w:rsidRPr="00965B70" w14:paraId="06F4E233" w14:textId="77777777" w:rsidTr="008A35C9">
        <w:trPr>
          <w:trHeight w:val="288"/>
        </w:trPr>
        <w:tc>
          <w:tcPr>
            <w:tcW w:w="630" w:type="pct"/>
            <w:noWrap/>
          </w:tcPr>
          <w:p w14:paraId="23EE5920"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09DDEB42"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Nullawarre WSPA</w:t>
            </w:r>
          </w:p>
        </w:tc>
        <w:tc>
          <w:tcPr>
            <w:tcW w:w="1315" w:type="pct"/>
            <w:noWrap/>
          </w:tcPr>
          <w:p w14:paraId="2196F328"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36FB178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59C17EC3"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6F28E2F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0E972B2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22,741</w:t>
            </w:r>
          </w:p>
        </w:tc>
        <w:tc>
          <w:tcPr>
            <w:tcW w:w="314" w:type="pct"/>
          </w:tcPr>
          <w:p w14:paraId="585FCE96"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22,741</w:t>
            </w:r>
          </w:p>
        </w:tc>
        <w:tc>
          <w:tcPr>
            <w:tcW w:w="314" w:type="pct"/>
            <w:noWrap/>
          </w:tcPr>
          <w:p w14:paraId="6E8532A5"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10,909</w:t>
            </w:r>
          </w:p>
        </w:tc>
      </w:tr>
      <w:tr w:rsidR="00DD2097" w:rsidRPr="00965B70" w14:paraId="3D40BF54" w14:textId="77777777" w:rsidTr="008A35C9">
        <w:trPr>
          <w:trHeight w:val="288"/>
        </w:trPr>
        <w:tc>
          <w:tcPr>
            <w:tcW w:w="630" w:type="pct"/>
            <w:noWrap/>
          </w:tcPr>
          <w:p w14:paraId="7B96748C"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lastRenderedPageBreak/>
              <w:t>South West</w:t>
            </w:r>
            <w:proofErr w:type="gramEnd"/>
            <w:r w:rsidRPr="00965B70">
              <w:rPr>
                <w:rFonts w:cstheme="minorHAnsi"/>
                <w:color w:val="000000"/>
                <w:sz w:val="18"/>
                <w:szCs w:val="18"/>
              </w:rPr>
              <w:t xml:space="preserve"> Victoria</w:t>
            </w:r>
          </w:p>
        </w:tc>
        <w:tc>
          <w:tcPr>
            <w:tcW w:w="1169" w:type="pct"/>
            <w:noWrap/>
          </w:tcPr>
          <w:p w14:paraId="56021DA3" w14:textId="77777777" w:rsidR="00DD2097" w:rsidRPr="00965B70" w:rsidRDefault="00DD2097" w:rsidP="008A35C9">
            <w:pPr>
              <w:spacing w:after="60" w:line="276" w:lineRule="auto"/>
              <w:rPr>
                <w:rFonts w:cstheme="minorHAnsi"/>
                <w:color w:val="000000"/>
                <w:sz w:val="18"/>
                <w:szCs w:val="18"/>
              </w:rPr>
            </w:pPr>
            <w:proofErr w:type="spellStart"/>
            <w:r w:rsidRPr="00965B70">
              <w:rPr>
                <w:rFonts w:cstheme="minorHAnsi"/>
                <w:color w:val="000000"/>
                <w:sz w:val="18"/>
                <w:szCs w:val="18"/>
              </w:rPr>
              <w:t>Yangery</w:t>
            </w:r>
            <w:proofErr w:type="spellEnd"/>
            <w:r w:rsidRPr="00965B70">
              <w:rPr>
                <w:rFonts w:cstheme="minorHAnsi"/>
                <w:color w:val="000000"/>
                <w:sz w:val="18"/>
                <w:szCs w:val="18"/>
              </w:rPr>
              <w:t xml:space="preserve"> WSPA</w:t>
            </w:r>
          </w:p>
        </w:tc>
        <w:tc>
          <w:tcPr>
            <w:tcW w:w="1315" w:type="pct"/>
            <w:noWrap/>
          </w:tcPr>
          <w:p w14:paraId="2A37DCF1"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NA</w:t>
            </w:r>
          </w:p>
        </w:tc>
        <w:tc>
          <w:tcPr>
            <w:tcW w:w="315" w:type="pct"/>
            <w:noWrap/>
          </w:tcPr>
          <w:p w14:paraId="3C23E484"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No SY volume</w:t>
            </w:r>
          </w:p>
        </w:tc>
        <w:tc>
          <w:tcPr>
            <w:tcW w:w="314" w:type="pct"/>
            <w:noWrap/>
          </w:tcPr>
          <w:p w14:paraId="4802630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noWrap/>
          </w:tcPr>
          <w:p w14:paraId="1E9F1EC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NA</w:t>
            </w:r>
          </w:p>
        </w:tc>
        <w:tc>
          <w:tcPr>
            <w:tcW w:w="314" w:type="pct"/>
          </w:tcPr>
          <w:p w14:paraId="596B7F9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14,352</w:t>
            </w:r>
          </w:p>
        </w:tc>
        <w:tc>
          <w:tcPr>
            <w:tcW w:w="314" w:type="pct"/>
          </w:tcPr>
          <w:p w14:paraId="0C0ACDE0"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13,978</w:t>
            </w:r>
          </w:p>
        </w:tc>
        <w:tc>
          <w:tcPr>
            <w:tcW w:w="314" w:type="pct"/>
            <w:noWrap/>
          </w:tcPr>
          <w:p w14:paraId="1588D42F"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4,295</w:t>
            </w:r>
          </w:p>
        </w:tc>
      </w:tr>
      <w:tr w:rsidR="00DD2097" w:rsidRPr="00965B70" w14:paraId="4D2F78A9" w14:textId="77777777" w:rsidTr="008A35C9">
        <w:trPr>
          <w:trHeight w:val="288"/>
        </w:trPr>
        <w:tc>
          <w:tcPr>
            <w:tcW w:w="630" w:type="pct"/>
            <w:noWrap/>
          </w:tcPr>
          <w:p w14:paraId="77F8D274" w14:textId="77777777" w:rsidR="00DD2097" w:rsidRPr="00965B70" w:rsidRDefault="00DD2097" w:rsidP="008A35C9">
            <w:pPr>
              <w:spacing w:after="60" w:line="276" w:lineRule="auto"/>
              <w:rPr>
                <w:rFonts w:cstheme="minorHAnsi"/>
                <w:color w:val="000000"/>
                <w:sz w:val="18"/>
                <w:szCs w:val="18"/>
              </w:rPr>
            </w:pPr>
            <w:proofErr w:type="gramStart"/>
            <w:r w:rsidRPr="00965B70">
              <w:rPr>
                <w:rFonts w:cstheme="minorHAnsi"/>
                <w:color w:val="000000"/>
                <w:sz w:val="18"/>
                <w:szCs w:val="18"/>
              </w:rPr>
              <w:t>South West</w:t>
            </w:r>
            <w:proofErr w:type="gramEnd"/>
            <w:r w:rsidRPr="00965B70">
              <w:rPr>
                <w:rFonts w:cstheme="minorHAnsi"/>
                <w:color w:val="000000"/>
                <w:sz w:val="18"/>
                <w:szCs w:val="18"/>
              </w:rPr>
              <w:t xml:space="preserve"> Victoria</w:t>
            </w:r>
          </w:p>
        </w:tc>
        <w:tc>
          <w:tcPr>
            <w:tcW w:w="1169" w:type="pct"/>
            <w:noWrap/>
          </w:tcPr>
          <w:p w14:paraId="1FAE9D49"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Warrion WSPA</w:t>
            </w:r>
          </w:p>
        </w:tc>
        <w:tc>
          <w:tcPr>
            <w:tcW w:w="1315" w:type="pct"/>
            <w:noWrap/>
          </w:tcPr>
          <w:p w14:paraId="08D4B7A4" w14:textId="77777777" w:rsidR="00DD2097" w:rsidRPr="00965B70" w:rsidRDefault="00DD2097" w:rsidP="008A35C9">
            <w:pPr>
              <w:spacing w:after="60" w:line="276" w:lineRule="auto"/>
              <w:rPr>
                <w:rFonts w:cstheme="minorHAnsi"/>
                <w:color w:val="000000"/>
                <w:sz w:val="18"/>
                <w:szCs w:val="18"/>
              </w:rPr>
            </w:pPr>
            <w:r w:rsidRPr="00965B70">
              <w:rPr>
                <w:rFonts w:cstheme="minorHAnsi"/>
                <w:color w:val="000000"/>
                <w:sz w:val="18"/>
                <w:szCs w:val="18"/>
              </w:rPr>
              <w:t xml:space="preserve">Unconfined </w:t>
            </w:r>
            <w:r w:rsidRPr="00965B70">
              <w:rPr>
                <w:rFonts w:cstheme="minorHAnsi"/>
                <w:sz w:val="18"/>
                <w:szCs w:val="18"/>
              </w:rPr>
              <w:t>use-drawdown</w:t>
            </w:r>
            <w:r w:rsidRPr="00965B70">
              <w:rPr>
                <w:rFonts w:cstheme="minorHAnsi"/>
                <w:color w:val="000000"/>
                <w:sz w:val="18"/>
                <w:szCs w:val="18"/>
              </w:rPr>
              <w:t xml:space="preserve"> method</w:t>
            </w:r>
          </w:p>
        </w:tc>
        <w:tc>
          <w:tcPr>
            <w:tcW w:w="315" w:type="pct"/>
            <w:noWrap/>
          </w:tcPr>
          <w:p w14:paraId="6395B1F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10,200</w:t>
            </w:r>
          </w:p>
        </w:tc>
        <w:tc>
          <w:tcPr>
            <w:tcW w:w="314" w:type="pct"/>
            <w:noWrap/>
          </w:tcPr>
          <w:p w14:paraId="00D86091"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5,500</w:t>
            </w:r>
          </w:p>
        </w:tc>
        <w:tc>
          <w:tcPr>
            <w:tcW w:w="314" w:type="pct"/>
            <w:noWrap/>
          </w:tcPr>
          <w:p w14:paraId="07FD5161" w14:textId="77777777" w:rsidR="00DD2097" w:rsidRPr="00965B70" w:rsidRDefault="00DD2097" w:rsidP="008A35C9">
            <w:pPr>
              <w:spacing w:after="60" w:line="276" w:lineRule="auto"/>
              <w:jc w:val="center"/>
              <w:rPr>
                <w:rFonts w:cstheme="minorHAnsi"/>
                <w:color w:val="000000"/>
                <w:sz w:val="18"/>
                <w:szCs w:val="18"/>
                <w:highlight w:val="yellow"/>
              </w:rPr>
            </w:pPr>
            <w:r w:rsidRPr="00965B70">
              <w:rPr>
                <w:rFonts w:cstheme="minorHAnsi"/>
                <w:color w:val="000000"/>
                <w:sz w:val="18"/>
                <w:szCs w:val="18"/>
              </w:rPr>
              <w:t>15,300</w:t>
            </w:r>
          </w:p>
        </w:tc>
        <w:tc>
          <w:tcPr>
            <w:tcW w:w="314" w:type="pct"/>
          </w:tcPr>
          <w:p w14:paraId="1C279A48"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14,086</w:t>
            </w:r>
          </w:p>
        </w:tc>
        <w:tc>
          <w:tcPr>
            <w:tcW w:w="314" w:type="pct"/>
          </w:tcPr>
          <w:p w14:paraId="3656894C"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14,077</w:t>
            </w:r>
          </w:p>
        </w:tc>
        <w:tc>
          <w:tcPr>
            <w:tcW w:w="314" w:type="pct"/>
            <w:noWrap/>
          </w:tcPr>
          <w:p w14:paraId="30DDEF3B" w14:textId="77777777" w:rsidR="00DD2097" w:rsidRPr="00965B70" w:rsidRDefault="00DD2097" w:rsidP="008A35C9">
            <w:pPr>
              <w:spacing w:after="60" w:line="276" w:lineRule="auto"/>
              <w:jc w:val="center"/>
              <w:rPr>
                <w:rFonts w:cstheme="minorHAnsi"/>
                <w:color w:val="000000"/>
                <w:sz w:val="18"/>
                <w:szCs w:val="18"/>
              </w:rPr>
            </w:pPr>
            <w:r w:rsidRPr="00965B70">
              <w:rPr>
                <w:rFonts w:cstheme="minorHAnsi"/>
                <w:color w:val="000000"/>
                <w:sz w:val="18"/>
                <w:szCs w:val="18"/>
              </w:rPr>
              <w:t>3,555</w:t>
            </w:r>
          </w:p>
        </w:tc>
      </w:tr>
    </w:tbl>
    <w:p w14:paraId="3134B726" w14:textId="07F50E6C" w:rsidR="00DD2097" w:rsidRPr="00965B70" w:rsidRDefault="00DD2097" w:rsidP="008463E8">
      <w:pPr>
        <w:pStyle w:val="BodyText"/>
        <w:spacing w:before="360" w:after="0"/>
        <w:rPr>
          <w:lang w:val="en-AU"/>
        </w:rPr>
      </w:pPr>
      <w:r w:rsidRPr="00965B70">
        <w:rPr>
          <w:b/>
          <w:bCs/>
          <w:sz w:val="18"/>
          <w:szCs w:val="18"/>
          <w:lang w:val="en-AU"/>
        </w:rPr>
        <w:t xml:space="preserve">* </w:t>
      </w:r>
      <w:r w:rsidR="00495E6F" w:rsidRPr="00495E6F">
        <w:rPr>
          <w:lang w:val="en-AU"/>
        </w:rPr>
        <w:t>(</w:t>
      </w:r>
      <w:r w:rsidR="00495E6F" w:rsidRPr="00495E6F">
        <w:rPr>
          <w:i/>
          <w:iCs/>
          <w:lang w:val="en-AU"/>
        </w:rPr>
        <w:t>asterisk</w:t>
      </w:r>
      <w:r w:rsidR="00495E6F" w:rsidRPr="00495E6F">
        <w:rPr>
          <w:lang w:val="en-AU"/>
        </w:rPr>
        <w:t>)</w:t>
      </w:r>
      <w:r w:rsidR="00495E6F">
        <w:rPr>
          <w:b/>
          <w:bCs/>
          <w:sz w:val="18"/>
          <w:szCs w:val="18"/>
          <w:lang w:val="en-AU"/>
        </w:rPr>
        <w:t xml:space="preserve"> </w:t>
      </w:r>
      <w:r w:rsidRPr="00965B70">
        <w:rPr>
          <w:lang w:val="en-AU"/>
        </w:rPr>
        <w:t>shows semi-confined aquifer GMUs.</w:t>
      </w:r>
    </w:p>
    <w:p w14:paraId="59FD7A8D" w14:textId="7CB8560A" w:rsidR="00DD2097" w:rsidRPr="00965B70" w:rsidRDefault="00DD2097" w:rsidP="00AD0951">
      <w:pPr>
        <w:pStyle w:val="BodyText"/>
        <w:rPr>
          <w:sz w:val="18"/>
          <w:szCs w:val="18"/>
          <w:lang w:val="en-AU"/>
        </w:rPr>
        <w:sectPr w:rsidR="00DD2097" w:rsidRPr="00965B70" w:rsidSect="00DD2097">
          <w:pgSz w:w="16838" w:h="11906" w:orient="landscape"/>
          <w:pgMar w:top="1134" w:right="1134" w:bottom="1134" w:left="1134" w:header="720" w:footer="454" w:gutter="0"/>
          <w:cols w:space="720"/>
          <w:noEndnote/>
          <w:docGrid w:linePitch="326"/>
        </w:sectPr>
      </w:pPr>
      <w:r w:rsidRPr="00965B70">
        <w:rPr>
          <w:b/>
          <w:lang w:val="en-AU"/>
        </w:rPr>
        <w:t xml:space="preserve">NA </w:t>
      </w:r>
      <w:r w:rsidRPr="00965B70">
        <w:rPr>
          <w:bCs/>
          <w:lang w:val="en-AU"/>
        </w:rPr>
        <w:t>= not applicable</w:t>
      </w:r>
    </w:p>
    <w:p w14:paraId="4D3D9302" w14:textId="6C5B7B52" w:rsidR="00222FF2" w:rsidRPr="00965B70" w:rsidRDefault="00222FF2" w:rsidP="00B72E2A">
      <w:pPr>
        <w:pStyle w:val="Heading1"/>
        <w:pageBreakBefore/>
        <w:numPr>
          <w:ilvl w:val="0"/>
          <w:numId w:val="0"/>
        </w:numPr>
        <w:spacing w:after="240"/>
        <w:rPr>
          <w:lang w:val="en-AU"/>
        </w:rPr>
      </w:pPr>
      <w:bookmarkStart w:id="90" w:name="_Toc184285036"/>
      <w:bookmarkStart w:id="91" w:name="_Toc219975427"/>
      <w:r w:rsidRPr="00965B70">
        <w:rPr>
          <w:lang w:val="en-AU"/>
        </w:rPr>
        <w:lastRenderedPageBreak/>
        <w:t>Publication information</w:t>
      </w:r>
      <w:bookmarkEnd w:id="90"/>
      <w:bookmarkEnd w:id="91"/>
    </w:p>
    <w:p w14:paraId="4E3D82DA" w14:textId="7F66D373" w:rsidR="00222FF2" w:rsidRPr="00965B70" w:rsidRDefault="00222FF2" w:rsidP="00B72E2A">
      <w:pPr>
        <w:pStyle w:val="Heading2"/>
        <w:numPr>
          <w:ilvl w:val="0"/>
          <w:numId w:val="0"/>
        </w:numPr>
        <w:spacing w:before="0" w:after="180"/>
        <w:rPr>
          <w:sz w:val="32"/>
          <w:szCs w:val="32"/>
          <w:lang w:val="en-AU"/>
        </w:rPr>
      </w:pPr>
      <w:bookmarkStart w:id="92" w:name="_Toc219973090"/>
      <w:bookmarkStart w:id="93" w:name="_Toc219975428"/>
      <w:r w:rsidRPr="00965B70">
        <w:rPr>
          <w:sz w:val="32"/>
          <w:szCs w:val="32"/>
          <w:lang w:val="en-AU"/>
        </w:rPr>
        <w:t>Acknowledgement</w:t>
      </w:r>
      <w:r w:rsidR="00CC0D8F" w:rsidRPr="00965B70">
        <w:rPr>
          <w:sz w:val="32"/>
          <w:szCs w:val="32"/>
          <w:lang w:val="en-AU"/>
        </w:rPr>
        <w:t xml:space="preserve"> of Victorian Traditional Owners</w:t>
      </w:r>
      <w:bookmarkEnd w:id="92"/>
      <w:bookmarkEnd w:id="93"/>
    </w:p>
    <w:p w14:paraId="28D1B7D8" w14:textId="77777777" w:rsidR="00FF45EB" w:rsidRPr="00965B70" w:rsidRDefault="00FF45EB" w:rsidP="00FF45EB">
      <w:pPr>
        <w:pStyle w:val="BodyText"/>
        <w:spacing w:after="120"/>
        <w:rPr>
          <w:lang w:val="en-AU"/>
        </w:rPr>
      </w:pPr>
      <w:r w:rsidRPr="00965B70">
        <w:rPr>
          <w:lang w:val="en-AU"/>
        </w:rPr>
        <w:t>We acknowledge and respect Victorian Traditional Owners as the original custodians of Victoria’s land and waters, their unique ability to care for Country and deep spiritual connection to it.</w:t>
      </w:r>
    </w:p>
    <w:p w14:paraId="10869A5C" w14:textId="77777777" w:rsidR="00FF45EB" w:rsidRPr="00965B70" w:rsidRDefault="00FF45EB" w:rsidP="00FF45EB">
      <w:pPr>
        <w:pStyle w:val="BodyText"/>
        <w:spacing w:after="120"/>
        <w:rPr>
          <w:lang w:val="en-AU"/>
        </w:rPr>
      </w:pPr>
      <w:r w:rsidRPr="00965B70">
        <w:rPr>
          <w:lang w:val="en-AU"/>
        </w:rPr>
        <w:t>We honour Elders past and present whose knowledge and wisdom has ensured the continuation of culture and traditional practices.</w:t>
      </w:r>
    </w:p>
    <w:p w14:paraId="16DC7A70" w14:textId="77777777" w:rsidR="00222FF2" w:rsidRPr="00965B70" w:rsidRDefault="00FF45EB" w:rsidP="00C51A83">
      <w:pPr>
        <w:pStyle w:val="BodyText"/>
        <w:spacing w:after="120"/>
        <w:rPr>
          <w:lang w:val="en-AU"/>
        </w:rPr>
      </w:pPr>
      <w:r w:rsidRPr="00965B70">
        <w:rPr>
          <w:lang w:val="en-AU"/>
        </w:rPr>
        <w:t>DEECA is committed to genuinely partnering with Victorian Traditional Owners and Victoria’s Aboriginal community to progress their aspirations.</w:t>
      </w:r>
    </w:p>
    <w:p w14:paraId="2351EB50" w14:textId="77777777" w:rsidR="00222FF2" w:rsidRPr="00965B70" w:rsidRDefault="00222FF2" w:rsidP="00B72E2A">
      <w:pPr>
        <w:pStyle w:val="Heading2"/>
        <w:numPr>
          <w:ilvl w:val="0"/>
          <w:numId w:val="0"/>
        </w:numPr>
        <w:spacing w:before="0" w:after="180"/>
        <w:rPr>
          <w:sz w:val="32"/>
          <w:szCs w:val="32"/>
          <w:lang w:val="en-AU"/>
        </w:rPr>
      </w:pPr>
      <w:bookmarkStart w:id="94" w:name="_Toc219973091"/>
      <w:bookmarkStart w:id="95" w:name="_Toc219975429"/>
      <w:r w:rsidRPr="00965B70">
        <w:rPr>
          <w:sz w:val="32"/>
          <w:szCs w:val="32"/>
          <w:lang w:val="en-AU"/>
        </w:rPr>
        <w:t>Copyright</w:t>
      </w:r>
      <w:bookmarkEnd w:id="94"/>
      <w:bookmarkEnd w:id="95"/>
    </w:p>
    <w:p w14:paraId="18BD20A0" w14:textId="3269876F" w:rsidR="00222FF2" w:rsidRPr="00965B70" w:rsidRDefault="00222FF2" w:rsidP="00C51A83">
      <w:pPr>
        <w:pStyle w:val="BodyText"/>
        <w:spacing w:after="120"/>
        <w:ind w:right="-285"/>
        <w:rPr>
          <w:lang w:val="en-AU"/>
        </w:rPr>
      </w:pPr>
      <w:r w:rsidRPr="00965B70">
        <w:rPr>
          <w:lang w:val="en-AU"/>
        </w:rPr>
        <w:t>© The State of Victoria Department of Energy, Environment and Climate Action, 202</w:t>
      </w:r>
      <w:r w:rsidR="00CC0D8F" w:rsidRPr="00965B70">
        <w:rPr>
          <w:lang w:val="en-AU"/>
        </w:rPr>
        <w:t>4</w:t>
      </w:r>
      <w:r w:rsidRPr="00965B70">
        <w:rPr>
          <w:lang w:val="en-AU"/>
        </w:rPr>
        <w:t>.</w:t>
      </w:r>
    </w:p>
    <w:p w14:paraId="2A995552" w14:textId="77777777" w:rsidR="00222FF2" w:rsidRPr="00965B70" w:rsidRDefault="00222FF2" w:rsidP="00B72E2A">
      <w:pPr>
        <w:pStyle w:val="Heading2"/>
        <w:numPr>
          <w:ilvl w:val="0"/>
          <w:numId w:val="0"/>
        </w:numPr>
        <w:spacing w:before="0" w:after="180"/>
        <w:rPr>
          <w:sz w:val="32"/>
          <w:szCs w:val="32"/>
          <w:lang w:val="en-AU"/>
        </w:rPr>
      </w:pPr>
      <w:bookmarkStart w:id="96" w:name="_Toc219973092"/>
      <w:bookmarkStart w:id="97" w:name="_Toc219975430"/>
      <w:r w:rsidRPr="00965B70">
        <w:rPr>
          <w:sz w:val="32"/>
          <w:szCs w:val="32"/>
          <w:lang w:val="en-AU"/>
        </w:rPr>
        <w:t>Creative Commons</w:t>
      </w:r>
      <w:bookmarkEnd w:id="96"/>
      <w:bookmarkEnd w:id="97"/>
    </w:p>
    <w:p w14:paraId="576AF14C" w14:textId="18EFE28B" w:rsidR="00222FF2" w:rsidRPr="00965B70" w:rsidRDefault="00222FF2" w:rsidP="00222FF2">
      <w:pPr>
        <w:pStyle w:val="BodyText"/>
        <w:ind w:right="-285"/>
        <w:rPr>
          <w:lang w:val="en-AU"/>
        </w:rPr>
      </w:pPr>
      <w:r w:rsidRPr="00965B70">
        <w:rPr>
          <w:lang w:val="en-AU"/>
        </w:rPr>
        <w:t xml:space="preserve">This work is licensed under a Creative Commons Attribution 4.0 International licence, visit the </w:t>
      </w:r>
      <w:hyperlink r:id="rId42" w:tooltip="Hyperlink to Creative Commons website" w:history="1">
        <w:r w:rsidRPr="00965B70">
          <w:rPr>
            <w:rStyle w:val="Hyperlink"/>
            <w:lang w:val="en-AU"/>
          </w:rPr>
          <w:t>Creative Commons website</w:t>
        </w:r>
      </w:hyperlink>
      <w:r w:rsidRPr="00965B70">
        <w:rPr>
          <w:lang w:val="en-AU"/>
        </w:rPr>
        <w:t xml:space="preserve"> (</w:t>
      </w:r>
      <w:hyperlink r:id="rId43" w:tooltip="Hyperlink to Creative Commons website" w:history="1">
        <w:r w:rsidRPr="00965B70">
          <w:rPr>
            <w:rStyle w:val="Hyperlink"/>
            <w:lang w:val="en-AU"/>
          </w:rPr>
          <w:t>http://creativecommons.org/licenses/by/4.0/</w:t>
        </w:r>
      </w:hyperlink>
      <w:r w:rsidRPr="00965B70">
        <w:rPr>
          <w:lang w:val="en-AU"/>
        </w:rPr>
        <w:t>).</w:t>
      </w:r>
    </w:p>
    <w:p w14:paraId="3CB7C787" w14:textId="77777777" w:rsidR="00222FF2" w:rsidRPr="00965B70" w:rsidRDefault="00222FF2" w:rsidP="00222FF2">
      <w:pPr>
        <w:pStyle w:val="BodyText"/>
        <w:ind w:right="-285"/>
        <w:rPr>
          <w:lang w:val="en-AU"/>
        </w:rPr>
      </w:pPr>
      <w:r w:rsidRPr="00965B70">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16E547D" w14:textId="25F232CC" w:rsidR="00222FF2" w:rsidRPr="00965B70" w:rsidRDefault="00222FF2" w:rsidP="00CC0D8F">
      <w:pPr>
        <w:pStyle w:val="BodyText"/>
        <w:spacing w:after="480" w:line="276" w:lineRule="auto"/>
        <w:ind w:right="-285"/>
        <w:rPr>
          <w:lang w:val="en-AU"/>
        </w:rPr>
      </w:pPr>
      <w:r w:rsidRPr="00965B70">
        <w:rPr>
          <w:b/>
          <w:bCs/>
          <w:lang w:val="en-AU"/>
        </w:rPr>
        <w:t>ISBN</w:t>
      </w:r>
      <w:r w:rsidRPr="00965B70">
        <w:rPr>
          <w:lang w:val="en-AU"/>
        </w:rPr>
        <w:t xml:space="preserve"> </w:t>
      </w:r>
      <w:r w:rsidR="00CC0D8F" w:rsidRPr="00965B70">
        <w:rPr>
          <w:lang w:val="en-AU"/>
        </w:rPr>
        <w:t xml:space="preserve">978-1-76176-765-4 </w:t>
      </w:r>
      <w:r w:rsidR="00CC0D8F" w:rsidRPr="00965B70">
        <w:rPr>
          <w:b/>
          <w:bCs/>
          <w:lang w:val="en-AU"/>
        </w:rPr>
        <w:t>(Pdf/Online/MS Word)</w:t>
      </w:r>
    </w:p>
    <w:p w14:paraId="5C16CFF0" w14:textId="77777777" w:rsidR="00222FF2" w:rsidRPr="00965B70" w:rsidRDefault="00222FF2" w:rsidP="00B72E2A">
      <w:pPr>
        <w:pStyle w:val="Heading2"/>
        <w:numPr>
          <w:ilvl w:val="0"/>
          <w:numId w:val="0"/>
        </w:numPr>
        <w:spacing w:before="0" w:after="180"/>
        <w:rPr>
          <w:sz w:val="32"/>
          <w:szCs w:val="32"/>
          <w:lang w:val="en-AU"/>
        </w:rPr>
      </w:pPr>
      <w:bookmarkStart w:id="98" w:name="_Toc219973093"/>
      <w:bookmarkStart w:id="99" w:name="_Toc219975431"/>
      <w:r w:rsidRPr="00965B70">
        <w:rPr>
          <w:sz w:val="32"/>
          <w:szCs w:val="32"/>
          <w:lang w:val="en-AU"/>
        </w:rPr>
        <w:t>Disclaimer</w:t>
      </w:r>
      <w:bookmarkEnd w:id="98"/>
      <w:bookmarkEnd w:id="99"/>
    </w:p>
    <w:p w14:paraId="72340C31" w14:textId="77777777" w:rsidR="00222FF2" w:rsidRPr="00965B70" w:rsidRDefault="00222FF2" w:rsidP="00C51A83">
      <w:pPr>
        <w:pStyle w:val="BodyText"/>
        <w:spacing w:after="120"/>
        <w:rPr>
          <w:lang w:val="en-AU"/>
        </w:rPr>
      </w:pPr>
      <w:r w:rsidRPr="00965B70">
        <w:rPr>
          <w:lang w:val="en-AU"/>
        </w:rPr>
        <w:t xml:space="preserve">This publication may be of assistance to </w:t>
      </w:r>
      <w:proofErr w:type="gramStart"/>
      <w:r w:rsidRPr="00965B70">
        <w:rPr>
          <w:lang w:val="en-AU"/>
        </w:rPr>
        <w:t>you</w:t>
      </w:r>
      <w:proofErr w:type="gramEnd"/>
      <w:r w:rsidRPr="00965B70">
        <w:rPr>
          <w:lang w:val="en-AU"/>
        </w:rPr>
        <w:t xml:space="preserve"> but the State of Victoria and its employees do not guarantee that the publication is without flaw of any kind or is wholly appropriate for your </w:t>
      </w:r>
      <w:proofErr w:type="gramStart"/>
      <w:r w:rsidRPr="00965B70">
        <w:rPr>
          <w:lang w:val="en-AU"/>
        </w:rPr>
        <w:t>particular purposes</w:t>
      </w:r>
      <w:proofErr w:type="gramEnd"/>
      <w:r w:rsidRPr="00965B70">
        <w:rPr>
          <w:lang w:val="en-AU"/>
        </w:rPr>
        <w:t xml:space="preserve"> and therefore disclaims all liability for any error, loss or other consequence which may arise from you relying on any information in this publication.</w:t>
      </w:r>
    </w:p>
    <w:p w14:paraId="51C4A41E" w14:textId="77777777" w:rsidR="00222FF2" w:rsidRPr="00965B70" w:rsidRDefault="00222FF2" w:rsidP="00B72E2A">
      <w:pPr>
        <w:pStyle w:val="Heading2"/>
        <w:numPr>
          <w:ilvl w:val="0"/>
          <w:numId w:val="0"/>
        </w:numPr>
        <w:spacing w:before="0" w:after="180"/>
        <w:rPr>
          <w:sz w:val="32"/>
          <w:szCs w:val="32"/>
          <w:lang w:val="en-AU"/>
        </w:rPr>
      </w:pPr>
      <w:bookmarkStart w:id="100" w:name="_Toc219973094"/>
      <w:bookmarkStart w:id="101" w:name="_Toc219975432"/>
      <w:r w:rsidRPr="00965B70">
        <w:rPr>
          <w:sz w:val="32"/>
          <w:szCs w:val="32"/>
          <w:lang w:val="en-AU"/>
        </w:rPr>
        <w:lastRenderedPageBreak/>
        <w:t>Accessibility</w:t>
      </w:r>
      <w:bookmarkEnd w:id="100"/>
      <w:bookmarkEnd w:id="101"/>
    </w:p>
    <w:p w14:paraId="7FD8F786" w14:textId="69E1096E" w:rsidR="00806A08" w:rsidRPr="00965B70" w:rsidRDefault="00806A08" w:rsidP="00806A08">
      <w:pPr>
        <w:pStyle w:val="BodyText"/>
        <w:spacing w:after="120"/>
        <w:rPr>
          <w:lang w:val="en-AU"/>
        </w:rPr>
      </w:pPr>
      <w:r w:rsidRPr="00965B70">
        <w:rPr>
          <w:lang w:val="en-AU"/>
        </w:rPr>
        <w:t xml:space="preserve">To receive this document in an alternative format, phone the Customer Service Centre on 136 186, email </w:t>
      </w:r>
      <w:hyperlink r:id="rId44" w:tooltip="Send an email to customer service" w:history="1">
        <w:r w:rsidRPr="00965B70">
          <w:rPr>
            <w:rStyle w:val="Hyperlink"/>
            <w:lang w:val="en-AU"/>
          </w:rPr>
          <w:t>customer.service@delwp.vic.gov.au</w:t>
        </w:r>
      </w:hyperlink>
      <w:r w:rsidRPr="00965B70">
        <w:rPr>
          <w:lang w:val="en-AU"/>
        </w:rPr>
        <w:t xml:space="preserve">, or contact National Relay Service on 133 677 or visit </w:t>
      </w:r>
      <w:hyperlink r:id="rId45" w:tooltip="Hyperlink to the National Relay Service website" w:history="1">
        <w:r w:rsidRPr="00965B70">
          <w:rPr>
            <w:rStyle w:val="Hyperlink"/>
            <w:lang w:val="en-AU"/>
          </w:rPr>
          <w:t>http://www.accesshub.gov.au/</w:t>
        </w:r>
      </w:hyperlink>
      <w:r w:rsidRPr="00965B70">
        <w:rPr>
          <w:lang w:val="en-AU"/>
        </w:rPr>
        <w:t>. Available at DEECA website (</w:t>
      </w:r>
      <w:hyperlink r:id="rId46" w:tooltip="Hyperlink to the DEECA website" w:history="1">
        <w:r w:rsidRPr="00965B70">
          <w:rPr>
            <w:rStyle w:val="Hyperlink"/>
            <w:lang w:val="en-AU"/>
          </w:rPr>
          <w:t>www.deeca.vic.gov.au</w:t>
        </w:r>
      </w:hyperlink>
      <w:r w:rsidRPr="00965B70">
        <w:rPr>
          <w:lang w:val="en-AU"/>
        </w:rPr>
        <w:t>).</w:t>
      </w:r>
    </w:p>
    <w:p w14:paraId="419CCDB6" w14:textId="77777777" w:rsidR="00F767CD" w:rsidRPr="00965B70" w:rsidRDefault="00222FF2" w:rsidP="00B25A12">
      <w:pPr>
        <w:pStyle w:val="BodyText"/>
        <w:spacing w:before="3000" w:after="0"/>
        <w:rPr>
          <w:b/>
          <w:bCs/>
          <w:lang w:val="en-AU"/>
        </w:rPr>
      </w:pPr>
      <w:r w:rsidRPr="00965B70">
        <w:rPr>
          <w:b/>
          <w:bCs/>
          <w:lang w:val="en-AU"/>
        </w:rPr>
        <w:t>End of document.</w:t>
      </w:r>
    </w:p>
    <w:sectPr w:rsidR="00F767CD" w:rsidRPr="00965B70"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ACCDF" w14:textId="77777777" w:rsidR="00C93FDD" w:rsidRDefault="00C93FDD" w:rsidP="00F2730B">
      <w:pPr>
        <w:spacing w:after="0" w:line="240" w:lineRule="auto"/>
      </w:pPr>
      <w:r>
        <w:separator/>
      </w:r>
    </w:p>
  </w:endnote>
  <w:endnote w:type="continuationSeparator" w:id="0">
    <w:p w14:paraId="015A2B36" w14:textId="77777777" w:rsidR="00C93FDD" w:rsidRDefault="00C93FDD"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2AA6FF5B"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9F0ED0"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1C351764"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BCF1CDD" w14:textId="2AE590C0" w:rsidR="00EB277B" w:rsidRDefault="00CC0D8F" w:rsidP="00EB277B">
    <w:pPr>
      <w:pStyle w:val="Footer"/>
      <w:ind w:right="360"/>
    </w:pPr>
    <w:r w:rsidRPr="00CC0D8F">
      <w:t>Groundwater Sustainable Yield Assessment: Overview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0C59CE45"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4AE27D" w14:textId="639B1151" w:rsidR="00B165A7" w:rsidRDefault="00CC0D8F" w:rsidP="00B165A7">
    <w:pPr>
      <w:pStyle w:val="Footer"/>
      <w:ind w:right="360"/>
    </w:pPr>
    <w:r w:rsidRPr="00CC0D8F">
      <w:rPr>
        <w:lang w:val="en-US"/>
      </w:rPr>
      <w:t xml:space="preserve">Groundwater </w:t>
    </w:r>
    <w:r>
      <w:rPr>
        <w:lang w:val="en-US"/>
      </w:rPr>
      <w:t>S</w:t>
    </w:r>
    <w:r w:rsidRPr="00CC0D8F">
      <w:rPr>
        <w:lang w:val="en-US"/>
      </w:rPr>
      <w:t xml:space="preserve">ustainable </w:t>
    </w:r>
    <w:r>
      <w:rPr>
        <w:lang w:val="en-US"/>
      </w:rPr>
      <w:t>Y</w:t>
    </w:r>
    <w:r w:rsidRPr="00CC0D8F">
      <w:rPr>
        <w:lang w:val="en-US"/>
      </w:rPr>
      <w:t xml:space="preserve">ield </w:t>
    </w:r>
    <w:r>
      <w:rPr>
        <w:lang w:val="en-US"/>
      </w:rPr>
      <w:t>A</w:t>
    </w:r>
    <w:r w:rsidRPr="00CC0D8F">
      <w:rPr>
        <w:lang w:val="en-US"/>
      </w:rPr>
      <w:t xml:space="preserve">ssessment: </w:t>
    </w:r>
    <w:r>
      <w:rPr>
        <w:lang w:val="en-US"/>
      </w:rPr>
      <w:t>O</w:t>
    </w:r>
    <w:r w:rsidRPr="00CC0D8F">
      <w:rPr>
        <w:lang w:val="en-US"/>
      </w:rPr>
      <w:t>verview</w:t>
    </w:r>
    <w:r>
      <w:rPr>
        <w:lang w:val="en-US"/>
      </w:rPr>
      <w:t> R</w:t>
    </w:r>
    <w:r w:rsidRPr="00CC0D8F">
      <w:rPr>
        <w:lang w:val="en-US"/>
      </w:rPr>
      <w:t>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4227" w14:textId="77777777" w:rsidR="00C93FDD" w:rsidRDefault="00C93FDD" w:rsidP="00F2730B">
      <w:pPr>
        <w:spacing w:after="0" w:line="240" w:lineRule="auto"/>
      </w:pPr>
      <w:r>
        <w:separator/>
      </w:r>
    </w:p>
  </w:footnote>
  <w:footnote w:type="continuationSeparator" w:id="0">
    <w:p w14:paraId="22042B79" w14:textId="77777777" w:rsidR="00C93FDD" w:rsidRDefault="00C93FDD" w:rsidP="00F2730B">
      <w:pPr>
        <w:spacing w:after="0" w:line="240" w:lineRule="auto"/>
      </w:pPr>
      <w:r>
        <w:continuationSeparator/>
      </w:r>
    </w:p>
  </w:footnote>
  <w:footnote w:id="1">
    <w:p w14:paraId="0C960BD5" w14:textId="0102D4A0" w:rsidR="004173D3" w:rsidRDefault="004173D3" w:rsidP="00DF62B0">
      <w:pPr>
        <w:pStyle w:val="FootnoteText"/>
      </w:pPr>
      <w:r>
        <w:rPr>
          <w:rStyle w:val="FootnoteReference"/>
        </w:rPr>
        <w:footnoteRef/>
      </w:r>
      <w:r>
        <w:t xml:space="preserve"> </w:t>
      </w:r>
      <w:hyperlink r:id="rId1" w:tooltip="Hyperlink to the Methodology Report at the Water Victoria website" w:history="1">
        <w:r w:rsidRPr="00DF62B0">
          <w:rPr>
            <w:rStyle w:val="Hyperlink"/>
          </w:rPr>
          <w:t>https://www.water.vic.gov.au/water-sources/groundwater/groundwater-management-2030/sustainable-yield-assessment/?a=777719</w:t>
        </w:r>
      </w:hyperlink>
    </w:p>
  </w:footnote>
  <w:footnote w:id="2">
    <w:p w14:paraId="74B0A3BC" w14:textId="431CC4AB" w:rsidR="00DF62B0" w:rsidRDefault="00DF62B0" w:rsidP="00DF62B0">
      <w:pPr>
        <w:pStyle w:val="FootnoteText"/>
        <w:spacing w:after="0"/>
      </w:pPr>
      <w:r>
        <w:rPr>
          <w:rStyle w:val="FootnoteReference"/>
        </w:rPr>
        <w:footnoteRef/>
      </w:r>
      <w:r>
        <w:t xml:space="preserve"> </w:t>
      </w:r>
      <w:hyperlink r:id="rId2" w:tooltip="Hyperlink to the the Synthesis Results Report at the Water Victoria website" w:history="1">
        <w:r w:rsidR="00E81F59" w:rsidRPr="00DF62B0">
          <w:rPr>
            <w:rStyle w:val="Hyperlink"/>
          </w:rPr>
          <w:t>https://www.water.vic.gov.au/water-sources/groundwater/groundwater-management-2030/sustainable-yield-assessment/?a=77771</w:t>
        </w:r>
        <w:r w:rsidR="00E81F59">
          <w:rPr>
            <w:rStyle w:val="Hyperlink"/>
          </w:rPr>
          <w:t>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4E15D23"/>
    <w:multiLevelType w:val="multilevel"/>
    <w:tmpl w:val="CA2EE5A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B42277"/>
    <w:multiLevelType w:val="hybridMultilevel"/>
    <w:tmpl w:val="F0B020F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6"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9"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86E471B"/>
    <w:multiLevelType w:val="hybridMultilevel"/>
    <w:tmpl w:val="25BAD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6"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9"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9"/>
  </w:num>
  <w:num w:numId="2" w16cid:durableId="1813522522">
    <w:abstractNumId w:val="3"/>
  </w:num>
  <w:num w:numId="3" w16cid:durableId="533276510">
    <w:abstractNumId w:val="28"/>
  </w:num>
  <w:num w:numId="4" w16cid:durableId="771362055">
    <w:abstractNumId w:val="2"/>
  </w:num>
  <w:num w:numId="5" w16cid:durableId="3823149">
    <w:abstractNumId w:val="19"/>
  </w:num>
  <w:num w:numId="6" w16cid:durableId="338390637">
    <w:abstractNumId w:val="6"/>
  </w:num>
  <w:num w:numId="7" w16cid:durableId="182984412">
    <w:abstractNumId w:val="25"/>
  </w:num>
  <w:num w:numId="8" w16cid:durableId="853954488">
    <w:abstractNumId w:val="17"/>
  </w:num>
  <w:num w:numId="9" w16cid:durableId="307325374">
    <w:abstractNumId w:val="10"/>
  </w:num>
  <w:num w:numId="10" w16cid:durableId="1207567416">
    <w:abstractNumId w:val="13"/>
  </w:num>
  <w:num w:numId="11" w16cid:durableId="1714499310">
    <w:abstractNumId w:val="12"/>
  </w:num>
  <w:num w:numId="12" w16cid:durableId="1557817223">
    <w:abstractNumId w:val="22"/>
  </w:num>
  <w:num w:numId="13" w16cid:durableId="766468131">
    <w:abstractNumId w:val="8"/>
  </w:num>
  <w:num w:numId="14" w16cid:durableId="401634644">
    <w:abstractNumId w:val="4"/>
  </w:num>
  <w:num w:numId="15" w16cid:durableId="1333338980">
    <w:abstractNumId w:val="9"/>
  </w:num>
  <w:num w:numId="16" w16cid:durableId="2077896738">
    <w:abstractNumId w:val="16"/>
  </w:num>
  <w:num w:numId="17" w16cid:durableId="318195612">
    <w:abstractNumId w:val="0"/>
  </w:num>
  <w:num w:numId="18" w16cid:durableId="172572898">
    <w:abstractNumId w:val="18"/>
  </w:num>
  <w:num w:numId="19" w16cid:durableId="1306818322">
    <w:abstractNumId w:val="1"/>
  </w:num>
  <w:num w:numId="20" w16cid:durableId="1536767415">
    <w:abstractNumId w:val="26"/>
  </w:num>
  <w:num w:numId="21" w16cid:durableId="54209663">
    <w:abstractNumId w:val="7"/>
  </w:num>
  <w:num w:numId="22" w16cid:durableId="1336883623">
    <w:abstractNumId w:val="24"/>
  </w:num>
  <w:num w:numId="23" w16cid:durableId="1204173423">
    <w:abstractNumId w:val="23"/>
  </w:num>
  <w:num w:numId="24" w16cid:durableId="1581451535">
    <w:abstractNumId w:val="11"/>
  </w:num>
  <w:num w:numId="25" w16cid:durableId="1754938255">
    <w:abstractNumId w:val="14"/>
  </w:num>
  <w:num w:numId="26" w16cid:durableId="1013340051">
    <w:abstractNumId w:val="27"/>
  </w:num>
  <w:num w:numId="27" w16cid:durableId="888301183">
    <w:abstractNumId w:val="20"/>
  </w:num>
  <w:num w:numId="28" w16cid:durableId="1223904285">
    <w:abstractNumId w:val="15"/>
  </w:num>
  <w:num w:numId="29" w16cid:durableId="591741218">
    <w:abstractNumId w:val="5"/>
  </w:num>
  <w:num w:numId="30" w16cid:durableId="554046076">
    <w:abstractNumId w:val="21"/>
  </w:num>
  <w:num w:numId="31" w16cid:durableId="185271775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9D5"/>
    <w:rsid w:val="00001E7A"/>
    <w:rsid w:val="000031BB"/>
    <w:rsid w:val="000055D4"/>
    <w:rsid w:val="000105F8"/>
    <w:rsid w:val="00010851"/>
    <w:rsid w:val="00010D69"/>
    <w:rsid w:val="000138AF"/>
    <w:rsid w:val="000159E0"/>
    <w:rsid w:val="00016269"/>
    <w:rsid w:val="0001795D"/>
    <w:rsid w:val="000210D8"/>
    <w:rsid w:val="00021E90"/>
    <w:rsid w:val="00024973"/>
    <w:rsid w:val="00024EED"/>
    <w:rsid w:val="00026504"/>
    <w:rsid w:val="0003252D"/>
    <w:rsid w:val="00032E6C"/>
    <w:rsid w:val="00033D9B"/>
    <w:rsid w:val="00035E6B"/>
    <w:rsid w:val="000378C7"/>
    <w:rsid w:val="0004007B"/>
    <w:rsid w:val="000403E9"/>
    <w:rsid w:val="000407F7"/>
    <w:rsid w:val="00040921"/>
    <w:rsid w:val="00045373"/>
    <w:rsid w:val="00045691"/>
    <w:rsid w:val="00046FB2"/>
    <w:rsid w:val="000473FF"/>
    <w:rsid w:val="000505A5"/>
    <w:rsid w:val="00050A02"/>
    <w:rsid w:val="00051ABC"/>
    <w:rsid w:val="00055918"/>
    <w:rsid w:val="00057DAA"/>
    <w:rsid w:val="00060F88"/>
    <w:rsid w:val="0006211F"/>
    <w:rsid w:val="00062635"/>
    <w:rsid w:val="00063821"/>
    <w:rsid w:val="00064071"/>
    <w:rsid w:val="000670B1"/>
    <w:rsid w:val="00067C5F"/>
    <w:rsid w:val="00070BB3"/>
    <w:rsid w:val="000747B4"/>
    <w:rsid w:val="00077243"/>
    <w:rsid w:val="00083F92"/>
    <w:rsid w:val="000953D7"/>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09BE"/>
    <w:rsid w:val="000F0B78"/>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468B"/>
    <w:rsid w:val="001450B6"/>
    <w:rsid w:val="001475FA"/>
    <w:rsid w:val="001500AB"/>
    <w:rsid w:val="00150D75"/>
    <w:rsid w:val="00151489"/>
    <w:rsid w:val="0015223D"/>
    <w:rsid w:val="00152A8B"/>
    <w:rsid w:val="00154DF5"/>
    <w:rsid w:val="00156D15"/>
    <w:rsid w:val="00163F36"/>
    <w:rsid w:val="00164E6C"/>
    <w:rsid w:val="0016764A"/>
    <w:rsid w:val="001679C2"/>
    <w:rsid w:val="001708FE"/>
    <w:rsid w:val="00170B1E"/>
    <w:rsid w:val="00171185"/>
    <w:rsid w:val="00172357"/>
    <w:rsid w:val="00175022"/>
    <w:rsid w:val="0017678F"/>
    <w:rsid w:val="00185ABC"/>
    <w:rsid w:val="00185F2D"/>
    <w:rsid w:val="00187524"/>
    <w:rsid w:val="00187BEB"/>
    <w:rsid w:val="00191553"/>
    <w:rsid w:val="001920A5"/>
    <w:rsid w:val="00192DC5"/>
    <w:rsid w:val="0019451B"/>
    <w:rsid w:val="001950EE"/>
    <w:rsid w:val="001A118C"/>
    <w:rsid w:val="001A352D"/>
    <w:rsid w:val="001A358E"/>
    <w:rsid w:val="001A4A2B"/>
    <w:rsid w:val="001A5DB2"/>
    <w:rsid w:val="001A6F8B"/>
    <w:rsid w:val="001A714A"/>
    <w:rsid w:val="001B02D0"/>
    <w:rsid w:val="001B07D2"/>
    <w:rsid w:val="001B1361"/>
    <w:rsid w:val="001B1B3A"/>
    <w:rsid w:val="001B2A51"/>
    <w:rsid w:val="001B37AF"/>
    <w:rsid w:val="001B4C0B"/>
    <w:rsid w:val="001B72F0"/>
    <w:rsid w:val="001C10D8"/>
    <w:rsid w:val="001C1D65"/>
    <w:rsid w:val="001C2B23"/>
    <w:rsid w:val="001C7E9F"/>
    <w:rsid w:val="001D023D"/>
    <w:rsid w:val="001D292E"/>
    <w:rsid w:val="001D3828"/>
    <w:rsid w:val="001D441D"/>
    <w:rsid w:val="001D5686"/>
    <w:rsid w:val="001D5E51"/>
    <w:rsid w:val="001E0685"/>
    <w:rsid w:val="001E27CA"/>
    <w:rsid w:val="001E332A"/>
    <w:rsid w:val="001E3511"/>
    <w:rsid w:val="001E3FB4"/>
    <w:rsid w:val="001E4386"/>
    <w:rsid w:val="001E4846"/>
    <w:rsid w:val="001E5B9F"/>
    <w:rsid w:val="001E6288"/>
    <w:rsid w:val="001E6967"/>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0DA"/>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571"/>
    <w:rsid w:val="00295CE3"/>
    <w:rsid w:val="002A2BEF"/>
    <w:rsid w:val="002A3002"/>
    <w:rsid w:val="002B01C3"/>
    <w:rsid w:val="002B22A8"/>
    <w:rsid w:val="002C3499"/>
    <w:rsid w:val="002C41F0"/>
    <w:rsid w:val="002C558C"/>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E7837"/>
    <w:rsid w:val="002F0246"/>
    <w:rsid w:val="002F08A3"/>
    <w:rsid w:val="002F0A22"/>
    <w:rsid w:val="002F239E"/>
    <w:rsid w:val="002F2CD2"/>
    <w:rsid w:val="002F3451"/>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25877"/>
    <w:rsid w:val="00332FE6"/>
    <w:rsid w:val="003360B7"/>
    <w:rsid w:val="003367D8"/>
    <w:rsid w:val="00336EEE"/>
    <w:rsid w:val="00337320"/>
    <w:rsid w:val="0034155C"/>
    <w:rsid w:val="0034757B"/>
    <w:rsid w:val="00350920"/>
    <w:rsid w:val="00352F44"/>
    <w:rsid w:val="003560A1"/>
    <w:rsid w:val="00357A1F"/>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97BF3"/>
    <w:rsid w:val="003A0ADE"/>
    <w:rsid w:val="003A1991"/>
    <w:rsid w:val="003A393C"/>
    <w:rsid w:val="003A42CC"/>
    <w:rsid w:val="003A5555"/>
    <w:rsid w:val="003A6086"/>
    <w:rsid w:val="003A7094"/>
    <w:rsid w:val="003A72CF"/>
    <w:rsid w:val="003B25BA"/>
    <w:rsid w:val="003B3463"/>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173D3"/>
    <w:rsid w:val="00423210"/>
    <w:rsid w:val="004233C0"/>
    <w:rsid w:val="004319B3"/>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8762C"/>
    <w:rsid w:val="00490B9B"/>
    <w:rsid w:val="00490E07"/>
    <w:rsid w:val="0049105A"/>
    <w:rsid w:val="00492757"/>
    <w:rsid w:val="00495E6F"/>
    <w:rsid w:val="004976B7"/>
    <w:rsid w:val="004A0E5A"/>
    <w:rsid w:val="004A4826"/>
    <w:rsid w:val="004A68CA"/>
    <w:rsid w:val="004B031F"/>
    <w:rsid w:val="004B12B2"/>
    <w:rsid w:val="004B20C4"/>
    <w:rsid w:val="004B30FB"/>
    <w:rsid w:val="004B44F8"/>
    <w:rsid w:val="004B49C5"/>
    <w:rsid w:val="004B752D"/>
    <w:rsid w:val="004B791C"/>
    <w:rsid w:val="004C32A5"/>
    <w:rsid w:val="004C5429"/>
    <w:rsid w:val="004C5D4E"/>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1985"/>
    <w:rsid w:val="005122BD"/>
    <w:rsid w:val="00512438"/>
    <w:rsid w:val="00513A03"/>
    <w:rsid w:val="00515813"/>
    <w:rsid w:val="00515C9C"/>
    <w:rsid w:val="00515EE5"/>
    <w:rsid w:val="0051674C"/>
    <w:rsid w:val="005204D5"/>
    <w:rsid w:val="00526C04"/>
    <w:rsid w:val="00526FFF"/>
    <w:rsid w:val="00527384"/>
    <w:rsid w:val="00532EA0"/>
    <w:rsid w:val="0053353B"/>
    <w:rsid w:val="0053537A"/>
    <w:rsid w:val="00535FEF"/>
    <w:rsid w:val="00536DD7"/>
    <w:rsid w:val="0053713F"/>
    <w:rsid w:val="005400B9"/>
    <w:rsid w:val="005406CC"/>
    <w:rsid w:val="0054395D"/>
    <w:rsid w:val="00543A98"/>
    <w:rsid w:val="00546380"/>
    <w:rsid w:val="005478D8"/>
    <w:rsid w:val="005479C6"/>
    <w:rsid w:val="00547D4F"/>
    <w:rsid w:val="00547E70"/>
    <w:rsid w:val="0055238D"/>
    <w:rsid w:val="00552F27"/>
    <w:rsid w:val="00553012"/>
    <w:rsid w:val="005554F3"/>
    <w:rsid w:val="00555CD9"/>
    <w:rsid w:val="00556105"/>
    <w:rsid w:val="00556D5F"/>
    <w:rsid w:val="005576D8"/>
    <w:rsid w:val="00560C0D"/>
    <w:rsid w:val="00561FF9"/>
    <w:rsid w:val="00562EF3"/>
    <w:rsid w:val="00563326"/>
    <w:rsid w:val="00564079"/>
    <w:rsid w:val="005659D9"/>
    <w:rsid w:val="00565BA0"/>
    <w:rsid w:val="00565E34"/>
    <w:rsid w:val="00573734"/>
    <w:rsid w:val="005740D5"/>
    <w:rsid w:val="0057561A"/>
    <w:rsid w:val="00576223"/>
    <w:rsid w:val="00577C9B"/>
    <w:rsid w:val="00595BC4"/>
    <w:rsid w:val="00597962"/>
    <w:rsid w:val="00597B0F"/>
    <w:rsid w:val="005A0001"/>
    <w:rsid w:val="005A0FCC"/>
    <w:rsid w:val="005A1B66"/>
    <w:rsid w:val="005A1BCD"/>
    <w:rsid w:val="005A2D1B"/>
    <w:rsid w:val="005A35B7"/>
    <w:rsid w:val="005A3AC9"/>
    <w:rsid w:val="005A5CB9"/>
    <w:rsid w:val="005A5FCD"/>
    <w:rsid w:val="005A6B8F"/>
    <w:rsid w:val="005A7BF4"/>
    <w:rsid w:val="005B0BB4"/>
    <w:rsid w:val="005B1E13"/>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1677"/>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1813"/>
    <w:rsid w:val="00661920"/>
    <w:rsid w:val="0066651F"/>
    <w:rsid w:val="006721C4"/>
    <w:rsid w:val="00673096"/>
    <w:rsid w:val="006738F0"/>
    <w:rsid w:val="006810F9"/>
    <w:rsid w:val="0068129E"/>
    <w:rsid w:val="006835A0"/>
    <w:rsid w:val="00684BBF"/>
    <w:rsid w:val="00685936"/>
    <w:rsid w:val="006872C0"/>
    <w:rsid w:val="00690194"/>
    <w:rsid w:val="0069226A"/>
    <w:rsid w:val="006948B3"/>
    <w:rsid w:val="00694C93"/>
    <w:rsid w:val="0069501F"/>
    <w:rsid w:val="006955A0"/>
    <w:rsid w:val="006968E3"/>
    <w:rsid w:val="00696E55"/>
    <w:rsid w:val="00697519"/>
    <w:rsid w:val="006A25FE"/>
    <w:rsid w:val="006A3A6E"/>
    <w:rsid w:val="006A4557"/>
    <w:rsid w:val="006A4DC0"/>
    <w:rsid w:val="006A79D5"/>
    <w:rsid w:val="006B124B"/>
    <w:rsid w:val="006B1AFC"/>
    <w:rsid w:val="006B35A1"/>
    <w:rsid w:val="006B4853"/>
    <w:rsid w:val="006B4C87"/>
    <w:rsid w:val="006B6218"/>
    <w:rsid w:val="006C32E8"/>
    <w:rsid w:val="006C66A6"/>
    <w:rsid w:val="006D2FFD"/>
    <w:rsid w:val="006D30B7"/>
    <w:rsid w:val="006D4F10"/>
    <w:rsid w:val="006D5080"/>
    <w:rsid w:val="006D5699"/>
    <w:rsid w:val="006E5AC4"/>
    <w:rsid w:val="006E5B70"/>
    <w:rsid w:val="006E5E98"/>
    <w:rsid w:val="006E7774"/>
    <w:rsid w:val="006E786E"/>
    <w:rsid w:val="006F1B27"/>
    <w:rsid w:val="006F6B4C"/>
    <w:rsid w:val="00700646"/>
    <w:rsid w:val="00700BF1"/>
    <w:rsid w:val="007012DF"/>
    <w:rsid w:val="00706908"/>
    <w:rsid w:val="00707EA8"/>
    <w:rsid w:val="0071440E"/>
    <w:rsid w:val="0071469C"/>
    <w:rsid w:val="00714D96"/>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31DB"/>
    <w:rsid w:val="00785918"/>
    <w:rsid w:val="00792C27"/>
    <w:rsid w:val="00793193"/>
    <w:rsid w:val="00793EC8"/>
    <w:rsid w:val="007959B9"/>
    <w:rsid w:val="007968FE"/>
    <w:rsid w:val="007972D5"/>
    <w:rsid w:val="007A006C"/>
    <w:rsid w:val="007A019C"/>
    <w:rsid w:val="007A02EE"/>
    <w:rsid w:val="007A16FB"/>
    <w:rsid w:val="007A261A"/>
    <w:rsid w:val="007A526F"/>
    <w:rsid w:val="007A5657"/>
    <w:rsid w:val="007A5FC5"/>
    <w:rsid w:val="007A7ED1"/>
    <w:rsid w:val="007B211D"/>
    <w:rsid w:val="007B23BC"/>
    <w:rsid w:val="007B24E4"/>
    <w:rsid w:val="007B37C8"/>
    <w:rsid w:val="007B509C"/>
    <w:rsid w:val="007B65B8"/>
    <w:rsid w:val="007C0899"/>
    <w:rsid w:val="007C1092"/>
    <w:rsid w:val="007C1E53"/>
    <w:rsid w:val="007C23F2"/>
    <w:rsid w:val="007C24A9"/>
    <w:rsid w:val="007C2D01"/>
    <w:rsid w:val="007C41AA"/>
    <w:rsid w:val="007C4DAC"/>
    <w:rsid w:val="007C7776"/>
    <w:rsid w:val="007D3A61"/>
    <w:rsid w:val="007D5225"/>
    <w:rsid w:val="007D58CB"/>
    <w:rsid w:val="007D6D7F"/>
    <w:rsid w:val="007E04F5"/>
    <w:rsid w:val="007E1BDA"/>
    <w:rsid w:val="007E2A3D"/>
    <w:rsid w:val="007E2EB8"/>
    <w:rsid w:val="007E48A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0E10"/>
    <w:rsid w:val="00801702"/>
    <w:rsid w:val="00801F8F"/>
    <w:rsid w:val="00803E96"/>
    <w:rsid w:val="00806A08"/>
    <w:rsid w:val="00807062"/>
    <w:rsid w:val="008071AB"/>
    <w:rsid w:val="008118D0"/>
    <w:rsid w:val="00811E7F"/>
    <w:rsid w:val="008124B6"/>
    <w:rsid w:val="00812580"/>
    <w:rsid w:val="00821025"/>
    <w:rsid w:val="00823811"/>
    <w:rsid w:val="0082692C"/>
    <w:rsid w:val="00827815"/>
    <w:rsid w:val="00827C53"/>
    <w:rsid w:val="0083154D"/>
    <w:rsid w:val="008325FC"/>
    <w:rsid w:val="008335CF"/>
    <w:rsid w:val="00834303"/>
    <w:rsid w:val="008364D5"/>
    <w:rsid w:val="0083693A"/>
    <w:rsid w:val="008369AE"/>
    <w:rsid w:val="00837B74"/>
    <w:rsid w:val="00840E7A"/>
    <w:rsid w:val="0084376B"/>
    <w:rsid w:val="008452F6"/>
    <w:rsid w:val="008463E8"/>
    <w:rsid w:val="00846AB0"/>
    <w:rsid w:val="008475CB"/>
    <w:rsid w:val="00852A79"/>
    <w:rsid w:val="008562E7"/>
    <w:rsid w:val="008563EE"/>
    <w:rsid w:val="00857C5C"/>
    <w:rsid w:val="008620C1"/>
    <w:rsid w:val="00862D18"/>
    <w:rsid w:val="00863E6B"/>
    <w:rsid w:val="00867FF9"/>
    <w:rsid w:val="00874D3A"/>
    <w:rsid w:val="00875B2C"/>
    <w:rsid w:val="0087638D"/>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35C9"/>
    <w:rsid w:val="008A440E"/>
    <w:rsid w:val="008A44D0"/>
    <w:rsid w:val="008A7CA1"/>
    <w:rsid w:val="008B0D01"/>
    <w:rsid w:val="008B1B9A"/>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2DBC"/>
    <w:rsid w:val="008E3973"/>
    <w:rsid w:val="008E6603"/>
    <w:rsid w:val="008E69E6"/>
    <w:rsid w:val="008F350A"/>
    <w:rsid w:val="008F6015"/>
    <w:rsid w:val="00900F9F"/>
    <w:rsid w:val="009033BD"/>
    <w:rsid w:val="00904039"/>
    <w:rsid w:val="0090795E"/>
    <w:rsid w:val="00910401"/>
    <w:rsid w:val="00911A34"/>
    <w:rsid w:val="00912683"/>
    <w:rsid w:val="00912B69"/>
    <w:rsid w:val="00912DD1"/>
    <w:rsid w:val="00920E49"/>
    <w:rsid w:val="00922D04"/>
    <w:rsid w:val="0092332B"/>
    <w:rsid w:val="00925264"/>
    <w:rsid w:val="00926553"/>
    <w:rsid w:val="00932E1F"/>
    <w:rsid w:val="009337EB"/>
    <w:rsid w:val="00933FE2"/>
    <w:rsid w:val="0093403C"/>
    <w:rsid w:val="00935387"/>
    <w:rsid w:val="00941F21"/>
    <w:rsid w:val="009434B7"/>
    <w:rsid w:val="00944A06"/>
    <w:rsid w:val="009463C4"/>
    <w:rsid w:val="0094720E"/>
    <w:rsid w:val="009506BB"/>
    <w:rsid w:val="00953CAC"/>
    <w:rsid w:val="00955571"/>
    <w:rsid w:val="0096063F"/>
    <w:rsid w:val="009620CC"/>
    <w:rsid w:val="009628AD"/>
    <w:rsid w:val="00962DA1"/>
    <w:rsid w:val="0096541E"/>
    <w:rsid w:val="00965B70"/>
    <w:rsid w:val="00965F42"/>
    <w:rsid w:val="00967BC8"/>
    <w:rsid w:val="009746FC"/>
    <w:rsid w:val="00975227"/>
    <w:rsid w:val="00980033"/>
    <w:rsid w:val="00980E9A"/>
    <w:rsid w:val="0098122F"/>
    <w:rsid w:val="00987144"/>
    <w:rsid w:val="00990684"/>
    <w:rsid w:val="0099081D"/>
    <w:rsid w:val="00992F4F"/>
    <w:rsid w:val="00993223"/>
    <w:rsid w:val="009940F3"/>
    <w:rsid w:val="00994774"/>
    <w:rsid w:val="009953A8"/>
    <w:rsid w:val="00996A8E"/>
    <w:rsid w:val="009A03C6"/>
    <w:rsid w:val="009A0AA0"/>
    <w:rsid w:val="009A19C2"/>
    <w:rsid w:val="009A37D5"/>
    <w:rsid w:val="009A683D"/>
    <w:rsid w:val="009B1A0A"/>
    <w:rsid w:val="009B1F92"/>
    <w:rsid w:val="009B44C9"/>
    <w:rsid w:val="009B5929"/>
    <w:rsid w:val="009B5CC9"/>
    <w:rsid w:val="009C1A6D"/>
    <w:rsid w:val="009C2CD5"/>
    <w:rsid w:val="009C55EA"/>
    <w:rsid w:val="009C565D"/>
    <w:rsid w:val="009D0070"/>
    <w:rsid w:val="009D1A61"/>
    <w:rsid w:val="009D1E59"/>
    <w:rsid w:val="009D39E3"/>
    <w:rsid w:val="009D3FEB"/>
    <w:rsid w:val="009D538A"/>
    <w:rsid w:val="009D7B95"/>
    <w:rsid w:val="009E0BD1"/>
    <w:rsid w:val="009E2BDB"/>
    <w:rsid w:val="009E417E"/>
    <w:rsid w:val="009E52EF"/>
    <w:rsid w:val="009E5947"/>
    <w:rsid w:val="009E761C"/>
    <w:rsid w:val="009F26C0"/>
    <w:rsid w:val="009F308A"/>
    <w:rsid w:val="009F4D30"/>
    <w:rsid w:val="009F57D1"/>
    <w:rsid w:val="009F5E71"/>
    <w:rsid w:val="009F6E97"/>
    <w:rsid w:val="00A012C7"/>
    <w:rsid w:val="00A030B0"/>
    <w:rsid w:val="00A03959"/>
    <w:rsid w:val="00A03AD7"/>
    <w:rsid w:val="00A07F91"/>
    <w:rsid w:val="00A107D7"/>
    <w:rsid w:val="00A10B12"/>
    <w:rsid w:val="00A10D57"/>
    <w:rsid w:val="00A13E2A"/>
    <w:rsid w:val="00A14049"/>
    <w:rsid w:val="00A16B81"/>
    <w:rsid w:val="00A16E58"/>
    <w:rsid w:val="00A2352C"/>
    <w:rsid w:val="00A2445D"/>
    <w:rsid w:val="00A30B87"/>
    <w:rsid w:val="00A32194"/>
    <w:rsid w:val="00A32BCC"/>
    <w:rsid w:val="00A341B6"/>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C09"/>
    <w:rsid w:val="00A75548"/>
    <w:rsid w:val="00A75B0D"/>
    <w:rsid w:val="00A76292"/>
    <w:rsid w:val="00A76DC6"/>
    <w:rsid w:val="00A803C5"/>
    <w:rsid w:val="00A80DB1"/>
    <w:rsid w:val="00A80EB7"/>
    <w:rsid w:val="00A842C0"/>
    <w:rsid w:val="00A93914"/>
    <w:rsid w:val="00A96FA1"/>
    <w:rsid w:val="00A979A8"/>
    <w:rsid w:val="00AA0272"/>
    <w:rsid w:val="00AA45F8"/>
    <w:rsid w:val="00AB025E"/>
    <w:rsid w:val="00AB048F"/>
    <w:rsid w:val="00AB4ACE"/>
    <w:rsid w:val="00AB6104"/>
    <w:rsid w:val="00AB79D2"/>
    <w:rsid w:val="00AB7BD4"/>
    <w:rsid w:val="00AC112E"/>
    <w:rsid w:val="00AC1CA0"/>
    <w:rsid w:val="00AC5812"/>
    <w:rsid w:val="00AC5CFD"/>
    <w:rsid w:val="00AC6D47"/>
    <w:rsid w:val="00AD0951"/>
    <w:rsid w:val="00AD4396"/>
    <w:rsid w:val="00AD5001"/>
    <w:rsid w:val="00AD52F8"/>
    <w:rsid w:val="00AD7F22"/>
    <w:rsid w:val="00AE0A5C"/>
    <w:rsid w:val="00AE0F04"/>
    <w:rsid w:val="00AE397A"/>
    <w:rsid w:val="00AE4701"/>
    <w:rsid w:val="00AE66E0"/>
    <w:rsid w:val="00AF5C24"/>
    <w:rsid w:val="00AF5F4E"/>
    <w:rsid w:val="00B0026D"/>
    <w:rsid w:val="00B01AE9"/>
    <w:rsid w:val="00B036EA"/>
    <w:rsid w:val="00B039CA"/>
    <w:rsid w:val="00B06E29"/>
    <w:rsid w:val="00B12805"/>
    <w:rsid w:val="00B13121"/>
    <w:rsid w:val="00B133FF"/>
    <w:rsid w:val="00B13805"/>
    <w:rsid w:val="00B138F6"/>
    <w:rsid w:val="00B142F1"/>
    <w:rsid w:val="00B14B20"/>
    <w:rsid w:val="00B14FBE"/>
    <w:rsid w:val="00B165A7"/>
    <w:rsid w:val="00B1742F"/>
    <w:rsid w:val="00B23663"/>
    <w:rsid w:val="00B237DD"/>
    <w:rsid w:val="00B25450"/>
    <w:rsid w:val="00B25A12"/>
    <w:rsid w:val="00B25A77"/>
    <w:rsid w:val="00B314A2"/>
    <w:rsid w:val="00B32B6F"/>
    <w:rsid w:val="00B33E41"/>
    <w:rsid w:val="00B35AD1"/>
    <w:rsid w:val="00B40E55"/>
    <w:rsid w:val="00B437D8"/>
    <w:rsid w:val="00B470DA"/>
    <w:rsid w:val="00B51AC8"/>
    <w:rsid w:val="00B520CF"/>
    <w:rsid w:val="00B52269"/>
    <w:rsid w:val="00B54217"/>
    <w:rsid w:val="00B571A2"/>
    <w:rsid w:val="00B573B1"/>
    <w:rsid w:val="00B614A3"/>
    <w:rsid w:val="00B64711"/>
    <w:rsid w:val="00B65755"/>
    <w:rsid w:val="00B658CD"/>
    <w:rsid w:val="00B66945"/>
    <w:rsid w:val="00B712B3"/>
    <w:rsid w:val="00B71F5A"/>
    <w:rsid w:val="00B72E2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0870"/>
    <w:rsid w:val="00BB0E7F"/>
    <w:rsid w:val="00BB1EA5"/>
    <w:rsid w:val="00BB4AFE"/>
    <w:rsid w:val="00BB7BE8"/>
    <w:rsid w:val="00BC02FA"/>
    <w:rsid w:val="00BC0A72"/>
    <w:rsid w:val="00BC0CD6"/>
    <w:rsid w:val="00BC2466"/>
    <w:rsid w:val="00BC579A"/>
    <w:rsid w:val="00BC661C"/>
    <w:rsid w:val="00BC76DB"/>
    <w:rsid w:val="00BD0024"/>
    <w:rsid w:val="00BD0533"/>
    <w:rsid w:val="00BD22FE"/>
    <w:rsid w:val="00BD34D3"/>
    <w:rsid w:val="00BD69CF"/>
    <w:rsid w:val="00BE09DE"/>
    <w:rsid w:val="00BE0B32"/>
    <w:rsid w:val="00BE0BA2"/>
    <w:rsid w:val="00BE1755"/>
    <w:rsid w:val="00BE1D2C"/>
    <w:rsid w:val="00BE3BB8"/>
    <w:rsid w:val="00BE59CC"/>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3C68"/>
    <w:rsid w:val="00C3751A"/>
    <w:rsid w:val="00C412FF"/>
    <w:rsid w:val="00C41C42"/>
    <w:rsid w:val="00C41F25"/>
    <w:rsid w:val="00C41F5D"/>
    <w:rsid w:val="00C43336"/>
    <w:rsid w:val="00C44560"/>
    <w:rsid w:val="00C44F82"/>
    <w:rsid w:val="00C45CF0"/>
    <w:rsid w:val="00C47BD5"/>
    <w:rsid w:val="00C51A83"/>
    <w:rsid w:val="00C52ADC"/>
    <w:rsid w:val="00C548EB"/>
    <w:rsid w:val="00C55187"/>
    <w:rsid w:val="00C6259B"/>
    <w:rsid w:val="00C62E58"/>
    <w:rsid w:val="00C638FE"/>
    <w:rsid w:val="00C64186"/>
    <w:rsid w:val="00C65271"/>
    <w:rsid w:val="00C71AEC"/>
    <w:rsid w:val="00C729DF"/>
    <w:rsid w:val="00C77C1E"/>
    <w:rsid w:val="00C81A76"/>
    <w:rsid w:val="00C81AC2"/>
    <w:rsid w:val="00C84AD9"/>
    <w:rsid w:val="00C8500E"/>
    <w:rsid w:val="00C92318"/>
    <w:rsid w:val="00C92D1B"/>
    <w:rsid w:val="00C93FDD"/>
    <w:rsid w:val="00C9496D"/>
    <w:rsid w:val="00CA0627"/>
    <w:rsid w:val="00CA0E01"/>
    <w:rsid w:val="00CA2E3E"/>
    <w:rsid w:val="00CA3282"/>
    <w:rsid w:val="00CA33D3"/>
    <w:rsid w:val="00CA4E63"/>
    <w:rsid w:val="00CA71CC"/>
    <w:rsid w:val="00CB2252"/>
    <w:rsid w:val="00CB2A99"/>
    <w:rsid w:val="00CB3B62"/>
    <w:rsid w:val="00CB4B87"/>
    <w:rsid w:val="00CB7C85"/>
    <w:rsid w:val="00CC0D8F"/>
    <w:rsid w:val="00CC6C44"/>
    <w:rsid w:val="00CD0AA8"/>
    <w:rsid w:val="00CD2217"/>
    <w:rsid w:val="00CD3108"/>
    <w:rsid w:val="00CD3404"/>
    <w:rsid w:val="00CD4E49"/>
    <w:rsid w:val="00CE21D3"/>
    <w:rsid w:val="00CE394E"/>
    <w:rsid w:val="00CE420F"/>
    <w:rsid w:val="00CE4D84"/>
    <w:rsid w:val="00CE60C5"/>
    <w:rsid w:val="00CF0272"/>
    <w:rsid w:val="00CF1E94"/>
    <w:rsid w:val="00CF2301"/>
    <w:rsid w:val="00CF2858"/>
    <w:rsid w:val="00CF423E"/>
    <w:rsid w:val="00D00A75"/>
    <w:rsid w:val="00D00FF2"/>
    <w:rsid w:val="00D01A9D"/>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AFB"/>
    <w:rsid w:val="00D40B37"/>
    <w:rsid w:val="00D44761"/>
    <w:rsid w:val="00D44E97"/>
    <w:rsid w:val="00D45A25"/>
    <w:rsid w:val="00D46731"/>
    <w:rsid w:val="00D50B49"/>
    <w:rsid w:val="00D50E9F"/>
    <w:rsid w:val="00D528C9"/>
    <w:rsid w:val="00D52FF3"/>
    <w:rsid w:val="00D53A5F"/>
    <w:rsid w:val="00D53CDE"/>
    <w:rsid w:val="00D54C6D"/>
    <w:rsid w:val="00D5565C"/>
    <w:rsid w:val="00D55DB2"/>
    <w:rsid w:val="00D566EB"/>
    <w:rsid w:val="00D57213"/>
    <w:rsid w:val="00D61A58"/>
    <w:rsid w:val="00D61B8D"/>
    <w:rsid w:val="00D62C9C"/>
    <w:rsid w:val="00D63DD7"/>
    <w:rsid w:val="00D66968"/>
    <w:rsid w:val="00D67748"/>
    <w:rsid w:val="00D71E40"/>
    <w:rsid w:val="00D76D09"/>
    <w:rsid w:val="00D76D6A"/>
    <w:rsid w:val="00D7738C"/>
    <w:rsid w:val="00D816A3"/>
    <w:rsid w:val="00D8189F"/>
    <w:rsid w:val="00D81AAB"/>
    <w:rsid w:val="00D8403B"/>
    <w:rsid w:val="00D86BCD"/>
    <w:rsid w:val="00D871E0"/>
    <w:rsid w:val="00D877EA"/>
    <w:rsid w:val="00D91DFE"/>
    <w:rsid w:val="00D931BC"/>
    <w:rsid w:val="00D9405A"/>
    <w:rsid w:val="00D94728"/>
    <w:rsid w:val="00D96D80"/>
    <w:rsid w:val="00DA0241"/>
    <w:rsid w:val="00DA196B"/>
    <w:rsid w:val="00DA1D95"/>
    <w:rsid w:val="00DA2645"/>
    <w:rsid w:val="00DA537A"/>
    <w:rsid w:val="00DA5A0B"/>
    <w:rsid w:val="00DB049C"/>
    <w:rsid w:val="00DB16C0"/>
    <w:rsid w:val="00DB2F86"/>
    <w:rsid w:val="00DB3FF0"/>
    <w:rsid w:val="00DB4300"/>
    <w:rsid w:val="00DB500B"/>
    <w:rsid w:val="00DB7D85"/>
    <w:rsid w:val="00DC0304"/>
    <w:rsid w:val="00DC227D"/>
    <w:rsid w:val="00DC2719"/>
    <w:rsid w:val="00DC3225"/>
    <w:rsid w:val="00DC3BE3"/>
    <w:rsid w:val="00DC5376"/>
    <w:rsid w:val="00DD2097"/>
    <w:rsid w:val="00DD342E"/>
    <w:rsid w:val="00DD60E7"/>
    <w:rsid w:val="00DD6767"/>
    <w:rsid w:val="00DE1E42"/>
    <w:rsid w:val="00DE3999"/>
    <w:rsid w:val="00DE416A"/>
    <w:rsid w:val="00DE76BB"/>
    <w:rsid w:val="00DE76F0"/>
    <w:rsid w:val="00DF0241"/>
    <w:rsid w:val="00DF071B"/>
    <w:rsid w:val="00DF177E"/>
    <w:rsid w:val="00DF1A7E"/>
    <w:rsid w:val="00DF27D7"/>
    <w:rsid w:val="00DF62B0"/>
    <w:rsid w:val="00DF649F"/>
    <w:rsid w:val="00E00C8A"/>
    <w:rsid w:val="00E01FCC"/>
    <w:rsid w:val="00E040C6"/>
    <w:rsid w:val="00E07A62"/>
    <w:rsid w:val="00E11A71"/>
    <w:rsid w:val="00E157A5"/>
    <w:rsid w:val="00E23117"/>
    <w:rsid w:val="00E2494E"/>
    <w:rsid w:val="00E25D0B"/>
    <w:rsid w:val="00E27AC3"/>
    <w:rsid w:val="00E27B9E"/>
    <w:rsid w:val="00E33504"/>
    <w:rsid w:val="00E33DED"/>
    <w:rsid w:val="00E34982"/>
    <w:rsid w:val="00E3623C"/>
    <w:rsid w:val="00E37BF1"/>
    <w:rsid w:val="00E43E76"/>
    <w:rsid w:val="00E44349"/>
    <w:rsid w:val="00E540DA"/>
    <w:rsid w:val="00E544D1"/>
    <w:rsid w:val="00E602B9"/>
    <w:rsid w:val="00E6081B"/>
    <w:rsid w:val="00E6112B"/>
    <w:rsid w:val="00E63E6D"/>
    <w:rsid w:val="00E65843"/>
    <w:rsid w:val="00E70B37"/>
    <w:rsid w:val="00E72D41"/>
    <w:rsid w:val="00E73A68"/>
    <w:rsid w:val="00E742A1"/>
    <w:rsid w:val="00E746AA"/>
    <w:rsid w:val="00E74B07"/>
    <w:rsid w:val="00E802A7"/>
    <w:rsid w:val="00E815F9"/>
    <w:rsid w:val="00E819C7"/>
    <w:rsid w:val="00E81F59"/>
    <w:rsid w:val="00E82872"/>
    <w:rsid w:val="00E859FE"/>
    <w:rsid w:val="00E91B13"/>
    <w:rsid w:val="00E924AC"/>
    <w:rsid w:val="00E93CA1"/>
    <w:rsid w:val="00E9437E"/>
    <w:rsid w:val="00E95B04"/>
    <w:rsid w:val="00E9678C"/>
    <w:rsid w:val="00E97655"/>
    <w:rsid w:val="00E97FAE"/>
    <w:rsid w:val="00EA1D8F"/>
    <w:rsid w:val="00EA6420"/>
    <w:rsid w:val="00EA6643"/>
    <w:rsid w:val="00EB1FFC"/>
    <w:rsid w:val="00EB209D"/>
    <w:rsid w:val="00EB277B"/>
    <w:rsid w:val="00EB323D"/>
    <w:rsid w:val="00EB3DDE"/>
    <w:rsid w:val="00EB3FBA"/>
    <w:rsid w:val="00EB4E47"/>
    <w:rsid w:val="00EB5B27"/>
    <w:rsid w:val="00EC09AA"/>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2164"/>
    <w:rsid w:val="00F138D1"/>
    <w:rsid w:val="00F148EB"/>
    <w:rsid w:val="00F14FDC"/>
    <w:rsid w:val="00F1500A"/>
    <w:rsid w:val="00F15770"/>
    <w:rsid w:val="00F15923"/>
    <w:rsid w:val="00F1720B"/>
    <w:rsid w:val="00F177F3"/>
    <w:rsid w:val="00F2017D"/>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1C19"/>
    <w:rsid w:val="00F65098"/>
    <w:rsid w:val="00F65380"/>
    <w:rsid w:val="00F66D1B"/>
    <w:rsid w:val="00F763EC"/>
    <w:rsid w:val="00F767CD"/>
    <w:rsid w:val="00F77E50"/>
    <w:rsid w:val="00F80708"/>
    <w:rsid w:val="00F81B23"/>
    <w:rsid w:val="00F8500A"/>
    <w:rsid w:val="00F864C4"/>
    <w:rsid w:val="00F86A04"/>
    <w:rsid w:val="00F873D9"/>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2E83"/>
    <w:rsid w:val="00FB45EA"/>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24F7"/>
    <w:rsid w:val="00FF45EB"/>
    <w:rsid w:val="00FF719E"/>
    <w:rsid w:val="50E507FB"/>
    <w:rsid w:val="76B00E67"/>
    <w:rsid w:val="7703883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036CC6"/>
  <w14:defaultImageDpi w14:val="0"/>
  <w15:docId w15:val="{BF372C9B-0D0A-BE4B-BD02-0735F17B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C64186"/>
    <w:pPr>
      <w:keepNext/>
      <w:keepLines/>
      <w:numPr>
        <w:numId w:val="29"/>
      </w:numPr>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25A77"/>
    <w:pPr>
      <w:keepNext/>
      <w:keepLines/>
      <w:numPr>
        <w:ilvl w:val="1"/>
        <w:numId w:val="29"/>
      </w:numPr>
      <w:spacing w:before="120" w:after="320" w:line="460" w:lineRule="exact"/>
      <w:ind w:left="851" w:hanging="851"/>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6D2FFD"/>
    <w:pPr>
      <w:keepNext/>
      <w:keepLines/>
      <w:spacing w:after="240" w:line="40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B25A77"/>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6D2FFD"/>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1D292E"/>
    <w:pPr>
      <w:spacing w:before="12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DF62B0"/>
    <w:pPr>
      <w:spacing w:after="120" w:line="360" w:lineRule="auto"/>
      <w:ind w:left="142" w:hanging="142"/>
    </w:pPr>
    <w:rPr>
      <w:sz w:val="20"/>
      <w:szCs w:val="20"/>
    </w:rPr>
  </w:style>
  <w:style w:type="character" w:customStyle="1" w:styleId="FootnoteTextChar">
    <w:name w:val="Footnote Text Char"/>
    <w:basedOn w:val="DefaultParagraphFont"/>
    <w:link w:val="FootnoteText"/>
    <w:uiPriority w:val="99"/>
    <w:semiHidden/>
    <w:rsid w:val="00DF62B0"/>
    <w:rPr>
      <w:sz w:val="20"/>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character" w:styleId="UnresolvedMention">
    <w:name w:val="Unresolved Mention"/>
    <w:basedOn w:val="DefaultParagraphFont"/>
    <w:uiPriority w:val="99"/>
    <w:semiHidden/>
    <w:unhideWhenUsed/>
    <w:rsid w:val="006D2FFD"/>
    <w:rPr>
      <w:color w:val="605E5C"/>
      <w:shd w:val="clear" w:color="auto" w:fill="E1DFDD"/>
    </w:rPr>
  </w:style>
  <w:style w:type="paragraph" w:customStyle="1" w:styleId="TableTextLeft">
    <w:name w:val="Table Text Left"/>
    <w:basedOn w:val="Normal"/>
    <w:qFormat/>
    <w:rsid w:val="00DD2097"/>
    <w:pPr>
      <w:suppressAutoHyphens w:val="0"/>
      <w:spacing w:before="70" w:after="70" w:line="240" w:lineRule="atLeast"/>
    </w:pPr>
    <w:rPr>
      <w:rFonts w:eastAsia="Times New Roman" w:cs="Times New Roman"/>
      <w:sz w:val="20"/>
      <w:szCs w:val="20"/>
    </w:rPr>
  </w:style>
  <w:style w:type="paragraph" w:customStyle="1" w:styleId="TableHeadingCentre">
    <w:name w:val="Table Heading Centre"/>
    <w:basedOn w:val="Normal"/>
    <w:qFormat/>
    <w:rsid w:val="00DD2097"/>
    <w:pPr>
      <w:keepNext/>
      <w:suppressAutoHyphens w:val="0"/>
      <w:spacing w:before="70" w:after="70" w:line="240" w:lineRule="atLeast"/>
      <w:jc w:val="center"/>
    </w:pPr>
    <w:rPr>
      <w:rFonts w:eastAsia="Times New Roman" w:cs="Times New Roman"/>
      <w:b/>
      <w:color w:val="44546A" w:themeColor="text2"/>
      <w:sz w:val="20"/>
      <w:szCs w:val="20"/>
    </w:rPr>
  </w:style>
  <w:style w:type="paragraph" w:styleId="TableofFigures">
    <w:name w:val="table of figures"/>
    <w:basedOn w:val="Normal"/>
    <w:next w:val="Normal"/>
    <w:uiPriority w:val="99"/>
    <w:unhideWhenUsed/>
    <w:rsid w:val="001D292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www.water.vic.gov.au/water-sources/groundwater/groundwater-management-2030/sustainable-yield-assessment/?a=777719" TargetMode="Externa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yperlink" Target="mailto:GM.2030@deeca.vic.gov.au" TargetMode="External"/><Relationship Id="rId34" Type="http://schemas.openxmlformats.org/officeDocument/2006/relationships/image" Target="media/image13.png"/><Relationship Id="rId42" Type="http://schemas.openxmlformats.org/officeDocument/2006/relationships/hyperlink" Target="http://creativecommons.org/licenses/by/4.0/"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3.xml"/><Relationship Id="rId45" Type="http://schemas.openxmlformats.org/officeDocument/2006/relationships/hyperlink" Target="http://www.accesshub.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styles" Target="styles.xml"/><Relationship Id="rId19" Type="http://schemas.openxmlformats.org/officeDocument/2006/relationships/hyperlink" Target="https://www.water.vic.gov.au/water-sources/groundwater/groundwater-management-2030/sustainable-yield-assessment/?a=777719" TargetMode="External"/><Relationship Id="rId31" Type="http://schemas.openxmlformats.org/officeDocument/2006/relationships/image" Target="media/image10.png"/><Relationship Id="rId44" Type="http://schemas.openxmlformats.org/officeDocument/2006/relationships/hyperlink" Target="mailto:customer.service@delwp.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creativecommons.org/licenses/by/4.0/" TargetMode="Externa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water.vic.gov.au/water-sources/groundwater/groundwater-management-2030"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deeca.vic.gov.au/" TargetMode="External"/><Relationship Id="rId20" Type="http://schemas.openxmlformats.org/officeDocument/2006/relationships/hyperlink" Target="https://www.water.vic.gov.au/water-sources/groundwater/groundwater-management-2030" TargetMode="External"/><Relationship Id="rId41" Type="http://schemas.openxmlformats.org/officeDocument/2006/relationships/hyperlink" Target="mailto:GM.2030@deeca.vic.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ater.vic.gov.au/water-sources/groundwater/groundwater-management-2030/sustainable-yield-assessment/?a=777719" TargetMode="External"/><Relationship Id="rId1" Type="http://schemas.openxmlformats.org/officeDocument/2006/relationships/hyperlink" Target="https://www.water.vic.gov.au/water-sources/groundwater/groundwater-management-2030/sustainable-yield-assessment/?a=7777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DB4487EBA720A4181CA1D2AB08F6007" ma:contentTypeVersion="211" ma:contentTypeDescription="All project related information. The library can be used to manage multiple projects." ma:contentTypeScope="" ma:versionID="6c1f13087c69756f1813a2884f41f17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b2ea2bc-1fdb-4923-8e95-6e0e4677a8dd" xmlns:ns6="71fe923a-761e-4c29-b684-c70d59a7e13a" targetNamespace="http://schemas.microsoft.com/office/2006/metadata/properties" ma:root="true" ma:fieldsID="96cdc45dbd692d02b3513c8b9fa1d2dc" ns1:_="" ns2:_="" ns3:_="" ns4:_="" ns5:_="" ns6:_="">
    <xsd:import namespace="http://schemas.microsoft.com/sharepoint/v3"/>
    <xsd:import namespace="9fd47c19-1c4a-4d7d-b342-c10cef269344"/>
    <xsd:import namespace="a5f32de4-e402-4188-b034-e71ca7d22e54"/>
    <xsd:import namespace="05aa45cf-ed89-4733-97a8-db4ce5c51511"/>
    <xsd:import namespace="fb2ea2bc-1fdb-4923-8e95-6e0e4677a8dd"/>
    <xsd:import namespace="71fe923a-761e-4c29-b684-c70d59a7e13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_dlc_Exempt" minOccurs="0"/>
                <xsd:element ref="ns4:DLCPolicyLabelValue" minOccurs="0"/>
                <xsd:element ref="ns2:g91c59fb10974fa1a03160ad8386f0f4" minOccurs="0"/>
                <xsd:element ref="ns5:MediaServiceMetadata" minOccurs="0"/>
                <xsd:element ref="ns5:MediaServiceFastMetadata" minOccurs="0"/>
                <xsd:element ref="ns5:MediaServiceAutoKeyPoints" minOccurs="0"/>
                <xsd:element ref="ns5:MediaServiceKeyPoints" minOccurs="0"/>
                <xsd:element ref="ns5:p83072cefddf4f958d8fba053b4aaca7" minOccurs="0"/>
                <xsd:element ref="ns5:h8bcc9b769bc4250881680225f079ca1" minOccurs="0"/>
                <xsd:element ref="ns5:dc46cc0144374d11b641f49f2662311a" minOccurs="0"/>
                <xsd:element ref="ns5:h0e6a11b5e7f48bebb7839029c051d59" minOccurs="0"/>
                <xsd:element ref="ns6:SharedWithUsers" minOccurs="0"/>
                <xsd:element ref="ns6:SharedWithDetails" minOccurs="0"/>
                <xsd:element ref="ns4:DLCPolicyLabelClientValue" minOccurs="0"/>
                <xsd:element ref="ns4:DLCPolicyLabelLock" minOccurs="0"/>
                <xsd:element ref="ns5:MediaServiceAutoTags" minOccurs="0"/>
                <xsd:element ref="ns5:MediaServiceOCR" minOccurs="0"/>
                <xsd:element ref="ns5:MediaServiceGenerationTime" minOccurs="0"/>
                <xsd:element ref="ns5:MediaServiceEventHashCode" minOccurs="0"/>
                <xsd:element ref="ns2:f2ccc2d036544b63b99cbcec8aa9ae6a" minOccurs="0"/>
                <xsd:element ref="ns5:lcf76f155ced4ddcb4097134ff3c332f" minOccurs="0"/>
                <xsd:element ref="ns5:MediaServiceDateTaken" minOccurs="0"/>
                <xsd:element ref="ns5:MediaLengthInSeconds" minOccurs="0"/>
                <xsd:element ref="ns5:MediaServiceObjectDetectorVersions" minOccurs="0"/>
                <xsd:element ref="ns5:MediaServiceSearchPropertie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2ccc2d036544b63b99cbcec8aa9ae6a" ma:index="44"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0"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8"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2ea2bc-1fdb-4923-8e95-6e0e4677a8dd"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p83072cefddf4f958d8fba053b4aaca7" ma:index="28" nillable="true" ma:taxonomy="true" ma:internalName="p83072cefddf4f958d8fba053b4aaca7" ma:taxonomyFieldName="EC5_x0020_Projects" ma:displayName="EC5 Projects" ma:indexed="true" ma:default="" ma:fieldId="{983072ce-fddf-4f95-8d8f-ba053b4aaca7}" ma:sspId="797aeec6-0273-40f2-ab3e-beee73212332" ma:termSetId="148f5d6f-2c32-4cfe-b6e9-f91db91cd326" ma:anchorId="00000000-0000-0000-0000-000000000000" ma:open="true" ma:isKeyword="false">
      <xsd:complexType>
        <xsd:sequence>
          <xsd:element ref="pc:Terms" minOccurs="0" maxOccurs="1"/>
        </xsd:sequence>
      </xsd:complexType>
    </xsd:element>
    <xsd:element name="h8bcc9b769bc4250881680225f079ca1" ma:index="30" nillable="true" ma:taxonomy="true" ma:internalName="h8bcc9b769bc4250881680225f079ca1" ma:taxonomyFieldName="Area" ma:displayName="Area" ma:default="" ma:fieldId="{18bcc9b7-69bc-4250-8816-80225f079ca1}" ma:sspId="797aeec6-0273-40f2-ab3e-beee73212332" ma:termSetId="907752f1-b0d3-4b84-a2ea-323dee595a2e" ma:anchorId="00000000-0000-0000-0000-000000000000" ma:open="true" ma:isKeyword="false">
      <xsd:complexType>
        <xsd:sequence>
          <xsd:element ref="pc:Terms" minOccurs="0" maxOccurs="1"/>
        </xsd:sequence>
      </xsd:complexType>
    </xsd:element>
    <xsd:element name="dc46cc0144374d11b641f49f2662311a" ma:index="32" nillable="true" ma:taxonomy="true" ma:internalName="dc46cc0144374d11b641f49f2662311a" ma:taxonomyFieldName="Project_x0020_Phase" ma:displayName="Project Phase" ma:default="" ma:fieldId="{dc46cc01-4437-4d11-b641-f49f2662311a}" ma:sspId="797aeec6-0273-40f2-ab3e-beee73212332" ma:termSetId="eeb2763f-86cd-47c0-ac02-db351853320c" ma:anchorId="00000000-0000-0000-0000-000000000000" ma:open="true" ma:isKeyword="false">
      <xsd:complexType>
        <xsd:sequence>
          <xsd:element ref="pc:Terms" minOccurs="0" maxOccurs="1"/>
        </xsd:sequence>
      </xsd:complexType>
    </xsd:element>
    <xsd:element name="h0e6a11b5e7f48bebb7839029c051d59" ma:index="34" nillable="true" ma:taxonomy="true" ma:internalName="h0e6a11b5e7f48bebb7839029c051d59" ma:taxonomyFieldName="Document_x0020_Type" ma:displayName="Document Type" ma:default="" ma:fieldId="{10e6a11b-5e7f-48be-bb78-39029c051d59}"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47" nillable="true" ma:displayName="MediaServiceDateTaken" ma:hidden="true" ma:indexed="true" ma:internalName="MediaServiceDateTaken" ma:readOnly="true">
      <xsd:simpleType>
        <xsd:restriction base="dms:Text"/>
      </xsd:simpleType>
    </xsd:element>
    <xsd:element name="MediaLengthInSeconds" ma:index="48" nillable="true" ma:displayName="MediaLengthInSeconds" ma:hidden="true" ma:internalName="MediaLengthInSeconds" ma:readOnly="true">
      <xsd:simpleType>
        <xsd:restriction base="dms:Unknown"/>
      </xsd:simple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BillingMetadata" ma:index="5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166</Value>
      <Value>197</Value>
      <Value>59</Value>
      <Value>92</Value>
      <Value>3</Value>
      <Value>2</Value>
    </TaxCatchAll>
    <h8bcc9b769bc4250881680225f079ca1 xmlns="fb2ea2bc-1fdb-4923-8e95-6e0e4677a8dd">
      <Terms xmlns="http://schemas.microsoft.com/office/infopath/2007/PartnerControls"/>
    </h8bcc9b769bc4250881680225f079ca1>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lcf76f155ced4ddcb4097134ff3c332f xmlns="fb2ea2bc-1fdb-4923-8e95-6e0e4677a8dd">
      <Terms xmlns="http://schemas.microsoft.com/office/infopath/2007/PartnerControls"/>
    </lcf76f155ced4ddcb4097134ff3c332f>
    <g91c59fb10974fa1a03160ad8386f0f4 xmlns="9fd47c19-1c4a-4d7d-b342-c10cef269344">
      <Terms xmlns="http://schemas.microsoft.com/office/infopath/2007/PartnerControls"/>
    </g91c59fb10974fa1a03160ad8386f0f4>
    <dc46cc0144374d11b641f49f2662311a xmlns="fb2ea2bc-1fdb-4923-8e95-6e0e4677a8dd">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83a3ccdd-3cda-4c9a-87f3-14ad393a6cd4</TermId>
        </TermInfo>
      </Terms>
    </dc46cc0144374d11b641f49f2662311a>
    <h0e6a11b5e7f48bebb7839029c051d59 xmlns="fb2ea2bc-1fdb-4923-8e95-6e0e4677a8d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h0e6a11b5e7f48bebb7839029c051d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83072cefddf4f958d8fba053b4aaca7 xmlns="fb2ea2bc-1fdb-4923-8e95-6e0e4677a8dd">
      <Terms xmlns="http://schemas.microsoft.com/office/infopath/2007/PartnerControls">
        <TermInfo xmlns="http://schemas.microsoft.com/office/infopath/2007/PartnerControls">
          <TermName xmlns="http://schemas.microsoft.com/office/infopath/2007/PartnerControls">SY Project: Communication ＆ Engagement</TermName>
          <TermId xmlns="http://schemas.microsoft.com/office/infopath/2007/PartnerControls">c3155955-96e1-4d4b-9a5d-29a9efb5eb91</TermId>
        </TermInfo>
      </Terms>
    </p83072cefddf4f958d8fba053b4aaca7>
    <DLCPolicyLabelClientValue xmlns="05aa45cf-ed89-4733-97a8-db4ce5c51511">Version {_UIVersionString}</DLCPolicyLabelClientValue>
    <DLCPolicyLabelLock xmlns="05aa45cf-ed89-4733-97a8-db4ce5c51511" xsi:nil="true"/>
    <_dlc_DocId xmlns="a5f32de4-e402-4188-b034-e71ca7d22e54">DOCID271-915778164-5281</_dlc_DocId>
    <_dlc_DocIdUrl xmlns="a5f32de4-e402-4188-b034-e71ca7d22e54">
      <Url>https://delwpvicgovau.sharepoint.com/sites/ecm_271/_layouts/15/DocIdRedir.aspx?ID=DOCID271-915778164-5281</Url>
      <Description>DOCID271-915778164-5281</Description>
    </_dlc_DocIdUrl>
    <DLCPolicyLabelValue xmlns="05aa45cf-ed89-4733-97a8-db4ce5c51511">Version 0.9</DLCPolicyLabelValue>
  </documentManagement>
</p:properties>
</file>

<file path=customXml/item8.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D153BF24-DE89-4A01-A8C4-D77F5AB0B806}">
  <ds:schemaRefs>
    <ds:schemaRef ds:uri="Microsoft.SharePoint.Taxonomy.ContentTypeSync"/>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45844534-9555-4D67-8E57-99E51B86C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b2ea2bc-1fdb-4923-8e95-6e0e4677a8dd"/>
    <ds:schemaRef ds:uri="71fe923a-761e-4c29-b684-c70d59a7e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0017F-1151-434D-836A-024D32E01851}">
  <ds:schemaRefs>
    <ds:schemaRef ds:uri="office.server.policy"/>
  </ds:schemaRefs>
</ds:datastoreItem>
</file>

<file path=customXml/itemProps5.xml><?xml version="1.0" encoding="utf-8"?>
<ds:datastoreItem xmlns:ds="http://schemas.openxmlformats.org/officeDocument/2006/customXml" ds:itemID="{C5F28F6E-AA32-4561-AB7C-D1A6D64B6B3E}">
  <ds:schemaRefs>
    <ds:schemaRef ds:uri="http://schemas.microsoft.com/sharepoint/events"/>
  </ds:schemaRefs>
</ds:datastoreItem>
</file>

<file path=customXml/itemProps6.xml><?xml version="1.0" encoding="utf-8"?>
<ds:datastoreItem xmlns:ds="http://schemas.openxmlformats.org/officeDocument/2006/customXml" ds:itemID="{36ADE0CC-4C8B-45DE-869D-AB3351DFBE2B}">
  <ds:schemaRefs>
    <ds:schemaRef ds:uri="http://schemas.microsoft.com/sharepoint/v3/contenttype/forms"/>
  </ds:schemaRefs>
</ds:datastoreItem>
</file>

<file path=customXml/itemProps7.xml><?xml version="1.0" encoding="utf-8"?>
<ds:datastoreItem xmlns:ds="http://schemas.openxmlformats.org/officeDocument/2006/customXml" ds:itemID="{B6D4FC05-9710-43CB-AEE8-DE91EC87F944}">
  <ds:schemaRefs>
    <ds:schemaRef ds:uri="71fe923a-761e-4c29-b684-c70d59a7e13a"/>
    <ds:schemaRef ds:uri="http://schemas.microsoft.com/office/2006/metadata/properties"/>
    <ds:schemaRef ds:uri="http://schemas.microsoft.com/sharepoint/v3"/>
    <ds:schemaRef ds:uri="http://purl.org/dc/elements/1.1/"/>
    <ds:schemaRef ds:uri="http://purl.org/dc/dcmitype/"/>
    <ds:schemaRef ds:uri="http://www.w3.org/XML/1998/namespace"/>
    <ds:schemaRef ds:uri="05aa45cf-ed89-4733-97a8-db4ce5c51511"/>
    <ds:schemaRef ds:uri="9fd47c19-1c4a-4d7d-b342-c10cef269344"/>
    <ds:schemaRef ds:uri="a5f32de4-e402-4188-b034-e71ca7d22e5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b2ea2bc-1fdb-4923-8e95-6e0e4677a8dd"/>
  </ds:schemaRefs>
</ds:datastoreItem>
</file>

<file path=customXml/itemProps8.xml><?xml version="1.0" encoding="utf-8"?>
<ds:datastoreItem xmlns:ds="http://schemas.openxmlformats.org/officeDocument/2006/customXml" ds:itemID="{0EBD3C86-7E6E-46AC-AACA-EA22919874E1}">
  <ds:schemaRefs>
    <ds:schemaRef ds:uri="microsoft.office.server.policy.chang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8936</Words>
  <Characters>51204</Characters>
  <Application>Microsoft Office Word</Application>
  <DocSecurity>0</DocSecurity>
  <Lines>1651</Lines>
  <Paragraphs>1179</Paragraphs>
  <ScaleCrop>false</ScaleCrop>
  <Manager>N/A</Manager>
  <Company>Department of Energy, Environment and Climate Action</Company>
  <LinksUpToDate>false</LinksUpToDate>
  <CharactersWithSpaces>58961</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Groundwater Sustainable Yield Assessment: Overview Report</dc:title>
  <dc:subject>Groundwater Sustainable Yield Assessment: Overview Report</dc:subject>
  <dc:creator>Department of Energy, Environment and Climate Action</dc:creator>
  <cp:keywords/>
  <dc:description>© The State of Victoria Department of Energy, Environment and Climate Action</dc:description>
  <cp:lastModifiedBy>Rebecca Dick (DEECA)</cp:lastModifiedBy>
  <cp:revision>2</cp:revision>
  <cp:lastPrinted>2026-02-25T01:08:00Z</cp:lastPrinted>
  <dcterms:created xsi:type="dcterms:W3CDTF">2026-03-05T03:59:00Z</dcterms:created>
  <dcterms:modified xsi:type="dcterms:W3CDTF">2026-03-05T03:59:00Z</dcterms:modified>
  <cp:category>Overview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0x0101009298E819CE1EBB4F8D2096B3E0F0C2911D007DB4487EBA720A4181CA1D2AB08F6007</vt:lpwstr>
  </property>
  <property fmtid="{D5CDD505-2E9C-101B-9397-08002B2CF9AE}" pid="10" name="Document_x0020_Type">
    <vt:lpwstr>59;#Report|68f408df-3c0e-45dc-a0eb-b580fdedae5b</vt:lpwstr>
  </property>
  <property fmtid="{D5CDD505-2E9C-101B-9397-08002B2CF9AE}" pid="11" name="MediaServiceImageTags">
    <vt:lpwstr/>
  </property>
  <property fmtid="{D5CDD505-2E9C-101B-9397-08002B2CF9AE}" pid="12" name="Records Class Project">
    <vt:lpwstr>166;#Reference Materials|f95fc07f-4085-41de-ae1e-da9e571af2f5</vt:lpwstr>
  </property>
  <property fmtid="{D5CDD505-2E9C-101B-9397-08002B2CF9AE}" pid="13" name="Project Phase">
    <vt:lpwstr>92;#Project Management|83a3ccdd-3cda-4c9a-87f3-14ad393a6cd4</vt:lpwstr>
  </property>
  <property fmtid="{D5CDD505-2E9C-101B-9397-08002B2CF9AE}" pid="14" name="Records_x0020_Class_x0020_Project">
    <vt:lpwstr>166;#Reference Materials|f95fc07f-4085-41de-ae1e-da9e571af2f5</vt:lpwstr>
  </property>
  <property fmtid="{D5CDD505-2E9C-101B-9397-08002B2CF9AE}" pid="15" name="EC5_x0020_Projects">
    <vt:lpwstr>197;#SY Project: Communication ＆ Engagement|c3155955-96e1-4d4b-9a5d-29a9efb5eb91</vt:lpwstr>
  </property>
  <property fmtid="{D5CDD505-2E9C-101B-9397-08002B2CF9AE}" pid="16" name="Department Document Type">
    <vt:lpwstr/>
  </property>
  <property fmtid="{D5CDD505-2E9C-101B-9397-08002B2CF9AE}" pid="17" name="Dissemination Limiting Marker">
    <vt:lpwstr>2;#FOUO|955eb6fc-b35a-4808-8aa5-31e514fa3f26</vt:lpwstr>
  </property>
  <property fmtid="{D5CDD505-2E9C-101B-9397-08002B2CF9AE}" pid="18" name="Project_x0020_Phase">
    <vt:lpwstr>92;#Project Management|83a3ccdd-3cda-4c9a-87f3-14ad393a6cd4</vt:lpwstr>
  </property>
  <property fmtid="{D5CDD505-2E9C-101B-9397-08002B2CF9AE}" pid="19" name="Security Classification">
    <vt:lpwstr>3;#Unclassified|7fa379f4-4aba-4692-ab80-7d39d3a23cf4</vt:lpwstr>
  </property>
  <property fmtid="{D5CDD505-2E9C-101B-9397-08002B2CF9AE}" pid="20" name="Document Type">
    <vt:lpwstr>59</vt:lpwstr>
  </property>
  <property fmtid="{D5CDD505-2E9C-101B-9397-08002B2CF9AE}" pid="21" name="Record Purpose">
    <vt:lpwstr/>
  </property>
  <property fmtid="{D5CDD505-2E9C-101B-9397-08002B2CF9AE}" pid="22" name="Security_x0020_Classification">
    <vt:lpwstr>3;#Unclassified|7fa379f4-4aba-4692-ab80-7d39d3a23cf4</vt:lpwstr>
  </property>
  <property fmtid="{D5CDD505-2E9C-101B-9397-08002B2CF9AE}" pid="23" name="EC5 Projects">
    <vt:lpwstr>197</vt:lpwstr>
  </property>
  <property fmtid="{D5CDD505-2E9C-101B-9397-08002B2CF9AE}" pid="24" name="Record_x0020_Purpose">
    <vt:lpwstr/>
  </property>
  <property fmtid="{D5CDD505-2E9C-101B-9397-08002B2CF9AE}" pid="25" name="Department_x0020_Document_x0020_Type">
    <vt:lpwstr/>
  </property>
  <property fmtid="{D5CDD505-2E9C-101B-9397-08002B2CF9AE}" pid="26" name="Dissemination_x0020_Limiting_x0020_Marker">
    <vt:lpwstr>2;#FOUO|955eb6fc-b35a-4808-8aa5-31e514fa3f26</vt:lpwstr>
  </property>
  <property fmtid="{D5CDD505-2E9C-101B-9397-08002B2CF9AE}" pid="27" name="Area">
    <vt:lpwstr/>
  </property>
  <property fmtid="{D5CDD505-2E9C-101B-9397-08002B2CF9AE}" pid="28" name="_dlc_DocIdItemGuid">
    <vt:lpwstr>7772f14f-0010-480c-b643-3cbe77c0cfaf</vt:lpwstr>
  </property>
</Properties>
</file>