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87D499A" w:rsidR="00FA195F" w:rsidRPr="00804347" w:rsidRDefault="00B52E0B">
      <w:pPr>
        <w:rPr>
          <w:rFonts w:ascii="Arial" w:hAnsi="Arial" w:cs="Arial"/>
          <w:b/>
          <w:bCs/>
          <w:sz w:val="40"/>
          <w:szCs w:val="40"/>
        </w:rPr>
      </w:pPr>
      <w:bookmarkStart w:id="0" w:name="_Hlk101519243"/>
      <w:bookmarkEnd w:id="0"/>
      <w:r w:rsidRPr="00804347">
        <w:rPr>
          <w:rFonts w:ascii="Arial" w:hAnsi="Arial" w:cs="Arial"/>
          <w:b/>
          <w:bCs/>
          <w:sz w:val="40"/>
          <w:szCs w:val="40"/>
        </w:rPr>
        <w:t>Victorian Rural Drainage Strategy</w:t>
      </w:r>
    </w:p>
    <w:p w14:paraId="5BD11108" w14:textId="77777777" w:rsidR="001B0951" w:rsidRPr="00804347" w:rsidRDefault="001B0951">
      <w:pPr>
        <w:rPr>
          <w:rFonts w:ascii="Arial" w:eastAsia="Times New Roman" w:hAnsi="Arial" w:cs="Arial"/>
          <w:sz w:val="20"/>
          <w:szCs w:val="20"/>
          <w:lang w:val="en-AU" w:eastAsia="en-AU"/>
        </w:rPr>
      </w:pPr>
    </w:p>
    <w:p w14:paraId="50A977CB" w14:textId="26D88773" w:rsidR="00B52E0B" w:rsidRPr="00804347" w:rsidRDefault="00E068DA">
      <w:pPr>
        <w:rPr>
          <w:rFonts w:ascii="Arial" w:eastAsia="Times New Roman" w:hAnsi="Arial" w:cs="Arial"/>
          <w:sz w:val="28"/>
          <w:szCs w:val="28"/>
          <w:lang w:val="en-AU" w:eastAsia="en-AU"/>
        </w:rPr>
      </w:pPr>
      <w:r w:rsidRPr="00804347">
        <w:rPr>
          <w:rFonts w:ascii="Arial" w:eastAsia="Times New Roman" w:hAnsi="Arial" w:cs="Arial"/>
          <w:sz w:val="28"/>
          <w:szCs w:val="28"/>
          <w:lang w:val="en-AU" w:eastAsia="en-AU"/>
        </w:rPr>
        <w:t>Mid-Term Progress Report</w:t>
      </w:r>
    </w:p>
    <w:p w14:paraId="4C8567FD" w14:textId="77777777" w:rsidR="00E068DA" w:rsidRPr="00804347" w:rsidRDefault="00E068DA">
      <w:pPr>
        <w:rPr>
          <w:rFonts w:ascii="Arial" w:eastAsia="Times New Roman" w:hAnsi="Arial" w:cs="Arial"/>
          <w:sz w:val="20"/>
          <w:szCs w:val="20"/>
          <w:lang w:val="en-AU" w:eastAsia="en-AU"/>
        </w:rPr>
      </w:pPr>
    </w:p>
    <w:p w14:paraId="5EECBF80" w14:textId="77777777" w:rsidR="00DA1F14" w:rsidRPr="00804347" w:rsidRDefault="00DA1F14" w:rsidP="00050DEF">
      <w:pPr>
        <w:pStyle w:val="Heading2"/>
        <w:numPr>
          <w:ilvl w:val="0"/>
          <w:numId w:val="0"/>
        </w:numPr>
        <w:spacing w:before="0"/>
        <w:rPr>
          <w:rFonts w:ascii="Arial" w:hAnsi="Arial"/>
          <w:iCs w:val="0"/>
          <w:color w:val="auto"/>
          <w:szCs w:val="22"/>
        </w:rPr>
      </w:pPr>
      <w:r w:rsidRPr="00804347">
        <w:rPr>
          <w:rFonts w:ascii="Arial" w:hAnsi="Arial"/>
          <w:iCs w:val="0"/>
          <w:color w:val="auto"/>
          <w:szCs w:val="22"/>
        </w:rPr>
        <w:t>Introduction</w:t>
      </w:r>
    </w:p>
    <w:p w14:paraId="45116F55" w14:textId="77777777" w:rsidR="00001FDF" w:rsidRPr="00001FDF" w:rsidRDefault="00001FDF" w:rsidP="00001FDF">
      <w:pPr>
        <w:rPr>
          <w:rFonts w:ascii="Arial" w:eastAsia="Times New Roman" w:hAnsi="Arial" w:cs="Arial"/>
          <w:sz w:val="20"/>
          <w:szCs w:val="20"/>
          <w:lang w:val="en-AU"/>
        </w:rPr>
      </w:pPr>
      <w:r w:rsidRPr="00001FDF">
        <w:rPr>
          <w:rFonts w:ascii="Arial" w:eastAsia="Times New Roman" w:hAnsi="Arial" w:cs="Arial"/>
          <w:sz w:val="20"/>
          <w:szCs w:val="20"/>
          <w:lang w:val="en-AU"/>
        </w:rPr>
        <w:t xml:space="preserve">Dryland rural drainage is defined as drainage that benefits agriculture in dryland (not irrigated) regions outside of urban areas. It is the works and functions related to the collection, and timely removal, of excess water generated by high rainfall to support agricultural production. </w:t>
      </w:r>
    </w:p>
    <w:p w14:paraId="48E8D69C" w14:textId="77777777" w:rsidR="00001FDF" w:rsidRPr="00001FDF" w:rsidRDefault="00001FDF" w:rsidP="00001FDF">
      <w:pPr>
        <w:rPr>
          <w:rFonts w:ascii="Arial" w:eastAsia="Times New Roman" w:hAnsi="Arial" w:cs="Arial"/>
          <w:sz w:val="20"/>
          <w:szCs w:val="20"/>
          <w:lang w:val="en-AU"/>
        </w:rPr>
      </w:pPr>
      <w:r w:rsidRPr="00001FDF">
        <w:rPr>
          <w:rFonts w:ascii="Arial" w:eastAsia="Times New Roman" w:hAnsi="Arial" w:cs="Arial"/>
          <w:sz w:val="20"/>
          <w:szCs w:val="20"/>
          <w:lang w:val="en-AU"/>
        </w:rPr>
        <w:t xml:space="preserve">Released in 2018, the Victorian Rural Drainage Strategy supports landholders as private beneficiaries to make choices about how they want to manage dryland rural drainage. </w:t>
      </w:r>
    </w:p>
    <w:p w14:paraId="6DF71C09" w14:textId="38DBB747" w:rsidR="00AE583D" w:rsidRDefault="00001FDF" w:rsidP="009F20DB">
      <w:pPr>
        <w:rPr>
          <w:rFonts w:ascii="Arial" w:eastAsia="Times New Roman" w:hAnsi="Arial" w:cs="Arial"/>
          <w:sz w:val="20"/>
          <w:szCs w:val="20"/>
          <w:lang w:val="en-AU"/>
        </w:rPr>
      </w:pPr>
      <w:r w:rsidRPr="00001FDF">
        <w:rPr>
          <w:rFonts w:ascii="Arial" w:eastAsia="Times New Roman" w:hAnsi="Arial" w:cs="Arial"/>
          <w:sz w:val="20"/>
          <w:szCs w:val="20"/>
          <w:lang w:val="en-AU"/>
        </w:rPr>
        <w:t>The strategy outlines actions and policies that clarify roles and responsibilities of landholders and agencies, rebuild capability to manage drainage, simplify statutory approvals and outline landholder obligations to protect environmental and cultural values. The strategy vision is:</w:t>
      </w:r>
      <w:r w:rsidR="009F20DB" w:rsidRPr="009F20DB">
        <w:t xml:space="preserve"> </w:t>
      </w:r>
      <w:r w:rsidR="009F20DB" w:rsidRPr="009F20DB">
        <w:rPr>
          <w:rFonts w:ascii="Arial" w:eastAsia="Times New Roman" w:hAnsi="Arial" w:cs="Arial"/>
          <w:sz w:val="20"/>
          <w:szCs w:val="20"/>
          <w:lang w:val="en-AU"/>
        </w:rPr>
        <w:t>‘Landholders are empowered to work together and will be supported</w:t>
      </w:r>
      <w:r w:rsidR="009F20DB">
        <w:rPr>
          <w:rFonts w:ascii="Arial" w:eastAsia="Times New Roman" w:hAnsi="Arial" w:cs="Arial"/>
          <w:sz w:val="20"/>
          <w:szCs w:val="20"/>
          <w:lang w:val="en-AU"/>
        </w:rPr>
        <w:t xml:space="preserve"> </w:t>
      </w:r>
      <w:r w:rsidR="009F20DB" w:rsidRPr="009F20DB">
        <w:rPr>
          <w:rFonts w:ascii="Arial" w:eastAsia="Times New Roman" w:hAnsi="Arial" w:cs="Arial"/>
          <w:sz w:val="20"/>
          <w:szCs w:val="20"/>
          <w:lang w:val="en-AU"/>
        </w:rPr>
        <w:t>to improve their management of dryland rural drainage.’</w:t>
      </w:r>
    </w:p>
    <w:p w14:paraId="6BF5531D" w14:textId="7D137186" w:rsidR="001944A7" w:rsidRPr="00804347" w:rsidRDefault="001944A7" w:rsidP="00A968F8">
      <w:pPr>
        <w:spacing w:after="0"/>
        <w:rPr>
          <w:rFonts w:ascii="Arial" w:hAnsi="Arial" w:cs="Arial"/>
          <w:sz w:val="20"/>
          <w:szCs w:val="20"/>
        </w:rPr>
      </w:pPr>
      <w:r w:rsidRPr="00804347">
        <w:rPr>
          <w:rFonts w:ascii="Arial" w:hAnsi="Arial" w:cs="Arial"/>
          <w:sz w:val="20"/>
          <w:szCs w:val="20"/>
        </w:rPr>
        <w:t>Photograph</w:t>
      </w:r>
      <w:r w:rsidR="00E77AD8">
        <w:rPr>
          <w:rFonts w:ascii="Arial" w:hAnsi="Arial" w:cs="Arial"/>
          <w:sz w:val="20"/>
          <w:szCs w:val="20"/>
        </w:rPr>
        <w:t xml:space="preserve"> – image of drainage line </w:t>
      </w:r>
      <w:r w:rsidR="00291B39">
        <w:rPr>
          <w:rFonts w:ascii="Arial" w:hAnsi="Arial" w:cs="Arial"/>
          <w:sz w:val="20"/>
          <w:szCs w:val="20"/>
        </w:rPr>
        <w:t>with water and vegetation</w:t>
      </w:r>
    </w:p>
    <w:p w14:paraId="0F038F79" w14:textId="2A3F556D" w:rsidR="005A4659" w:rsidRPr="00804347" w:rsidRDefault="005A4659" w:rsidP="001944A7">
      <w:pPr>
        <w:rPr>
          <w:rFonts w:ascii="Arial" w:hAnsi="Arial" w:cs="Arial"/>
          <w:sz w:val="20"/>
          <w:szCs w:val="20"/>
        </w:rPr>
      </w:pPr>
      <w:r w:rsidRPr="00804347">
        <w:rPr>
          <w:rFonts w:ascii="Arial" w:hAnsi="Arial" w:cs="Arial"/>
          <w:sz w:val="20"/>
          <w:szCs w:val="20"/>
        </w:rPr>
        <w:t>Figure 1: Nullawarre main drain upstream of Skuses Road Bridge. Credit: Glenelg Hopkins CMA</w:t>
      </w:r>
    </w:p>
    <w:p w14:paraId="5534119D" w14:textId="668D73AC" w:rsidR="00291B39" w:rsidRPr="00804347" w:rsidRDefault="005003CD" w:rsidP="00E87977">
      <w:pPr>
        <w:pStyle w:val="BodyText"/>
        <w:rPr>
          <w:rFonts w:ascii="Arial" w:hAnsi="Arial" w:cs="Arial"/>
          <w:color w:val="auto"/>
        </w:rPr>
      </w:pPr>
      <w:r w:rsidRPr="005003CD">
        <w:rPr>
          <w:rFonts w:ascii="Arial" w:hAnsi="Arial" w:cs="Arial"/>
          <w:color w:val="auto"/>
        </w:rPr>
        <w:t>The Victorian Government invested $4.9 million to implement the strategy through 15 pilot projects delivered by catchment management authorities (CMA) in priority drainage schemes. A number of projects focussed on encouraging landholders to work together and formally agree to future management arrangements, while others assessed and aimed to protect and/or restore environmental and Aboriginal cultural values.</w:t>
      </w:r>
    </w:p>
    <w:p w14:paraId="22D1AD12" w14:textId="77777777" w:rsidR="005A4659" w:rsidRPr="00804347" w:rsidRDefault="005A4659" w:rsidP="00050DEF">
      <w:pPr>
        <w:pStyle w:val="Heading2"/>
        <w:numPr>
          <w:ilvl w:val="0"/>
          <w:numId w:val="0"/>
        </w:numPr>
        <w:rPr>
          <w:rFonts w:ascii="Arial" w:hAnsi="Arial"/>
          <w:iCs w:val="0"/>
          <w:color w:val="auto"/>
          <w:szCs w:val="22"/>
        </w:rPr>
      </w:pPr>
      <w:r w:rsidRPr="00804347">
        <w:rPr>
          <w:rFonts w:ascii="Arial" w:hAnsi="Arial"/>
          <w:iCs w:val="0"/>
          <w:color w:val="auto"/>
          <w:szCs w:val="22"/>
        </w:rPr>
        <w:t>Mid-term Progress</w:t>
      </w:r>
    </w:p>
    <w:p w14:paraId="65AD1DE1" w14:textId="77777777" w:rsidR="005C1B05" w:rsidRPr="00BC0678" w:rsidRDefault="005C1B05" w:rsidP="00BC0678">
      <w:pPr>
        <w:pStyle w:val="BodyText"/>
        <w:jc w:val="both"/>
        <w:rPr>
          <w:rFonts w:ascii="Arial" w:hAnsi="Arial" w:cs="Arial"/>
          <w:color w:val="auto"/>
        </w:rPr>
      </w:pPr>
      <w:r w:rsidRPr="00BC0678">
        <w:rPr>
          <w:rFonts w:ascii="Arial" w:hAnsi="Arial" w:cs="Arial"/>
          <w:color w:val="auto"/>
        </w:rPr>
        <w:t>Progress in delivering the Victorian Rural Drainage Strategy is described under the five strategy outcomes which are:</w:t>
      </w:r>
    </w:p>
    <w:p w14:paraId="3D603EFE" w14:textId="77777777" w:rsidR="005C1B05" w:rsidRPr="00BC0678" w:rsidRDefault="005C1B05" w:rsidP="00BC0678">
      <w:pPr>
        <w:pStyle w:val="BodyText"/>
        <w:numPr>
          <w:ilvl w:val="0"/>
          <w:numId w:val="3"/>
        </w:numPr>
        <w:jc w:val="both"/>
        <w:rPr>
          <w:rFonts w:ascii="Arial" w:hAnsi="Arial" w:cs="Arial"/>
          <w:color w:val="auto"/>
        </w:rPr>
      </w:pPr>
      <w:r w:rsidRPr="00BC0678">
        <w:rPr>
          <w:rFonts w:ascii="Arial" w:hAnsi="Arial" w:cs="Arial"/>
          <w:color w:val="auto"/>
        </w:rPr>
        <w:t xml:space="preserve">Landholders understand the various ways they can manage dryland rural drainage.  </w:t>
      </w:r>
    </w:p>
    <w:p w14:paraId="305D7296" w14:textId="77777777" w:rsidR="005C1B05" w:rsidRPr="00BC0678" w:rsidRDefault="005C1B05" w:rsidP="00BC0678">
      <w:pPr>
        <w:pStyle w:val="BodyText"/>
        <w:numPr>
          <w:ilvl w:val="0"/>
          <w:numId w:val="3"/>
        </w:numPr>
        <w:jc w:val="both"/>
        <w:rPr>
          <w:rFonts w:ascii="Arial" w:hAnsi="Arial" w:cs="Arial"/>
          <w:color w:val="auto"/>
        </w:rPr>
      </w:pPr>
      <w:r w:rsidRPr="00BC0678">
        <w:rPr>
          <w:rFonts w:ascii="Arial" w:hAnsi="Arial" w:cs="Arial"/>
          <w:color w:val="auto"/>
        </w:rPr>
        <w:t>Cultural values, environmental values and water resources are protected.</w:t>
      </w:r>
    </w:p>
    <w:p w14:paraId="0C01B5F1" w14:textId="77777777" w:rsidR="005C1B05" w:rsidRPr="00BC0678" w:rsidRDefault="005C1B05" w:rsidP="00BC0678">
      <w:pPr>
        <w:pStyle w:val="BodyText"/>
        <w:numPr>
          <w:ilvl w:val="0"/>
          <w:numId w:val="3"/>
        </w:numPr>
        <w:jc w:val="both"/>
        <w:rPr>
          <w:rFonts w:ascii="Arial" w:hAnsi="Arial" w:cs="Arial"/>
          <w:color w:val="auto"/>
        </w:rPr>
      </w:pPr>
      <w:r w:rsidRPr="00BC0678">
        <w:rPr>
          <w:rFonts w:ascii="Arial" w:hAnsi="Arial" w:cs="Arial"/>
          <w:color w:val="auto"/>
        </w:rPr>
        <w:t xml:space="preserve">Revised arrangements for former drainage areas involving priority waterways result in cultural and environmental values being restored. </w:t>
      </w:r>
    </w:p>
    <w:p w14:paraId="38ADA309" w14:textId="77777777" w:rsidR="005C1B05" w:rsidRPr="00BC0678" w:rsidRDefault="005C1B05" w:rsidP="00BC0678">
      <w:pPr>
        <w:pStyle w:val="BodyText"/>
        <w:numPr>
          <w:ilvl w:val="0"/>
          <w:numId w:val="3"/>
        </w:numPr>
        <w:jc w:val="both"/>
        <w:rPr>
          <w:rFonts w:ascii="Arial" w:hAnsi="Arial" w:cs="Arial"/>
          <w:color w:val="auto"/>
        </w:rPr>
      </w:pPr>
      <w:r w:rsidRPr="00BC0678">
        <w:rPr>
          <w:rFonts w:ascii="Arial" w:hAnsi="Arial" w:cs="Arial"/>
          <w:color w:val="auto"/>
        </w:rPr>
        <w:t>Relevant government agencies have clear roles and responsibilities and are aware of opportunities to work in partnerships to support landholders managing dryland rural drainage.</w:t>
      </w:r>
    </w:p>
    <w:p w14:paraId="78546ADB" w14:textId="77777777" w:rsidR="005C1B05" w:rsidRPr="00BC0678" w:rsidRDefault="005C1B05" w:rsidP="00BC0678">
      <w:pPr>
        <w:pStyle w:val="BodyText"/>
        <w:numPr>
          <w:ilvl w:val="0"/>
          <w:numId w:val="3"/>
        </w:numPr>
        <w:jc w:val="both"/>
        <w:rPr>
          <w:rFonts w:ascii="Arial" w:hAnsi="Arial" w:cs="Arial"/>
          <w:color w:val="auto"/>
        </w:rPr>
      </w:pPr>
      <w:r w:rsidRPr="00BC0678">
        <w:rPr>
          <w:rFonts w:ascii="Arial" w:hAnsi="Arial" w:cs="Arial"/>
          <w:color w:val="auto"/>
        </w:rPr>
        <w:t>Government agencies work together with landholders to rebuild capability and support ongoing arrangements for dryland rural drainage management.</w:t>
      </w:r>
    </w:p>
    <w:p w14:paraId="3397B6FD" w14:textId="77777777" w:rsidR="00EF7AC1" w:rsidRDefault="005C1B05" w:rsidP="008944E4">
      <w:pPr>
        <w:pStyle w:val="BodyText"/>
        <w:rPr>
          <w:rFonts w:ascii="Arial" w:hAnsi="Arial" w:cs="Arial"/>
          <w:color w:val="auto"/>
        </w:rPr>
      </w:pPr>
      <w:r w:rsidRPr="00BC0678">
        <w:rPr>
          <w:rFonts w:ascii="Arial" w:hAnsi="Arial" w:cs="Arial"/>
          <w:color w:val="auto"/>
        </w:rPr>
        <w:t>The following outcomes tables summarise the achievements and include the findings from a mid-term evaluation report completed by Tim Cummins and Associates in late 2021. The independent evaluation process involved a review of  pilot project reports and products and included interviews with project participants including agency and landholder representatives.</w:t>
      </w:r>
    </w:p>
    <w:p w14:paraId="1C049B84" w14:textId="3E072809" w:rsidR="000A46F0" w:rsidRPr="008944E4" w:rsidRDefault="00EF7AC1" w:rsidP="008944E4">
      <w:pPr>
        <w:pStyle w:val="BodyText"/>
        <w:rPr>
          <w:rFonts w:ascii="Arial" w:hAnsi="Arial"/>
          <w:bCs/>
          <w:color w:val="auto"/>
        </w:rPr>
      </w:pPr>
      <w:r w:rsidRPr="00EF7AC1">
        <w:rPr>
          <w:rFonts w:ascii="Arial" w:hAnsi="Arial"/>
          <w:bCs/>
          <w:color w:val="auto"/>
        </w:rPr>
        <w:t>The findings of the evaluation will be used to adapt and continue to deliver the strategy priorities and policies. The overall finding of the evaluation is that implementation of the strategy is delivering on the vision, with 8 of 11 actions completed and others in progress.</w:t>
      </w:r>
    </w:p>
    <w:p w14:paraId="701A8300" w14:textId="72860F44" w:rsidR="005A4659" w:rsidRPr="00D31210" w:rsidRDefault="005A4659" w:rsidP="00050DEF">
      <w:pPr>
        <w:pStyle w:val="Heading3"/>
        <w:numPr>
          <w:ilvl w:val="0"/>
          <w:numId w:val="0"/>
        </w:numPr>
        <w:jc w:val="both"/>
        <w:rPr>
          <w:rFonts w:ascii="Arial" w:hAnsi="Arial"/>
          <w:bCs/>
          <w:color w:val="auto"/>
        </w:rPr>
      </w:pPr>
      <w:r w:rsidRPr="00D31210">
        <w:rPr>
          <w:rFonts w:ascii="Arial" w:hAnsi="Arial"/>
          <w:bCs/>
          <w:color w:val="auto"/>
        </w:rPr>
        <w:lastRenderedPageBreak/>
        <w:t xml:space="preserve">Outcome 1 – Landholders understand the various ways they can manage dryland rural drainage.  </w:t>
      </w:r>
    </w:p>
    <w:tbl>
      <w:tblPr>
        <w:tblStyle w:val="TableGrid"/>
        <w:tblW w:w="5000" w:type="pct"/>
        <w:tblLook w:val="00A0" w:firstRow="1" w:lastRow="0" w:firstColumn="1" w:lastColumn="0" w:noHBand="0" w:noVBand="0"/>
      </w:tblPr>
      <w:tblGrid>
        <w:gridCol w:w="5103"/>
        <w:gridCol w:w="5103"/>
      </w:tblGrid>
      <w:tr w:rsidR="008215A8" w:rsidRPr="00050253" w14:paraId="34025353" w14:textId="77777777" w:rsidTr="000A46F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00" w:type="pct"/>
            <w:shd w:val="clear" w:color="auto" w:fill="auto"/>
          </w:tcPr>
          <w:p w14:paraId="3651517B" w14:textId="77777777" w:rsidR="008215A8" w:rsidRPr="008944E4" w:rsidRDefault="008215A8" w:rsidP="00A561BE">
            <w:pPr>
              <w:pStyle w:val="TableHeadingLeft"/>
              <w:rPr>
                <w:rFonts w:ascii="Arial" w:hAnsi="Arial"/>
                <w:b w:val="0"/>
                <w:bCs/>
                <w:color w:val="auto"/>
                <w:sz w:val="20"/>
                <w:szCs w:val="22"/>
              </w:rPr>
            </w:pPr>
            <w:r w:rsidRPr="008944E4">
              <w:rPr>
                <w:rFonts w:ascii="Arial" w:hAnsi="Arial"/>
                <w:b w:val="0"/>
                <w:bCs/>
                <w:color w:val="auto"/>
                <w:sz w:val="20"/>
                <w:szCs w:val="22"/>
              </w:rPr>
              <w:t>Achievements</w:t>
            </w:r>
          </w:p>
        </w:tc>
        <w:tc>
          <w:tcPr>
            <w:cnfStyle w:val="000010000000" w:firstRow="0" w:lastRow="0" w:firstColumn="0" w:lastColumn="0" w:oddVBand="1" w:evenVBand="0" w:oddHBand="0" w:evenHBand="0" w:firstRowFirstColumn="0" w:firstRowLastColumn="0" w:lastRowFirstColumn="0" w:lastRowLastColumn="0"/>
            <w:tcW w:w="2500" w:type="pct"/>
            <w:shd w:val="clear" w:color="auto" w:fill="auto"/>
          </w:tcPr>
          <w:p w14:paraId="68AF9C0B" w14:textId="77777777" w:rsidR="008215A8" w:rsidRPr="008944E4" w:rsidRDefault="008215A8" w:rsidP="00A561BE">
            <w:pPr>
              <w:pStyle w:val="TableHeadingLeft"/>
              <w:rPr>
                <w:rFonts w:ascii="Arial" w:hAnsi="Arial"/>
                <w:b w:val="0"/>
                <w:bCs/>
                <w:color w:val="auto"/>
                <w:sz w:val="20"/>
                <w:szCs w:val="22"/>
              </w:rPr>
            </w:pPr>
            <w:r w:rsidRPr="008944E4">
              <w:rPr>
                <w:rFonts w:ascii="Arial" w:hAnsi="Arial"/>
                <w:b w:val="0"/>
                <w:bCs/>
                <w:color w:val="auto"/>
                <w:sz w:val="20"/>
                <w:szCs w:val="22"/>
              </w:rPr>
              <w:t>Report findings</w:t>
            </w:r>
          </w:p>
        </w:tc>
      </w:tr>
      <w:tr w:rsidR="008215A8" w:rsidRPr="0093122B" w14:paraId="4DA095DF" w14:textId="77777777" w:rsidTr="000A46F0">
        <w:tc>
          <w:tcPr>
            <w:tcW w:w="2500" w:type="pct"/>
          </w:tcPr>
          <w:p w14:paraId="177F873D" w14:textId="77777777" w:rsidR="00995FE6" w:rsidRPr="00F95BF0" w:rsidRDefault="00995FE6" w:rsidP="00F95BF0">
            <w:pPr>
              <w:pStyle w:val="Heading1"/>
              <w:numPr>
                <w:ilvl w:val="0"/>
                <w:numId w:val="5"/>
              </w:numPr>
              <w:spacing w:before="60" w:after="60" w:line="240" w:lineRule="auto"/>
              <w:ind w:left="527" w:hanging="357"/>
              <w:rPr>
                <w:rFonts w:ascii="Arial" w:hAnsi="Arial"/>
                <w:b w:val="0"/>
                <w:bCs w:val="0"/>
                <w:color w:val="auto"/>
                <w:sz w:val="20"/>
                <w:szCs w:val="20"/>
              </w:rPr>
            </w:pPr>
            <w:r w:rsidRPr="00F95BF0">
              <w:rPr>
                <w:rFonts w:ascii="Arial" w:hAnsi="Arial"/>
                <w:b w:val="0"/>
                <w:bCs w:val="0"/>
                <w:color w:val="auto"/>
                <w:sz w:val="20"/>
                <w:szCs w:val="20"/>
              </w:rPr>
              <w:t>9 pilot projects completed in 10 priority drainage areas including extensive CMA consultation with landholders regarding roles and responsibilities and options to collaboratively manage drainage.</w:t>
            </w:r>
          </w:p>
          <w:p w14:paraId="2B83F247" w14:textId="1273FA51" w:rsidR="008215A8" w:rsidRPr="00F95BF0" w:rsidRDefault="00995FE6" w:rsidP="00F95BF0">
            <w:pPr>
              <w:pStyle w:val="Heading1"/>
              <w:numPr>
                <w:ilvl w:val="0"/>
                <w:numId w:val="5"/>
              </w:numPr>
              <w:spacing w:before="60" w:after="60" w:line="240" w:lineRule="auto"/>
              <w:ind w:left="527" w:hanging="357"/>
              <w:rPr>
                <w:rFonts w:ascii="Arial" w:hAnsi="Arial"/>
                <w:b w:val="0"/>
                <w:bCs w:val="0"/>
                <w:color w:val="auto"/>
                <w:sz w:val="20"/>
                <w:szCs w:val="20"/>
              </w:rPr>
            </w:pPr>
            <w:r w:rsidRPr="00F95BF0">
              <w:rPr>
                <w:rFonts w:ascii="Arial" w:hAnsi="Arial"/>
                <w:b w:val="0"/>
                <w:bCs w:val="0"/>
                <w:color w:val="auto"/>
                <w:sz w:val="20"/>
                <w:szCs w:val="20"/>
              </w:rPr>
              <w:t xml:space="preserve">A revised </w:t>
            </w:r>
            <w:r w:rsidRPr="00F95BF0">
              <w:rPr>
                <w:rFonts w:ascii="Arial" w:hAnsi="Arial"/>
                <w:b w:val="0"/>
                <w:bCs w:val="0"/>
                <w:i/>
                <w:iCs/>
                <w:color w:val="auto"/>
                <w:sz w:val="20"/>
                <w:szCs w:val="20"/>
              </w:rPr>
              <w:t>Dryland Rural Drainage Resource Kit for Landholders</w:t>
            </w:r>
            <w:r w:rsidRPr="00F95BF0">
              <w:rPr>
                <w:rFonts w:ascii="Arial" w:hAnsi="Arial"/>
                <w:b w:val="0"/>
                <w:bCs w:val="0"/>
                <w:color w:val="auto"/>
                <w:sz w:val="20"/>
                <w:szCs w:val="20"/>
              </w:rPr>
              <w:t xml:space="preserve"> developed with additional information regarding approvals for works, drainage management planning, forming committees and formalising management arrangements.</w:t>
            </w:r>
          </w:p>
        </w:tc>
        <w:tc>
          <w:tcPr>
            <w:cnfStyle w:val="000010000000" w:firstRow="0" w:lastRow="0" w:firstColumn="0" w:lastColumn="0" w:oddVBand="1" w:evenVBand="0" w:oddHBand="0" w:evenHBand="0" w:firstRowFirstColumn="0" w:firstRowLastColumn="0" w:lastRowFirstColumn="0" w:lastRowLastColumn="0"/>
            <w:tcW w:w="2500" w:type="pct"/>
            <w:shd w:val="clear" w:color="auto" w:fill="auto"/>
          </w:tcPr>
          <w:p w14:paraId="1E689061" w14:textId="77777777" w:rsidR="00253762" w:rsidRPr="00F95BF0" w:rsidRDefault="00253762" w:rsidP="00F95BF0">
            <w:pPr>
              <w:pStyle w:val="Heading1"/>
              <w:numPr>
                <w:ilvl w:val="0"/>
                <w:numId w:val="5"/>
              </w:numPr>
              <w:spacing w:before="60" w:after="60" w:line="240" w:lineRule="auto"/>
              <w:ind w:left="527" w:hanging="357"/>
              <w:rPr>
                <w:rFonts w:ascii="Arial" w:hAnsi="Arial"/>
                <w:b w:val="0"/>
                <w:bCs w:val="0"/>
                <w:color w:val="auto"/>
                <w:kern w:val="0"/>
                <w:sz w:val="20"/>
                <w:szCs w:val="20"/>
              </w:rPr>
            </w:pPr>
            <w:r w:rsidRPr="00F95BF0">
              <w:rPr>
                <w:rFonts w:ascii="Arial" w:hAnsi="Arial"/>
                <w:b w:val="0"/>
                <w:bCs w:val="0"/>
                <w:color w:val="auto"/>
                <w:kern w:val="0"/>
                <w:sz w:val="20"/>
                <w:szCs w:val="20"/>
              </w:rPr>
              <w:t>Most landholders in the pilot project areas now understand their management options, with direct engagement by CMA being central to this outcome.</w:t>
            </w:r>
          </w:p>
          <w:p w14:paraId="2C778B71" w14:textId="77777777" w:rsidR="00253762" w:rsidRPr="00F95BF0" w:rsidRDefault="00253762" w:rsidP="00F95BF0">
            <w:pPr>
              <w:pStyle w:val="Heading1"/>
              <w:numPr>
                <w:ilvl w:val="0"/>
                <w:numId w:val="5"/>
              </w:numPr>
              <w:spacing w:before="60" w:after="60" w:line="240" w:lineRule="auto"/>
              <w:ind w:left="527" w:hanging="357"/>
              <w:rPr>
                <w:rFonts w:ascii="Arial" w:hAnsi="Arial"/>
                <w:b w:val="0"/>
                <w:bCs w:val="0"/>
                <w:color w:val="auto"/>
                <w:kern w:val="0"/>
                <w:sz w:val="20"/>
                <w:szCs w:val="20"/>
              </w:rPr>
            </w:pPr>
            <w:r w:rsidRPr="00F95BF0">
              <w:rPr>
                <w:rFonts w:ascii="Arial" w:hAnsi="Arial"/>
                <w:b w:val="0"/>
                <w:bCs w:val="0"/>
                <w:color w:val="auto"/>
                <w:kern w:val="0"/>
                <w:sz w:val="20"/>
                <w:szCs w:val="20"/>
              </w:rPr>
              <w:t>Landholders generally understand the private beneficiary-pays model, but it is not necessarily accepted by all.</w:t>
            </w:r>
          </w:p>
          <w:p w14:paraId="012D3C5B" w14:textId="77777777" w:rsidR="00253762" w:rsidRPr="00F95BF0" w:rsidRDefault="00253762" w:rsidP="00F95BF0">
            <w:pPr>
              <w:pStyle w:val="Heading1"/>
              <w:numPr>
                <w:ilvl w:val="0"/>
                <w:numId w:val="5"/>
              </w:numPr>
              <w:spacing w:before="60" w:after="60" w:line="240" w:lineRule="auto"/>
              <w:ind w:left="527" w:hanging="357"/>
              <w:rPr>
                <w:rFonts w:ascii="Arial" w:hAnsi="Arial"/>
                <w:b w:val="0"/>
                <w:bCs w:val="0"/>
                <w:color w:val="auto"/>
                <w:kern w:val="0"/>
                <w:sz w:val="20"/>
                <w:szCs w:val="20"/>
              </w:rPr>
            </w:pPr>
            <w:r w:rsidRPr="00F95BF0">
              <w:rPr>
                <w:rFonts w:ascii="Arial" w:hAnsi="Arial"/>
                <w:b w:val="0"/>
                <w:bCs w:val="0"/>
                <w:color w:val="auto"/>
                <w:kern w:val="0"/>
                <w:sz w:val="20"/>
                <w:szCs w:val="20"/>
              </w:rPr>
              <w:t>Willingness for landholders to be part of formalised coordinated schemes was tested, with most preferring ad hoc arrangements such as in the Bullock Creek and Upper Mid-Broken Creek pilot projects.</w:t>
            </w:r>
          </w:p>
          <w:p w14:paraId="3F711B6B" w14:textId="77777777" w:rsidR="00253762" w:rsidRPr="00F95BF0" w:rsidRDefault="00253762" w:rsidP="00F95BF0">
            <w:pPr>
              <w:pStyle w:val="Heading1"/>
              <w:numPr>
                <w:ilvl w:val="0"/>
                <w:numId w:val="5"/>
              </w:numPr>
              <w:spacing w:before="60" w:after="60" w:line="240" w:lineRule="auto"/>
              <w:ind w:left="527" w:hanging="357"/>
              <w:rPr>
                <w:rFonts w:ascii="Arial" w:hAnsi="Arial"/>
                <w:b w:val="0"/>
                <w:bCs w:val="0"/>
                <w:color w:val="auto"/>
                <w:kern w:val="0"/>
                <w:sz w:val="20"/>
                <w:szCs w:val="20"/>
              </w:rPr>
            </w:pPr>
            <w:r w:rsidRPr="00F95BF0">
              <w:rPr>
                <w:rFonts w:ascii="Arial" w:hAnsi="Arial"/>
                <w:b w:val="0"/>
                <w:bCs w:val="0"/>
                <w:color w:val="auto"/>
                <w:kern w:val="0"/>
                <w:sz w:val="20"/>
                <w:szCs w:val="20"/>
              </w:rPr>
              <w:t>Landholders know that other than managing infrastructure vested in CMA, government funds will not be provided to operate or maintain schemes for private benefit.</w:t>
            </w:r>
          </w:p>
          <w:p w14:paraId="5C769E37" w14:textId="71359FBA" w:rsidR="008215A8" w:rsidRPr="00F95BF0" w:rsidRDefault="00253762" w:rsidP="00F95BF0">
            <w:pPr>
              <w:pStyle w:val="Heading1"/>
              <w:numPr>
                <w:ilvl w:val="0"/>
                <w:numId w:val="5"/>
              </w:numPr>
              <w:spacing w:before="60" w:after="60" w:line="240" w:lineRule="auto"/>
              <w:ind w:left="527" w:hanging="357"/>
              <w:rPr>
                <w:rFonts w:ascii="Arial" w:hAnsi="Arial"/>
                <w:b w:val="0"/>
                <w:bCs w:val="0"/>
                <w:color w:val="auto"/>
                <w:sz w:val="20"/>
                <w:szCs w:val="20"/>
              </w:rPr>
            </w:pPr>
            <w:r w:rsidRPr="00F95BF0">
              <w:rPr>
                <w:rFonts w:ascii="Arial" w:hAnsi="Arial"/>
                <w:b w:val="0"/>
                <w:bCs w:val="0"/>
                <w:color w:val="auto"/>
                <w:kern w:val="0"/>
                <w:sz w:val="20"/>
                <w:szCs w:val="20"/>
              </w:rPr>
              <w:t>The landholders resource kit has proven useful; however, it could be simpler.</w:t>
            </w:r>
          </w:p>
        </w:tc>
      </w:tr>
    </w:tbl>
    <w:p w14:paraId="2FE58831" w14:textId="375A4156" w:rsidR="005A4659" w:rsidRPr="00D31210" w:rsidRDefault="005A4659" w:rsidP="00050DEF">
      <w:pPr>
        <w:pStyle w:val="Heading3"/>
        <w:numPr>
          <w:ilvl w:val="0"/>
          <w:numId w:val="0"/>
        </w:numPr>
        <w:jc w:val="both"/>
        <w:rPr>
          <w:rFonts w:ascii="Arial" w:hAnsi="Arial"/>
          <w:bCs/>
          <w:color w:val="auto"/>
        </w:rPr>
      </w:pPr>
      <w:r w:rsidRPr="00D31210">
        <w:rPr>
          <w:rFonts w:ascii="Arial" w:hAnsi="Arial"/>
          <w:bCs/>
          <w:color w:val="auto"/>
        </w:rPr>
        <w:t>Outcome 2 - Cultural values, environmental values and water resources are protected.</w:t>
      </w:r>
    </w:p>
    <w:tbl>
      <w:tblPr>
        <w:tblStyle w:val="TableGrid"/>
        <w:tblW w:w="5000" w:type="pct"/>
        <w:tblLook w:val="00A0" w:firstRow="1" w:lastRow="0" w:firstColumn="1" w:lastColumn="0" w:noHBand="0" w:noVBand="0"/>
      </w:tblPr>
      <w:tblGrid>
        <w:gridCol w:w="5103"/>
        <w:gridCol w:w="5103"/>
      </w:tblGrid>
      <w:tr w:rsidR="00E50CEA" w:rsidRPr="00050253" w14:paraId="31BC6CF1" w14:textId="77777777" w:rsidTr="00E50CE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00" w:type="pct"/>
            <w:shd w:val="clear" w:color="auto" w:fill="auto"/>
          </w:tcPr>
          <w:p w14:paraId="367F9D20" w14:textId="77777777" w:rsidR="00E50CEA" w:rsidRPr="008944E4" w:rsidRDefault="00E50CEA" w:rsidP="00A561BE">
            <w:pPr>
              <w:pStyle w:val="TableHeadingLeft"/>
              <w:rPr>
                <w:rFonts w:ascii="Arial" w:hAnsi="Arial"/>
                <w:b w:val="0"/>
                <w:bCs/>
                <w:color w:val="auto"/>
                <w:sz w:val="20"/>
              </w:rPr>
            </w:pPr>
            <w:r w:rsidRPr="008944E4">
              <w:rPr>
                <w:rFonts w:ascii="Arial" w:hAnsi="Arial"/>
                <w:b w:val="0"/>
                <w:bCs/>
                <w:color w:val="auto"/>
                <w:sz w:val="20"/>
              </w:rPr>
              <w:t>Achievements</w:t>
            </w:r>
          </w:p>
        </w:tc>
        <w:tc>
          <w:tcPr>
            <w:cnfStyle w:val="000010000000" w:firstRow="0" w:lastRow="0" w:firstColumn="0" w:lastColumn="0" w:oddVBand="1" w:evenVBand="0" w:oddHBand="0" w:evenHBand="0" w:firstRowFirstColumn="0" w:firstRowLastColumn="0" w:lastRowFirstColumn="0" w:lastRowLastColumn="0"/>
            <w:tcW w:w="2500" w:type="pct"/>
            <w:shd w:val="clear" w:color="auto" w:fill="auto"/>
          </w:tcPr>
          <w:p w14:paraId="58BBA52C" w14:textId="77777777" w:rsidR="00E50CEA" w:rsidRPr="008944E4" w:rsidRDefault="00E50CEA" w:rsidP="00A561BE">
            <w:pPr>
              <w:pStyle w:val="TableHeadingLeft"/>
              <w:rPr>
                <w:rFonts w:ascii="Arial" w:hAnsi="Arial"/>
                <w:b w:val="0"/>
                <w:bCs/>
                <w:color w:val="auto"/>
                <w:sz w:val="20"/>
              </w:rPr>
            </w:pPr>
            <w:r w:rsidRPr="008944E4">
              <w:rPr>
                <w:rFonts w:ascii="Arial" w:hAnsi="Arial"/>
                <w:b w:val="0"/>
                <w:bCs/>
                <w:color w:val="auto"/>
                <w:sz w:val="20"/>
              </w:rPr>
              <w:t>Report findings</w:t>
            </w:r>
          </w:p>
        </w:tc>
      </w:tr>
      <w:tr w:rsidR="0057707B" w:rsidRPr="0093122B" w14:paraId="6F073411" w14:textId="77777777" w:rsidTr="00A92A93">
        <w:tc>
          <w:tcPr>
            <w:tcW w:w="2500" w:type="pct"/>
          </w:tcPr>
          <w:p w14:paraId="68C01A9D" w14:textId="77777777" w:rsidR="0057707B" w:rsidRPr="0057707B" w:rsidRDefault="0057707B" w:rsidP="0057707B">
            <w:pPr>
              <w:pStyle w:val="Heading1"/>
              <w:numPr>
                <w:ilvl w:val="0"/>
                <w:numId w:val="5"/>
              </w:numPr>
              <w:spacing w:before="60" w:after="60" w:line="240" w:lineRule="auto"/>
              <w:ind w:left="527" w:hanging="357"/>
              <w:rPr>
                <w:rFonts w:ascii="Arial" w:hAnsi="Arial"/>
                <w:b w:val="0"/>
                <w:bCs w:val="0"/>
                <w:color w:val="auto"/>
                <w:kern w:val="0"/>
                <w:sz w:val="20"/>
                <w:szCs w:val="20"/>
              </w:rPr>
            </w:pPr>
            <w:r w:rsidRPr="0057707B">
              <w:rPr>
                <w:rFonts w:ascii="Arial" w:hAnsi="Arial"/>
                <w:b w:val="0"/>
                <w:bCs w:val="0"/>
                <w:color w:val="auto"/>
                <w:kern w:val="0"/>
                <w:sz w:val="20"/>
                <w:szCs w:val="20"/>
              </w:rPr>
              <w:t>10-year Eumeralla and Nullawarre Drainage Management Plans and memorandums of understanding agreed to by landholders and agencies to protect values in south-west Victoria. Prepared by Glenelg Hopkins CMA, the plans have simplified statutory approvals required for drain maintenance work.</w:t>
            </w:r>
          </w:p>
          <w:p w14:paraId="2CC9FA97" w14:textId="77777777" w:rsidR="0057707B" w:rsidRPr="0057707B" w:rsidRDefault="0057707B" w:rsidP="0057707B">
            <w:pPr>
              <w:pStyle w:val="Heading1"/>
              <w:numPr>
                <w:ilvl w:val="0"/>
                <w:numId w:val="5"/>
              </w:numPr>
              <w:spacing w:before="60" w:after="60" w:line="240" w:lineRule="auto"/>
              <w:ind w:left="527" w:hanging="357"/>
              <w:rPr>
                <w:rFonts w:ascii="Arial" w:hAnsi="Arial"/>
                <w:b w:val="0"/>
                <w:bCs w:val="0"/>
                <w:color w:val="auto"/>
                <w:kern w:val="0"/>
                <w:sz w:val="20"/>
                <w:szCs w:val="20"/>
              </w:rPr>
            </w:pPr>
            <w:r w:rsidRPr="0057707B">
              <w:rPr>
                <w:rFonts w:ascii="Arial" w:hAnsi="Arial"/>
                <w:b w:val="0"/>
                <w:bCs w:val="0"/>
                <w:color w:val="auto"/>
                <w:kern w:val="0"/>
                <w:sz w:val="20"/>
                <w:szCs w:val="20"/>
              </w:rPr>
              <w:t>Information on statutory approval requirements to protect values and drainage management planning included in the revised landholder resource kit.</w:t>
            </w:r>
          </w:p>
          <w:p w14:paraId="5B9F33F8" w14:textId="77777777" w:rsidR="0057707B" w:rsidRPr="0057707B" w:rsidRDefault="0057707B" w:rsidP="0057707B">
            <w:pPr>
              <w:pStyle w:val="Heading1"/>
              <w:numPr>
                <w:ilvl w:val="0"/>
                <w:numId w:val="5"/>
              </w:numPr>
              <w:spacing w:before="60" w:after="60" w:line="240" w:lineRule="auto"/>
              <w:ind w:left="527" w:hanging="357"/>
              <w:rPr>
                <w:rFonts w:ascii="Arial" w:hAnsi="Arial"/>
                <w:b w:val="0"/>
                <w:bCs w:val="0"/>
                <w:color w:val="auto"/>
                <w:kern w:val="0"/>
                <w:sz w:val="20"/>
                <w:szCs w:val="20"/>
              </w:rPr>
            </w:pPr>
            <w:r w:rsidRPr="0057707B">
              <w:rPr>
                <w:rFonts w:ascii="Arial" w:hAnsi="Arial"/>
                <w:b w:val="0"/>
                <w:bCs w:val="0"/>
                <w:color w:val="auto"/>
                <w:kern w:val="0"/>
                <w:sz w:val="20"/>
                <w:szCs w:val="20"/>
              </w:rPr>
              <w:t xml:space="preserve">10 drainage management plans drafted to protect values in the Black Dog Creek, Pearsondale, and Moe River Flats systems. </w:t>
            </w:r>
          </w:p>
          <w:p w14:paraId="05998504" w14:textId="77777777" w:rsidR="0057707B" w:rsidRPr="0057707B" w:rsidRDefault="0057707B" w:rsidP="0057707B">
            <w:pPr>
              <w:pStyle w:val="Heading1"/>
              <w:numPr>
                <w:ilvl w:val="0"/>
                <w:numId w:val="5"/>
              </w:numPr>
              <w:spacing w:before="60" w:after="60" w:line="240" w:lineRule="auto"/>
              <w:ind w:left="527" w:hanging="357"/>
              <w:rPr>
                <w:rFonts w:ascii="Arial" w:hAnsi="Arial"/>
                <w:b w:val="0"/>
                <w:bCs w:val="0"/>
                <w:color w:val="auto"/>
                <w:kern w:val="0"/>
                <w:sz w:val="20"/>
                <w:szCs w:val="20"/>
              </w:rPr>
            </w:pPr>
            <w:r w:rsidRPr="0057707B">
              <w:rPr>
                <w:rFonts w:ascii="Arial" w:hAnsi="Arial"/>
                <w:b w:val="0"/>
                <w:bCs w:val="0"/>
                <w:color w:val="auto"/>
                <w:kern w:val="0"/>
                <w:sz w:val="20"/>
                <w:szCs w:val="20"/>
              </w:rPr>
              <w:t xml:space="preserve">Infrastructure maintenance and/or upgrades undertaken by CMA to manage risk and prevent erosion in the Black Dog Creek, Woady Yaloak, Lough Calvert, Pearsondale and Bullock Creek drainage areas. </w:t>
            </w:r>
          </w:p>
          <w:p w14:paraId="6D90AEB6" w14:textId="77777777" w:rsidR="0057707B" w:rsidRPr="0057707B" w:rsidRDefault="0057707B" w:rsidP="0057707B">
            <w:pPr>
              <w:pStyle w:val="Heading1"/>
              <w:numPr>
                <w:ilvl w:val="0"/>
                <w:numId w:val="5"/>
              </w:numPr>
              <w:spacing w:before="60" w:after="60" w:line="240" w:lineRule="auto"/>
              <w:ind w:left="527" w:hanging="357"/>
              <w:rPr>
                <w:rFonts w:ascii="Arial" w:hAnsi="Arial"/>
                <w:b w:val="0"/>
                <w:bCs w:val="0"/>
                <w:color w:val="auto"/>
                <w:kern w:val="0"/>
                <w:sz w:val="20"/>
                <w:szCs w:val="20"/>
              </w:rPr>
            </w:pPr>
            <w:r w:rsidRPr="0057707B">
              <w:rPr>
                <w:rFonts w:ascii="Arial" w:hAnsi="Arial"/>
                <w:b w:val="0"/>
                <w:bCs w:val="0"/>
                <w:color w:val="auto"/>
                <w:kern w:val="0"/>
                <w:sz w:val="20"/>
                <w:szCs w:val="20"/>
              </w:rPr>
              <w:t>Cultural heritage assessments completed where required to protect Aboriginal cultural values prior to undertaking infrastructure and land management works.</w:t>
            </w:r>
          </w:p>
          <w:p w14:paraId="695ADD97" w14:textId="628B6829" w:rsidR="0057707B" w:rsidRPr="0057707B" w:rsidRDefault="0057707B" w:rsidP="0057707B">
            <w:pPr>
              <w:pStyle w:val="Heading1"/>
              <w:numPr>
                <w:ilvl w:val="0"/>
                <w:numId w:val="5"/>
              </w:numPr>
              <w:spacing w:before="60" w:after="60" w:line="240" w:lineRule="auto"/>
              <w:ind w:left="527" w:hanging="357"/>
              <w:rPr>
                <w:rFonts w:ascii="Arial" w:hAnsi="Arial"/>
                <w:b w:val="0"/>
                <w:bCs w:val="0"/>
                <w:color w:val="auto"/>
                <w:kern w:val="0"/>
                <w:sz w:val="20"/>
                <w:szCs w:val="20"/>
              </w:rPr>
            </w:pPr>
            <w:r w:rsidRPr="0057707B">
              <w:rPr>
                <w:rFonts w:ascii="Arial" w:hAnsi="Arial"/>
                <w:b w:val="0"/>
                <w:bCs w:val="0"/>
                <w:color w:val="auto"/>
                <w:kern w:val="0"/>
                <w:sz w:val="20"/>
                <w:szCs w:val="20"/>
              </w:rPr>
              <w:t>Assessments undertaken in a number of pilot projects such as for environmental values, drainage assets, hydrology, and flood mapping/modelling.</w:t>
            </w:r>
          </w:p>
        </w:tc>
        <w:tc>
          <w:tcPr>
            <w:cnfStyle w:val="000010000000" w:firstRow="0" w:lastRow="0" w:firstColumn="0" w:lastColumn="0" w:oddVBand="1" w:evenVBand="0" w:oddHBand="0" w:evenHBand="0" w:firstRowFirstColumn="0" w:firstRowLastColumn="0" w:lastRowFirstColumn="0" w:lastRowLastColumn="0"/>
            <w:tcW w:w="2500" w:type="pct"/>
          </w:tcPr>
          <w:p w14:paraId="2B582E69" w14:textId="77777777" w:rsidR="0057707B" w:rsidRPr="0057707B" w:rsidRDefault="0057707B" w:rsidP="0057707B">
            <w:pPr>
              <w:pStyle w:val="Heading1"/>
              <w:numPr>
                <w:ilvl w:val="0"/>
                <w:numId w:val="5"/>
              </w:numPr>
              <w:spacing w:before="60" w:after="60" w:line="240" w:lineRule="auto"/>
              <w:ind w:left="527" w:hanging="357"/>
              <w:rPr>
                <w:rFonts w:ascii="Arial" w:hAnsi="Arial"/>
                <w:b w:val="0"/>
                <w:bCs w:val="0"/>
                <w:color w:val="auto"/>
                <w:kern w:val="0"/>
                <w:sz w:val="20"/>
                <w:szCs w:val="20"/>
              </w:rPr>
            </w:pPr>
            <w:r w:rsidRPr="0057707B">
              <w:rPr>
                <w:rFonts w:ascii="Arial" w:hAnsi="Arial"/>
                <w:b w:val="0"/>
                <w:bCs w:val="0"/>
                <w:color w:val="auto"/>
                <w:kern w:val="0"/>
                <w:sz w:val="20"/>
                <w:szCs w:val="20"/>
              </w:rPr>
              <w:t>There have been significant achievements in moving towards protecting cultural values, environmental values, and water resources.</w:t>
            </w:r>
          </w:p>
          <w:p w14:paraId="70F94670" w14:textId="77777777" w:rsidR="0057707B" w:rsidRPr="0057707B" w:rsidRDefault="0057707B" w:rsidP="0057707B">
            <w:pPr>
              <w:pStyle w:val="Heading1"/>
              <w:numPr>
                <w:ilvl w:val="0"/>
                <w:numId w:val="5"/>
              </w:numPr>
              <w:spacing w:before="60" w:after="60" w:line="240" w:lineRule="auto"/>
              <w:ind w:left="527" w:hanging="357"/>
              <w:rPr>
                <w:rFonts w:ascii="Arial" w:hAnsi="Arial"/>
                <w:b w:val="0"/>
                <w:bCs w:val="0"/>
                <w:color w:val="auto"/>
                <w:kern w:val="0"/>
                <w:sz w:val="20"/>
                <w:szCs w:val="20"/>
              </w:rPr>
            </w:pPr>
            <w:r w:rsidRPr="0057707B">
              <w:rPr>
                <w:rFonts w:ascii="Arial" w:hAnsi="Arial"/>
                <w:b w:val="0"/>
                <w:bCs w:val="0"/>
                <w:color w:val="auto"/>
                <w:kern w:val="0"/>
                <w:sz w:val="20"/>
                <w:szCs w:val="20"/>
              </w:rPr>
              <w:t>Values are being protected through the Eumeralla and Nullawarre Drainage Management Plans with some stages retaining 50% native vegetation as an acceptable balance for signatories between drainage function and maintaining environmental values.</w:t>
            </w:r>
          </w:p>
          <w:p w14:paraId="26101DCA" w14:textId="77777777" w:rsidR="0057707B" w:rsidRPr="0057707B" w:rsidRDefault="0057707B" w:rsidP="0057707B">
            <w:pPr>
              <w:pStyle w:val="Heading1"/>
              <w:numPr>
                <w:ilvl w:val="0"/>
                <w:numId w:val="5"/>
              </w:numPr>
              <w:spacing w:before="60" w:after="60" w:line="240" w:lineRule="auto"/>
              <w:ind w:left="527" w:hanging="357"/>
              <w:rPr>
                <w:rFonts w:ascii="Arial" w:hAnsi="Arial"/>
                <w:b w:val="0"/>
                <w:bCs w:val="0"/>
                <w:color w:val="auto"/>
                <w:kern w:val="0"/>
                <w:sz w:val="20"/>
                <w:szCs w:val="20"/>
              </w:rPr>
            </w:pPr>
            <w:r w:rsidRPr="0057707B">
              <w:rPr>
                <w:rFonts w:ascii="Arial" w:hAnsi="Arial"/>
                <w:b w:val="0"/>
                <w:bCs w:val="0"/>
                <w:color w:val="auto"/>
                <w:kern w:val="0"/>
                <w:sz w:val="20"/>
                <w:szCs w:val="20"/>
              </w:rPr>
              <w:t>Drainage management plans drafted by CMA to protect values in the Black Dog Creek, Pearsondale, and Moe River Flats systems have not achieved agreement. The range of reasons for this include that some landholders may prefer to undertake maintenance themselves on an ad hoc basis; accept/benefit from the water on their property; and/or believe that they are not the sole beneficiary.</w:t>
            </w:r>
          </w:p>
          <w:p w14:paraId="5353A5D3" w14:textId="77777777" w:rsidR="0057707B" w:rsidRPr="0057707B" w:rsidRDefault="0057707B" w:rsidP="0057707B">
            <w:pPr>
              <w:pStyle w:val="Heading1"/>
              <w:numPr>
                <w:ilvl w:val="0"/>
                <w:numId w:val="5"/>
              </w:numPr>
              <w:spacing w:before="60" w:after="60" w:line="240" w:lineRule="auto"/>
              <w:ind w:left="527" w:hanging="357"/>
              <w:rPr>
                <w:rFonts w:ascii="Arial" w:hAnsi="Arial"/>
                <w:b w:val="0"/>
                <w:bCs w:val="0"/>
                <w:color w:val="auto"/>
                <w:kern w:val="0"/>
                <w:sz w:val="20"/>
                <w:szCs w:val="20"/>
              </w:rPr>
            </w:pPr>
            <w:r w:rsidRPr="0057707B">
              <w:rPr>
                <w:rFonts w:ascii="Arial" w:hAnsi="Arial"/>
                <w:b w:val="0"/>
                <w:bCs w:val="0"/>
                <w:color w:val="auto"/>
                <w:kern w:val="0"/>
                <w:sz w:val="20"/>
                <w:szCs w:val="20"/>
              </w:rPr>
              <w:t xml:space="preserve">Some landholders still have concerns with taking on responsibility and potential liability for assets.  </w:t>
            </w:r>
          </w:p>
          <w:p w14:paraId="7180A357" w14:textId="4B0D6884" w:rsidR="0057707B" w:rsidRPr="0057707B" w:rsidRDefault="0057707B" w:rsidP="0057707B">
            <w:pPr>
              <w:pStyle w:val="Heading1"/>
              <w:numPr>
                <w:ilvl w:val="0"/>
                <w:numId w:val="5"/>
              </w:numPr>
              <w:spacing w:before="60" w:after="60" w:line="240" w:lineRule="auto"/>
              <w:ind w:left="527" w:hanging="357"/>
              <w:rPr>
                <w:rFonts w:ascii="Arial" w:hAnsi="Arial"/>
                <w:b w:val="0"/>
                <w:bCs w:val="0"/>
                <w:color w:val="auto"/>
                <w:kern w:val="0"/>
                <w:sz w:val="20"/>
                <w:szCs w:val="20"/>
              </w:rPr>
            </w:pPr>
            <w:r w:rsidRPr="0057707B">
              <w:rPr>
                <w:rFonts w:ascii="Arial" w:hAnsi="Arial"/>
                <w:b w:val="0"/>
                <w:bCs w:val="0"/>
                <w:color w:val="auto"/>
                <w:kern w:val="0"/>
                <w:sz w:val="20"/>
                <w:szCs w:val="20"/>
              </w:rPr>
              <w:t>Infrastructure maintenance/upgrades and associated rigorous statutory approvals have protected cultural values, environmental values, and water resources.</w:t>
            </w:r>
          </w:p>
        </w:tc>
      </w:tr>
    </w:tbl>
    <w:p w14:paraId="5F9703FE" w14:textId="4696D65E" w:rsidR="00D12CA3" w:rsidRDefault="00D12CA3" w:rsidP="00A968F8">
      <w:pPr>
        <w:spacing w:before="120" w:after="0"/>
        <w:jc w:val="both"/>
        <w:rPr>
          <w:rFonts w:ascii="Arial" w:hAnsi="Arial" w:cs="Arial"/>
          <w:sz w:val="20"/>
          <w:szCs w:val="20"/>
        </w:rPr>
      </w:pPr>
      <w:r>
        <w:rPr>
          <w:rFonts w:ascii="Arial" w:hAnsi="Arial" w:cs="Arial"/>
          <w:sz w:val="20"/>
          <w:szCs w:val="20"/>
        </w:rPr>
        <w:lastRenderedPageBreak/>
        <w:t>Photograph</w:t>
      </w:r>
      <w:r w:rsidR="008B1BB3">
        <w:rPr>
          <w:rFonts w:ascii="Arial" w:hAnsi="Arial" w:cs="Arial"/>
          <w:sz w:val="20"/>
          <w:szCs w:val="20"/>
        </w:rPr>
        <w:t xml:space="preserve"> – image of excavator and </w:t>
      </w:r>
      <w:r w:rsidR="00E77AD8">
        <w:rPr>
          <w:rFonts w:ascii="Arial" w:hAnsi="Arial" w:cs="Arial"/>
          <w:sz w:val="20"/>
          <w:szCs w:val="20"/>
        </w:rPr>
        <w:t>rocks in the drainage chute</w:t>
      </w:r>
    </w:p>
    <w:p w14:paraId="10E0F84B" w14:textId="77777777" w:rsidR="009F087C" w:rsidRDefault="00D31210" w:rsidP="008944E4">
      <w:pPr>
        <w:jc w:val="both"/>
        <w:rPr>
          <w:rFonts w:ascii="Arial" w:hAnsi="Arial" w:cs="Arial"/>
          <w:sz w:val="20"/>
          <w:szCs w:val="20"/>
        </w:rPr>
      </w:pPr>
      <w:r w:rsidRPr="00D31210">
        <w:rPr>
          <w:rFonts w:ascii="Arial" w:hAnsi="Arial" w:cs="Arial"/>
          <w:sz w:val="20"/>
          <w:szCs w:val="20"/>
        </w:rPr>
        <w:t xml:space="preserve">Figure 2: Replacement of a rock chute - Escort Bridge Road Drain. Credit: </w:t>
      </w:r>
      <w:proofErr w:type="gramStart"/>
      <w:r w:rsidRPr="00D31210">
        <w:rPr>
          <w:rFonts w:ascii="Arial" w:hAnsi="Arial" w:cs="Arial"/>
          <w:sz w:val="20"/>
          <w:szCs w:val="20"/>
        </w:rPr>
        <w:t>North East</w:t>
      </w:r>
      <w:proofErr w:type="gramEnd"/>
      <w:r w:rsidRPr="00D31210">
        <w:rPr>
          <w:rFonts w:ascii="Arial" w:hAnsi="Arial" w:cs="Arial"/>
          <w:sz w:val="20"/>
          <w:szCs w:val="20"/>
        </w:rPr>
        <w:t xml:space="preserve"> CMA</w:t>
      </w:r>
    </w:p>
    <w:p w14:paraId="051DD466" w14:textId="35F2BDB4" w:rsidR="00D31210" w:rsidRPr="00D31210" w:rsidRDefault="00D31210" w:rsidP="00D31210">
      <w:pPr>
        <w:jc w:val="both"/>
        <w:rPr>
          <w:rFonts w:ascii="Arial" w:hAnsi="Arial" w:cs="Arial"/>
          <w:b/>
          <w:bCs/>
          <w:sz w:val="20"/>
          <w:szCs w:val="20"/>
        </w:rPr>
      </w:pPr>
      <w:r w:rsidRPr="00D31210">
        <w:rPr>
          <w:rFonts w:ascii="Arial" w:hAnsi="Arial" w:cs="Arial"/>
          <w:b/>
          <w:bCs/>
          <w:sz w:val="20"/>
          <w:szCs w:val="20"/>
        </w:rPr>
        <w:t xml:space="preserve">Outcome 3 - Revised arrangements for former drainage areas involving priority waterways result in cultural and environmental values being restored. </w:t>
      </w:r>
    </w:p>
    <w:tbl>
      <w:tblPr>
        <w:tblStyle w:val="TableGrid"/>
        <w:tblW w:w="5000" w:type="pct"/>
        <w:tblLook w:val="00A0" w:firstRow="1" w:lastRow="0" w:firstColumn="1" w:lastColumn="0" w:noHBand="0" w:noVBand="0"/>
      </w:tblPr>
      <w:tblGrid>
        <w:gridCol w:w="5103"/>
        <w:gridCol w:w="5103"/>
      </w:tblGrid>
      <w:tr w:rsidR="00C6117F" w:rsidRPr="00050253" w14:paraId="6597464F" w14:textId="77777777" w:rsidTr="00C6117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00" w:type="pct"/>
            <w:shd w:val="clear" w:color="auto" w:fill="auto"/>
          </w:tcPr>
          <w:p w14:paraId="60164D08" w14:textId="77777777" w:rsidR="00C6117F" w:rsidRPr="008944E4" w:rsidRDefault="00C6117F" w:rsidP="00E37433">
            <w:pPr>
              <w:pStyle w:val="TableHeadingLeft"/>
              <w:spacing w:after="0"/>
              <w:rPr>
                <w:rFonts w:ascii="Arial" w:hAnsi="Arial"/>
                <w:b w:val="0"/>
                <w:bCs/>
                <w:color w:val="auto"/>
                <w:sz w:val="20"/>
                <w:szCs w:val="22"/>
              </w:rPr>
            </w:pPr>
            <w:r w:rsidRPr="008944E4">
              <w:rPr>
                <w:rFonts w:ascii="Arial" w:hAnsi="Arial"/>
                <w:b w:val="0"/>
                <w:bCs/>
                <w:color w:val="auto"/>
                <w:sz w:val="20"/>
                <w:szCs w:val="22"/>
              </w:rPr>
              <w:t>Achievements</w:t>
            </w:r>
          </w:p>
        </w:tc>
        <w:tc>
          <w:tcPr>
            <w:cnfStyle w:val="000010000000" w:firstRow="0" w:lastRow="0" w:firstColumn="0" w:lastColumn="0" w:oddVBand="1" w:evenVBand="0" w:oddHBand="0" w:evenHBand="0" w:firstRowFirstColumn="0" w:firstRowLastColumn="0" w:lastRowFirstColumn="0" w:lastRowLastColumn="0"/>
            <w:tcW w:w="2500" w:type="pct"/>
            <w:shd w:val="clear" w:color="auto" w:fill="auto"/>
          </w:tcPr>
          <w:p w14:paraId="5296285D" w14:textId="77777777" w:rsidR="00C6117F" w:rsidRPr="008944E4" w:rsidRDefault="00C6117F" w:rsidP="00E37433">
            <w:pPr>
              <w:pStyle w:val="TableHeadingLeft"/>
              <w:spacing w:after="0"/>
              <w:rPr>
                <w:rFonts w:ascii="Arial" w:hAnsi="Arial"/>
                <w:b w:val="0"/>
                <w:bCs/>
                <w:color w:val="auto"/>
                <w:sz w:val="20"/>
                <w:szCs w:val="22"/>
              </w:rPr>
            </w:pPr>
            <w:r w:rsidRPr="008944E4">
              <w:rPr>
                <w:rFonts w:ascii="Arial" w:hAnsi="Arial"/>
                <w:b w:val="0"/>
                <w:bCs/>
                <w:color w:val="auto"/>
                <w:sz w:val="20"/>
                <w:szCs w:val="22"/>
              </w:rPr>
              <w:t>Report findings</w:t>
            </w:r>
          </w:p>
        </w:tc>
      </w:tr>
      <w:tr w:rsidR="00441768" w:rsidRPr="0093122B" w14:paraId="2DB7AA3A" w14:textId="77777777" w:rsidTr="00E70467">
        <w:tc>
          <w:tcPr>
            <w:tcW w:w="2500" w:type="pct"/>
          </w:tcPr>
          <w:p w14:paraId="78395978" w14:textId="77777777" w:rsidR="00441768" w:rsidRPr="00441768" w:rsidRDefault="00441768" w:rsidP="00441768">
            <w:pPr>
              <w:pStyle w:val="Heading1"/>
              <w:numPr>
                <w:ilvl w:val="0"/>
                <w:numId w:val="5"/>
              </w:numPr>
              <w:spacing w:before="60" w:after="60" w:line="240" w:lineRule="auto"/>
              <w:ind w:left="527" w:hanging="357"/>
              <w:rPr>
                <w:rFonts w:ascii="Arial" w:hAnsi="Arial"/>
                <w:b w:val="0"/>
                <w:bCs w:val="0"/>
                <w:color w:val="auto"/>
                <w:kern w:val="0"/>
                <w:sz w:val="20"/>
                <w:szCs w:val="20"/>
              </w:rPr>
            </w:pPr>
            <w:r w:rsidRPr="00441768">
              <w:rPr>
                <w:rFonts w:ascii="Arial" w:hAnsi="Arial"/>
                <w:b w:val="0"/>
                <w:bCs w:val="0"/>
                <w:color w:val="auto"/>
                <w:kern w:val="0"/>
                <w:sz w:val="20"/>
                <w:szCs w:val="20"/>
              </w:rPr>
              <w:t>4 CMA pilot projects completed with Traditional Owners to protect/restore culture and environmental values.</w:t>
            </w:r>
          </w:p>
          <w:p w14:paraId="4B2A4FE6" w14:textId="77777777" w:rsidR="00441768" w:rsidRPr="00441768" w:rsidRDefault="00441768" w:rsidP="00441768">
            <w:pPr>
              <w:pStyle w:val="Heading1"/>
              <w:numPr>
                <w:ilvl w:val="0"/>
                <w:numId w:val="5"/>
              </w:numPr>
              <w:spacing w:before="60" w:after="60" w:line="240" w:lineRule="auto"/>
              <w:ind w:left="527" w:hanging="357"/>
              <w:rPr>
                <w:rFonts w:ascii="Arial" w:hAnsi="Arial"/>
                <w:b w:val="0"/>
                <w:bCs w:val="0"/>
                <w:color w:val="auto"/>
                <w:kern w:val="0"/>
                <w:sz w:val="20"/>
                <w:szCs w:val="20"/>
              </w:rPr>
            </w:pPr>
            <w:r w:rsidRPr="00441768">
              <w:rPr>
                <w:rFonts w:ascii="Arial" w:hAnsi="Arial"/>
                <w:b w:val="0"/>
                <w:bCs w:val="0"/>
                <w:color w:val="auto"/>
                <w:kern w:val="0"/>
                <w:sz w:val="20"/>
                <w:szCs w:val="20"/>
              </w:rPr>
              <w:t>Glenelg Hopkins CMA worked with Gunditj Mirring Traditional Owners Aboriginal Corporation to complete modelling across the Budj Bim landscape to inform options for reinstating flows. Management options for Lake Gorrie have been identified to reinstate wetland and traditional aquacultural systems. The operating rules for Lake Condah weir have been revised.</w:t>
            </w:r>
          </w:p>
          <w:p w14:paraId="3147F569" w14:textId="77777777" w:rsidR="00441768" w:rsidRPr="00441768" w:rsidRDefault="00441768" w:rsidP="00441768">
            <w:pPr>
              <w:pStyle w:val="Heading1"/>
              <w:numPr>
                <w:ilvl w:val="0"/>
                <w:numId w:val="5"/>
              </w:numPr>
              <w:spacing w:before="60" w:after="60" w:line="240" w:lineRule="auto"/>
              <w:ind w:left="527" w:hanging="357"/>
              <w:rPr>
                <w:rFonts w:ascii="Arial" w:hAnsi="Arial"/>
                <w:b w:val="0"/>
                <w:bCs w:val="0"/>
                <w:color w:val="auto"/>
                <w:kern w:val="0"/>
                <w:sz w:val="20"/>
                <w:szCs w:val="20"/>
              </w:rPr>
            </w:pPr>
            <w:r w:rsidRPr="00441768">
              <w:rPr>
                <w:rFonts w:ascii="Arial" w:hAnsi="Arial"/>
                <w:b w:val="0"/>
                <w:bCs w:val="0"/>
                <w:color w:val="auto"/>
                <w:kern w:val="0"/>
                <w:sz w:val="20"/>
                <w:szCs w:val="20"/>
              </w:rPr>
              <w:t xml:space="preserve">North Central CMA, Dja Dja Wurrung Clans Aboriginal Corporation and Trust for Nature completed the Long Swamp restoration pilot project. Completed actions include installation of an earthen bank and a lockable pipe, an Aboriginal water assessment and weed control. </w:t>
            </w:r>
          </w:p>
          <w:p w14:paraId="309E823B" w14:textId="77777777" w:rsidR="00441768" w:rsidRPr="00441768" w:rsidRDefault="00441768" w:rsidP="00441768">
            <w:pPr>
              <w:pStyle w:val="Heading1"/>
              <w:numPr>
                <w:ilvl w:val="0"/>
                <w:numId w:val="5"/>
              </w:numPr>
              <w:spacing w:before="60" w:after="60" w:line="240" w:lineRule="auto"/>
              <w:ind w:left="527" w:hanging="357"/>
              <w:rPr>
                <w:rFonts w:ascii="Arial" w:hAnsi="Arial"/>
                <w:b w:val="0"/>
                <w:bCs w:val="0"/>
                <w:color w:val="auto"/>
                <w:kern w:val="0"/>
                <w:sz w:val="20"/>
                <w:szCs w:val="20"/>
              </w:rPr>
            </w:pPr>
            <w:r w:rsidRPr="00441768">
              <w:rPr>
                <w:rFonts w:ascii="Arial" w:hAnsi="Arial"/>
                <w:b w:val="0"/>
                <w:bCs w:val="0"/>
                <w:color w:val="auto"/>
                <w:kern w:val="0"/>
                <w:sz w:val="20"/>
                <w:szCs w:val="20"/>
              </w:rPr>
              <w:t xml:space="preserve">Corangamite CMA completed a Cultural Heritage Survey within the Cundare Pool/Lake Martin area prior to maintenance and asset upgrades. </w:t>
            </w:r>
          </w:p>
          <w:p w14:paraId="4BF6D70B" w14:textId="77777777" w:rsidR="00441768" w:rsidRPr="00441768" w:rsidRDefault="00441768" w:rsidP="00441768">
            <w:pPr>
              <w:pStyle w:val="Heading1"/>
              <w:numPr>
                <w:ilvl w:val="0"/>
                <w:numId w:val="5"/>
              </w:numPr>
              <w:spacing w:before="60" w:after="60" w:line="240" w:lineRule="auto"/>
              <w:ind w:left="527" w:hanging="357"/>
              <w:rPr>
                <w:rFonts w:ascii="Arial" w:hAnsi="Arial"/>
                <w:b w:val="0"/>
                <w:bCs w:val="0"/>
                <w:color w:val="auto"/>
                <w:kern w:val="0"/>
                <w:sz w:val="20"/>
                <w:szCs w:val="20"/>
              </w:rPr>
            </w:pPr>
            <w:r w:rsidRPr="00441768">
              <w:rPr>
                <w:rFonts w:ascii="Arial" w:hAnsi="Arial"/>
                <w:b w:val="0"/>
                <w:bCs w:val="0"/>
                <w:color w:val="auto"/>
                <w:kern w:val="0"/>
                <w:sz w:val="20"/>
                <w:szCs w:val="20"/>
              </w:rPr>
              <w:t>A restoration and rehabilitation plan prepared by Wimmera CMA for Northern Dunmunkle Creek has been agreed by landholders.</w:t>
            </w:r>
          </w:p>
          <w:p w14:paraId="5F6749F4" w14:textId="57A49105" w:rsidR="00441768" w:rsidRPr="00441768" w:rsidRDefault="00441768" w:rsidP="00441768">
            <w:pPr>
              <w:pStyle w:val="Heading1"/>
              <w:numPr>
                <w:ilvl w:val="0"/>
                <w:numId w:val="5"/>
              </w:numPr>
              <w:spacing w:before="60" w:after="60" w:line="240" w:lineRule="auto"/>
              <w:ind w:left="527" w:hanging="357"/>
              <w:rPr>
                <w:rFonts w:ascii="Arial" w:hAnsi="Arial"/>
                <w:b w:val="0"/>
                <w:bCs w:val="0"/>
                <w:color w:val="auto"/>
                <w:kern w:val="0"/>
                <w:sz w:val="20"/>
                <w:szCs w:val="20"/>
              </w:rPr>
            </w:pPr>
            <w:r w:rsidRPr="00441768">
              <w:rPr>
                <w:rFonts w:ascii="Arial" w:hAnsi="Arial"/>
                <w:b w:val="0"/>
                <w:bCs w:val="0"/>
                <w:color w:val="auto"/>
                <w:kern w:val="0"/>
                <w:sz w:val="20"/>
                <w:szCs w:val="20"/>
              </w:rPr>
              <w:t>Drainage information provided for the process to renew the Victorian Waterway Management Strategy. The strategy will direct requirements for regional waterway strategies prepared by CMA including identifying actions to mitigate the impacts of drainage and restore areas.</w:t>
            </w:r>
          </w:p>
        </w:tc>
        <w:tc>
          <w:tcPr>
            <w:cnfStyle w:val="000010000000" w:firstRow="0" w:lastRow="0" w:firstColumn="0" w:lastColumn="0" w:oddVBand="1" w:evenVBand="0" w:oddHBand="0" w:evenHBand="0" w:firstRowFirstColumn="0" w:firstRowLastColumn="0" w:lastRowFirstColumn="0" w:lastRowLastColumn="0"/>
            <w:tcW w:w="2500" w:type="pct"/>
          </w:tcPr>
          <w:p w14:paraId="5F5C465B" w14:textId="77777777" w:rsidR="00441768" w:rsidRPr="00441768" w:rsidRDefault="00441768" w:rsidP="00441768">
            <w:pPr>
              <w:pStyle w:val="Heading1"/>
              <w:numPr>
                <w:ilvl w:val="0"/>
                <w:numId w:val="5"/>
              </w:numPr>
              <w:spacing w:before="60" w:after="60" w:line="240" w:lineRule="auto"/>
              <w:ind w:left="527" w:hanging="357"/>
              <w:rPr>
                <w:rFonts w:ascii="Arial" w:hAnsi="Arial"/>
                <w:b w:val="0"/>
                <w:bCs w:val="0"/>
                <w:color w:val="auto"/>
                <w:kern w:val="0"/>
                <w:sz w:val="20"/>
                <w:szCs w:val="20"/>
              </w:rPr>
            </w:pPr>
            <w:r w:rsidRPr="00441768">
              <w:rPr>
                <w:rFonts w:ascii="Arial" w:hAnsi="Arial"/>
                <w:b w:val="0"/>
                <w:bCs w:val="0"/>
                <w:color w:val="auto"/>
                <w:kern w:val="0"/>
                <w:sz w:val="20"/>
                <w:szCs w:val="20"/>
              </w:rPr>
              <w:t>The lessons from the Long Swamp and Budj Bim projects provide a good model for future restoration of wetlands.</w:t>
            </w:r>
          </w:p>
          <w:p w14:paraId="7203ED38" w14:textId="77777777" w:rsidR="00441768" w:rsidRPr="00441768" w:rsidRDefault="00441768" w:rsidP="00441768">
            <w:pPr>
              <w:pStyle w:val="Heading1"/>
              <w:numPr>
                <w:ilvl w:val="0"/>
                <w:numId w:val="5"/>
              </w:numPr>
              <w:spacing w:before="60" w:after="60" w:line="240" w:lineRule="auto"/>
              <w:ind w:left="527" w:hanging="357"/>
              <w:rPr>
                <w:rFonts w:ascii="Arial" w:hAnsi="Arial"/>
                <w:b w:val="0"/>
                <w:bCs w:val="0"/>
                <w:color w:val="auto"/>
                <w:kern w:val="0"/>
                <w:sz w:val="20"/>
                <w:szCs w:val="20"/>
              </w:rPr>
            </w:pPr>
            <w:r w:rsidRPr="00441768">
              <w:rPr>
                <w:rFonts w:ascii="Arial" w:hAnsi="Arial"/>
                <w:b w:val="0"/>
                <w:bCs w:val="0"/>
                <w:color w:val="auto"/>
                <w:kern w:val="0"/>
                <w:sz w:val="20"/>
                <w:szCs w:val="20"/>
              </w:rPr>
              <w:t>Engagement with Traditional Owners is key to protect and enhance cultural values. This requires a long-term commitment and engagement at the start of the process.</w:t>
            </w:r>
          </w:p>
          <w:p w14:paraId="1BB06738" w14:textId="77777777" w:rsidR="00441768" w:rsidRPr="00441768" w:rsidRDefault="00441768" w:rsidP="00441768">
            <w:pPr>
              <w:pStyle w:val="Heading1"/>
              <w:numPr>
                <w:ilvl w:val="0"/>
                <w:numId w:val="5"/>
              </w:numPr>
              <w:spacing w:before="60" w:after="60" w:line="240" w:lineRule="auto"/>
              <w:ind w:left="527" w:hanging="357"/>
              <w:rPr>
                <w:rFonts w:ascii="Arial" w:hAnsi="Arial"/>
                <w:b w:val="0"/>
                <w:bCs w:val="0"/>
                <w:color w:val="auto"/>
                <w:kern w:val="0"/>
                <w:sz w:val="20"/>
                <w:szCs w:val="20"/>
              </w:rPr>
            </w:pPr>
            <w:r w:rsidRPr="00441768">
              <w:rPr>
                <w:rFonts w:ascii="Arial" w:hAnsi="Arial"/>
                <w:b w:val="0"/>
                <w:bCs w:val="0"/>
                <w:color w:val="auto"/>
                <w:kern w:val="0"/>
                <w:sz w:val="20"/>
                <w:szCs w:val="20"/>
              </w:rPr>
              <w:t>The hydrological and hydraulic studies for the Budj Bim landscape have generated critical data to inform the evaluation of options for reinstating flows to culturally and ecologically important areas.</w:t>
            </w:r>
          </w:p>
          <w:p w14:paraId="59749C25" w14:textId="77777777" w:rsidR="00441768" w:rsidRPr="00441768" w:rsidRDefault="00441768" w:rsidP="00441768">
            <w:pPr>
              <w:pStyle w:val="Heading1"/>
              <w:numPr>
                <w:ilvl w:val="0"/>
                <w:numId w:val="5"/>
              </w:numPr>
              <w:spacing w:before="60" w:after="60" w:line="240" w:lineRule="auto"/>
              <w:ind w:left="527" w:hanging="357"/>
              <w:rPr>
                <w:rFonts w:ascii="Arial" w:hAnsi="Arial"/>
                <w:b w:val="0"/>
                <w:bCs w:val="0"/>
                <w:color w:val="auto"/>
                <w:kern w:val="0"/>
                <w:sz w:val="20"/>
                <w:szCs w:val="20"/>
              </w:rPr>
            </w:pPr>
            <w:r w:rsidRPr="00441768">
              <w:rPr>
                <w:rFonts w:ascii="Arial" w:hAnsi="Arial"/>
                <w:b w:val="0"/>
                <w:bCs w:val="0"/>
                <w:color w:val="auto"/>
                <w:kern w:val="0"/>
                <w:sz w:val="20"/>
                <w:szCs w:val="20"/>
              </w:rPr>
              <w:t>The Long Swamp project has given access to Country under private ownership (Trust for Nature) which is a significant barrier in maintaining connection to Country. Djaara people now have a place that is inaccessible to the broader public for their own cultural purposes.</w:t>
            </w:r>
          </w:p>
          <w:p w14:paraId="6997183F" w14:textId="77777777" w:rsidR="00441768" w:rsidRPr="00441768" w:rsidRDefault="00441768" w:rsidP="00441768">
            <w:pPr>
              <w:pStyle w:val="Heading1"/>
              <w:numPr>
                <w:ilvl w:val="0"/>
                <w:numId w:val="5"/>
              </w:numPr>
              <w:spacing w:before="60" w:after="60" w:line="240" w:lineRule="auto"/>
              <w:ind w:left="527" w:hanging="357"/>
              <w:rPr>
                <w:rFonts w:ascii="Arial" w:hAnsi="Arial"/>
                <w:b w:val="0"/>
                <w:bCs w:val="0"/>
                <w:color w:val="auto"/>
                <w:kern w:val="0"/>
                <w:sz w:val="20"/>
                <w:szCs w:val="20"/>
              </w:rPr>
            </w:pPr>
            <w:r w:rsidRPr="00441768">
              <w:rPr>
                <w:rFonts w:ascii="Arial" w:hAnsi="Arial"/>
                <w:b w:val="0"/>
                <w:bCs w:val="0"/>
                <w:color w:val="auto"/>
                <w:kern w:val="0"/>
                <w:sz w:val="20"/>
                <w:szCs w:val="20"/>
              </w:rPr>
              <w:t>In the Woady Yaloak and Lough Calvert systems, flood studies have revealed significant opportunities to protect cultural values, restore environmental values, and improve recreational values by changing the operational rules for the upgraded infrastructure.</w:t>
            </w:r>
          </w:p>
          <w:p w14:paraId="43625084" w14:textId="77777777" w:rsidR="00441768" w:rsidRPr="00441768" w:rsidRDefault="00441768" w:rsidP="00441768">
            <w:pPr>
              <w:pStyle w:val="Heading1"/>
              <w:numPr>
                <w:ilvl w:val="0"/>
                <w:numId w:val="0"/>
              </w:numPr>
              <w:spacing w:before="60" w:after="60" w:line="240" w:lineRule="auto"/>
              <w:ind w:left="527"/>
              <w:rPr>
                <w:rFonts w:ascii="Arial" w:hAnsi="Arial"/>
                <w:b w:val="0"/>
                <w:bCs w:val="0"/>
                <w:color w:val="auto"/>
                <w:kern w:val="0"/>
                <w:sz w:val="20"/>
                <w:szCs w:val="20"/>
              </w:rPr>
            </w:pPr>
          </w:p>
        </w:tc>
      </w:tr>
    </w:tbl>
    <w:p w14:paraId="67A3B168" w14:textId="77777777" w:rsidR="00C6117F" w:rsidRDefault="00C6117F" w:rsidP="008944E4">
      <w:pPr>
        <w:spacing w:before="120" w:after="0"/>
        <w:jc w:val="both"/>
        <w:rPr>
          <w:rFonts w:ascii="Arial" w:hAnsi="Arial" w:cs="Arial"/>
          <w:sz w:val="20"/>
          <w:szCs w:val="20"/>
        </w:rPr>
      </w:pPr>
      <w:r>
        <w:rPr>
          <w:rFonts w:ascii="Arial" w:hAnsi="Arial" w:cs="Arial"/>
          <w:sz w:val="20"/>
          <w:szCs w:val="20"/>
        </w:rPr>
        <w:t>Photograph – image of excavator and rocks in the drainage chute</w:t>
      </w:r>
    </w:p>
    <w:p w14:paraId="0DD9D49A" w14:textId="7ADCFF97" w:rsidR="00C6117F" w:rsidRPr="00D31210" w:rsidRDefault="00C6117F" w:rsidP="00C6117F">
      <w:pPr>
        <w:jc w:val="both"/>
        <w:rPr>
          <w:rFonts w:ascii="Arial" w:hAnsi="Arial" w:cs="Arial"/>
          <w:sz w:val="20"/>
          <w:szCs w:val="20"/>
        </w:rPr>
      </w:pPr>
      <w:r w:rsidRPr="00D31210">
        <w:rPr>
          <w:rFonts w:ascii="Arial" w:hAnsi="Arial" w:cs="Arial"/>
          <w:sz w:val="20"/>
          <w:szCs w:val="20"/>
        </w:rPr>
        <w:t xml:space="preserve">Figure </w:t>
      </w:r>
      <w:r>
        <w:rPr>
          <w:rFonts w:ascii="Arial" w:hAnsi="Arial" w:cs="Arial"/>
          <w:sz w:val="20"/>
          <w:szCs w:val="20"/>
        </w:rPr>
        <w:t>3</w:t>
      </w:r>
      <w:r w:rsidRPr="00D31210">
        <w:rPr>
          <w:rFonts w:ascii="Arial" w:hAnsi="Arial" w:cs="Arial"/>
          <w:sz w:val="20"/>
          <w:szCs w:val="20"/>
        </w:rPr>
        <w:t xml:space="preserve">: </w:t>
      </w:r>
      <w:r w:rsidR="00FE41E9" w:rsidRPr="00FE41E9">
        <w:rPr>
          <w:rFonts w:ascii="Arial" w:hAnsi="Arial" w:cs="Arial"/>
          <w:sz w:val="20"/>
          <w:szCs w:val="20"/>
        </w:rPr>
        <w:t>Restoration of Long Swamp. Credit: Loddon Plains Landcare Network</w:t>
      </w:r>
    </w:p>
    <w:p w14:paraId="52627748" w14:textId="77777777" w:rsidR="008E3CC8" w:rsidRDefault="008E3CC8">
      <w:pPr>
        <w:rPr>
          <w:rFonts w:ascii="Arial" w:hAnsi="Arial" w:cs="Arial"/>
          <w:b/>
          <w:bCs/>
          <w:sz w:val="20"/>
          <w:szCs w:val="20"/>
        </w:rPr>
      </w:pPr>
      <w:r>
        <w:rPr>
          <w:rFonts w:ascii="Arial" w:hAnsi="Arial" w:cs="Arial"/>
          <w:b/>
          <w:bCs/>
          <w:sz w:val="20"/>
          <w:szCs w:val="20"/>
        </w:rPr>
        <w:br w:type="page"/>
      </w:r>
    </w:p>
    <w:p w14:paraId="73AE85D7" w14:textId="12409360" w:rsidR="00D13D9E" w:rsidRDefault="00D31210" w:rsidP="00D31210">
      <w:pPr>
        <w:jc w:val="both"/>
        <w:rPr>
          <w:rFonts w:ascii="Arial" w:hAnsi="Arial" w:cs="Arial"/>
          <w:b/>
          <w:bCs/>
          <w:sz w:val="20"/>
          <w:szCs w:val="20"/>
        </w:rPr>
      </w:pPr>
      <w:r w:rsidRPr="00D31210">
        <w:rPr>
          <w:rFonts w:ascii="Arial" w:hAnsi="Arial" w:cs="Arial"/>
          <w:b/>
          <w:bCs/>
          <w:sz w:val="20"/>
          <w:szCs w:val="20"/>
        </w:rPr>
        <w:lastRenderedPageBreak/>
        <w:t>Outcome 4 - Relevant government agencies have clear roles and responsibilities and are aware of opportunities to work in partnerships to support landholders managing dryland rural drainage.</w:t>
      </w:r>
    </w:p>
    <w:tbl>
      <w:tblPr>
        <w:tblStyle w:val="TableGrid"/>
        <w:tblW w:w="5000" w:type="pct"/>
        <w:tblLook w:val="00A0" w:firstRow="1" w:lastRow="0" w:firstColumn="1" w:lastColumn="0" w:noHBand="0" w:noVBand="0"/>
      </w:tblPr>
      <w:tblGrid>
        <w:gridCol w:w="5103"/>
        <w:gridCol w:w="5103"/>
      </w:tblGrid>
      <w:tr w:rsidR="008944E4" w:rsidRPr="00050253" w14:paraId="6028AD2C" w14:textId="77777777" w:rsidTr="008944E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00" w:type="pct"/>
            <w:shd w:val="clear" w:color="auto" w:fill="auto"/>
          </w:tcPr>
          <w:p w14:paraId="0F32C51D" w14:textId="77777777" w:rsidR="008944E4" w:rsidRPr="008944E4" w:rsidRDefault="008944E4" w:rsidP="00E37433">
            <w:pPr>
              <w:pStyle w:val="TableHeadingLeft"/>
              <w:spacing w:before="0"/>
              <w:rPr>
                <w:rFonts w:ascii="Arial" w:hAnsi="Arial"/>
                <w:b w:val="0"/>
                <w:bCs/>
                <w:color w:val="auto"/>
                <w:sz w:val="20"/>
                <w:szCs w:val="22"/>
              </w:rPr>
            </w:pPr>
            <w:r w:rsidRPr="008944E4">
              <w:rPr>
                <w:rFonts w:ascii="Arial" w:hAnsi="Arial"/>
                <w:b w:val="0"/>
                <w:bCs/>
                <w:color w:val="auto"/>
                <w:sz w:val="20"/>
                <w:szCs w:val="22"/>
              </w:rPr>
              <w:t>Achievements</w:t>
            </w:r>
          </w:p>
        </w:tc>
        <w:tc>
          <w:tcPr>
            <w:cnfStyle w:val="000010000000" w:firstRow="0" w:lastRow="0" w:firstColumn="0" w:lastColumn="0" w:oddVBand="1" w:evenVBand="0" w:oddHBand="0" w:evenHBand="0" w:firstRowFirstColumn="0" w:firstRowLastColumn="0" w:lastRowFirstColumn="0" w:lastRowLastColumn="0"/>
            <w:tcW w:w="2500" w:type="pct"/>
            <w:shd w:val="clear" w:color="auto" w:fill="auto"/>
          </w:tcPr>
          <w:p w14:paraId="29C0AFE5" w14:textId="77777777" w:rsidR="008944E4" w:rsidRPr="008944E4" w:rsidRDefault="008944E4" w:rsidP="00E37433">
            <w:pPr>
              <w:pStyle w:val="TableHeadingLeft"/>
              <w:spacing w:before="0"/>
              <w:rPr>
                <w:rFonts w:ascii="Arial" w:hAnsi="Arial"/>
                <w:b w:val="0"/>
                <w:bCs/>
                <w:color w:val="auto"/>
                <w:sz w:val="20"/>
                <w:szCs w:val="22"/>
              </w:rPr>
            </w:pPr>
            <w:r w:rsidRPr="008944E4">
              <w:rPr>
                <w:rFonts w:ascii="Arial" w:hAnsi="Arial"/>
                <w:b w:val="0"/>
                <w:bCs/>
                <w:color w:val="auto"/>
                <w:sz w:val="20"/>
                <w:szCs w:val="22"/>
              </w:rPr>
              <w:t>Report findings</w:t>
            </w:r>
          </w:p>
        </w:tc>
      </w:tr>
      <w:tr w:rsidR="006B3CC2" w:rsidRPr="00000BE5" w14:paraId="26719092" w14:textId="77777777" w:rsidTr="002702CB">
        <w:tc>
          <w:tcPr>
            <w:tcW w:w="2500" w:type="pct"/>
          </w:tcPr>
          <w:p w14:paraId="6EF0E0C9" w14:textId="77777777" w:rsidR="006B3CC2" w:rsidRPr="006B3CC2" w:rsidRDefault="006B3CC2" w:rsidP="006B3CC2">
            <w:pPr>
              <w:pStyle w:val="Heading1"/>
              <w:numPr>
                <w:ilvl w:val="0"/>
                <w:numId w:val="5"/>
              </w:numPr>
              <w:spacing w:before="60" w:after="60" w:line="240" w:lineRule="auto"/>
              <w:ind w:left="527" w:hanging="357"/>
              <w:rPr>
                <w:rFonts w:ascii="Arial" w:hAnsi="Arial"/>
                <w:b w:val="0"/>
                <w:bCs w:val="0"/>
                <w:color w:val="auto"/>
                <w:kern w:val="0"/>
                <w:sz w:val="20"/>
                <w:szCs w:val="20"/>
              </w:rPr>
            </w:pPr>
            <w:r w:rsidRPr="006B3CC2">
              <w:rPr>
                <w:rFonts w:ascii="Arial" w:hAnsi="Arial"/>
                <w:b w:val="0"/>
                <w:bCs w:val="0"/>
                <w:color w:val="auto"/>
                <w:kern w:val="0"/>
                <w:sz w:val="20"/>
                <w:szCs w:val="20"/>
              </w:rPr>
              <w:t>Opportunities for agencies to understand roles and responsibilities and support landholders have become known through the pilot projects.</w:t>
            </w:r>
          </w:p>
          <w:p w14:paraId="29EC6C6B" w14:textId="77777777" w:rsidR="006B3CC2" w:rsidRPr="006B3CC2" w:rsidRDefault="006B3CC2" w:rsidP="006B3CC2">
            <w:pPr>
              <w:pStyle w:val="Heading1"/>
              <w:numPr>
                <w:ilvl w:val="0"/>
                <w:numId w:val="5"/>
              </w:numPr>
              <w:spacing w:before="60" w:after="60" w:line="240" w:lineRule="auto"/>
              <w:ind w:left="527" w:hanging="357"/>
              <w:rPr>
                <w:rFonts w:ascii="Arial" w:hAnsi="Arial"/>
                <w:b w:val="0"/>
                <w:bCs w:val="0"/>
                <w:color w:val="auto"/>
                <w:kern w:val="0"/>
                <w:sz w:val="20"/>
                <w:szCs w:val="20"/>
              </w:rPr>
            </w:pPr>
            <w:r w:rsidRPr="006B3CC2">
              <w:rPr>
                <w:rFonts w:ascii="Arial" w:hAnsi="Arial"/>
                <w:b w:val="0"/>
                <w:bCs w:val="0"/>
                <w:color w:val="auto"/>
                <w:kern w:val="0"/>
                <w:sz w:val="20"/>
                <w:szCs w:val="20"/>
              </w:rPr>
              <w:t xml:space="preserve">A Dryland Rural Drainage Resource kit for Agencies developed to clarify roles and responsibilities and assist the Department of Environment, Land, Water and Planning (DELWP), CMA and local government in supporting landholders. </w:t>
            </w:r>
          </w:p>
          <w:p w14:paraId="25F4B423" w14:textId="6E07FFD6" w:rsidR="006B3CC2" w:rsidRPr="006B3CC2" w:rsidRDefault="006B3CC2" w:rsidP="006B3CC2">
            <w:pPr>
              <w:pStyle w:val="Heading1"/>
              <w:numPr>
                <w:ilvl w:val="0"/>
                <w:numId w:val="5"/>
              </w:numPr>
              <w:spacing w:before="60" w:after="60" w:line="240" w:lineRule="auto"/>
              <w:ind w:left="527" w:hanging="357"/>
              <w:rPr>
                <w:rFonts w:ascii="Arial" w:hAnsi="Arial"/>
                <w:b w:val="0"/>
                <w:bCs w:val="0"/>
                <w:color w:val="auto"/>
                <w:kern w:val="0"/>
                <w:sz w:val="20"/>
                <w:szCs w:val="20"/>
              </w:rPr>
            </w:pPr>
            <w:r w:rsidRPr="006B3CC2">
              <w:rPr>
                <w:rFonts w:ascii="Arial" w:hAnsi="Arial"/>
                <w:b w:val="0"/>
                <w:bCs w:val="0"/>
                <w:color w:val="auto"/>
                <w:kern w:val="0"/>
                <w:sz w:val="20"/>
                <w:szCs w:val="20"/>
              </w:rPr>
              <w:t>10-year Eumeralla and Nullawarre Drainage Management Plans and memorandums of understanding agreed to by landholders and agencies.</w:t>
            </w:r>
          </w:p>
        </w:tc>
        <w:tc>
          <w:tcPr>
            <w:cnfStyle w:val="000010000000" w:firstRow="0" w:lastRow="0" w:firstColumn="0" w:lastColumn="0" w:oddVBand="1" w:evenVBand="0" w:oddHBand="0" w:evenHBand="0" w:firstRowFirstColumn="0" w:firstRowLastColumn="0" w:lastRowFirstColumn="0" w:lastRowLastColumn="0"/>
            <w:tcW w:w="2500" w:type="pct"/>
          </w:tcPr>
          <w:p w14:paraId="37589CF8" w14:textId="77777777" w:rsidR="006B3CC2" w:rsidRPr="006B3CC2" w:rsidRDefault="006B3CC2" w:rsidP="006B3CC2">
            <w:pPr>
              <w:pStyle w:val="Heading1"/>
              <w:numPr>
                <w:ilvl w:val="0"/>
                <w:numId w:val="5"/>
              </w:numPr>
              <w:spacing w:before="60" w:after="60" w:line="240" w:lineRule="auto"/>
              <w:ind w:left="527" w:hanging="357"/>
              <w:rPr>
                <w:rFonts w:ascii="Arial" w:hAnsi="Arial"/>
                <w:b w:val="0"/>
                <w:bCs w:val="0"/>
                <w:color w:val="auto"/>
                <w:kern w:val="0"/>
                <w:sz w:val="20"/>
                <w:szCs w:val="20"/>
              </w:rPr>
            </w:pPr>
            <w:r w:rsidRPr="006B3CC2">
              <w:rPr>
                <w:rFonts w:ascii="Arial" w:hAnsi="Arial"/>
                <w:b w:val="0"/>
                <w:bCs w:val="0"/>
                <w:color w:val="auto"/>
                <w:kern w:val="0"/>
                <w:sz w:val="20"/>
                <w:szCs w:val="20"/>
              </w:rPr>
              <w:t xml:space="preserve">The pilot projects have achieved this outcome with the main variation from the strategy being that local government has not supplied a coordinating role or been requested by landholders to provide administrative support for formal agreements.  </w:t>
            </w:r>
          </w:p>
          <w:p w14:paraId="5D8AB15B" w14:textId="77777777" w:rsidR="006B3CC2" w:rsidRPr="006B3CC2" w:rsidRDefault="006B3CC2" w:rsidP="006B3CC2">
            <w:pPr>
              <w:pStyle w:val="Heading1"/>
              <w:numPr>
                <w:ilvl w:val="0"/>
                <w:numId w:val="5"/>
              </w:numPr>
              <w:spacing w:before="60" w:after="60" w:line="240" w:lineRule="auto"/>
              <w:ind w:left="527" w:hanging="357"/>
              <w:rPr>
                <w:rFonts w:ascii="Arial" w:hAnsi="Arial"/>
                <w:b w:val="0"/>
                <w:bCs w:val="0"/>
                <w:color w:val="auto"/>
                <w:kern w:val="0"/>
                <w:sz w:val="20"/>
                <w:szCs w:val="20"/>
              </w:rPr>
            </w:pPr>
            <w:r w:rsidRPr="006B3CC2">
              <w:rPr>
                <w:rFonts w:ascii="Arial" w:hAnsi="Arial"/>
                <w:b w:val="0"/>
                <w:bCs w:val="0"/>
                <w:color w:val="auto"/>
                <w:kern w:val="0"/>
                <w:sz w:val="20"/>
                <w:szCs w:val="20"/>
              </w:rPr>
              <w:t xml:space="preserve">The agencies kit has assisted agencies to understand roles and responsibilities and support the community. </w:t>
            </w:r>
          </w:p>
          <w:p w14:paraId="05659E2B" w14:textId="2CC2D30A" w:rsidR="006B3CC2" w:rsidRPr="006B3CC2" w:rsidRDefault="006B3CC2" w:rsidP="006B3CC2">
            <w:pPr>
              <w:pStyle w:val="Heading1"/>
              <w:numPr>
                <w:ilvl w:val="0"/>
                <w:numId w:val="5"/>
              </w:numPr>
              <w:spacing w:before="60" w:after="60" w:line="240" w:lineRule="auto"/>
              <w:ind w:left="527" w:hanging="357"/>
              <w:rPr>
                <w:rFonts w:ascii="Arial" w:hAnsi="Arial"/>
                <w:b w:val="0"/>
                <w:bCs w:val="0"/>
                <w:color w:val="auto"/>
                <w:kern w:val="0"/>
                <w:sz w:val="20"/>
                <w:szCs w:val="20"/>
              </w:rPr>
            </w:pPr>
            <w:r w:rsidRPr="006B3CC2">
              <w:rPr>
                <w:rFonts w:ascii="Arial" w:hAnsi="Arial"/>
                <w:b w:val="0"/>
                <w:bCs w:val="0"/>
                <w:color w:val="auto"/>
                <w:kern w:val="0"/>
                <w:sz w:val="20"/>
                <w:szCs w:val="20"/>
              </w:rPr>
              <w:t>The Eumeralla and Nullawarre Drainage Management Plans and memorandums of understanding ensure that roles and responsibilities are clear, relationships are effective and streamlined statutory approval arrangements occur.</w:t>
            </w:r>
          </w:p>
        </w:tc>
      </w:tr>
    </w:tbl>
    <w:p w14:paraId="183B6B61" w14:textId="77777777" w:rsidR="00D13D9E" w:rsidRDefault="00D13D9E" w:rsidP="00D31210">
      <w:pPr>
        <w:jc w:val="both"/>
        <w:rPr>
          <w:rFonts w:ascii="Arial" w:hAnsi="Arial" w:cs="Arial"/>
          <w:b/>
          <w:bCs/>
          <w:sz w:val="20"/>
          <w:szCs w:val="20"/>
        </w:rPr>
      </w:pPr>
    </w:p>
    <w:p w14:paraId="1E826191" w14:textId="09518A83" w:rsidR="00D31210" w:rsidRPr="00D31210" w:rsidRDefault="00D31210" w:rsidP="00D31210">
      <w:pPr>
        <w:jc w:val="both"/>
        <w:rPr>
          <w:rFonts w:ascii="Arial" w:hAnsi="Arial" w:cs="Arial"/>
          <w:b/>
          <w:bCs/>
          <w:sz w:val="20"/>
          <w:szCs w:val="20"/>
        </w:rPr>
      </w:pPr>
      <w:r w:rsidRPr="00D31210">
        <w:rPr>
          <w:rFonts w:ascii="Arial" w:hAnsi="Arial" w:cs="Arial"/>
          <w:b/>
          <w:bCs/>
          <w:sz w:val="20"/>
          <w:szCs w:val="20"/>
        </w:rPr>
        <w:t>Outcome 5 - Government agencies work together with landholders to rebuild capability and support ongoing arrangements for dryland rural drainage management.</w:t>
      </w:r>
    </w:p>
    <w:tbl>
      <w:tblPr>
        <w:tblStyle w:val="TableGrid"/>
        <w:tblW w:w="5000" w:type="pct"/>
        <w:tblLook w:val="00A0" w:firstRow="1" w:lastRow="0" w:firstColumn="1" w:lastColumn="0" w:noHBand="0" w:noVBand="0"/>
      </w:tblPr>
      <w:tblGrid>
        <w:gridCol w:w="5103"/>
        <w:gridCol w:w="5103"/>
      </w:tblGrid>
      <w:tr w:rsidR="00726B34" w:rsidRPr="00050253" w14:paraId="58345097" w14:textId="77777777" w:rsidTr="00726B3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00" w:type="pct"/>
            <w:shd w:val="clear" w:color="auto" w:fill="auto"/>
          </w:tcPr>
          <w:p w14:paraId="3144ED05" w14:textId="77777777" w:rsidR="00726B34" w:rsidRPr="00A968F8" w:rsidRDefault="00726B34" w:rsidP="00A561BE">
            <w:pPr>
              <w:pStyle w:val="TableHeadingLeft"/>
              <w:rPr>
                <w:rFonts w:ascii="Arial" w:hAnsi="Arial"/>
                <w:b w:val="0"/>
                <w:bCs/>
                <w:color w:val="auto"/>
                <w:sz w:val="20"/>
                <w:szCs w:val="22"/>
              </w:rPr>
            </w:pPr>
            <w:r w:rsidRPr="00A968F8">
              <w:rPr>
                <w:rFonts w:ascii="Arial" w:hAnsi="Arial"/>
                <w:b w:val="0"/>
                <w:bCs/>
                <w:color w:val="auto"/>
                <w:sz w:val="20"/>
                <w:szCs w:val="22"/>
              </w:rPr>
              <w:t>Achievements</w:t>
            </w:r>
          </w:p>
        </w:tc>
        <w:tc>
          <w:tcPr>
            <w:cnfStyle w:val="000010000000" w:firstRow="0" w:lastRow="0" w:firstColumn="0" w:lastColumn="0" w:oddVBand="1" w:evenVBand="0" w:oddHBand="0" w:evenHBand="0" w:firstRowFirstColumn="0" w:firstRowLastColumn="0" w:lastRowFirstColumn="0" w:lastRowLastColumn="0"/>
            <w:tcW w:w="2500" w:type="pct"/>
            <w:shd w:val="clear" w:color="auto" w:fill="auto"/>
          </w:tcPr>
          <w:p w14:paraId="3C45AE16" w14:textId="77777777" w:rsidR="00726B34" w:rsidRPr="00A968F8" w:rsidRDefault="00726B34" w:rsidP="00A561BE">
            <w:pPr>
              <w:pStyle w:val="TableHeadingLeft"/>
              <w:rPr>
                <w:rFonts w:ascii="Arial" w:hAnsi="Arial"/>
                <w:b w:val="0"/>
                <w:bCs/>
                <w:color w:val="auto"/>
                <w:sz w:val="20"/>
                <w:szCs w:val="22"/>
              </w:rPr>
            </w:pPr>
            <w:r w:rsidRPr="00A968F8">
              <w:rPr>
                <w:rFonts w:ascii="Arial" w:hAnsi="Arial"/>
                <w:b w:val="0"/>
                <w:bCs/>
                <w:color w:val="auto"/>
                <w:sz w:val="20"/>
                <w:szCs w:val="22"/>
              </w:rPr>
              <w:t>Report findings</w:t>
            </w:r>
          </w:p>
        </w:tc>
      </w:tr>
      <w:tr w:rsidR="00DB66D1" w:rsidRPr="00977BCB" w14:paraId="2A66728C" w14:textId="77777777" w:rsidTr="00C07D6F">
        <w:tc>
          <w:tcPr>
            <w:tcW w:w="2500" w:type="pct"/>
          </w:tcPr>
          <w:p w14:paraId="1F4869A0" w14:textId="77777777" w:rsidR="00DB66D1" w:rsidRPr="00DB66D1" w:rsidRDefault="00DB66D1" w:rsidP="00DB66D1">
            <w:pPr>
              <w:pStyle w:val="Heading1"/>
              <w:numPr>
                <w:ilvl w:val="0"/>
                <w:numId w:val="5"/>
              </w:numPr>
              <w:spacing w:before="60" w:after="60" w:line="240" w:lineRule="auto"/>
              <w:ind w:left="527" w:hanging="357"/>
              <w:rPr>
                <w:rFonts w:ascii="Arial" w:hAnsi="Arial"/>
                <w:b w:val="0"/>
                <w:bCs w:val="0"/>
                <w:color w:val="auto"/>
                <w:kern w:val="0"/>
                <w:sz w:val="20"/>
                <w:szCs w:val="20"/>
              </w:rPr>
            </w:pPr>
            <w:r w:rsidRPr="00DB66D1">
              <w:rPr>
                <w:rFonts w:ascii="Arial" w:hAnsi="Arial"/>
                <w:b w:val="0"/>
                <w:bCs w:val="0"/>
                <w:color w:val="auto"/>
                <w:kern w:val="0"/>
                <w:sz w:val="20"/>
                <w:szCs w:val="20"/>
              </w:rPr>
              <w:t xml:space="preserve">The capability of agencies and landholders to manage drainage has been rebuilt through the pilot projects. </w:t>
            </w:r>
          </w:p>
          <w:p w14:paraId="3808E14A" w14:textId="77777777" w:rsidR="00DB66D1" w:rsidRPr="00DB66D1" w:rsidRDefault="00DB66D1" w:rsidP="00DB66D1">
            <w:pPr>
              <w:pStyle w:val="Heading1"/>
              <w:numPr>
                <w:ilvl w:val="0"/>
                <w:numId w:val="5"/>
              </w:numPr>
              <w:spacing w:before="60" w:after="60" w:line="240" w:lineRule="auto"/>
              <w:ind w:left="527" w:hanging="357"/>
              <w:rPr>
                <w:rFonts w:ascii="Arial" w:hAnsi="Arial"/>
                <w:b w:val="0"/>
                <w:bCs w:val="0"/>
                <w:color w:val="auto"/>
                <w:kern w:val="0"/>
                <w:sz w:val="20"/>
                <w:szCs w:val="20"/>
              </w:rPr>
            </w:pPr>
            <w:r w:rsidRPr="00DB66D1">
              <w:rPr>
                <w:rFonts w:ascii="Arial" w:hAnsi="Arial"/>
                <w:b w:val="0"/>
                <w:bCs w:val="0"/>
                <w:color w:val="auto"/>
                <w:kern w:val="0"/>
                <w:sz w:val="20"/>
                <w:szCs w:val="20"/>
              </w:rPr>
              <w:t>The 10-year Eumeralla Drainage Management Plan and memorandum of understanding have been agreed to by Glenelg Hopkins CMA, Eumeralla River Restoration Committee, Moyne Shire Council and DELWP.</w:t>
            </w:r>
          </w:p>
          <w:p w14:paraId="47B79645" w14:textId="77777777" w:rsidR="00DB66D1" w:rsidRPr="00DB66D1" w:rsidRDefault="00DB66D1" w:rsidP="00DB66D1">
            <w:pPr>
              <w:pStyle w:val="Heading1"/>
              <w:numPr>
                <w:ilvl w:val="0"/>
                <w:numId w:val="5"/>
              </w:numPr>
              <w:spacing w:before="60" w:after="60" w:line="240" w:lineRule="auto"/>
              <w:ind w:left="527" w:hanging="357"/>
              <w:rPr>
                <w:rFonts w:ascii="Arial" w:hAnsi="Arial"/>
                <w:b w:val="0"/>
                <w:bCs w:val="0"/>
                <w:color w:val="auto"/>
                <w:kern w:val="0"/>
                <w:sz w:val="20"/>
                <w:szCs w:val="20"/>
              </w:rPr>
            </w:pPr>
            <w:r w:rsidRPr="00DB66D1">
              <w:rPr>
                <w:rFonts w:ascii="Arial" w:hAnsi="Arial"/>
                <w:b w:val="0"/>
                <w:bCs w:val="0"/>
                <w:color w:val="auto"/>
                <w:kern w:val="0"/>
                <w:sz w:val="20"/>
                <w:szCs w:val="20"/>
              </w:rPr>
              <w:t>The 10-year Nullawarre Drainage Management Plan and memorandum of understanding have been agreed to by Glenelg Hopkins CMA, Lake Gillear Drain Association, Moyne Shire Council, Warrnambool City Council and DELWP.</w:t>
            </w:r>
          </w:p>
          <w:p w14:paraId="2EE7C93F" w14:textId="690CAC5B" w:rsidR="00DB66D1" w:rsidRPr="00DB66D1" w:rsidRDefault="00DB66D1" w:rsidP="00DB66D1">
            <w:pPr>
              <w:pStyle w:val="Heading1"/>
              <w:numPr>
                <w:ilvl w:val="0"/>
                <w:numId w:val="5"/>
              </w:numPr>
              <w:spacing w:before="60" w:after="60" w:line="240" w:lineRule="auto"/>
              <w:ind w:left="527" w:hanging="357"/>
              <w:rPr>
                <w:rFonts w:ascii="Arial" w:hAnsi="Arial"/>
                <w:b w:val="0"/>
                <w:bCs w:val="0"/>
                <w:color w:val="auto"/>
                <w:kern w:val="0"/>
                <w:sz w:val="20"/>
                <w:szCs w:val="20"/>
              </w:rPr>
            </w:pPr>
            <w:r w:rsidRPr="00DB66D1">
              <w:rPr>
                <w:rFonts w:ascii="Arial" w:hAnsi="Arial"/>
                <w:b w:val="0"/>
                <w:bCs w:val="0"/>
                <w:color w:val="auto"/>
                <w:kern w:val="0"/>
                <w:sz w:val="20"/>
                <w:szCs w:val="20"/>
              </w:rPr>
              <w:t>The revised landholder resource kit provides information on preparing individual and collective drainage management plans and options for dispute resolution.</w:t>
            </w:r>
          </w:p>
        </w:tc>
        <w:tc>
          <w:tcPr>
            <w:cnfStyle w:val="000010000000" w:firstRow="0" w:lastRow="0" w:firstColumn="0" w:lastColumn="0" w:oddVBand="1" w:evenVBand="0" w:oddHBand="0" w:evenHBand="0" w:firstRowFirstColumn="0" w:firstRowLastColumn="0" w:lastRowFirstColumn="0" w:lastRowLastColumn="0"/>
            <w:tcW w:w="2500" w:type="pct"/>
          </w:tcPr>
          <w:p w14:paraId="0FA918C0" w14:textId="77777777" w:rsidR="00DB66D1" w:rsidRPr="00DB66D1" w:rsidRDefault="00DB66D1" w:rsidP="00DB66D1">
            <w:pPr>
              <w:pStyle w:val="Heading1"/>
              <w:numPr>
                <w:ilvl w:val="0"/>
                <w:numId w:val="5"/>
              </w:numPr>
              <w:spacing w:before="60" w:after="60" w:line="240" w:lineRule="auto"/>
              <w:ind w:left="527" w:hanging="357"/>
              <w:rPr>
                <w:rFonts w:ascii="Arial" w:hAnsi="Arial"/>
                <w:b w:val="0"/>
                <w:bCs w:val="0"/>
                <w:color w:val="auto"/>
                <w:kern w:val="0"/>
                <w:sz w:val="20"/>
                <w:szCs w:val="20"/>
              </w:rPr>
            </w:pPr>
            <w:r w:rsidRPr="00DB66D1">
              <w:rPr>
                <w:rFonts w:ascii="Arial" w:hAnsi="Arial"/>
                <w:b w:val="0"/>
                <w:bCs w:val="0"/>
                <w:color w:val="auto"/>
                <w:kern w:val="0"/>
                <w:sz w:val="20"/>
                <w:szCs w:val="20"/>
              </w:rPr>
              <w:t>The first part of Outcome 5 has been achieved where agencies have worked together to rebuild capability within the pilot project areas.</w:t>
            </w:r>
          </w:p>
          <w:p w14:paraId="65273F3C" w14:textId="77777777" w:rsidR="00DB66D1" w:rsidRPr="00DB66D1" w:rsidRDefault="00DB66D1" w:rsidP="00DB66D1">
            <w:pPr>
              <w:pStyle w:val="Heading1"/>
              <w:numPr>
                <w:ilvl w:val="0"/>
                <w:numId w:val="5"/>
              </w:numPr>
              <w:spacing w:before="60" w:after="60" w:line="240" w:lineRule="auto"/>
              <w:ind w:left="527" w:hanging="357"/>
              <w:rPr>
                <w:rFonts w:ascii="Arial" w:hAnsi="Arial"/>
                <w:b w:val="0"/>
                <w:bCs w:val="0"/>
                <w:color w:val="auto"/>
                <w:kern w:val="0"/>
                <w:sz w:val="20"/>
                <w:szCs w:val="20"/>
              </w:rPr>
            </w:pPr>
            <w:r w:rsidRPr="00DB66D1">
              <w:rPr>
                <w:rFonts w:ascii="Arial" w:hAnsi="Arial"/>
                <w:b w:val="0"/>
                <w:bCs w:val="0"/>
                <w:color w:val="auto"/>
                <w:kern w:val="0"/>
                <w:sz w:val="20"/>
                <w:szCs w:val="20"/>
              </w:rPr>
              <w:t>Ongoing formal collective arrangements have not always been possible as many landholders prefer that individual management arrangements remain in place.</w:t>
            </w:r>
          </w:p>
          <w:p w14:paraId="2DB1D78F" w14:textId="77777777" w:rsidR="00DB66D1" w:rsidRPr="00DB66D1" w:rsidRDefault="00DB66D1" w:rsidP="00DB66D1">
            <w:pPr>
              <w:pStyle w:val="Heading1"/>
              <w:numPr>
                <w:ilvl w:val="0"/>
                <w:numId w:val="5"/>
              </w:numPr>
              <w:spacing w:before="60" w:after="60" w:line="240" w:lineRule="auto"/>
              <w:ind w:left="527" w:hanging="357"/>
              <w:rPr>
                <w:rFonts w:ascii="Arial" w:hAnsi="Arial"/>
                <w:b w:val="0"/>
                <w:bCs w:val="0"/>
                <w:color w:val="auto"/>
                <w:kern w:val="0"/>
                <w:sz w:val="20"/>
                <w:szCs w:val="20"/>
              </w:rPr>
            </w:pPr>
            <w:r w:rsidRPr="00DB66D1">
              <w:rPr>
                <w:rFonts w:ascii="Arial" w:hAnsi="Arial"/>
                <w:b w:val="0"/>
                <w:bCs w:val="0"/>
                <w:color w:val="auto"/>
                <w:kern w:val="0"/>
                <w:sz w:val="20"/>
                <w:szCs w:val="20"/>
              </w:rPr>
              <w:t>To date, pilot projects have not resulted in the transfer of public assets to private beneficiaries.</w:t>
            </w:r>
          </w:p>
          <w:p w14:paraId="1AA75EF8" w14:textId="77777777" w:rsidR="00DB66D1" w:rsidRPr="00DB66D1" w:rsidRDefault="00DB66D1" w:rsidP="00DB66D1">
            <w:pPr>
              <w:pStyle w:val="Heading1"/>
              <w:numPr>
                <w:ilvl w:val="0"/>
                <w:numId w:val="5"/>
              </w:numPr>
              <w:spacing w:before="60" w:after="60" w:line="240" w:lineRule="auto"/>
              <w:ind w:left="527" w:hanging="357"/>
              <w:rPr>
                <w:rFonts w:ascii="Arial" w:hAnsi="Arial"/>
                <w:b w:val="0"/>
                <w:bCs w:val="0"/>
                <w:color w:val="auto"/>
                <w:kern w:val="0"/>
                <w:sz w:val="20"/>
                <w:szCs w:val="20"/>
              </w:rPr>
            </w:pPr>
            <w:r w:rsidRPr="00DB66D1">
              <w:rPr>
                <w:rFonts w:ascii="Arial" w:hAnsi="Arial"/>
                <w:b w:val="0"/>
                <w:bCs w:val="0"/>
                <w:color w:val="auto"/>
                <w:kern w:val="0"/>
                <w:sz w:val="20"/>
                <w:szCs w:val="20"/>
              </w:rPr>
              <w:t>The Black Dog Creek (North East CMA), Bullock Creek (North Central CMA), Pearsondale, (West Gippsland CMA), Lough Calvert and Woady Yaloak (Corangamite CMA) systems still have public assets managed and vested in state entities. These CMA continue to have direct infrastructure risk management responsibilities.</w:t>
            </w:r>
          </w:p>
          <w:p w14:paraId="21F317A7" w14:textId="77777777" w:rsidR="00DB66D1" w:rsidRPr="00DB66D1" w:rsidRDefault="00DB66D1" w:rsidP="00DB66D1">
            <w:pPr>
              <w:pStyle w:val="Heading1"/>
              <w:numPr>
                <w:ilvl w:val="0"/>
                <w:numId w:val="5"/>
              </w:numPr>
              <w:spacing w:before="60" w:after="60" w:line="240" w:lineRule="auto"/>
              <w:ind w:left="527" w:hanging="357"/>
              <w:rPr>
                <w:rFonts w:ascii="Arial" w:hAnsi="Arial"/>
                <w:b w:val="0"/>
                <w:bCs w:val="0"/>
                <w:color w:val="auto"/>
                <w:kern w:val="0"/>
                <w:sz w:val="20"/>
                <w:szCs w:val="20"/>
              </w:rPr>
            </w:pPr>
            <w:r w:rsidRPr="00DB66D1">
              <w:rPr>
                <w:rFonts w:ascii="Arial" w:hAnsi="Arial"/>
                <w:b w:val="0"/>
                <w:bCs w:val="0"/>
                <w:color w:val="auto"/>
                <w:kern w:val="0"/>
                <w:sz w:val="20"/>
                <w:szCs w:val="20"/>
              </w:rPr>
              <w:t>There is a need for monitoring of assets, associated values, and public risks to be formalised and standardised across the State.</w:t>
            </w:r>
          </w:p>
          <w:p w14:paraId="0EA9FD48" w14:textId="05DF270E" w:rsidR="00DB66D1" w:rsidRPr="00DB66D1" w:rsidRDefault="00DB66D1" w:rsidP="00DB66D1">
            <w:pPr>
              <w:pStyle w:val="Heading1"/>
              <w:numPr>
                <w:ilvl w:val="0"/>
                <w:numId w:val="5"/>
              </w:numPr>
              <w:spacing w:before="60" w:after="60" w:line="240" w:lineRule="auto"/>
              <w:ind w:left="527" w:hanging="357"/>
              <w:rPr>
                <w:rFonts w:ascii="Arial" w:hAnsi="Arial"/>
                <w:b w:val="0"/>
                <w:bCs w:val="0"/>
                <w:color w:val="auto"/>
                <w:kern w:val="0"/>
                <w:sz w:val="20"/>
                <w:szCs w:val="20"/>
              </w:rPr>
            </w:pPr>
            <w:r w:rsidRPr="00DB66D1">
              <w:rPr>
                <w:rFonts w:ascii="Arial" w:hAnsi="Arial"/>
                <w:b w:val="0"/>
                <w:bCs w:val="0"/>
                <w:color w:val="auto"/>
                <w:kern w:val="0"/>
                <w:sz w:val="20"/>
                <w:szCs w:val="20"/>
              </w:rPr>
              <w:t>Some landholders believe that the Pearsondale drainage area is potentially being overloaded due to hard surfaces from development and the need to pump water over the levee. Evidence of this is not clear.</w:t>
            </w:r>
          </w:p>
        </w:tc>
      </w:tr>
    </w:tbl>
    <w:p w14:paraId="418F60D0" w14:textId="77777777" w:rsidR="00D13D9E" w:rsidRDefault="00D13D9E" w:rsidP="00F35034">
      <w:pPr>
        <w:jc w:val="both"/>
        <w:rPr>
          <w:rFonts w:ascii="Arial" w:hAnsi="Arial" w:cs="Arial"/>
          <w:sz w:val="20"/>
          <w:szCs w:val="20"/>
        </w:rPr>
      </w:pPr>
    </w:p>
    <w:p w14:paraId="513E66B6" w14:textId="259B36EF" w:rsidR="00882953" w:rsidRPr="00804347" w:rsidRDefault="00882953" w:rsidP="00882953">
      <w:pPr>
        <w:jc w:val="both"/>
        <w:rPr>
          <w:rFonts w:ascii="Arial" w:hAnsi="Arial" w:cs="Arial"/>
          <w:sz w:val="20"/>
          <w:szCs w:val="20"/>
        </w:rPr>
      </w:pPr>
    </w:p>
    <w:sectPr w:rsidR="00882953" w:rsidRPr="00804347" w:rsidSect="008944E4">
      <w:footerReference w:type="default" r:id="rId14"/>
      <w:pgSz w:w="12240" w:h="15840"/>
      <w:pgMar w:top="1276" w:right="900"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1C88" w14:textId="77777777" w:rsidR="00E95BE6" w:rsidRDefault="00E95BE6" w:rsidP="002E115A">
      <w:pPr>
        <w:spacing w:after="0" w:line="240" w:lineRule="auto"/>
      </w:pPr>
      <w:r>
        <w:separator/>
      </w:r>
    </w:p>
  </w:endnote>
  <w:endnote w:type="continuationSeparator" w:id="0">
    <w:p w14:paraId="2AC10BD3" w14:textId="77777777" w:rsidR="00E95BE6" w:rsidRDefault="00E95BE6" w:rsidP="002E115A">
      <w:pPr>
        <w:spacing w:after="0" w:line="240" w:lineRule="auto"/>
      </w:pPr>
      <w:r>
        <w:continuationSeparator/>
      </w:r>
    </w:p>
  </w:endnote>
  <w:endnote w:type="continuationNotice" w:id="1">
    <w:p w14:paraId="5AC02862" w14:textId="77777777" w:rsidR="00E95BE6" w:rsidRDefault="00E95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55890"/>
      <w:docPartObj>
        <w:docPartGallery w:val="Page Numbers (Bottom of Page)"/>
        <w:docPartUnique/>
      </w:docPartObj>
    </w:sdtPr>
    <w:sdtEndPr>
      <w:rPr>
        <w:noProof/>
      </w:rPr>
    </w:sdtEndPr>
    <w:sdtContent>
      <w:p w14:paraId="795F1D0B" w14:textId="439D23CA" w:rsidR="00496291" w:rsidRDefault="004962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485F6D" w14:textId="37C18A64" w:rsidR="002E115A" w:rsidRDefault="00A275AA">
    <w:pPr>
      <w:pStyle w:val="Footer"/>
    </w:pPr>
    <w:r>
      <w:rPr>
        <w:noProof/>
      </w:rPr>
      <mc:AlternateContent>
        <mc:Choice Requires="wps">
          <w:drawing>
            <wp:anchor distT="0" distB="0" distL="114300" distR="114300" simplePos="0" relativeHeight="251659264" behindDoc="0" locked="0" layoutInCell="0" allowOverlap="1" wp14:anchorId="16E6EA29" wp14:editId="33B1D37A">
              <wp:simplePos x="0" y="0"/>
              <wp:positionH relativeFrom="page">
                <wp:posOffset>720090</wp:posOffset>
              </wp:positionH>
              <wp:positionV relativeFrom="page">
                <wp:posOffset>9430385</wp:posOffset>
              </wp:positionV>
              <wp:extent cx="7560945" cy="273050"/>
              <wp:effectExtent l="0" t="0" r="0" b="12700"/>
              <wp:wrapNone/>
              <wp:docPr id="3" name="MSIPCM87e14d09bc87fb0eddbfc61c"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AFD49D" w14:textId="77777777" w:rsidR="00A275AA" w:rsidRPr="007F19B9" w:rsidRDefault="00A275AA" w:rsidP="00A275AA">
                          <w:pPr>
                            <w:ind w:right="1672"/>
                            <w:jc w:val="center"/>
                            <w:rPr>
                              <w:rFonts w:ascii="Calibri" w:hAnsi="Calibri" w:cs="Calibri"/>
                              <w:color w:val="000000"/>
                              <w:sz w:val="24"/>
                            </w:rPr>
                          </w:pPr>
                          <w:r w:rsidRPr="007F19B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E6EA29" id="_x0000_t202" coordsize="21600,21600" o:spt="202" path="m,l,21600r21600,l21600,xe">
              <v:stroke joinstyle="miter"/>
              <v:path gradientshapeok="t" o:connecttype="rect"/>
            </v:shapetype>
            <v:shape id="MSIPCM87e14d09bc87fb0eddbfc61c" o:spid="_x0000_s1026" type="#_x0000_t202" alt="{&quot;HashCode&quot;:-1264680268,&quot;Height&quot;:842.0,&quot;Width&quot;:595.0,&quot;Placement&quot;:&quot;Footer&quot;,&quot;Index&quot;:&quot;FirstPage&quot;,&quot;Section&quot;:1,&quot;Top&quot;:0.0,&quot;Left&quot;:0.0}" style="position:absolute;margin-left:56.7pt;margin-top:742.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" o:allowincell="f" filled="f" stroked="f" strokeweight=".5pt">
              <v:textbox inset=",0,,0">
                <w:txbxContent>
                  <w:p w14:paraId="11AFD49D" w14:textId="77777777" w:rsidR="00A275AA" w:rsidRPr="007F19B9" w:rsidRDefault="00A275AA" w:rsidP="00A275AA">
                    <w:pPr>
                      <w:ind w:right="1672"/>
                      <w:jc w:val="center"/>
                      <w:rPr>
                        <w:rFonts w:ascii="Calibri" w:hAnsi="Calibri" w:cs="Calibri"/>
                        <w:color w:val="000000"/>
                        <w:sz w:val="24"/>
                      </w:rPr>
                    </w:pPr>
                    <w:r w:rsidRPr="007F19B9">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A5C0" w14:textId="77777777" w:rsidR="00E95BE6" w:rsidRDefault="00E95BE6" w:rsidP="002E115A">
      <w:pPr>
        <w:spacing w:after="0" w:line="240" w:lineRule="auto"/>
      </w:pPr>
      <w:r>
        <w:separator/>
      </w:r>
    </w:p>
  </w:footnote>
  <w:footnote w:type="continuationSeparator" w:id="0">
    <w:p w14:paraId="351EDE93" w14:textId="77777777" w:rsidR="00E95BE6" w:rsidRDefault="00E95BE6" w:rsidP="002E115A">
      <w:pPr>
        <w:spacing w:after="0" w:line="240" w:lineRule="auto"/>
      </w:pPr>
      <w:r>
        <w:continuationSeparator/>
      </w:r>
    </w:p>
  </w:footnote>
  <w:footnote w:type="continuationNotice" w:id="1">
    <w:p w14:paraId="46021EEB" w14:textId="77777777" w:rsidR="00E95BE6" w:rsidRDefault="00E95B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1215"/>
    <w:multiLevelType w:val="multilevel"/>
    <w:tmpl w:val="6C1270E4"/>
    <w:name w:val="DELWPHeadings"/>
    <w:lvl w:ilvl="0">
      <w:start w:val="1"/>
      <w:numFmt w:val="none"/>
      <w:lvlRestart w:val="0"/>
      <w:suff w:val="nothing"/>
      <w:lvlText w:val=""/>
      <w:lvlJc w:val="left"/>
      <w:pPr>
        <w:ind w:left="0" w:firstLine="0"/>
      </w:pPr>
      <w:rPr>
        <w:rFonts w:hint="default"/>
        <w:color w:val="44546A"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 w15:restartNumberingAfterBreak="0">
    <w:nsid w:val="10A125A1"/>
    <w:multiLevelType w:val="hybridMultilevel"/>
    <w:tmpl w:val="9C1A224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3CFD75B0"/>
    <w:multiLevelType w:val="multilevel"/>
    <w:tmpl w:val="04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3BF36DB"/>
    <w:multiLevelType w:val="hybridMultilevel"/>
    <w:tmpl w:val="4B4A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0C6546"/>
    <w:multiLevelType w:val="hybridMultilevel"/>
    <w:tmpl w:val="C57CE1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839021E"/>
    <w:multiLevelType w:val="multilevel"/>
    <w:tmpl w:val="E0E09B5E"/>
    <w:name w:val="DEPIListNumbering"/>
    <w:lvl w:ilvl="0">
      <w:start w:val="1"/>
      <w:numFmt w:val="decimal"/>
      <w:pStyle w:val="ListNumber"/>
      <w:lvlText w:val="%1."/>
      <w:lvlJc w:val="left"/>
      <w:pPr>
        <w:tabs>
          <w:tab w:val="num" w:pos="680"/>
        </w:tabs>
        <w:ind w:left="680" w:hanging="340"/>
      </w:pPr>
      <w:rPr>
        <w:rFonts w:hint="default"/>
        <w:color w:val="000000" w:themeColor="text1"/>
        <w:spacing w:val="0"/>
        <w:sz w:val="20"/>
      </w:rPr>
    </w:lvl>
    <w:lvl w:ilvl="1">
      <w:start w:val="1"/>
      <w:numFmt w:val="lowerLetter"/>
      <w:pStyle w:val="ListNumber2"/>
      <w:lvlText w:val="%2."/>
      <w:lvlJc w:val="left"/>
      <w:pPr>
        <w:tabs>
          <w:tab w:val="num" w:pos="1020"/>
        </w:tabs>
        <w:ind w:left="1020" w:hanging="340"/>
      </w:pPr>
      <w:rPr>
        <w:rFonts w:hint="default"/>
        <w:color w:val="000000" w:themeColor="text1"/>
        <w:spacing w:val="0"/>
        <w:sz w:val="20"/>
      </w:rPr>
    </w:lvl>
    <w:lvl w:ilvl="2">
      <w:start w:val="1"/>
      <w:numFmt w:val="lowerRoman"/>
      <w:pStyle w:val="ListNumber3"/>
      <w:lvlText w:val="%3."/>
      <w:lvlJc w:val="left"/>
      <w:pPr>
        <w:tabs>
          <w:tab w:val="num" w:pos="1389"/>
        </w:tabs>
        <w:ind w:left="1389" w:hanging="369"/>
      </w:pPr>
      <w:rPr>
        <w:rFonts w:hint="default"/>
        <w:color w:val="000000" w:themeColor="text1"/>
        <w:spacing w:val="0"/>
        <w:position w:val="0"/>
        <w:sz w:val="20"/>
        <w:szCs w:val="16"/>
      </w:rPr>
    </w:lvl>
    <w:lvl w:ilvl="3">
      <w:start w:val="1"/>
      <w:numFmt w:val="none"/>
      <w:lvlText w:val=""/>
      <w:lvlJc w:val="left"/>
      <w:pPr>
        <w:tabs>
          <w:tab w:val="num" w:pos="-31340"/>
        </w:tabs>
        <w:ind w:left="-32427" w:firstLine="0"/>
      </w:pPr>
      <w:rPr>
        <w:rFonts w:hint="default"/>
      </w:rPr>
    </w:lvl>
    <w:lvl w:ilvl="4">
      <w:start w:val="1"/>
      <w:numFmt w:val="none"/>
      <w:lvlText w:val=""/>
      <w:lvlJc w:val="left"/>
      <w:pPr>
        <w:tabs>
          <w:tab w:val="num" w:pos="-31340"/>
        </w:tabs>
        <w:ind w:left="-32427" w:firstLine="0"/>
      </w:pPr>
      <w:rPr>
        <w:rFonts w:hint="default"/>
      </w:rPr>
    </w:lvl>
    <w:lvl w:ilvl="5">
      <w:start w:val="1"/>
      <w:numFmt w:val="none"/>
      <w:lvlText w:val=""/>
      <w:lvlJc w:val="left"/>
      <w:pPr>
        <w:tabs>
          <w:tab w:val="num" w:pos="-31340"/>
        </w:tabs>
        <w:ind w:left="-32427" w:firstLine="0"/>
      </w:pPr>
      <w:rPr>
        <w:rFonts w:hint="default"/>
      </w:rPr>
    </w:lvl>
    <w:lvl w:ilvl="6">
      <w:start w:val="1"/>
      <w:numFmt w:val="none"/>
      <w:lvlText w:val=""/>
      <w:lvlJc w:val="left"/>
      <w:pPr>
        <w:tabs>
          <w:tab w:val="num" w:pos="-31340"/>
        </w:tabs>
        <w:ind w:left="-32427" w:firstLine="0"/>
      </w:pPr>
      <w:rPr>
        <w:rFonts w:hint="default"/>
      </w:rPr>
    </w:lvl>
    <w:lvl w:ilvl="7">
      <w:start w:val="1"/>
      <w:numFmt w:val="none"/>
      <w:lvlText w:val=""/>
      <w:lvlJc w:val="left"/>
      <w:pPr>
        <w:tabs>
          <w:tab w:val="num" w:pos="-31340"/>
        </w:tabs>
        <w:ind w:left="-32427" w:firstLine="0"/>
      </w:pPr>
      <w:rPr>
        <w:rFonts w:hint="default"/>
      </w:rPr>
    </w:lvl>
    <w:lvl w:ilvl="8">
      <w:start w:val="1"/>
      <w:numFmt w:val="none"/>
      <w:lvlText w:val=""/>
      <w:lvlJc w:val="left"/>
      <w:pPr>
        <w:tabs>
          <w:tab w:val="num" w:pos="-31340"/>
        </w:tabs>
        <w:ind w:left="-32427" w:firstLine="0"/>
      </w:pPr>
      <w:rPr>
        <w:rFonts w:hint="default"/>
      </w:rPr>
    </w:lvl>
  </w:abstractNum>
  <w:num w:numId="1" w16cid:durableId="1347950138">
    <w:abstractNumId w:val="2"/>
  </w:num>
  <w:num w:numId="2" w16cid:durableId="1163862686">
    <w:abstractNumId w:val="5"/>
  </w:num>
  <w:num w:numId="3" w16cid:durableId="640694858">
    <w:abstractNumId w:val="4"/>
  </w:num>
  <w:num w:numId="4" w16cid:durableId="4524506">
    <w:abstractNumId w:val="3"/>
  </w:num>
  <w:num w:numId="5" w16cid:durableId="878785256">
    <w:abstractNumId w:val="1"/>
  </w:num>
  <w:num w:numId="6" w16cid:durableId="470562971">
    <w:abstractNumId w:val="2"/>
  </w:num>
  <w:num w:numId="7" w16cid:durableId="738794008">
    <w:abstractNumId w:val="2"/>
  </w:num>
  <w:num w:numId="8" w16cid:durableId="928806238">
    <w:abstractNumId w:val="2"/>
  </w:num>
  <w:num w:numId="9" w16cid:durableId="55587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FEF529"/>
    <w:rsid w:val="00001FDF"/>
    <w:rsid w:val="000317AC"/>
    <w:rsid w:val="00034C95"/>
    <w:rsid w:val="00050DEF"/>
    <w:rsid w:val="00063437"/>
    <w:rsid w:val="00086B44"/>
    <w:rsid w:val="000A46F0"/>
    <w:rsid w:val="000B5FE4"/>
    <w:rsid w:val="00104AC1"/>
    <w:rsid w:val="00132D50"/>
    <w:rsid w:val="00136240"/>
    <w:rsid w:val="001411B5"/>
    <w:rsid w:val="00190FCA"/>
    <w:rsid w:val="001944A7"/>
    <w:rsid w:val="001A78FB"/>
    <w:rsid w:val="001A7B94"/>
    <w:rsid w:val="001B0951"/>
    <w:rsid w:val="00200836"/>
    <w:rsid w:val="0021383E"/>
    <w:rsid w:val="00253762"/>
    <w:rsid w:val="0027068D"/>
    <w:rsid w:val="00291B39"/>
    <w:rsid w:val="002C3627"/>
    <w:rsid w:val="002E115A"/>
    <w:rsid w:val="002F2E68"/>
    <w:rsid w:val="0030399F"/>
    <w:rsid w:val="0030481D"/>
    <w:rsid w:val="00313BC3"/>
    <w:rsid w:val="003A188B"/>
    <w:rsid w:val="003C418E"/>
    <w:rsid w:val="00410448"/>
    <w:rsid w:val="00417492"/>
    <w:rsid w:val="00441768"/>
    <w:rsid w:val="0044692D"/>
    <w:rsid w:val="004714CD"/>
    <w:rsid w:val="00492795"/>
    <w:rsid w:val="004958DE"/>
    <w:rsid w:val="00496291"/>
    <w:rsid w:val="004C3BCF"/>
    <w:rsid w:val="005003CD"/>
    <w:rsid w:val="00542667"/>
    <w:rsid w:val="0057707B"/>
    <w:rsid w:val="005A4659"/>
    <w:rsid w:val="005C1B05"/>
    <w:rsid w:val="006729EB"/>
    <w:rsid w:val="006B3CC2"/>
    <w:rsid w:val="006C38E0"/>
    <w:rsid w:val="0072675F"/>
    <w:rsid w:val="00726B34"/>
    <w:rsid w:val="00782122"/>
    <w:rsid w:val="00785AF8"/>
    <w:rsid w:val="00804347"/>
    <w:rsid w:val="008215A8"/>
    <w:rsid w:val="00834064"/>
    <w:rsid w:val="00882953"/>
    <w:rsid w:val="008944E4"/>
    <w:rsid w:val="008B1BB3"/>
    <w:rsid w:val="008B3537"/>
    <w:rsid w:val="008B7591"/>
    <w:rsid w:val="008E03ED"/>
    <w:rsid w:val="008E3CC8"/>
    <w:rsid w:val="00944ABA"/>
    <w:rsid w:val="00947591"/>
    <w:rsid w:val="00952EAB"/>
    <w:rsid w:val="00955C18"/>
    <w:rsid w:val="00960CEE"/>
    <w:rsid w:val="00995FE6"/>
    <w:rsid w:val="009F087C"/>
    <w:rsid w:val="009F20DB"/>
    <w:rsid w:val="00A07586"/>
    <w:rsid w:val="00A15681"/>
    <w:rsid w:val="00A275AA"/>
    <w:rsid w:val="00A36DD7"/>
    <w:rsid w:val="00A968F8"/>
    <w:rsid w:val="00AA40BD"/>
    <w:rsid w:val="00AE583D"/>
    <w:rsid w:val="00B52E0B"/>
    <w:rsid w:val="00B651A6"/>
    <w:rsid w:val="00B71E87"/>
    <w:rsid w:val="00BC0678"/>
    <w:rsid w:val="00C51E48"/>
    <w:rsid w:val="00C6117F"/>
    <w:rsid w:val="00C6562A"/>
    <w:rsid w:val="00CB08F2"/>
    <w:rsid w:val="00CC1AEB"/>
    <w:rsid w:val="00CD11CA"/>
    <w:rsid w:val="00CE2985"/>
    <w:rsid w:val="00D12CA3"/>
    <w:rsid w:val="00D13D9E"/>
    <w:rsid w:val="00D14D21"/>
    <w:rsid w:val="00D23DC5"/>
    <w:rsid w:val="00D31210"/>
    <w:rsid w:val="00D94677"/>
    <w:rsid w:val="00DA1F14"/>
    <w:rsid w:val="00DB66D1"/>
    <w:rsid w:val="00DD432A"/>
    <w:rsid w:val="00DE178D"/>
    <w:rsid w:val="00DF59BB"/>
    <w:rsid w:val="00E05172"/>
    <w:rsid w:val="00E068DA"/>
    <w:rsid w:val="00E11845"/>
    <w:rsid w:val="00E37433"/>
    <w:rsid w:val="00E45CAB"/>
    <w:rsid w:val="00E50CEA"/>
    <w:rsid w:val="00E6623A"/>
    <w:rsid w:val="00E77AD8"/>
    <w:rsid w:val="00E87977"/>
    <w:rsid w:val="00E914D0"/>
    <w:rsid w:val="00E95BE6"/>
    <w:rsid w:val="00EA65D1"/>
    <w:rsid w:val="00EB30B3"/>
    <w:rsid w:val="00EF7AC1"/>
    <w:rsid w:val="00F21933"/>
    <w:rsid w:val="00F33FDC"/>
    <w:rsid w:val="00F34F11"/>
    <w:rsid w:val="00F35034"/>
    <w:rsid w:val="00F74DC5"/>
    <w:rsid w:val="00F95BF0"/>
    <w:rsid w:val="00FA195F"/>
    <w:rsid w:val="00FB0692"/>
    <w:rsid w:val="00FC1267"/>
    <w:rsid w:val="00FD5E26"/>
    <w:rsid w:val="00FE41E9"/>
    <w:rsid w:val="211A8468"/>
    <w:rsid w:val="23FEF5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EF529"/>
  <w15:chartTrackingRefBased/>
  <w15:docId w15:val="{C0A22446-9BA4-42C8-9C8E-DED70A9F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DA1F14"/>
    <w:pPr>
      <w:keepNext/>
      <w:keepLines/>
      <w:numPr>
        <w:numId w:val="1"/>
      </w:numPr>
      <w:spacing w:before="300" w:after="360" w:line="440" w:lineRule="exact"/>
      <w:outlineLvl w:val="0"/>
    </w:pPr>
    <w:rPr>
      <w:rFonts w:eastAsia="Times New Roman" w:cs="Arial"/>
      <w:b/>
      <w:bCs/>
      <w:color w:val="44546A" w:themeColor="text2"/>
      <w:kern w:val="32"/>
      <w:sz w:val="40"/>
      <w:szCs w:val="32"/>
      <w:lang w:val="en-AU" w:eastAsia="en-AU"/>
    </w:rPr>
  </w:style>
  <w:style w:type="paragraph" w:styleId="Heading2">
    <w:name w:val="heading 2"/>
    <w:basedOn w:val="Normal"/>
    <w:next w:val="BodyText"/>
    <w:link w:val="Heading2Char"/>
    <w:qFormat/>
    <w:rsid w:val="00DA1F14"/>
    <w:pPr>
      <w:keepNext/>
      <w:keepLines/>
      <w:numPr>
        <w:ilvl w:val="1"/>
        <w:numId w:val="1"/>
      </w:numPr>
      <w:tabs>
        <w:tab w:val="left" w:pos="1418"/>
        <w:tab w:val="left" w:pos="1701"/>
        <w:tab w:val="left" w:pos="1985"/>
      </w:tabs>
      <w:spacing w:before="240" w:after="100" w:line="260" w:lineRule="exact"/>
      <w:outlineLvl w:val="1"/>
    </w:pPr>
    <w:rPr>
      <w:rFonts w:eastAsia="Times New Roman" w:cs="Arial"/>
      <w:b/>
      <w:bCs/>
      <w:iCs/>
      <w:color w:val="44546A" w:themeColor="text2"/>
      <w:kern w:val="20"/>
      <w:szCs w:val="28"/>
      <w:lang w:val="en-AU" w:eastAsia="en-AU"/>
    </w:rPr>
  </w:style>
  <w:style w:type="paragraph" w:styleId="Heading3">
    <w:name w:val="heading 3"/>
    <w:basedOn w:val="Normal"/>
    <w:next w:val="BodyText"/>
    <w:link w:val="Heading3Char"/>
    <w:qFormat/>
    <w:rsid w:val="00DA1F14"/>
    <w:pPr>
      <w:keepNext/>
      <w:keepLines/>
      <w:numPr>
        <w:ilvl w:val="2"/>
        <w:numId w:val="1"/>
      </w:numPr>
      <w:tabs>
        <w:tab w:val="left" w:pos="1418"/>
        <w:tab w:val="left" w:pos="1701"/>
        <w:tab w:val="left" w:pos="1985"/>
      </w:tabs>
      <w:spacing w:before="200" w:after="100" w:line="240" w:lineRule="exact"/>
      <w:outlineLvl w:val="2"/>
    </w:pPr>
    <w:rPr>
      <w:rFonts w:eastAsia="Times New Roman" w:cs="Arial"/>
      <w:b/>
      <w:color w:val="494847"/>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15A"/>
  </w:style>
  <w:style w:type="paragraph" w:styleId="Footer">
    <w:name w:val="footer"/>
    <w:basedOn w:val="Normal"/>
    <w:link w:val="FooterChar"/>
    <w:uiPriority w:val="99"/>
    <w:unhideWhenUsed/>
    <w:rsid w:val="002E1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15A"/>
  </w:style>
  <w:style w:type="character" w:customStyle="1" w:styleId="Heading1Char">
    <w:name w:val="Heading 1 Char"/>
    <w:basedOn w:val="DefaultParagraphFont"/>
    <w:link w:val="Heading1"/>
    <w:rsid w:val="00DA1F14"/>
    <w:rPr>
      <w:rFonts w:eastAsia="Times New Roman" w:cs="Arial"/>
      <w:b/>
      <w:bCs/>
      <w:color w:val="44546A" w:themeColor="text2"/>
      <w:kern w:val="32"/>
      <w:sz w:val="40"/>
      <w:szCs w:val="32"/>
      <w:lang w:val="en-AU" w:eastAsia="en-AU"/>
    </w:rPr>
  </w:style>
  <w:style w:type="character" w:customStyle="1" w:styleId="Heading2Char">
    <w:name w:val="Heading 2 Char"/>
    <w:basedOn w:val="DefaultParagraphFont"/>
    <w:link w:val="Heading2"/>
    <w:rsid w:val="00DA1F14"/>
    <w:rPr>
      <w:rFonts w:eastAsia="Times New Roman" w:cs="Arial"/>
      <w:b/>
      <w:bCs/>
      <w:iCs/>
      <w:color w:val="44546A" w:themeColor="text2"/>
      <w:kern w:val="20"/>
      <w:szCs w:val="28"/>
      <w:lang w:val="en-AU" w:eastAsia="en-AU"/>
    </w:rPr>
  </w:style>
  <w:style w:type="character" w:customStyle="1" w:styleId="Heading3Char">
    <w:name w:val="Heading 3 Char"/>
    <w:basedOn w:val="DefaultParagraphFont"/>
    <w:link w:val="Heading3"/>
    <w:rsid w:val="00DA1F14"/>
    <w:rPr>
      <w:rFonts w:eastAsia="Times New Roman" w:cs="Arial"/>
      <w:b/>
      <w:color w:val="494847"/>
      <w:sz w:val="20"/>
      <w:szCs w:val="20"/>
      <w:lang w:val="en-AU" w:eastAsia="en-AU"/>
    </w:rPr>
  </w:style>
  <w:style w:type="paragraph" w:styleId="BodyText">
    <w:name w:val="Body Text"/>
    <w:basedOn w:val="Normal"/>
    <w:link w:val="BodyTextChar"/>
    <w:qFormat/>
    <w:rsid w:val="00DA1F14"/>
    <w:pPr>
      <w:spacing w:before="60" w:after="120" w:line="240" w:lineRule="atLeast"/>
    </w:pPr>
    <w:rPr>
      <w:rFonts w:eastAsia="Times New Roman" w:cs="Times New Roman"/>
      <w:color w:val="000000" w:themeColor="text1"/>
      <w:sz w:val="20"/>
      <w:szCs w:val="20"/>
      <w:lang w:val="en-AU"/>
    </w:rPr>
  </w:style>
  <w:style w:type="character" w:customStyle="1" w:styleId="BodyTextChar">
    <w:name w:val="Body Text Char"/>
    <w:basedOn w:val="DefaultParagraphFont"/>
    <w:link w:val="BodyText"/>
    <w:rsid w:val="00DA1F14"/>
    <w:rPr>
      <w:rFonts w:eastAsia="Times New Roman" w:cs="Times New Roman"/>
      <w:color w:val="000000" w:themeColor="text1"/>
      <w:sz w:val="20"/>
      <w:szCs w:val="20"/>
      <w:lang w:val="en-AU"/>
    </w:rPr>
  </w:style>
  <w:style w:type="numbering" w:styleId="1ai">
    <w:name w:val="Outline List 1"/>
    <w:basedOn w:val="NoList"/>
    <w:rsid w:val="005A4659"/>
    <w:pPr>
      <w:numPr>
        <w:numId w:val="1"/>
      </w:numPr>
    </w:pPr>
  </w:style>
  <w:style w:type="paragraph" w:styleId="CommentText">
    <w:name w:val="annotation text"/>
    <w:basedOn w:val="Normal"/>
    <w:link w:val="CommentTextChar"/>
    <w:uiPriority w:val="99"/>
    <w:semiHidden/>
    <w:unhideWhenUsed/>
    <w:rsid w:val="00CE2985"/>
    <w:pPr>
      <w:spacing w:line="240" w:lineRule="auto"/>
    </w:pPr>
    <w:rPr>
      <w:sz w:val="20"/>
      <w:szCs w:val="20"/>
    </w:rPr>
  </w:style>
  <w:style w:type="character" w:customStyle="1" w:styleId="CommentTextChar">
    <w:name w:val="Comment Text Char"/>
    <w:basedOn w:val="DefaultParagraphFont"/>
    <w:link w:val="CommentText"/>
    <w:uiPriority w:val="99"/>
    <w:semiHidden/>
    <w:rsid w:val="00CE2985"/>
    <w:rPr>
      <w:sz w:val="20"/>
      <w:szCs w:val="20"/>
    </w:rPr>
  </w:style>
  <w:style w:type="character" w:styleId="CommentReference">
    <w:name w:val="annotation reference"/>
    <w:basedOn w:val="DefaultParagraphFont"/>
    <w:uiPriority w:val="99"/>
    <w:semiHidden/>
    <w:unhideWhenUsed/>
    <w:rsid w:val="00CE2985"/>
    <w:rPr>
      <w:sz w:val="16"/>
      <w:szCs w:val="16"/>
    </w:rPr>
  </w:style>
  <w:style w:type="paragraph" w:styleId="CommentSubject">
    <w:name w:val="annotation subject"/>
    <w:basedOn w:val="CommentText"/>
    <w:next w:val="CommentText"/>
    <w:link w:val="CommentSubjectChar"/>
    <w:uiPriority w:val="99"/>
    <w:semiHidden/>
    <w:unhideWhenUsed/>
    <w:rsid w:val="00132D50"/>
    <w:rPr>
      <w:b/>
      <w:bCs/>
    </w:rPr>
  </w:style>
  <w:style w:type="character" w:customStyle="1" w:styleId="CommentSubjectChar">
    <w:name w:val="Comment Subject Char"/>
    <w:basedOn w:val="CommentTextChar"/>
    <w:link w:val="CommentSubject"/>
    <w:uiPriority w:val="99"/>
    <w:semiHidden/>
    <w:rsid w:val="00132D50"/>
    <w:rPr>
      <w:b/>
      <w:bCs/>
      <w:sz w:val="20"/>
      <w:szCs w:val="20"/>
    </w:rPr>
  </w:style>
  <w:style w:type="table" w:styleId="TableGrid">
    <w:name w:val="Table Grid"/>
    <w:basedOn w:val="TableNormal"/>
    <w:rsid w:val="008215A8"/>
    <w:pPr>
      <w:spacing w:before="60" w:after="60" w:line="220" w:lineRule="atLeast"/>
      <w:ind w:left="113" w:right="113"/>
    </w:pPr>
    <w:rPr>
      <w:rFonts w:eastAsia="Times New Roman" w:cs="Times New Roman"/>
      <w:color w:val="000000" w:themeColor="text1"/>
      <w:sz w:val="18"/>
      <w:szCs w:val="20"/>
      <w:lang w:val="en-AU" w:eastAsia="en-AU"/>
    </w:rPr>
    <w:tblPr>
      <w:tblStyleColBandSize w:val="1"/>
      <w:tblBorders>
        <w:top w:val="single" w:sz="8" w:space="0" w:color="44546A" w:themeColor="text2"/>
        <w:bottom w:val="single" w:sz="8" w:space="0" w:color="44546A" w:themeColor="text2"/>
        <w:insideH w:val="single" w:sz="8" w:space="0" w:color="44546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44546A" w:themeFill="text2"/>
      </w:tcPr>
    </w:tblStylePr>
    <w:tblStylePr w:type="lastRow">
      <w:rPr>
        <w:b w:val="0"/>
      </w:rPr>
    </w:tblStylePr>
    <w:tblStylePr w:type="lastCol">
      <w:pPr>
        <w:jc w:val="left"/>
      </w:pPr>
    </w:tblStylePr>
    <w:tblStylePr w:type="band1Vert">
      <w:tblPr/>
      <w:tcPr>
        <w:shd w:val="clear" w:color="auto" w:fill="E7E6E6" w:themeFill="background2"/>
      </w:tcPr>
    </w:tblStylePr>
    <w:tblStylePr w:type="nwCell">
      <w:pPr>
        <w:jc w:val="left"/>
      </w:pPr>
      <w:tblPr/>
      <w:tcPr>
        <w:vAlign w:val="center"/>
      </w:tcPr>
    </w:tblStylePr>
  </w:style>
  <w:style w:type="paragraph" w:customStyle="1" w:styleId="TableHeadingLeft">
    <w:name w:val="Table Heading Left"/>
    <w:basedOn w:val="TableTextLeft"/>
    <w:qFormat/>
    <w:rsid w:val="008215A8"/>
    <w:pPr>
      <w:keepNext/>
      <w:keepLines/>
    </w:pPr>
    <w:rPr>
      <w:b/>
      <w:color w:val="FFFFFF"/>
    </w:rPr>
  </w:style>
  <w:style w:type="paragraph" w:customStyle="1" w:styleId="TableTextLeft">
    <w:name w:val="Table Text Left"/>
    <w:basedOn w:val="Normal"/>
    <w:qFormat/>
    <w:rsid w:val="008215A8"/>
    <w:pPr>
      <w:spacing w:before="60" w:after="60" w:line="220" w:lineRule="atLeast"/>
      <w:ind w:left="113" w:right="113"/>
    </w:pPr>
    <w:rPr>
      <w:rFonts w:eastAsia="Times New Roman" w:cs="Arial"/>
      <w:color w:val="000000" w:themeColor="text1"/>
      <w:sz w:val="18"/>
      <w:szCs w:val="20"/>
      <w:lang w:val="en-AU" w:eastAsia="en-AU"/>
    </w:rPr>
  </w:style>
  <w:style w:type="paragraph" w:styleId="ListNumber">
    <w:name w:val="List Number"/>
    <w:basedOn w:val="Normal"/>
    <w:qFormat/>
    <w:rsid w:val="00F33FDC"/>
    <w:pPr>
      <w:numPr>
        <w:numId w:val="2"/>
      </w:numPr>
      <w:tabs>
        <w:tab w:val="clear" w:pos="680"/>
        <w:tab w:val="num" w:pos="482"/>
      </w:tabs>
      <w:spacing w:before="120" w:after="120" w:line="240" w:lineRule="atLeast"/>
      <w:ind w:left="482" w:hanging="369"/>
    </w:pPr>
    <w:rPr>
      <w:rFonts w:eastAsia="Times New Roman" w:cs="Arial"/>
      <w:color w:val="000000" w:themeColor="text1"/>
      <w:sz w:val="20"/>
      <w:szCs w:val="20"/>
      <w:lang w:val="en-AU" w:eastAsia="en-AU"/>
    </w:rPr>
  </w:style>
  <w:style w:type="paragraph" w:styleId="ListNumber2">
    <w:name w:val="List Number 2"/>
    <w:basedOn w:val="Normal"/>
    <w:qFormat/>
    <w:rsid w:val="00F33FDC"/>
    <w:pPr>
      <w:numPr>
        <w:ilvl w:val="1"/>
        <w:numId w:val="2"/>
      </w:numPr>
      <w:tabs>
        <w:tab w:val="clear" w:pos="1020"/>
        <w:tab w:val="num" w:pos="822"/>
      </w:tabs>
      <w:spacing w:before="120" w:after="120" w:line="240" w:lineRule="atLeast"/>
      <w:ind w:left="822"/>
    </w:pPr>
    <w:rPr>
      <w:rFonts w:eastAsia="Times New Roman" w:cs="Arial"/>
      <w:color w:val="000000" w:themeColor="text1"/>
      <w:sz w:val="20"/>
      <w:szCs w:val="20"/>
      <w:lang w:val="en-AU" w:eastAsia="en-AU"/>
    </w:rPr>
  </w:style>
  <w:style w:type="paragraph" w:styleId="ListNumber3">
    <w:name w:val="List Number 3"/>
    <w:basedOn w:val="Normal"/>
    <w:qFormat/>
    <w:rsid w:val="00F33FDC"/>
    <w:pPr>
      <w:numPr>
        <w:ilvl w:val="2"/>
        <w:numId w:val="2"/>
      </w:numPr>
      <w:tabs>
        <w:tab w:val="clear" w:pos="1389"/>
        <w:tab w:val="num" w:pos="1219"/>
      </w:tabs>
      <w:spacing w:before="120" w:after="120" w:line="240" w:lineRule="atLeast"/>
      <w:ind w:left="1219" w:hanging="397"/>
    </w:pPr>
    <w:rPr>
      <w:rFonts w:eastAsia="Times New Roman" w:cs="Arial"/>
      <w:color w:val="000000" w:themeColor="text1"/>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4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ADE7FCB37DDE694E88CF98C147C8B169" ma:contentTypeVersion="36" ma:contentTypeDescription="All project related information. The library can be used to manage multiple projects." ma:contentTypeScope="" ma:versionID="cb9ca4c6e6db8df589fe1aed4fba9f30">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86b89766-6424-476e-92b5-a9b864153de2" xmlns:ns6="1da1427f-fe5a-419f-b268-bdae9afa374d" targetNamespace="http://schemas.microsoft.com/office/2006/metadata/properties" ma:root="true" ma:fieldsID="fbf82c41c15fcb5ece5c3163efea0561" ns1:_="" ns2:_="" ns3:_="" ns4:_="" ns5:_="" ns6:_="">
    <xsd:import namespace="http://schemas.microsoft.com/sharepoint/v3"/>
    <xsd:import namespace="9fd47c19-1c4a-4d7d-b342-c10cef269344"/>
    <xsd:import namespace="a5f32de4-e402-4188-b034-e71ca7d22e54"/>
    <xsd:import namespace="05aa45cf-ed89-4733-97a8-db4ce5c51511"/>
    <xsd:import namespace="86b89766-6424-476e-92b5-a9b864153de2"/>
    <xsd:import namespace="1da1427f-fe5a-419f-b268-bdae9afa374d"/>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Name"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2" nillable="true" ma:displayName="Project Name" ma:description="ECM V2 Project Name" ma:format="Dropdown" ma:internalName="ProjName">
      <xsd:simpleType>
        <xsd:union memberTypes="dms:Text">
          <xsd:simpleType>
            <xsd:restriction base="dms:Choice">
              <xsd:enumeration value="West Gippsland CMA"/>
              <xsd:enumeration value="Corangamite CMA"/>
              <xsd:enumeration value="Resource Kits"/>
              <xsd:enumeration value="Evaluation"/>
              <xsd:enumeration value="Goulburn Broken CMA"/>
              <xsd:enumeration value="Glenelg Hopkins CMA"/>
              <xsd:enumeration value="North Central CMA"/>
              <xsd:enumeration value="North East CMA"/>
              <xsd:enumeration value="Wimmera CMA"/>
              <xsd:enumeration value="Implementation projects"/>
              <xsd:enumeration value="Policy development"/>
              <xsd:enumeration value="Briefings"/>
              <xsd:enumeration value="East Gippslan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b89766-6424-476e-92b5-a9b864153de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1427f-fe5a-419f-b268-bdae9afa374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p:properties xmlns:p="http://schemas.microsoft.com/office/2006/metadata/properties" xmlns:xsi="http://www.w3.org/2001/XMLSchema-instance" xmlns:pc="http://schemas.microsoft.com/office/infopath/2007/PartnerControls">
  <documentManagement>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dlc_DocId xmlns="a5f32de4-e402-4188-b034-e71ca7d22e54">DOCID155-1323300456-70</_dlc_DocId>
    <TaxCatchAll xmlns="9fd47c19-1c4a-4d7d-b342-c10cef269344">
      <Value>153</Value>
      <Value>3</Value>
      <Value>2</Value>
      <Value>134</Value>
    </TaxCatchAll>
    <DLCPolicyLabelValue xmlns="05aa45cf-ed89-4733-97a8-db4ce5c51511">Version 0.19</DLCPolicyLabelVal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https://delwpvicgovau.sharepoint.com/sites/ecm_155/_layouts/15/DocIdRedir.aspx?ID=DOCID155-1323300456-70</Url>
      <Description>DOCID155-1323300456-70</Description>
    </_dlc_DocIdUrl>
    <ProjName xmlns="9fd47c19-1c4a-4d7d-b342-c10cef269344">Evaluation</ProjNam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78eeb638-8bb6-40d9-be4e-2f9912d6247b</TermId>
        </TermInfo>
      </Terms>
    </b9b43b809ea4445880dbf70bb9849525>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Media releases and external comms</TermName>
          <TermId xmlns="http://schemas.microsoft.com/office/infopath/2007/PartnerControls">2b7373b1-735b-462c-80f0-e7c19c0cf9f7</TermId>
        </TermInfo>
      </Terms>
    </f2ccc2d036544b63b99cbcec8aa9ae6a>
    <DLCPolicyLabelClientValue xmlns="05aa45cf-ed89-4733-97a8-db4ce5c51511">Version {_UIVersionString}</DLCPolicyLabelClientValue>
    <DLCPolicyLabelLock xmlns="05aa45cf-ed89-4733-97a8-db4ce5c51511" xsi:nil="true"/>
    <lcf76f155ced4ddcb4097134ff3c332f xmlns="86b89766-6424-476e-92b5-a9b864153de2">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589DE-551E-4D2F-803B-C3884A4DB3AE}">
  <ds:schemaRefs>
    <ds:schemaRef ds:uri="office.server.policy"/>
  </ds:schemaRefs>
</ds:datastoreItem>
</file>

<file path=customXml/itemProps2.xml><?xml version="1.0" encoding="utf-8"?>
<ds:datastoreItem xmlns:ds="http://schemas.openxmlformats.org/officeDocument/2006/customXml" ds:itemID="{D0D205A1-92B4-48C6-A83F-7CC9C700E762}">
  <ds:schemaRefs>
    <ds:schemaRef ds:uri="http://schemas.microsoft.com/sharepoint/events"/>
  </ds:schemaRefs>
</ds:datastoreItem>
</file>

<file path=customXml/itemProps3.xml><?xml version="1.0" encoding="utf-8"?>
<ds:datastoreItem xmlns:ds="http://schemas.openxmlformats.org/officeDocument/2006/customXml" ds:itemID="{CA5375D8-A5BC-43EC-AEA7-0A1E9C54E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86b89766-6424-476e-92b5-a9b864153de2"/>
    <ds:schemaRef ds:uri="1da1427f-fe5a-419f-b268-bdae9afa3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9EE1B-DA46-402A-ADD0-116E52A01697}">
  <ds:schemaRefs>
    <ds:schemaRef ds:uri="Microsoft.SharePoint.Taxonomy.ContentTypeSync"/>
  </ds:schemaRefs>
</ds:datastoreItem>
</file>

<file path=customXml/itemProps5.xml><?xml version="1.0" encoding="utf-8"?>
<ds:datastoreItem xmlns:ds="http://schemas.openxmlformats.org/officeDocument/2006/customXml" ds:itemID="{A2D5B696-22DC-442F-96CC-7B3BD2C85B1D}">
  <ds:schemaRefs>
    <ds:schemaRef ds:uri="http://schemas.microsoft.com/office/2006/metadata/properties"/>
    <ds:schemaRef ds:uri="http://schemas.microsoft.com/office/infopath/2007/PartnerControls"/>
    <ds:schemaRef ds:uri="9fd47c19-1c4a-4d7d-b342-c10cef269344"/>
    <ds:schemaRef ds:uri="a5f32de4-e402-4188-b034-e71ca7d22e54"/>
    <ds:schemaRef ds:uri="05aa45cf-ed89-4733-97a8-db4ce5c51511"/>
    <ds:schemaRef ds:uri="86b89766-6424-476e-92b5-a9b864153de2"/>
  </ds:schemaRefs>
</ds:datastoreItem>
</file>

<file path=customXml/itemProps6.xml><?xml version="1.0" encoding="utf-8"?>
<ds:datastoreItem xmlns:ds="http://schemas.openxmlformats.org/officeDocument/2006/customXml" ds:itemID="{76EC248C-1F23-4C21-B532-40CFEE222136}">
  <ds:schemaRefs>
    <ds:schemaRef ds:uri="http://schemas.microsoft.com/sharepoint/v3/contenttype/forms"/>
  </ds:schemaRefs>
</ds:datastoreItem>
</file>

<file path=customXml/itemProps7.xml><?xml version="1.0" encoding="utf-8"?>
<ds:datastoreItem xmlns:ds="http://schemas.openxmlformats.org/officeDocument/2006/customXml" ds:itemID="{443D9127-4EDE-44E1-9FBE-B4B10BAB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Rural Drainage Strategy Mid-term Progress Report 2022 - accessible</dc:title>
  <dc:subject/>
  <dc:creator>Department of Energy Environment and Climate Action</dc:creator>
  <cp:keywords/>
  <dc:description/>
  <cp:lastModifiedBy>Joanne L Webber (DEECA)</cp:lastModifiedBy>
  <cp:revision>111</cp:revision>
  <dcterms:created xsi:type="dcterms:W3CDTF">2022-05-13T05:10:00Z</dcterms:created>
  <dcterms:modified xsi:type="dcterms:W3CDTF">2023-10-31T00:01:00Z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0x0101009298E819CE1EBB4F8D2096B3E0F0C2911D00ADE7FCB37DDE694E88CF98C147C8B169</vt:lpwstr>
  </property>
  <property fmtid="{D5CDD505-2E9C-101B-9397-08002B2CF9AE}" pid="3" name="_dlc_DocIdItemGuid">
    <vt:lpwstr>f5e306a6-e0a7-45fc-b028-46340ba9b292</vt:lpwstr>
  </property>
  <property fmtid="{D5CDD505-2E9C-101B-9397-08002B2CF9AE}" pid="4" name="Dissemination Limiting Marker">
    <vt:lpwstr>2;#FOUO|955eb6fc-b35a-4808-8aa5-31e514fa3f26</vt:lpwstr>
  </property>
  <property fmtid="{D5CDD505-2E9C-101B-9397-08002B2CF9AE}" pid="5" name="Security Classification">
    <vt:lpwstr>3;#Unclassified|7fa379f4-4aba-4692-ab80-7d39d3a23cf4</vt:lpwstr>
  </property>
  <property fmtid="{D5CDD505-2E9C-101B-9397-08002B2CF9AE}" pid="6" name="Department_x0020_Document_x0020_Type">
    <vt:lpwstr/>
  </property>
  <property fmtid="{D5CDD505-2E9C-101B-9397-08002B2CF9AE}" pid="7" name="Record_x0020_Purpose">
    <vt:lpwstr/>
  </property>
  <property fmtid="{D5CDD505-2E9C-101B-9397-08002B2CF9AE}" pid="8" name="g91c59fb10974fa1a03160ad8386f0f4">
    <vt:lpwstr/>
  </property>
  <property fmtid="{D5CDD505-2E9C-101B-9397-08002B2CF9AE}" pid="9" name="Records_x0020_Class_x0020_Project">
    <vt:lpwstr/>
  </property>
  <property fmtid="{D5CDD505-2E9C-101B-9397-08002B2CF9AE}" pid="10" name="Record Purpose">
    <vt:lpwstr/>
  </property>
  <property fmtid="{D5CDD505-2E9C-101B-9397-08002B2CF9AE}" pid="11" name="MSIP_Label_4257e2ab-f512-40e2-9c9a-c64247360765_Enabled">
    <vt:lpwstr>true</vt:lpwstr>
  </property>
  <property fmtid="{D5CDD505-2E9C-101B-9397-08002B2CF9AE}" pid="12" name="MSIP_Label_4257e2ab-f512-40e2-9c9a-c64247360765_SetDate">
    <vt:lpwstr>2022-05-13T05:16:29Z</vt:lpwstr>
  </property>
  <property fmtid="{D5CDD505-2E9C-101B-9397-08002B2CF9AE}" pid="13" name="MSIP_Label_4257e2ab-f512-40e2-9c9a-c64247360765_Method">
    <vt:lpwstr>Privileged</vt:lpwstr>
  </property>
  <property fmtid="{D5CDD505-2E9C-101B-9397-08002B2CF9AE}" pid="14" name="MSIP_Label_4257e2ab-f512-40e2-9c9a-c64247360765_Name">
    <vt:lpwstr>OFFICIAL</vt:lpwstr>
  </property>
  <property fmtid="{D5CDD505-2E9C-101B-9397-08002B2CF9AE}" pid="15" name="MSIP_Label_4257e2ab-f512-40e2-9c9a-c64247360765_SiteId">
    <vt:lpwstr>e8bdd6f7-fc18-4e48-a554-7f547927223b</vt:lpwstr>
  </property>
  <property fmtid="{D5CDD505-2E9C-101B-9397-08002B2CF9AE}" pid="16" name="MSIP_Label_4257e2ab-f512-40e2-9c9a-c64247360765_ActionId">
    <vt:lpwstr>1ecb13e6-d7ec-421f-804a-07d02111ca06</vt:lpwstr>
  </property>
  <property fmtid="{D5CDD505-2E9C-101B-9397-08002B2CF9AE}" pid="17" name="MSIP_Label_4257e2ab-f512-40e2-9c9a-c64247360765_ContentBits">
    <vt:lpwstr>2</vt:lpwstr>
  </property>
  <property fmtid="{D5CDD505-2E9C-101B-9397-08002B2CF9AE}" pid="18" name="Records Class Project">
    <vt:lpwstr>134;#Media releases and external comms|2b7373b1-735b-462c-80f0-e7c19c0cf9f7</vt:lpwstr>
  </property>
  <property fmtid="{D5CDD505-2E9C-101B-9397-08002B2CF9AE}" pid="19" name="Department Document Type">
    <vt:lpwstr>153;#Fact Sheet|78eeb638-8bb6-40d9-be4e-2f9912d6247b</vt:lpwstr>
  </property>
  <property fmtid="{D5CDD505-2E9C-101B-9397-08002B2CF9AE}" pid="20" name="MediaServiceImageTags">
    <vt:lpwstr/>
  </property>
</Properties>
</file>