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DD" w:rsidRPr="009D79B1" w:rsidRDefault="00C32ADD" w:rsidP="009D79B1">
      <w:pPr>
        <w:jc w:val="center"/>
        <w:rPr>
          <w:b/>
          <w:u w:val="single"/>
        </w:rPr>
      </w:pPr>
      <w:r w:rsidRPr="009D79B1">
        <w:rPr>
          <w:b/>
          <w:u w:val="single"/>
        </w:rPr>
        <w:t xml:space="preserve">State Observation Bore Network – </w:t>
      </w:r>
      <w:r>
        <w:rPr>
          <w:b/>
          <w:u w:val="single"/>
        </w:rPr>
        <w:t>A</w:t>
      </w:r>
      <w:r w:rsidRPr="009D79B1">
        <w:rPr>
          <w:b/>
          <w:u w:val="single"/>
        </w:rPr>
        <w:t xml:space="preserve">ccess </w:t>
      </w:r>
      <w:r>
        <w:rPr>
          <w:b/>
          <w:u w:val="single"/>
        </w:rPr>
        <w:t>A</w:t>
      </w:r>
      <w:r w:rsidRPr="009D79B1">
        <w:rPr>
          <w:b/>
          <w:u w:val="single"/>
        </w:rPr>
        <w:t>uthority</w:t>
      </w:r>
    </w:p>
    <w:p w:rsidR="00C32ADD" w:rsidRDefault="00C32ADD" w:rsidP="009D79B1">
      <w:pPr>
        <w:jc w:val="center"/>
        <w:rPr>
          <w:b/>
          <w:u w:val="single"/>
        </w:rPr>
      </w:pPr>
      <w:r w:rsidRPr="009D79B1">
        <w:rPr>
          <w:b/>
          <w:u w:val="single"/>
        </w:rPr>
        <w:t>Section 33A Water Act 1989</w:t>
      </w:r>
    </w:p>
    <w:p w:rsidR="00C32ADD" w:rsidRDefault="00C32ADD" w:rsidP="009D79B1"/>
    <w:p w:rsidR="00C32ADD" w:rsidRDefault="00C32ADD" w:rsidP="009D79B1">
      <w:r>
        <w:t xml:space="preserve">Pursuant to section 33A of the Water Act 1989, the Minister for Water is empowered to enter on Crown land on which a State Observation Bore is located for the purpose of carrying out observations (including taking water samples).  </w:t>
      </w:r>
    </w:p>
    <w:p w:rsidR="00C32ADD" w:rsidRDefault="00C32ADD" w:rsidP="009D79B1">
      <w:r>
        <w:t>The applicant has requested the Minister to authorise it to access the bores identified in Schedule 1 on the basis that it carry out observations and that the data collected might be shared between it and the Minister.</w:t>
      </w:r>
    </w:p>
    <w:p w:rsidR="00C32ADD" w:rsidRDefault="00C32ADD" w:rsidP="009D79B1">
      <w:r>
        <w:t>This access authority records the basis upon which the Minister grants the authority.</w:t>
      </w:r>
    </w:p>
    <w:p w:rsidR="00C32ADD" w:rsidRDefault="00C32ADD" w:rsidP="009D79B1">
      <w:r w:rsidRPr="00E01957">
        <w:rPr>
          <w:b/>
        </w:rPr>
        <w:t>Defined terms</w:t>
      </w:r>
      <w:r>
        <w:t>:</w:t>
      </w:r>
    </w:p>
    <w:p w:rsidR="00C32ADD" w:rsidRDefault="00C32ADD" w:rsidP="00A816FB">
      <w:pPr>
        <w:rPr>
          <w:rFonts w:ascii="Arial" w:hAnsi="Arial" w:cs="Arial"/>
          <w:sz w:val="20"/>
          <w:szCs w:val="20"/>
        </w:rPr>
      </w:pPr>
      <w:r w:rsidRPr="004B11B0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SOBN </w:t>
      </w:r>
      <w:r w:rsidRPr="004B11B0">
        <w:rPr>
          <w:rFonts w:ascii="Arial" w:hAnsi="Arial" w:cs="Arial"/>
          <w:b/>
          <w:sz w:val="20"/>
          <w:szCs w:val="20"/>
        </w:rPr>
        <w:t>Access Application Form”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refers to the form of application attached as Schedule 1 to this Access Authority</w:t>
      </w:r>
    </w:p>
    <w:p w:rsidR="00C32ADD" w:rsidRDefault="00C32ADD" w:rsidP="00A816FB">
      <w:pPr>
        <w:rPr>
          <w:rFonts w:ascii="Arial" w:hAnsi="Arial" w:cs="Arial"/>
          <w:sz w:val="20"/>
          <w:szCs w:val="20"/>
        </w:rPr>
      </w:pPr>
      <w:r w:rsidRPr="004B11B0">
        <w:rPr>
          <w:rFonts w:ascii="Arial" w:hAnsi="Arial" w:cs="Arial"/>
          <w:b/>
          <w:sz w:val="20"/>
          <w:szCs w:val="20"/>
        </w:rPr>
        <w:t>“Applicant”</w:t>
      </w:r>
      <w:r>
        <w:rPr>
          <w:rFonts w:ascii="Arial" w:hAnsi="Arial" w:cs="Arial"/>
          <w:sz w:val="20"/>
          <w:szCs w:val="20"/>
        </w:rPr>
        <w:t xml:space="preserve"> means the person referred to as applicant in the attached SOBN Access Application Form.</w:t>
      </w:r>
    </w:p>
    <w:p w:rsidR="00C32ADD" w:rsidRDefault="00C32ADD" w:rsidP="00A816FB">
      <w:pPr>
        <w:rPr>
          <w:rFonts w:ascii="Arial" w:hAnsi="Arial" w:cs="Arial"/>
          <w:sz w:val="20"/>
          <w:szCs w:val="20"/>
        </w:rPr>
      </w:pPr>
      <w:r w:rsidRPr="004B11B0">
        <w:rPr>
          <w:rFonts w:ascii="Arial" w:hAnsi="Arial" w:cs="Arial"/>
          <w:b/>
          <w:sz w:val="20"/>
          <w:szCs w:val="20"/>
        </w:rPr>
        <w:t>“Bore”</w:t>
      </w:r>
      <w:r>
        <w:rPr>
          <w:rFonts w:ascii="Arial" w:hAnsi="Arial" w:cs="Arial"/>
          <w:sz w:val="20"/>
          <w:szCs w:val="20"/>
        </w:rPr>
        <w:t xml:space="preserve"> means State Observation Bore</w:t>
      </w:r>
    </w:p>
    <w:p w:rsidR="00C32ADD" w:rsidRDefault="00C32ADD" w:rsidP="00A816FB">
      <w:pPr>
        <w:rPr>
          <w:rFonts w:ascii="Arial" w:hAnsi="Arial" w:cs="Arial"/>
          <w:sz w:val="20"/>
          <w:szCs w:val="20"/>
        </w:rPr>
      </w:pPr>
      <w:r w:rsidRPr="004B11B0">
        <w:rPr>
          <w:rFonts w:ascii="Arial" w:hAnsi="Arial" w:cs="Arial"/>
          <w:b/>
          <w:sz w:val="20"/>
          <w:szCs w:val="20"/>
        </w:rPr>
        <w:t>“</w:t>
      </w:r>
      <w:r w:rsidR="00FF70F3">
        <w:rPr>
          <w:rFonts w:ascii="Arial" w:hAnsi="Arial" w:cs="Arial"/>
          <w:b/>
          <w:sz w:val="20"/>
          <w:szCs w:val="20"/>
        </w:rPr>
        <w:t>DELWP</w:t>
      </w:r>
      <w:r w:rsidRPr="004B11B0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means the Department of Environment</w:t>
      </w:r>
      <w:r w:rsidR="00FF70F3">
        <w:rPr>
          <w:rFonts w:ascii="Arial" w:hAnsi="Arial" w:cs="Arial"/>
          <w:sz w:val="20"/>
          <w:szCs w:val="20"/>
        </w:rPr>
        <w:t>, Land, Water and Planning</w:t>
      </w:r>
      <w:r>
        <w:rPr>
          <w:rFonts w:ascii="Arial" w:hAnsi="Arial" w:cs="Arial"/>
          <w:sz w:val="20"/>
          <w:szCs w:val="20"/>
        </w:rPr>
        <w:t>.</w:t>
      </w:r>
    </w:p>
    <w:p w:rsidR="00C32ADD" w:rsidRDefault="00C32ADD" w:rsidP="00A816FB">
      <w:pPr>
        <w:rPr>
          <w:rFonts w:ascii="Arial" w:hAnsi="Arial" w:cs="Arial"/>
          <w:sz w:val="20"/>
          <w:szCs w:val="20"/>
        </w:rPr>
      </w:pPr>
      <w:r w:rsidRPr="004B11B0">
        <w:rPr>
          <w:rFonts w:ascii="Arial" w:hAnsi="Arial" w:cs="Arial"/>
          <w:b/>
          <w:sz w:val="20"/>
          <w:szCs w:val="20"/>
        </w:rPr>
        <w:t>“</w:t>
      </w:r>
      <w:r w:rsidR="00FF70F3">
        <w:rPr>
          <w:rFonts w:ascii="Arial" w:hAnsi="Arial" w:cs="Arial"/>
          <w:b/>
          <w:sz w:val="20"/>
          <w:szCs w:val="20"/>
        </w:rPr>
        <w:t>DELWP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17FFA" w:rsidRPr="00D17FFA">
        <w:rPr>
          <w:rFonts w:ascii="Arial" w:hAnsi="Arial" w:cs="Arial"/>
          <w:b/>
          <w:sz w:val="20"/>
          <w:szCs w:val="20"/>
        </w:rPr>
        <w:t>Contract</w:t>
      </w:r>
      <w:r w:rsidRPr="00D17FFA">
        <w:rPr>
          <w:rFonts w:ascii="Arial" w:hAnsi="Arial" w:cs="Arial"/>
          <w:b/>
          <w:sz w:val="20"/>
          <w:szCs w:val="20"/>
        </w:rPr>
        <w:t xml:space="preserve"> Manager</w:t>
      </w:r>
      <w:r w:rsidR="00D17FFA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means the person referred to in Schedule 1.</w:t>
      </w:r>
    </w:p>
    <w:p w:rsidR="00C32ADD" w:rsidRDefault="00C32ADD" w:rsidP="00A816FB">
      <w:pPr>
        <w:rPr>
          <w:rFonts w:ascii="Arial" w:hAnsi="Arial" w:cs="Arial"/>
          <w:sz w:val="20"/>
          <w:szCs w:val="20"/>
        </w:rPr>
      </w:pPr>
      <w:r w:rsidRPr="004B11B0">
        <w:rPr>
          <w:rFonts w:ascii="Arial" w:hAnsi="Arial" w:cs="Arial"/>
          <w:b/>
          <w:sz w:val="20"/>
          <w:szCs w:val="20"/>
        </w:rPr>
        <w:t>“Minister”</w:t>
      </w:r>
      <w:r>
        <w:rPr>
          <w:rFonts w:ascii="Arial" w:hAnsi="Arial" w:cs="Arial"/>
          <w:sz w:val="20"/>
          <w:szCs w:val="20"/>
        </w:rPr>
        <w:t xml:space="preserve"> means the Minister for Water.</w:t>
      </w:r>
    </w:p>
    <w:p w:rsidR="00C32ADD" w:rsidRDefault="00C32ADD" w:rsidP="00A816FB">
      <w:pPr>
        <w:rPr>
          <w:rFonts w:ascii="Arial" w:hAnsi="Arial" w:cs="Arial"/>
          <w:sz w:val="20"/>
          <w:szCs w:val="20"/>
        </w:rPr>
      </w:pPr>
      <w:r w:rsidRPr="004B11B0">
        <w:rPr>
          <w:rFonts w:ascii="Arial" w:hAnsi="Arial" w:cs="Arial"/>
          <w:b/>
          <w:sz w:val="20"/>
          <w:szCs w:val="20"/>
        </w:rPr>
        <w:t>“RWA”</w:t>
      </w:r>
      <w:r>
        <w:rPr>
          <w:rFonts w:ascii="Arial" w:hAnsi="Arial" w:cs="Arial"/>
          <w:sz w:val="20"/>
          <w:szCs w:val="20"/>
        </w:rPr>
        <w:t xml:space="preserve"> means Water Authority within the meaning of the Water Act 1989.</w:t>
      </w:r>
    </w:p>
    <w:p w:rsidR="00C32ADD" w:rsidRPr="00A816FB" w:rsidRDefault="00C32ADD" w:rsidP="00A816FB">
      <w:pPr>
        <w:rPr>
          <w:rFonts w:ascii="Arial" w:hAnsi="Arial" w:cs="Arial"/>
          <w:sz w:val="20"/>
          <w:szCs w:val="20"/>
        </w:rPr>
      </w:pPr>
      <w:r w:rsidRPr="004B11B0">
        <w:rPr>
          <w:rFonts w:ascii="Arial" w:hAnsi="Arial" w:cs="Arial"/>
          <w:b/>
          <w:sz w:val="20"/>
          <w:szCs w:val="20"/>
        </w:rPr>
        <w:t>“State Observation Bore”</w:t>
      </w:r>
      <w:r>
        <w:rPr>
          <w:rFonts w:ascii="Arial" w:hAnsi="Arial" w:cs="Arial"/>
          <w:sz w:val="20"/>
          <w:szCs w:val="20"/>
        </w:rPr>
        <w:t xml:space="preserve"> has the same meaning as given to the term in the Water Act 1989.</w:t>
      </w:r>
    </w:p>
    <w:p w:rsidR="00C32ADD" w:rsidRDefault="00C32ADD" w:rsidP="00A816FB">
      <w:pPr>
        <w:rPr>
          <w:rFonts w:ascii="Arial" w:hAnsi="Arial" w:cs="Arial"/>
          <w:b/>
          <w:sz w:val="20"/>
          <w:szCs w:val="20"/>
        </w:rPr>
      </w:pPr>
    </w:p>
    <w:p w:rsidR="00C32ADD" w:rsidRPr="00600821" w:rsidRDefault="00C32ADD" w:rsidP="00A816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Procedures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0821">
        <w:rPr>
          <w:rFonts w:ascii="Arial" w:hAnsi="Arial" w:cs="Arial"/>
          <w:sz w:val="20"/>
          <w:szCs w:val="20"/>
        </w:rPr>
        <w:t xml:space="preserve">Activities at each </w:t>
      </w:r>
      <w:r>
        <w:rPr>
          <w:rFonts w:ascii="Arial" w:hAnsi="Arial" w:cs="Arial"/>
          <w:sz w:val="20"/>
          <w:szCs w:val="20"/>
        </w:rPr>
        <w:t xml:space="preserve">Bore, such as </w:t>
      </w:r>
      <w:r w:rsidRPr="00600821">
        <w:rPr>
          <w:rFonts w:ascii="Arial" w:hAnsi="Arial" w:cs="Arial"/>
          <w:sz w:val="20"/>
          <w:szCs w:val="20"/>
        </w:rPr>
        <w:t xml:space="preserve">sampling, </w:t>
      </w:r>
      <w:r>
        <w:rPr>
          <w:rFonts w:ascii="Arial" w:hAnsi="Arial" w:cs="Arial"/>
          <w:sz w:val="20"/>
          <w:szCs w:val="20"/>
        </w:rPr>
        <w:t xml:space="preserve">testing, </w:t>
      </w:r>
      <w:r w:rsidRPr="00600821">
        <w:rPr>
          <w:rFonts w:ascii="Arial" w:hAnsi="Arial" w:cs="Arial"/>
          <w:sz w:val="20"/>
          <w:szCs w:val="20"/>
        </w:rPr>
        <w:t xml:space="preserve">analysis and </w:t>
      </w:r>
      <w:r>
        <w:rPr>
          <w:rFonts w:ascii="Arial" w:hAnsi="Arial" w:cs="Arial"/>
          <w:sz w:val="20"/>
          <w:szCs w:val="20"/>
        </w:rPr>
        <w:t xml:space="preserve">taking </w:t>
      </w:r>
      <w:r w:rsidRPr="00600821">
        <w:rPr>
          <w:rFonts w:ascii="Arial" w:hAnsi="Arial" w:cs="Arial"/>
          <w:sz w:val="20"/>
          <w:szCs w:val="20"/>
        </w:rPr>
        <w:t xml:space="preserve">measurements are to be </w:t>
      </w:r>
      <w:r>
        <w:rPr>
          <w:rFonts w:ascii="Arial" w:hAnsi="Arial" w:cs="Arial"/>
          <w:sz w:val="20"/>
          <w:szCs w:val="20"/>
        </w:rPr>
        <w:t xml:space="preserve">undertaken </w:t>
      </w:r>
      <w:r w:rsidRPr="00600821">
        <w:rPr>
          <w:rFonts w:ascii="Arial" w:hAnsi="Arial" w:cs="Arial"/>
          <w:sz w:val="20"/>
          <w:szCs w:val="20"/>
        </w:rPr>
        <w:t xml:space="preserve">in accordance with </w:t>
      </w:r>
      <w:r>
        <w:rPr>
          <w:rFonts w:ascii="Arial" w:hAnsi="Arial" w:cs="Arial"/>
          <w:sz w:val="20"/>
          <w:szCs w:val="20"/>
        </w:rPr>
        <w:t xml:space="preserve">accepted </w:t>
      </w:r>
      <w:r w:rsidRPr="00600821">
        <w:rPr>
          <w:rFonts w:ascii="Arial" w:hAnsi="Arial" w:cs="Arial"/>
          <w:sz w:val="20"/>
          <w:szCs w:val="20"/>
        </w:rPr>
        <w:t xml:space="preserve">standards and guidelines, including </w:t>
      </w:r>
      <w:r>
        <w:rPr>
          <w:rFonts w:ascii="Arial" w:hAnsi="Arial" w:cs="Arial"/>
          <w:sz w:val="20"/>
          <w:szCs w:val="20"/>
        </w:rPr>
        <w:t xml:space="preserve">the </w:t>
      </w:r>
      <w:r w:rsidRPr="00282295">
        <w:rPr>
          <w:rFonts w:ascii="Arial" w:hAnsi="Arial" w:cs="Arial"/>
          <w:i/>
          <w:sz w:val="20"/>
          <w:szCs w:val="20"/>
        </w:rPr>
        <w:t>EPA Groundwater Sampling Guideline</w:t>
      </w:r>
      <w:r w:rsidRPr="00600821">
        <w:rPr>
          <w:rFonts w:ascii="Arial" w:hAnsi="Arial" w:cs="Arial"/>
          <w:sz w:val="20"/>
          <w:szCs w:val="20"/>
        </w:rPr>
        <w:t xml:space="preserve">, and </w:t>
      </w:r>
      <w:r>
        <w:rPr>
          <w:rFonts w:ascii="Arial" w:hAnsi="Arial" w:cs="Arial"/>
          <w:sz w:val="20"/>
          <w:szCs w:val="20"/>
        </w:rPr>
        <w:t xml:space="preserve">the </w:t>
      </w:r>
      <w:r w:rsidR="00FF70F3">
        <w:rPr>
          <w:rFonts w:ascii="Arial" w:hAnsi="Arial" w:cs="Arial"/>
          <w:i/>
          <w:sz w:val="20"/>
          <w:szCs w:val="20"/>
        </w:rPr>
        <w:t>DELWP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82295">
        <w:rPr>
          <w:rFonts w:ascii="Arial" w:hAnsi="Arial" w:cs="Arial"/>
          <w:i/>
          <w:sz w:val="20"/>
          <w:szCs w:val="20"/>
        </w:rPr>
        <w:t>Groundwater Monitoring Procedure</w:t>
      </w:r>
      <w:r>
        <w:rPr>
          <w:rFonts w:ascii="Arial" w:hAnsi="Arial" w:cs="Arial"/>
          <w:sz w:val="20"/>
          <w:szCs w:val="20"/>
        </w:rPr>
        <w:t>. A copy of these guidelines is available on the website.</w:t>
      </w:r>
    </w:p>
    <w:p w:rsidR="00C32ADD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0821">
        <w:rPr>
          <w:rFonts w:ascii="Arial" w:hAnsi="Arial" w:cs="Arial"/>
          <w:sz w:val="20"/>
          <w:szCs w:val="20"/>
        </w:rPr>
        <w:t xml:space="preserve">The individuals undertaking the work must </w:t>
      </w:r>
      <w:r>
        <w:rPr>
          <w:rFonts w:ascii="Arial" w:hAnsi="Arial" w:cs="Arial"/>
          <w:sz w:val="20"/>
          <w:szCs w:val="20"/>
        </w:rPr>
        <w:t xml:space="preserve">either </w:t>
      </w:r>
      <w:r w:rsidRPr="00600821">
        <w:rPr>
          <w:rFonts w:ascii="Arial" w:hAnsi="Arial" w:cs="Arial"/>
          <w:sz w:val="20"/>
          <w:szCs w:val="20"/>
        </w:rPr>
        <w:t>be experienced in undertaking the type of work</w:t>
      </w:r>
      <w:r>
        <w:rPr>
          <w:rFonts w:ascii="Arial" w:hAnsi="Arial" w:cs="Arial"/>
          <w:sz w:val="20"/>
          <w:szCs w:val="20"/>
        </w:rPr>
        <w:t xml:space="preserve"> described in the SOBN Access Application Form</w:t>
      </w:r>
      <w:r w:rsidRPr="00600821">
        <w:rPr>
          <w:rFonts w:ascii="Arial" w:hAnsi="Arial" w:cs="Arial"/>
          <w:sz w:val="20"/>
          <w:szCs w:val="20"/>
        </w:rPr>
        <w:t>, or under the supervision of a</w:t>
      </w:r>
      <w:r>
        <w:rPr>
          <w:rFonts w:ascii="Arial" w:hAnsi="Arial" w:cs="Arial"/>
          <w:sz w:val="20"/>
          <w:szCs w:val="20"/>
        </w:rPr>
        <w:t xml:space="preserve"> person who is</w:t>
      </w:r>
      <w:r w:rsidRPr="00600821">
        <w:rPr>
          <w:rFonts w:ascii="Arial" w:hAnsi="Arial" w:cs="Arial"/>
          <w:sz w:val="20"/>
          <w:szCs w:val="20"/>
        </w:rPr>
        <w:t xml:space="preserve"> suitably experienced.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</w:t>
      </w:r>
      <w:r w:rsidRPr="00600821">
        <w:rPr>
          <w:rFonts w:ascii="Arial" w:hAnsi="Arial" w:cs="Arial"/>
          <w:sz w:val="20"/>
          <w:szCs w:val="20"/>
        </w:rPr>
        <w:t xml:space="preserve">equipment </w:t>
      </w:r>
      <w:r>
        <w:rPr>
          <w:rFonts w:ascii="Arial" w:hAnsi="Arial" w:cs="Arial"/>
          <w:sz w:val="20"/>
          <w:szCs w:val="20"/>
        </w:rPr>
        <w:t xml:space="preserve">that will be placed in a Bore must </w:t>
      </w:r>
      <w:r w:rsidRPr="00600821">
        <w:rPr>
          <w:rFonts w:ascii="Arial" w:hAnsi="Arial" w:cs="Arial"/>
          <w:sz w:val="20"/>
          <w:szCs w:val="20"/>
        </w:rPr>
        <w:t>be decontaminated before</w:t>
      </w:r>
      <w:r>
        <w:rPr>
          <w:rFonts w:ascii="Arial" w:hAnsi="Arial" w:cs="Arial"/>
          <w:sz w:val="20"/>
          <w:szCs w:val="20"/>
        </w:rPr>
        <w:t>hand</w:t>
      </w:r>
      <w:r w:rsidRPr="00600821">
        <w:rPr>
          <w:rFonts w:ascii="Arial" w:hAnsi="Arial" w:cs="Arial"/>
          <w:sz w:val="20"/>
          <w:szCs w:val="20"/>
        </w:rPr>
        <w:t>.</w:t>
      </w:r>
    </w:p>
    <w:p w:rsidR="00C32ADD" w:rsidRPr="00600821" w:rsidRDefault="00C32ADD" w:rsidP="00A816FB">
      <w:pPr>
        <w:rPr>
          <w:rFonts w:ascii="Arial" w:hAnsi="Arial" w:cs="Arial"/>
          <w:sz w:val="20"/>
          <w:szCs w:val="20"/>
        </w:rPr>
      </w:pPr>
    </w:p>
    <w:p w:rsidR="00C32ADD" w:rsidRPr="00600821" w:rsidRDefault="00C32ADD" w:rsidP="00A816FB">
      <w:pPr>
        <w:rPr>
          <w:rFonts w:ascii="Arial" w:hAnsi="Arial" w:cs="Arial"/>
          <w:b/>
          <w:sz w:val="20"/>
          <w:szCs w:val="20"/>
        </w:rPr>
      </w:pPr>
      <w:r w:rsidRPr="00600821">
        <w:rPr>
          <w:rFonts w:ascii="Arial" w:hAnsi="Arial" w:cs="Arial"/>
          <w:b/>
          <w:sz w:val="20"/>
          <w:szCs w:val="20"/>
        </w:rPr>
        <w:t>External Supervision</w:t>
      </w:r>
    </w:p>
    <w:p w:rsidR="00C32ADD" w:rsidRPr="00600821" w:rsidRDefault="00FF70F3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DELWP</w:t>
      </w:r>
      <w:r w:rsidR="00C32ADD" w:rsidRPr="00600821">
        <w:rPr>
          <w:rFonts w:ascii="Arial" w:hAnsi="Arial" w:cs="Arial"/>
          <w:sz w:val="20"/>
          <w:szCs w:val="20"/>
        </w:rPr>
        <w:t xml:space="preserve"> may require any activity </w:t>
      </w:r>
      <w:r w:rsidR="00C32ADD">
        <w:rPr>
          <w:rFonts w:ascii="Arial" w:hAnsi="Arial" w:cs="Arial"/>
          <w:sz w:val="20"/>
          <w:szCs w:val="20"/>
        </w:rPr>
        <w:t xml:space="preserve">associated with the proposed work </w:t>
      </w:r>
      <w:r w:rsidR="00C32ADD" w:rsidRPr="00600821">
        <w:rPr>
          <w:rFonts w:ascii="Arial" w:hAnsi="Arial" w:cs="Arial"/>
          <w:sz w:val="20"/>
          <w:szCs w:val="20"/>
        </w:rPr>
        <w:t xml:space="preserve">to be observed by a </w:t>
      </w:r>
      <w:r>
        <w:rPr>
          <w:rFonts w:ascii="Arial" w:hAnsi="Arial" w:cs="Arial"/>
          <w:sz w:val="20"/>
          <w:szCs w:val="20"/>
        </w:rPr>
        <w:t>DELWP</w:t>
      </w:r>
      <w:r w:rsidR="00C32ADD">
        <w:rPr>
          <w:rFonts w:ascii="Arial" w:hAnsi="Arial" w:cs="Arial"/>
          <w:sz w:val="20"/>
          <w:szCs w:val="20"/>
        </w:rPr>
        <w:t xml:space="preserve"> </w:t>
      </w:r>
      <w:r w:rsidR="00C32ADD" w:rsidRPr="00600821">
        <w:rPr>
          <w:rFonts w:ascii="Arial" w:hAnsi="Arial" w:cs="Arial"/>
          <w:sz w:val="20"/>
          <w:szCs w:val="20"/>
        </w:rPr>
        <w:t xml:space="preserve">appointed </w:t>
      </w:r>
      <w:r w:rsidR="00C32ADD">
        <w:rPr>
          <w:rFonts w:ascii="Arial" w:hAnsi="Arial" w:cs="Arial"/>
          <w:sz w:val="20"/>
          <w:szCs w:val="20"/>
        </w:rPr>
        <w:t xml:space="preserve">Contractor, and </w:t>
      </w:r>
      <w:r w:rsidR="00C32ADD" w:rsidRPr="00600821">
        <w:rPr>
          <w:rFonts w:ascii="Arial" w:hAnsi="Arial" w:cs="Arial"/>
          <w:sz w:val="20"/>
          <w:szCs w:val="20"/>
        </w:rPr>
        <w:t xml:space="preserve">may recover the cost of such supervision from the </w:t>
      </w:r>
      <w:r w:rsidR="00C32ADD">
        <w:rPr>
          <w:rFonts w:ascii="Arial" w:hAnsi="Arial" w:cs="Arial"/>
          <w:sz w:val="20"/>
          <w:szCs w:val="20"/>
        </w:rPr>
        <w:t>applicant.</w:t>
      </w:r>
    </w:p>
    <w:p w:rsidR="00C32ADD" w:rsidRPr="00600821" w:rsidRDefault="00C32ADD" w:rsidP="00A816F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32ADD" w:rsidRPr="00600821" w:rsidRDefault="00C32ADD" w:rsidP="00A816FB">
      <w:pPr>
        <w:rPr>
          <w:rFonts w:ascii="Arial" w:hAnsi="Arial" w:cs="Arial"/>
          <w:b/>
          <w:sz w:val="20"/>
          <w:szCs w:val="20"/>
        </w:rPr>
      </w:pPr>
      <w:r w:rsidRPr="00600821">
        <w:rPr>
          <w:rFonts w:ascii="Arial" w:hAnsi="Arial" w:cs="Arial"/>
          <w:b/>
          <w:sz w:val="20"/>
          <w:szCs w:val="20"/>
        </w:rPr>
        <w:t>Security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Any k</w:t>
      </w:r>
      <w:r w:rsidRPr="00600821">
        <w:rPr>
          <w:rFonts w:ascii="Arial" w:hAnsi="Arial" w:cs="Arial"/>
          <w:sz w:val="20"/>
          <w:szCs w:val="20"/>
        </w:rPr>
        <w:t xml:space="preserve">eys </w:t>
      </w:r>
      <w:r>
        <w:rPr>
          <w:rFonts w:ascii="Arial" w:hAnsi="Arial" w:cs="Arial"/>
          <w:sz w:val="20"/>
          <w:szCs w:val="20"/>
        </w:rPr>
        <w:t xml:space="preserve">provided to the applicant for access to a Bore </w:t>
      </w:r>
      <w:r w:rsidRPr="00600821">
        <w:rPr>
          <w:rFonts w:ascii="Arial" w:hAnsi="Arial" w:cs="Arial"/>
          <w:sz w:val="20"/>
          <w:szCs w:val="20"/>
        </w:rPr>
        <w:t xml:space="preserve">are the property of </w:t>
      </w:r>
      <w:r w:rsidR="00FF70F3">
        <w:rPr>
          <w:rFonts w:ascii="Arial" w:hAnsi="Arial" w:cs="Arial"/>
          <w:sz w:val="20"/>
          <w:szCs w:val="20"/>
        </w:rPr>
        <w:t>DELWP</w:t>
      </w:r>
      <w:r w:rsidRPr="0060082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and are not to be copied, and </w:t>
      </w:r>
      <w:r w:rsidRPr="00600821">
        <w:rPr>
          <w:rFonts w:ascii="Arial" w:hAnsi="Arial" w:cs="Arial"/>
          <w:sz w:val="20"/>
          <w:szCs w:val="20"/>
        </w:rPr>
        <w:t xml:space="preserve">are to be returned </w:t>
      </w:r>
      <w:r>
        <w:rPr>
          <w:rFonts w:ascii="Arial" w:hAnsi="Arial" w:cs="Arial"/>
          <w:sz w:val="20"/>
          <w:szCs w:val="20"/>
        </w:rPr>
        <w:t xml:space="preserve">at </w:t>
      </w:r>
      <w:r w:rsidRPr="00600821">
        <w:rPr>
          <w:rFonts w:ascii="Arial" w:hAnsi="Arial" w:cs="Arial"/>
          <w:sz w:val="20"/>
          <w:szCs w:val="20"/>
        </w:rPr>
        <w:t xml:space="preserve">the completion of </w:t>
      </w:r>
      <w:r>
        <w:rPr>
          <w:rFonts w:ascii="Arial" w:hAnsi="Arial" w:cs="Arial"/>
          <w:sz w:val="20"/>
          <w:szCs w:val="20"/>
        </w:rPr>
        <w:t xml:space="preserve">the </w:t>
      </w:r>
      <w:r w:rsidRPr="00600821">
        <w:rPr>
          <w:rFonts w:ascii="Arial" w:hAnsi="Arial" w:cs="Arial"/>
          <w:sz w:val="20"/>
          <w:szCs w:val="20"/>
        </w:rPr>
        <w:t>work.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all times, t</w:t>
      </w:r>
      <w:r w:rsidRPr="00600821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B</w:t>
      </w:r>
      <w:r w:rsidRPr="00600821">
        <w:rPr>
          <w:rFonts w:ascii="Arial" w:hAnsi="Arial" w:cs="Arial"/>
          <w:sz w:val="20"/>
          <w:szCs w:val="20"/>
        </w:rPr>
        <w:t>ore is to be in a secure condition (i.e. locked)</w:t>
      </w:r>
      <w:r>
        <w:rPr>
          <w:rFonts w:ascii="Arial" w:hAnsi="Arial" w:cs="Arial"/>
          <w:sz w:val="20"/>
          <w:szCs w:val="20"/>
        </w:rPr>
        <w:t>,</w:t>
      </w:r>
      <w:r w:rsidRPr="00600821">
        <w:rPr>
          <w:rFonts w:ascii="Arial" w:hAnsi="Arial" w:cs="Arial"/>
          <w:sz w:val="20"/>
          <w:szCs w:val="20"/>
        </w:rPr>
        <w:t xml:space="preserve"> when not under the direct observation of </w:t>
      </w:r>
      <w:r>
        <w:rPr>
          <w:rFonts w:ascii="Arial" w:hAnsi="Arial" w:cs="Arial"/>
          <w:sz w:val="20"/>
          <w:szCs w:val="20"/>
        </w:rPr>
        <w:t xml:space="preserve">a representative of </w:t>
      </w:r>
      <w:r w:rsidRPr="0060082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applicant.</w:t>
      </w:r>
    </w:p>
    <w:p w:rsidR="00C32ADD" w:rsidRPr="00600821" w:rsidRDefault="00C32ADD" w:rsidP="00A816FB">
      <w:pPr>
        <w:rPr>
          <w:rFonts w:ascii="Arial" w:hAnsi="Arial" w:cs="Arial"/>
          <w:sz w:val="20"/>
          <w:szCs w:val="20"/>
        </w:rPr>
      </w:pPr>
    </w:p>
    <w:p w:rsidR="00C32ADD" w:rsidRDefault="00C32ADD" w:rsidP="00A816FB">
      <w:pPr>
        <w:rPr>
          <w:rFonts w:ascii="Arial" w:hAnsi="Arial" w:cs="Arial"/>
          <w:b/>
          <w:sz w:val="20"/>
          <w:szCs w:val="20"/>
        </w:rPr>
      </w:pPr>
    </w:p>
    <w:p w:rsidR="00C32ADD" w:rsidRPr="00600821" w:rsidRDefault="00C32ADD" w:rsidP="00A816FB">
      <w:pPr>
        <w:rPr>
          <w:rFonts w:ascii="Arial" w:hAnsi="Arial" w:cs="Arial"/>
          <w:b/>
          <w:sz w:val="20"/>
          <w:szCs w:val="20"/>
        </w:rPr>
      </w:pPr>
      <w:r w:rsidRPr="00600821">
        <w:rPr>
          <w:rFonts w:ascii="Arial" w:hAnsi="Arial" w:cs="Arial"/>
          <w:b/>
          <w:sz w:val="20"/>
          <w:szCs w:val="20"/>
        </w:rPr>
        <w:t>Data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0821">
        <w:rPr>
          <w:rFonts w:ascii="Arial" w:hAnsi="Arial" w:cs="Arial"/>
          <w:sz w:val="20"/>
          <w:szCs w:val="20"/>
        </w:rPr>
        <w:t xml:space="preserve">A copy of all data collected </w:t>
      </w:r>
      <w:r>
        <w:rPr>
          <w:rFonts w:ascii="Arial" w:hAnsi="Arial" w:cs="Arial"/>
          <w:sz w:val="20"/>
          <w:szCs w:val="20"/>
        </w:rPr>
        <w:t xml:space="preserve">as a result of the </w:t>
      </w:r>
      <w:r w:rsidRPr="00600821">
        <w:rPr>
          <w:rFonts w:ascii="Arial" w:hAnsi="Arial" w:cs="Arial"/>
          <w:sz w:val="20"/>
          <w:szCs w:val="20"/>
        </w:rPr>
        <w:t xml:space="preserve">approved </w:t>
      </w:r>
      <w:r>
        <w:rPr>
          <w:rFonts w:ascii="Arial" w:hAnsi="Arial" w:cs="Arial"/>
          <w:sz w:val="20"/>
          <w:szCs w:val="20"/>
        </w:rPr>
        <w:t xml:space="preserve">access </w:t>
      </w:r>
      <w:r w:rsidRPr="00600821">
        <w:rPr>
          <w:rFonts w:ascii="Arial" w:hAnsi="Arial" w:cs="Arial"/>
          <w:sz w:val="20"/>
          <w:szCs w:val="20"/>
        </w:rPr>
        <w:t xml:space="preserve">is to be provided to the </w:t>
      </w:r>
      <w:r w:rsidR="00FF70F3">
        <w:rPr>
          <w:rFonts w:ascii="Arial" w:hAnsi="Arial" w:cs="Arial"/>
          <w:sz w:val="20"/>
          <w:szCs w:val="20"/>
        </w:rPr>
        <w:t>DELWP</w:t>
      </w:r>
      <w:r w:rsidRPr="00600821">
        <w:rPr>
          <w:rFonts w:ascii="Arial" w:hAnsi="Arial" w:cs="Arial"/>
          <w:sz w:val="20"/>
          <w:szCs w:val="20"/>
        </w:rPr>
        <w:t xml:space="preserve"> </w:t>
      </w:r>
      <w:r w:rsidR="00D17FFA">
        <w:rPr>
          <w:rFonts w:ascii="Arial" w:hAnsi="Arial" w:cs="Arial"/>
          <w:sz w:val="20"/>
          <w:szCs w:val="20"/>
        </w:rPr>
        <w:t xml:space="preserve">Contract </w:t>
      </w:r>
      <w:r w:rsidRPr="00600821">
        <w:rPr>
          <w:rFonts w:ascii="Arial" w:hAnsi="Arial" w:cs="Arial"/>
          <w:sz w:val="20"/>
          <w:szCs w:val="20"/>
        </w:rPr>
        <w:t xml:space="preserve">Manager in </w:t>
      </w:r>
      <w:r>
        <w:rPr>
          <w:rFonts w:ascii="Arial" w:hAnsi="Arial" w:cs="Arial"/>
          <w:sz w:val="20"/>
          <w:szCs w:val="20"/>
        </w:rPr>
        <w:t xml:space="preserve">the excel </w:t>
      </w:r>
      <w:r w:rsidRPr="00600821">
        <w:rPr>
          <w:rFonts w:ascii="Arial" w:hAnsi="Arial" w:cs="Arial"/>
          <w:sz w:val="20"/>
          <w:szCs w:val="20"/>
        </w:rPr>
        <w:t>form</w:t>
      </w:r>
      <w:r>
        <w:rPr>
          <w:rFonts w:ascii="Arial" w:hAnsi="Arial" w:cs="Arial"/>
          <w:sz w:val="20"/>
          <w:szCs w:val="20"/>
        </w:rPr>
        <w:t xml:space="preserve">at </w:t>
      </w:r>
      <w:r w:rsidR="00693406">
        <w:rPr>
          <w:rFonts w:ascii="Arial" w:hAnsi="Arial" w:cs="Arial"/>
          <w:sz w:val="20"/>
          <w:szCs w:val="20"/>
        </w:rPr>
        <w:t>described in Schedule 2</w:t>
      </w:r>
      <w:r>
        <w:rPr>
          <w:rFonts w:ascii="Arial" w:hAnsi="Arial" w:cs="Arial"/>
          <w:sz w:val="20"/>
          <w:szCs w:val="20"/>
        </w:rPr>
        <w:t xml:space="preserve"> </w:t>
      </w:r>
      <w:r w:rsidRPr="00600821">
        <w:rPr>
          <w:rFonts w:ascii="Arial" w:hAnsi="Arial" w:cs="Arial"/>
          <w:sz w:val="20"/>
          <w:szCs w:val="20"/>
        </w:rPr>
        <w:t xml:space="preserve">within </w:t>
      </w:r>
      <w:r>
        <w:rPr>
          <w:rFonts w:ascii="Arial" w:hAnsi="Arial" w:cs="Arial"/>
          <w:sz w:val="20"/>
          <w:szCs w:val="20"/>
        </w:rPr>
        <w:t>two weeks</w:t>
      </w:r>
      <w:r w:rsidRPr="00600821">
        <w:rPr>
          <w:rFonts w:ascii="Arial" w:hAnsi="Arial" w:cs="Arial"/>
          <w:sz w:val="20"/>
          <w:szCs w:val="20"/>
        </w:rPr>
        <w:t xml:space="preserve"> of measurement.</w:t>
      </w:r>
      <w:r>
        <w:rPr>
          <w:rFonts w:ascii="Arial" w:hAnsi="Arial" w:cs="Arial"/>
          <w:sz w:val="20"/>
          <w:szCs w:val="20"/>
        </w:rPr>
        <w:t xml:space="preserve"> </w:t>
      </w:r>
      <w:r w:rsidR="00FF70F3">
        <w:rPr>
          <w:rFonts w:ascii="Arial" w:hAnsi="Arial" w:cs="Arial"/>
          <w:sz w:val="20"/>
          <w:szCs w:val="20"/>
        </w:rPr>
        <w:t>DELWP</w:t>
      </w:r>
      <w:r>
        <w:rPr>
          <w:rFonts w:ascii="Arial" w:hAnsi="Arial" w:cs="Arial"/>
          <w:sz w:val="20"/>
          <w:szCs w:val="20"/>
        </w:rPr>
        <w:t xml:space="preserve"> needs to be advised if this timeline is not able to be met.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Minister has the </w:t>
      </w:r>
      <w:r w:rsidRPr="00600821">
        <w:rPr>
          <w:rFonts w:ascii="Arial" w:hAnsi="Arial" w:cs="Arial"/>
          <w:sz w:val="20"/>
          <w:szCs w:val="20"/>
        </w:rPr>
        <w:t>free and unfettered use</w:t>
      </w:r>
      <w:r>
        <w:rPr>
          <w:rFonts w:ascii="Arial" w:hAnsi="Arial" w:cs="Arial"/>
          <w:sz w:val="20"/>
          <w:szCs w:val="20"/>
        </w:rPr>
        <w:t xml:space="preserve"> of data </w:t>
      </w:r>
      <w:r w:rsidRPr="00600821">
        <w:rPr>
          <w:rFonts w:ascii="Arial" w:hAnsi="Arial" w:cs="Arial"/>
          <w:sz w:val="20"/>
          <w:szCs w:val="20"/>
        </w:rPr>
        <w:t xml:space="preserve">provided to </w:t>
      </w:r>
      <w:r w:rsidR="00FF70F3">
        <w:rPr>
          <w:rFonts w:ascii="Arial" w:hAnsi="Arial" w:cs="Arial"/>
          <w:sz w:val="20"/>
          <w:szCs w:val="20"/>
        </w:rPr>
        <w:t>DELWP</w:t>
      </w:r>
      <w:r w:rsidRPr="00600821">
        <w:rPr>
          <w:rFonts w:ascii="Arial" w:hAnsi="Arial" w:cs="Arial"/>
          <w:sz w:val="20"/>
          <w:szCs w:val="20"/>
        </w:rPr>
        <w:t xml:space="preserve"> under this </w:t>
      </w:r>
      <w:r>
        <w:rPr>
          <w:rFonts w:ascii="Arial" w:hAnsi="Arial" w:cs="Arial"/>
          <w:sz w:val="20"/>
          <w:szCs w:val="20"/>
        </w:rPr>
        <w:t>Access Authority.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0821">
        <w:rPr>
          <w:rFonts w:ascii="Arial" w:hAnsi="Arial" w:cs="Arial"/>
          <w:sz w:val="20"/>
          <w:szCs w:val="20"/>
        </w:rPr>
        <w:t xml:space="preserve">Data collected </w:t>
      </w:r>
      <w:r>
        <w:rPr>
          <w:rFonts w:ascii="Arial" w:hAnsi="Arial" w:cs="Arial"/>
          <w:sz w:val="20"/>
          <w:szCs w:val="20"/>
        </w:rPr>
        <w:t xml:space="preserve">under this Access Authority </w:t>
      </w:r>
      <w:r w:rsidRPr="00600821">
        <w:rPr>
          <w:rFonts w:ascii="Arial" w:hAnsi="Arial" w:cs="Arial"/>
          <w:sz w:val="20"/>
          <w:szCs w:val="20"/>
        </w:rPr>
        <w:t xml:space="preserve">by students </w:t>
      </w:r>
      <w:r>
        <w:rPr>
          <w:rFonts w:ascii="Arial" w:hAnsi="Arial" w:cs="Arial"/>
          <w:sz w:val="20"/>
          <w:szCs w:val="20"/>
        </w:rPr>
        <w:t xml:space="preserve">of an </w:t>
      </w:r>
      <w:r w:rsidRPr="00600821">
        <w:rPr>
          <w:rFonts w:ascii="Arial" w:hAnsi="Arial" w:cs="Arial"/>
          <w:sz w:val="20"/>
          <w:szCs w:val="20"/>
        </w:rPr>
        <w:t xml:space="preserve">academic </w:t>
      </w:r>
      <w:r>
        <w:rPr>
          <w:rFonts w:ascii="Arial" w:hAnsi="Arial" w:cs="Arial"/>
          <w:sz w:val="20"/>
          <w:szCs w:val="20"/>
        </w:rPr>
        <w:t xml:space="preserve">institution </w:t>
      </w:r>
      <w:r w:rsidRPr="00600821">
        <w:rPr>
          <w:rFonts w:ascii="Arial" w:hAnsi="Arial" w:cs="Arial"/>
          <w:sz w:val="20"/>
          <w:szCs w:val="20"/>
        </w:rPr>
        <w:t xml:space="preserve">for an approved course of study, shall </w:t>
      </w:r>
      <w:r>
        <w:rPr>
          <w:rFonts w:ascii="Arial" w:hAnsi="Arial" w:cs="Arial"/>
          <w:sz w:val="20"/>
          <w:szCs w:val="20"/>
        </w:rPr>
        <w:t xml:space="preserve">not be supplied </w:t>
      </w:r>
      <w:r w:rsidRPr="00600821">
        <w:rPr>
          <w:rFonts w:ascii="Arial" w:hAnsi="Arial" w:cs="Arial"/>
          <w:sz w:val="20"/>
          <w:szCs w:val="20"/>
        </w:rPr>
        <w:t>to another party or use</w:t>
      </w:r>
      <w:r>
        <w:rPr>
          <w:rFonts w:ascii="Arial" w:hAnsi="Arial" w:cs="Arial"/>
          <w:sz w:val="20"/>
          <w:szCs w:val="20"/>
        </w:rPr>
        <w:t xml:space="preserve">d </w:t>
      </w:r>
      <w:r w:rsidRPr="00600821">
        <w:rPr>
          <w:rFonts w:ascii="Arial" w:hAnsi="Arial" w:cs="Arial"/>
          <w:sz w:val="20"/>
          <w:szCs w:val="20"/>
        </w:rPr>
        <w:t>for commercial gain</w:t>
      </w:r>
      <w:r>
        <w:rPr>
          <w:rFonts w:ascii="Arial" w:hAnsi="Arial" w:cs="Arial"/>
          <w:sz w:val="20"/>
          <w:szCs w:val="20"/>
        </w:rPr>
        <w:t>.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0821">
        <w:rPr>
          <w:rFonts w:ascii="Arial" w:hAnsi="Arial" w:cs="Arial"/>
          <w:sz w:val="20"/>
          <w:szCs w:val="20"/>
        </w:rPr>
        <w:t xml:space="preserve">In any report, paper or project where </w:t>
      </w:r>
      <w:r>
        <w:rPr>
          <w:rFonts w:ascii="Arial" w:hAnsi="Arial" w:cs="Arial"/>
          <w:sz w:val="20"/>
          <w:szCs w:val="20"/>
        </w:rPr>
        <w:t xml:space="preserve">the </w:t>
      </w:r>
      <w:r w:rsidRPr="00600821">
        <w:rPr>
          <w:rFonts w:ascii="Arial" w:hAnsi="Arial" w:cs="Arial"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 xml:space="preserve">that is used </w:t>
      </w:r>
      <w:r w:rsidRPr="00600821">
        <w:rPr>
          <w:rFonts w:ascii="Arial" w:hAnsi="Arial" w:cs="Arial"/>
          <w:sz w:val="20"/>
          <w:szCs w:val="20"/>
        </w:rPr>
        <w:t xml:space="preserve">is obtained under </w:t>
      </w:r>
      <w:r>
        <w:rPr>
          <w:rFonts w:ascii="Arial" w:hAnsi="Arial" w:cs="Arial"/>
          <w:sz w:val="20"/>
          <w:szCs w:val="20"/>
        </w:rPr>
        <w:t>this Access Authority, shall include the following statement</w:t>
      </w:r>
      <w:r w:rsidRPr="00600821">
        <w:rPr>
          <w:rFonts w:ascii="Arial" w:hAnsi="Arial" w:cs="Arial"/>
          <w:sz w:val="20"/>
          <w:szCs w:val="20"/>
        </w:rPr>
        <w:t xml:space="preserve">– “The author acknowledges </w:t>
      </w:r>
      <w:r w:rsidR="00FF70F3">
        <w:rPr>
          <w:rFonts w:ascii="Arial" w:hAnsi="Arial" w:cs="Arial"/>
          <w:sz w:val="20"/>
          <w:szCs w:val="20"/>
        </w:rPr>
        <w:t>DELWP</w:t>
      </w:r>
      <w:r w:rsidRPr="00600821">
        <w:rPr>
          <w:rFonts w:ascii="Arial" w:hAnsi="Arial" w:cs="Arial"/>
          <w:sz w:val="20"/>
          <w:szCs w:val="20"/>
        </w:rPr>
        <w:t xml:space="preserve">s contribution to the project </w:t>
      </w:r>
      <w:r>
        <w:rPr>
          <w:rFonts w:ascii="Arial" w:hAnsi="Arial" w:cs="Arial"/>
          <w:sz w:val="20"/>
          <w:szCs w:val="20"/>
        </w:rPr>
        <w:t xml:space="preserve">through providing access to bores </w:t>
      </w:r>
      <w:r w:rsidRPr="00600821">
        <w:rPr>
          <w:rFonts w:ascii="Arial" w:hAnsi="Arial" w:cs="Arial"/>
          <w:sz w:val="20"/>
          <w:szCs w:val="20"/>
        </w:rPr>
        <w:t>in the Victorian State Observation Bore Network</w:t>
      </w:r>
      <w:r>
        <w:rPr>
          <w:rFonts w:ascii="Arial" w:hAnsi="Arial" w:cs="Arial"/>
          <w:sz w:val="20"/>
          <w:szCs w:val="20"/>
        </w:rPr>
        <w:t>.</w:t>
      </w:r>
      <w:r w:rsidRPr="00600821">
        <w:rPr>
          <w:rFonts w:ascii="Arial" w:hAnsi="Arial" w:cs="Arial"/>
          <w:sz w:val="20"/>
          <w:szCs w:val="20"/>
        </w:rPr>
        <w:t>”</w:t>
      </w:r>
    </w:p>
    <w:p w:rsidR="00C32ADD" w:rsidRPr="00600821" w:rsidRDefault="00C32ADD" w:rsidP="00A816FB">
      <w:pPr>
        <w:rPr>
          <w:rFonts w:ascii="Arial" w:hAnsi="Arial" w:cs="Arial"/>
          <w:sz w:val="20"/>
          <w:szCs w:val="20"/>
        </w:rPr>
      </w:pPr>
    </w:p>
    <w:p w:rsidR="00C32ADD" w:rsidRPr="00600821" w:rsidRDefault="00C32ADD" w:rsidP="00A816FB">
      <w:pPr>
        <w:rPr>
          <w:rFonts w:ascii="Arial" w:hAnsi="Arial" w:cs="Arial"/>
          <w:b/>
          <w:sz w:val="20"/>
          <w:szCs w:val="20"/>
        </w:rPr>
      </w:pPr>
      <w:r w:rsidRPr="00600821">
        <w:rPr>
          <w:rFonts w:ascii="Arial" w:hAnsi="Arial" w:cs="Arial"/>
          <w:b/>
          <w:sz w:val="20"/>
          <w:szCs w:val="20"/>
        </w:rPr>
        <w:t>Bore Condition and Liability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0821">
        <w:rPr>
          <w:rFonts w:ascii="Arial" w:hAnsi="Arial" w:cs="Arial"/>
          <w:sz w:val="20"/>
          <w:szCs w:val="20"/>
        </w:rPr>
        <w:t xml:space="preserve">Use of the </w:t>
      </w:r>
      <w:r>
        <w:rPr>
          <w:rFonts w:ascii="Arial" w:hAnsi="Arial" w:cs="Arial"/>
          <w:sz w:val="20"/>
          <w:szCs w:val="20"/>
        </w:rPr>
        <w:t>B</w:t>
      </w:r>
      <w:r w:rsidRPr="00600821"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sz w:val="20"/>
          <w:szCs w:val="20"/>
        </w:rPr>
        <w:t>(s)</w:t>
      </w:r>
      <w:r w:rsidRPr="00600821">
        <w:rPr>
          <w:rFonts w:ascii="Arial" w:hAnsi="Arial" w:cs="Arial"/>
          <w:sz w:val="20"/>
          <w:szCs w:val="20"/>
        </w:rPr>
        <w:t xml:space="preserve"> is solely at the risk of the </w:t>
      </w:r>
      <w:r>
        <w:rPr>
          <w:rFonts w:ascii="Arial" w:hAnsi="Arial" w:cs="Arial"/>
          <w:sz w:val="20"/>
          <w:szCs w:val="20"/>
        </w:rPr>
        <w:t>Applicant</w:t>
      </w:r>
      <w:r w:rsidRPr="00600821">
        <w:rPr>
          <w:rFonts w:ascii="Arial" w:hAnsi="Arial" w:cs="Arial"/>
          <w:sz w:val="20"/>
          <w:szCs w:val="20"/>
        </w:rPr>
        <w:t xml:space="preserve"> and </w:t>
      </w:r>
      <w:r w:rsidR="00FF70F3">
        <w:rPr>
          <w:rFonts w:ascii="Arial" w:hAnsi="Arial" w:cs="Arial"/>
          <w:sz w:val="20"/>
          <w:szCs w:val="20"/>
        </w:rPr>
        <w:t>DELWP</w:t>
      </w:r>
      <w:r w:rsidRPr="00600821">
        <w:rPr>
          <w:rFonts w:ascii="Arial" w:hAnsi="Arial" w:cs="Arial"/>
          <w:sz w:val="20"/>
          <w:szCs w:val="20"/>
        </w:rPr>
        <w:t xml:space="preserve"> makes no representation about the condition of any </w:t>
      </w:r>
      <w:r>
        <w:rPr>
          <w:rFonts w:ascii="Arial" w:hAnsi="Arial" w:cs="Arial"/>
          <w:sz w:val="20"/>
          <w:szCs w:val="20"/>
        </w:rPr>
        <w:t>Bore</w:t>
      </w:r>
      <w:r w:rsidRPr="00600821">
        <w:rPr>
          <w:rFonts w:ascii="Arial" w:hAnsi="Arial" w:cs="Arial"/>
          <w:sz w:val="20"/>
          <w:szCs w:val="20"/>
        </w:rPr>
        <w:t>.</w:t>
      </w:r>
    </w:p>
    <w:p w:rsidR="00C32ADD" w:rsidRPr="00600821" w:rsidRDefault="00FF70F3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DELWP</w:t>
      </w:r>
      <w:r w:rsidR="00C32ADD" w:rsidRPr="00600821">
        <w:rPr>
          <w:rFonts w:ascii="Arial" w:hAnsi="Arial" w:cs="Arial"/>
          <w:sz w:val="20"/>
          <w:szCs w:val="20"/>
        </w:rPr>
        <w:t xml:space="preserve"> assumes no responsibility for flushing the </w:t>
      </w:r>
      <w:r w:rsidR="00C32ADD">
        <w:rPr>
          <w:rFonts w:ascii="Arial" w:hAnsi="Arial" w:cs="Arial"/>
          <w:sz w:val="20"/>
          <w:szCs w:val="20"/>
        </w:rPr>
        <w:t>Bore prior to access</w:t>
      </w:r>
      <w:r w:rsidR="00C32ADD" w:rsidRPr="00600821">
        <w:rPr>
          <w:rFonts w:ascii="Arial" w:hAnsi="Arial" w:cs="Arial"/>
          <w:sz w:val="20"/>
          <w:szCs w:val="20"/>
        </w:rPr>
        <w:t xml:space="preserve">, or for </w:t>
      </w:r>
      <w:r w:rsidR="00C32ADD">
        <w:rPr>
          <w:rFonts w:ascii="Arial" w:hAnsi="Arial" w:cs="Arial"/>
          <w:sz w:val="20"/>
          <w:szCs w:val="20"/>
        </w:rPr>
        <w:t xml:space="preserve">any </w:t>
      </w:r>
      <w:r w:rsidR="00C32ADD" w:rsidRPr="00600821">
        <w:rPr>
          <w:rFonts w:ascii="Arial" w:hAnsi="Arial" w:cs="Arial"/>
          <w:sz w:val="20"/>
          <w:szCs w:val="20"/>
        </w:rPr>
        <w:t xml:space="preserve">samples </w:t>
      </w:r>
      <w:r w:rsidR="00C32ADD">
        <w:rPr>
          <w:rFonts w:ascii="Arial" w:hAnsi="Arial" w:cs="Arial"/>
          <w:sz w:val="20"/>
          <w:szCs w:val="20"/>
        </w:rPr>
        <w:t xml:space="preserve">or test results </w:t>
      </w:r>
      <w:r w:rsidR="00C32ADD" w:rsidRPr="00600821">
        <w:rPr>
          <w:rFonts w:ascii="Arial" w:hAnsi="Arial" w:cs="Arial"/>
          <w:sz w:val="20"/>
          <w:szCs w:val="20"/>
        </w:rPr>
        <w:t xml:space="preserve">that might be non-representative </w:t>
      </w:r>
      <w:r w:rsidR="00C32ADD">
        <w:rPr>
          <w:rFonts w:ascii="Arial" w:hAnsi="Arial" w:cs="Arial"/>
          <w:sz w:val="20"/>
          <w:szCs w:val="20"/>
        </w:rPr>
        <w:t xml:space="preserve">due to the </w:t>
      </w:r>
      <w:r w:rsidR="00C32ADD" w:rsidRPr="00600821">
        <w:rPr>
          <w:rFonts w:ascii="Arial" w:hAnsi="Arial" w:cs="Arial"/>
          <w:sz w:val="20"/>
          <w:szCs w:val="20"/>
        </w:rPr>
        <w:t xml:space="preserve">condition of the </w:t>
      </w:r>
      <w:r w:rsidR="00C32ADD">
        <w:rPr>
          <w:rFonts w:ascii="Arial" w:hAnsi="Arial" w:cs="Arial"/>
          <w:sz w:val="20"/>
          <w:szCs w:val="20"/>
        </w:rPr>
        <w:t>B</w:t>
      </w:r>
      <w:r w:rsidR="00C32ADD" w:rsidRPr="00600821">
        <w:rPr>
          <w:rFonts w:ascii="Arial" w:hAnsi="Arial" w:cs="Arial"/>
          <w:sz w:val="20"/>
          <w:szCs w:val="20"/>
        </w:rPr>
        <w:t>ore.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0821">
        <w:rPr>
          <w:rFonts w:ascii="Arial" w:hAnsi="Arial" w:cs="Arial"/>
          <w:sz w:val="20"/>
          <w:szCs w:val="20"/>
        </w:rPr>
        <w:t>Any is</w:t>
      </w:r>
      <w:r>
        <w:rPr>
          <w:rFonts w:ascii="Arial" w:hAnsi="Arial" w:cs="Arial"/>
          <w:sz w:val="20"/>
          <w:szCs w:val="20"/>
        </w:rPr>
        <w:t>sues with the condition of the B</w:t>
      </w:r>
      <w:r w:rsidRPr="00600821">
        <w:rPr>
          <w:rFonts w:ascii="Arial" w:hAnsi="Arial" w:cs="Arial"/>
          <w:sz w:val="20"/>
          <w:szCs w:val="20"/>
        </w:rPr>
        <w:t xml:space="preserve">ore observed on arrival at the site are to be reported to the </w:t>
      </w:r>
      <w:r w:rsidR="00FF70F3">
        <w:rPr>
          <w:rFonts w:ascii="Arial" w:hAnsi="Arial" w:cs="Arial"/>
          <w:sz w:val="20"/>
          <w:szCs w:val="20"/>
        </w:rPr>
        <w:t>DELWP</w:t>
      </w:r>
      <w:r>
        <w:rPr>
          <w:rFonts w:ascii="Arial" w:hAnsi="Arial" w:cs="Arial"/>
          <w:sz w:val="20"/>
          <w:szCs w:val="20"/>
        </w:rPr>
        <w:t xml:space="preserve"> </w:t>
      </w:r>
      <w:r w:rsidR="00D17FFA">
        <w:rPr>
          <w:rFonts w:ascii="Arial" w:hAnsi="Arial" w:cs="Arial"/>
          <w:sz w:val="20"/>
          <w:szCs w:val="20"/>
        </w:rPr>
        <w:t>Contract</w:t>
      </w:r>
      <w:r>
        <w:rPr>
          <w:rFonts w:ascii="Arial" w:hAnsi="Arial" w:cs="Arial"/>
          <w:sz w:val="20"/>
          <w:szCs w:val="20"/>
        </w:rPr>
        <w:t xml:space="preserve"> Manager</w:t>
      </w:r>
      <w:r w:rsidRPr="00600821">
        <w:rPr>
          <w:rFonts w:ascii="Arial" w:hAnsi="Arial" w:cs="Arial"/>
          <w:sz w:val="20"/>
          <w:szCs w:val="20"/>
        </w:rPr>
        <w:t>.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Any damage to the Bore or surrounds </w:t>
      </w:r>
      <w:r w:rsidRPr="00600821">
        <w:rPr>
          <w:rFonts w:ascii="Arial" w:hAnsi="Arial" w:cs="Arial"/>
          <w:sz w:val="20"/>
          <w:szCs w:val="20"/>
        </w:rPr>
        <w:t xml:space="preserve">during the </w:t>
      </w:r>
      <w:r>
        <w:rPr>
          <w:rFonts w:ascii="Arial" w:hAnsi="Arial" w:cs="Arial"/>
          <w:sz w:val="20"/>
          <w:szCs w:val="20"/>
        </w:rPr>
        <w:t>a</w:t>
      </w:r>
      <w:r w:rsidRPr="00600821">
        <w:rPr>
          <w:rFonts w:ascii="Arial" w:hAnsi="Arial" w:cs="Arial"/>
          <w:sz w:val="20"/>
          <w:szCs w:val="20"/>
        </w:rPr>
        <w:t xml:space="preserve">pproved </w:t>
      </w:r>
      <w:r>
        <w:rPr>
          <w:rFonts w:ascii="Arial" w:hAnsi="Arial" w:cs="Arial"/>
          <w:sz w:val="20"/>
          <w:szCs w:val="20"/>
        </w:rPr>
        <w:t>a</w:t>
      </w:r>
      <w:r w:rsidRPr="00600821">
        <w:rPr>
          <w:rFonts w:ascii="Arial" w:hAnsi="Arial" w:cs="Arial"/>
          <w:sz w:val="20"/>
          <w:szCs w:val="20"/>
        </w:rPr>
        <w:t xml:space="preserve">ccess period must be reported to the </w:t>
      </w:r>
      <w:r w:rsidR="00FF70F3">
        <w:rPr>
          <w:rFonts w:ascii="Arial" w:hAnsi="Arial" w:cs="Arial"/>
          <w:sz w:val="20"/>
          <w:szCs w:val="20"/>
        </w:rPr>
        <w:t>DELWP</w:t>
      </w:r>
      <w:r>
        <w:rPr>
          <w:rFonts w:ascii="Arial" w:hAnsi="Arial" w:cs="Arial"/>
          <w:sz w:val="20"/>
          <w:szCs w:val="20"/>
        </w:rPr>
        <w:t xml:space="preserve"> </w:t>
      </w:r>
      <w:r w:rsidR="00D17FFA">
        <w:rPr>
          <w:rFonts w:ascii="Arial" w:hAnsi="Arial" w:cs="Arial"/>
          <w:sz w:val="20"/>
          <w:szCs w:val="20"/>
        </w:rPr>
        <w:t>Contract</w:t>
      </w:r>
      <w:r>
        <w:rPr>
          <w:rFonts w:ascii="Arial" w:hAnsi="Arial" w:cs="Arial"/>
          <w:sz w:val="20"/>
          <w:szCs w:val="20"/>
        </w:rPr>
        <w:t xml:space="preserve"> Manager</w:t>
      </w:r>
      <w:r w:rsidRPr="00600821">
        <w:rPr>
          <w:rFonts w:ascii="Arial" w:hAnsi="Arial" w:cs="Arial"/>
          <w:sz w:val="20"/>
          <w:szCs w:val="20"/>
        </w:rPr>
        <w:t xml:space="preserve">.  This includes </w:t>
      </w:r>
      <w:r>
        <w:rPr>
          <w:rFonts w:ascii="Arial" w:hAnsi="Arial" w:cs="Arial"/>
          <w:sz w:val="20"/>
          <w:szCs w:val="20"/>
        </w:rPr>
        <w:t xml:space="preserve">any damage to </w:t>
      </w:r>
      <w:r w:rsidRPr="0060082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Bore </w:t>
      </w:r>
      <w:r w:rsidRPr="00600821">
        <w:rPr>
          <w:rFonts w:ascii="Arial" w:hAnsi="Arial" w:cs="Arial"/>
          <w:sz w:val="20"/>
          <w:szCs w:val="20"/>
        </w:rPr>
        <w:t xml:space="preserve">surface fittings, marker posts, immediate surrounds, bore casing or </w:t>
      </w:r>
      <w:r>
        <w:rPr>
          <w:rFonts w:ascii="Arial" w:hAnsi="Arial" w:cs="Arial"/>
          <w:sz w:val="20"/>
          <w:szCs w:val="20"/>
        </w:rPr>
        <w:t xml:space="preserve">Bore </w:t>
      </w:r>
      <w:r w:rsidRPr="00600821">
        <w:rPr>
          <w:rFonts w:ascii="Arial" w:hAnsi="Arial" w:cs="Arial"/>
          <w:sz w:val="20"/>
          <w:szCs w:val="20"/>
        </w:rPr>
        <w:t>screens</w:t>
      </w:r>
      <w:r>
        <w:rPr>
          <w:rFonts w:ascii="Arial" w:hAnsi="Arial" w:cs="Arial"/>
          <w:sz w:val="20"/>
          <w:szCs w:val="20"/>
        </w:rPr>
        <w:t>.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0821">
        <w:rPr>
          <w:rFonts w:ascii="Arial" w:hAnsi="Arial" w:cs="Arial"/>
          <w:sz w:val="20"/>
          <w:szCs w:val="20"/>
        </w:rPr>
        <w:t xml:space="preserve">Any </w:t>
      </w:r>
      <w:r>
        <w:rPr>
          <w:rFonts w:ascii="Arial" w:hAnsi="Arial" w:cs="Arial"/>
          <w:sz w:val="20"/>
          <w:szCs w:val="20"/>
        </w:rPr>
        <w:t xml:space="preserve">entry </w:t>
      </w:r>
      <w:r w:rsidRPr="00600821">
        <w:rPr>
          <w:rFonts w:ascii="Arial" w:hAnsi="Arial" w:cs="Arial"/>
          <w:sz w:val="20"/>
          <w:szCs w:val="20"/>
        </w:rPr>
        <w:t>of foreign material</w:t>
      </w:r>
      <w:r>
        <w:rPr>
          <w:rFonts w:ascii="Arial" w:hAnsi="Arial" w:cs="Arial"/>
          <w:sz w:val="20"/>
          <w:szCs w:val="20"/>
        </w:rPr>
        <w:t xml:space="preserve"> or </w:t>
      </w:r>
      <w:r w:rsidRPr="00600821">
        <w:rPr>
          <w:rFonts w:ascii="Arial" w:hAnsi="Arial" w:cs="Arial"/>
          <w:sz w:val="20"/>
          <w:szCs w:val="20"/>
        </w:rPr>
        <w:t xml:space="preserve">contaminants to the </w:t>
      </w:r>
      <w:r>
        <w:rPr>
          <w:rFonts w:ascii="Arial" w:hAnsi="Arial" w:cs="Arial"/>
          <w:sz w:val="20"/>
          <w:szCs w:val="20"/>
        </w:rPr>
        <w:t>Bore, or loss of equipment in the Bore,</w:t>
      </w:r>
      <w:r w:rsidRPr="00600821">
        <w:rPr>
          <w:rFonts w:ascii="Arial" w:hAnsi="Arial" w:cs="Arial"/>
          <w:sz w:val="20"/>
          <w:szCs w:val="20"/>
        </w:rPr>
        <w:t xml:space="preserve"> must be reported to the </w:t>
      </w:r>
      <w:r w:rsidR="00FF70F3">
        <w:rPr>
          <w:rFonts w:ascii="Arial" w:hAnsi="Arial" w:cs="Arial"/>
          <w:sz w:val="20"/>
          <w:szCs w:val="20"/>
        </w:rPr>
        <w:t>DELWP</w:t>
      </w:r>
      <w:r>
        <w:rPr>
          <w:rFonts w:ascii="Arial" w:hAnsi="Arial" w:cs="Arial"/>
          <w:sz w:val="20"/>
          <w:szCs w:val="20"/>
        </w:rPr>
        <w:t xml:space="preserve"> </w:t>
      </w:r>
      <w:r w:rsidR="00D17FFA">
        <w:rPr>
          <w:rFonts w:ascii="Arial" w:hAnsi="Arial" w:cs="Arial"/>
          <w:sz w:val="20"/>
          <w:szCs w:val="20"/>
        </w:rPr>
        <w:t>Contract</w:t>
      </w:r>
      <w:r>
        <w:rPr>
          <w:rFonts w:ascii="Arial" w:hAnsi="Arial" w:cs="Arial"/>
          <w:sz w:val="20"/>
          <w:szCs w:val="20"/>
        </w:rPr>
        <w:t xml:space="preserve"> Manager.</w:t>
      </w:r>
    </w:p>
    <w:p w:rsidR="00C32ADD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0082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Applicant</w:t>
      </w:r>
      <w:r w:rsidRPr="00600821">
        <w:rPr>
          <w:rFonts w:ascii="Arial" w:hAnsi="Arial" w:cs="Arial"/>
          <w:sz w:val="20"/>
          <w:szCs w:val="20"/>
        </w:rPr>
        <w:t xml:space="preserve"> is solely liable for all costs, payments and charges associated with </w:t>
      </w:r>
      <w:r>
        <w:rPr>
          <w:rFonts w:ascii="Arial" w:hAnsi="Arial" w:cs="Arial"/>
          <w:sz w:val="20"/>
          <w:szCs w:val="20"/>
        </w:rPr>
        <w:t xml:space="preserve">the </w:t>
      </w:r>
      <w:r w:rsidRPr="00600821">
        <w:rPr>
          <w:rFonts w:ascii="Arial" w:hAnsi="Arial" w:cs="Arial"/>
          <w:sz w:val="20"/>
          <w:szCs w:val="20"/>
        </w:rPr>
        <w:t xml:space="preserve">repair, restoration, refurbishment or replacement of a </w:t>
      </w:r>
      <w:r>
        <w:rPr>
          <w:rFonts w:ascii="Arial" w:hAnsi="Arial" w:cs="Arial"/>
          <w:sz w:val="20"/>
          <w:szCs w:val="20"/>
        </w:rPr>
        <w:t>Bore</w:t>
      </w:r>
      <w:r w:rsidRPr="0060082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that is a consequence of access provided under this Authority</w:t>
      </w:r>
      <w:r w:rsidRPr="00600821">
        <w:rPr>
          <w:rFonts w:ascii="Arial" w:hAnsi="Arial" w:cs="Arial"/>
          <w:sz w:val="20"/>
          <w:szCs w:val="20"/>
        </w:rPr>
        <w:t>.</w:t>
      </w:r>
    </w:p>
    <w:p w:rsidR="00C32ADD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Applicant assumes all liability for any damage to persons, property or environment that occurs as a result of access provided under this Authority.</w:t>
      </w:r>
    </w:p>
    <w:p w:rsidR="00C32ADD" w:rsidRPr="00600821" w:rsidRDefault="00C32ADD" w:rsidP="00A816FB">
      <w:pPr>
        <w:rPr>
          <w:rFonts w:ascii="Arial" w:hAnsi="Arial" w:cs="Arial"/>
          <w:sz w:val="20"/>
          <w:szCs w:val="20"/>
        </w:rPr>
      </w:pPr>
    </w:p>
    <w:p w:rsidR="00C32ADD" w:rsidRPr="00600821" w:rsidRDefault="00C32ADD" w:rsidP="00A816FB">
      <w:pPr>
        <w:rPr>
          <w:rFonts w:ascii="Arial" w:hAnsi="Arial" w:cs="Arial"/>
          <w:b/>
          <w:sz w:val="20"/>
          <w:szCs w:val="20"/>
        </w:rPr>
      </w:pPr>
      <w:r w:rsidRPr="00600821">
        <w:rPr>
          <w:rFonts w:ascii="Arial" w:hAnsi="Arial" w:cs="Arial"/>
          <w:b/>
          <w:sz w:val="20"/>
          <w:szCs w:val="20"/>
        </w:rPr>
        <w:t>Other permissions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 is permitted to the Bore(</w:t>
      </w:r>
      <w:r w:rsidRPr="0060082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600821">
        <w:rPr>
          <w:rFonts w:ascii="Arial" w:hAnsi="Arial" w:cs="Arial"/>
          <w:sz w:val="20"/>
          <w:szCs w:val="20"/>
        </w:rPr>
        <w:t>, for the period</w:t>
      </w:r>
      <w:r>
        <w:rPr>
          <w:rFonts w:ascii="Arial" w:hAnsi="Arial" w:cs="Arial"/>
          <w:sz w:val="20"/>
          <w:szCs w:val="20"/>
        </w:rPr>
        <w:t>(s)</w:t>
      </w:r>
      <w:r w:rsidRPr="00600821">
        <w:rPr>
          <w:rFonts w:ascii="Arial" w:hAnsi="Arial" w:cs="Arial"/>
          <w:sz w:val="20"/>
          <w:szCs w:val="20"/>
        </w:rPr>
        <w:t xml:space="preserve"> and purpose</w:t>
      </w:r>
      <w:r>
        <w:rPr>
          <w:rFonts w:ascii="Arial" w:hAnsi="Arial" w:cs="Arial"/>
          <w:sz w:val="20"/>
          <w:szCs w:val="20"/>
        </w:rPr>
        <w:t xml:space="preserve">(s) referred to </w:t>
      </w:r>
      <w:r w:rsidRPr="00600821">
        <w:rPr>
          <w:rFonts w:ascii="Arial" w:hAnsi="Arial" w:cs="Arial"/>
          <w:sz w:val="20"/>
          <w:szCs w:val="20"/>
        </w:rPr>
        <w:t xml:space="preserve">in the </w:t>
      </w:r>
      <w:r>
        <w:rPr>
          <w:rFonts w:ascii="Arial" w:hAnsi="Arial" w:cs="Arial"/>
          <w:sz w:val="20"/>
          <w:szCs w:val="20"/>
        </w:rPr>
        <w:t>SOBN Access Application Form</w:t>
      </w:r>
      <w:r w:rsidRPr="00600821">
        <w:rPr>
          <w:rFonts w:ascii="Arial" w:hAnsi="Arial" w:cs="Arial"/>
          <w:sz w:val="20"/>
          <w:szCs w:val="20"/>
        </w:rPr>
        <w:t>.</w:t>
      </w:r>
    </w:p>
    <w:p w:rsidR="00C32ADD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issue of this Access Authority does not remove the responsibility of the </w:t>
      </w:r>
      <w:r w:rsidRPr="00600821">
        <w:rPr>
          <w:rFonts w:ascii="Arial" w:hAnsi="Arial" w:cs="Arial"/>
          <w:sz w:val="20"/>
          <w:szCs w:val="20"/>
        </w:rPr>
        <w:t xml:space="preserve">Applicant </w:t>
      </w:r>
      <w:r>
        <w:rPr>
          <w:rFonts w:ascii="Arial" w:hAnsi="Arial" w:cs="Arial"/>
          <w:sz w:val="20"/>
          <w:szCs w:val="20"/>
        </w:rPr>
        <w:t xml:space="preserve">to </w:t>
      </w:r>
      <w:r w:rsidRPr="00600821">
        <w:rPr>
          <w:rFonts w:ascii="Arial" w:hAnsi="Arial" w:cs="Arial"/>
          <w:sz w:val="20"/>
          <w:szCs w:val="20"/>
        </w:rPr>
        <w:t xml:space="preserve">obtain </w:t>
      </w:r>
      <w:r>
        <w:rPr>
          <w:rFonts w:ascii="Arial" w:hAnsi="Arial" w:cs="Arial"/>
          <w:sz w:val="20"/>
          <w:szCs w:val="20"/>
        </w:rPr>
        <w:t xml:space="preserve">any other relevant </w:t>
      </w:r>
      <w:r w:rsidRPr="00600821">
        <w:rPr>
          <w:rFonts w:ascii="Arial" w:hAnsi="Arial" w:cs="Arial"/>
          <w:sz w:val="20"/>
          <w:szCs w:val="20"/>
        </w:rPr>
        <w:t xml:space="preserve">permissions </w:t>
      </w:r>
      <w:r>
        <w:rPr>
          <w:rFonts w:ascii="Arial" w:hAnsi="Arial" w:cs="Arial"/>
          <w:sz w:val="20"/>
          <w:szCs w:val="20"/>
        </w:rPr>
        <w:t xml:space="preserve">and permits </w:t>
      </w:r>
      <w:r w:rsidRPr="00600821">
        <w:rPr>
          <w:rFonts w:ascii="Arial" w:hAnsi="Arial" w:cs="Arial"/>
          <w:sz w:val="20"/>
          <w:szCs w:val="20"/>
        </w:rPr>
        <w:t xml:space="preserve">to access the area of the </w:t>
      </w:r>
      <w:r>
        <w:rPr>
          <w:rFonts w:ascii="Arial" w:hAnsi="Arial" w:cs="Arial"/>
          <w:sz w:val="20"/>
          <w:szCs w:val="20"/>
        </w:rPr>
        <w:t>Bore, and to undertake</w:t>
      </w:r>
      <w:r w:rsidRPr="00600821">
        <w:rPr>
          <w:rFonts w:ascii="Arial" w:hAnsi="Arial" w:cs="Arial"/>
          <w:sz w:val="20"/>
          <w:szCs w:val="20"/>
        </w:rPr>
        <w:t xml:space="preserve"> the proposed activities at the site</w:t>
      </w:r>
      <w:r>
        <w:rPr>
          <w:rFonts w:ascii="Arial" w:hAnsi="Arial" w:cs="Arial"/>
          <w:sz w:val="20"/>
          <w:szCs w:val="20"/>
        </w:rPr>
        <w:t>.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request, t</w:t>
      </w:r>
      <w:r w:rsidRPr="00600821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>A</w:t>
      </w:r>
      <w:r w:rsidRPr="00600821">
        <w:rPr>
          <w:rFonts w:ascii="Arial" w:hAnsi="Arial" w:cs="Arial"/>
          <w:sz w:val="20"/>
          <w:szCs w:val="20"/>
        </w:rPr>
        <w:t xml:space="preserve">pplicant </w:t>
      </w:r>
      <w:r>
        <w:rPr>
          <w:rFonts w:ascii="Arial" w:hAnsi="Arial" w:cs="Arial"/>
          <w:sz w:val="20"/>
          <w:szCs w:val="20"/>
        </w:rPr>
        <w:t xml:space="preserve">is to </w:t>
      </w:r>
      <w:r w:rsidRPr="00600821">
        <w:rPr>
          <w:rFonts w:ascii="Arial" w:hAnsi="Arial" w:cs="Arial"/>
          <w:sz w:val="20"/>
          <w:szCs w:val="20"/>
        </w:rPr>
        <w:t xml:space="preserve">provide </w:t>
      </w:r>
      <w:r w:rsidR="00FF70F3">
        <w:rPr>
          <w:rFonts w:ascii="Arial" w:hAnsi="Arial" w:cs="Arial"/>
          <w:sz w:val="20"/>
          <w:szCs w:val="20"/>
        </w:rPr>
        <w:t>DELWP</w:t>
      </w:r>
      <w:r>
        <w:rPr>
          <w:rFonts w:ascii="Arial" w:hAnsi="Arial" w:cs="Arial"/>
          <w:sz w:val="20"/>
          <w:szCs w:val="20"/>
        </w:rPr>
        <w:t xml:space="preserve"> with </w:t>
      </w:r>
      <w:r w:rsidRPr="00600821">
        <w:rPr>
          <w:rFonts w:ascii="Arial" w:hAnsi="Arial" w:cs="Arial"/>
          <w:sz w:val="20"/>
          <w:szCs w:val="20"/>
        </w:rPr>
        <w:t>documentary evidence of such approvals</w:t>
      </w:r>
      <w:r>
        <w:rPr>
          <w:rFonts w:ascii="Arial" w:hAnsi="Arial" w:cs="Arial"/>
          <w:sz w:val="20"/>
          <w:szCs w:val="20"/>
        </w:rPr>
        <w:t xml:space="preserve">, and </w:t>
      </w:r>
      <w:r w:rsidR="00FF70F3">
        <w:rPr>
          <w:rFonts w:ascii="Arial" w:hAnsi="Arial" w:cs="Arial"/>
          <w:sz w:val="20"/>
          <w:szCs w:val="20"/>
        </w:rPr>
        <w:t>DELWP</w:t>
      </w:r>
      <w:r>
        <w:rPr>
          <w:rFonts w:ascii="Arial" w:hAnsi="Arial" w:cs="Arial"/>
          <w:sz w:val="20"/>
          <w:szCs w:val="20"/>
        </w:rPr>
        <w:t xml:space="preserve"> may refuse access if evidence of relevant approvals cannot be provided</w:t>
      </w:r>
      <w:r w:rsidRPr="00600821">
        <w:rPr>
          <w:rFonts w:ascii="Arial" w:hAnsi="Arial" w:cs="Arial"/>
          <w:sz w:val="20"/>
          <w:szCs w:val="20"/>
        </w:rPr>
        <w:t>.</w:t>
      </w:r>
    </w:p>
    <w:p w:rsidR="00C32ADD" w:rsidRPr="00600821" w:rsidRDefault="00C32ADD" w:rsidP="00A816FB">
      <w:pPr>
        <w:rPr>
          <w:rFonts w:ascii="Arial" w:hAnsi="Arial" w:cs="Arial"/>
          <w:sz w:val="20"/>
          <w:szCs w:val="20"/>
        </w:rPr>
      </w:pPr>
    </w:p>
    <w:p w:rsidR="00C32ADD" w:rsidRPr="00600821" w:rsidRDefault="00C32ADD" w:rsidP="00A816F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Timing</w:t>
      </w:r>
    </w:p>
    <w:p w:rsidR="00C32ADD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 is only permitted in the approved access period.</w:t>
      </w:r>
    </w:p>
    <w:p w:rsidR="00C32ADD" w:rsidRPr="00600821" w:rsidRDefault="00C32ADD" w:rsidP="00A816F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Access must fit in with the ongoing requirements for any </w:t>
      </w:r>
      <w:r w:rsidR="00FF70F3">
        <w:rPr>
          <w:rFonts w:ascii="Arial" w:hAnsi="Arial" w:cs="Arial"/>
          <w:sz w:val="20"/>
          <w:szCs w:val="20"/>
        </w:rPr>
        <w:t>DELWP</w:t>
      </w:r>
      <w:r>
        <w:rPr>
          <w:rFonts w:ascii="Arial" w:hAnsi="Arial" w:cs="Arial"/>
          <w:sz w:val="20"/>
          <w:szCs w:val="20"/>
        </w:rPr>
        <w:t xml:space="preserve"> and RWA monitoring activities at the relevant Bore (s).</w:t>
      </w:r>
    </w:p>
    <w:p w:rsidR="00C32ADD" w:rsidRPr="00600821" w:rsidRDefault="00C32ADD" w:rsidP="00A816FB">
      <w:pPr>
        <w:rPr>
          <w:rFonts w:ascii="Arial" w:hAnsi="Arial" w:cs="Arial"/>
          <w:sz w:val="20"/>
          <w:szCs w:val="20"/>
        </w:rPr>
      </w:pPr>
    </w:p>
    <w:p w:rsidR="00C32ADD" w:rsidRPr="00600821" w:rsidRDefault="00C32ADD" w:rsidP="00A816FB">
      <w:pPr>
        <w:rPr>
          <w:rFonts w:ascii="Arial" w:hAnsi="Arial" w:cs="Arial"/>
          <w:b/>
          <w:sz w:val="20"/>
          <w:szCs w:val="20"/>
        </w:rPr>
      </w:pPr>
      <w:r w:rsidRPr="00600821">
        <w:rPr>
          <w:rFonts w:ascii="Arial" w:hAnsi="Arial" w:cs="Arial"/>
          <w:b/>
          <w:sz w:val="20"/>
          <w:szCs w:val="20"/>
        </w:rPr>
        <w:lastRenderedPageBreak/>
        <w:t>Removal of Access Approval</w:t>
      </w:r>
    </w:p>
    <w:p w:rsidR="00C32ADD" w:rsidRDefault="00C32ADD" w:rsidP="009D79B1">
      <w:pPr>
        <w:numPr>
          <w:ilvl w:val="0"/>
          <w:numId w:val="1"/>
        </w:numPr>
        <w:spacing w:after="0" w:line="240" w:lineRule="auto"/>
      </w:pPr>
      <w:r w:rsidRPr="003D0966">
        <w:rPr>
          <w:rFonts w:ascii="Arial" w:hAnsi="Arial" w:cs="Arial"/>
          <w:sz w:val="20"/>
          <w:szCs w:val="20"/>
        </w:rPr>
        <w:t xml:space="preserve">This Access Authority is issued pursuant to the Minister’s powers under section 33A.  It creates no </w:t>
      </w:r>
      <w:r>
        <w:rPr>
          <w:rFonts w:ascii="Arial" w:hAnsi="Arial" w:cs="Arial"/>
          <w:sz w:val="20"/>
          <w:szCs w:val="20"/>
        </w:rPr>
        <w:t xml:space="preserve">formal </w:t>
      </w:r>
      <w:r w:rsidRPr="003D0966">
        <w:rPr>
          <w:rFonts w:ascii="Arial" w:hAnsi="Arial" w:cs="Arial"/>
          <w:sz w:val="20"/>
          <w:szCs w:val="20"/>
        </w:rPr>
        <w:t xml:space="preserve">right of access in the applicant.  The Minister may, at any time and for any reason, withdraw the Access Authority and </w:t>
      </w:r>
      <w:r>
        <w:rPr>
          <w:rFonts w:ascii="Arial" w:hAnsi="Arial" w:cs="Arial"/>
          <w:sz w:val="20"/>
          <w:szCs w:val="20"/>
        </w:rPr>
        <w:t xml:space="preserve">in that event </w:t>
      </w:r>
      <w:r w:rsidRPr="003D0966">
        <w:rPr>
          <w:rFonts w:ascii="Arial" w:hAnsi="Arial" w:cs="Arial"/>
          <w:sz w:val="20"/>
          <w:szCs w:val="20"/>
        </w:rPr>
        <w:t>will advise the Applicant in writing of such a withdrawal as soon as possible.</w:t>
      </w:r>
    </w:p>
    <w:p w:rsidR="00C32ADD" w:rsidRDefault="00C32ADD" w:rsidP="009D79B1"/>
    <w:p w:rsidR="00C32ADD" w:rsidRPr="009D79B1" w:rsidRDefault="00C32ADD" w:rsidP="009D79B1"/>
    <w:sectPr w:rsidR="00C32ADD" w:rsidRPr="009D79B1" w:rsidSect="008F6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97C"/>
    <w:multiLevelType w:val="hybridMultilevel"/>
    <w:tmpl w:val="7E96D9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B1"/>
    <w:rsid w:val="000512AC"/>
    <w:rsid w:val="00080651"/>
    <w:rsid w:val="000A1172"/>
    <w:rsid w:val="00237E5D"/>
    <w:rsid w:val="00282295"/>
    <w:rsid w:val="00325575"/>
    <w:rsid w:val="003430BC"/>
    <w:rsid w:val="003D0966"/>
    <w:rsid w:val="003D0CE3"/>
    <w:rsid w:val="0040245D"/>
    <w:rsid w:val="00482DBE"/>
    <w:rsid w:val="004B11B0"/>
    <w:rsid w:val="004C6CB4"/>
    <w:rsid w:val="005C3939"/>
    <w:rsid w:val="00600821"/>
    <w:rsid w:val="00693406"/>
    <w:rsid w:val="007001F4"/>
    <w:rsid w:val="008420DB"/>
    <w:rsid w:val="008F60A6"/>
    <w:rsid w:val="009D79B1"/>
    <w:rsid w:val="00A52902"/>
    <w:rsid w:val="00A816FB"/>
    <w:rsid w:val="00B21D57"/>
    <w:rsid w:val="00B55A12"/>
    <w:rsid w:val="00C05369"/>
    <w:rsid w:val="00C32ADD"/>
    <w:rsid w:val="00CF4FD2"/>
    <w:rsid w:val="00D17FFA"/>
    <w:rsid w:val="00D35DF3"/>
    <w:rsid w:val="00DA5C29"/>
    <w:rsid w:val="00DE44EA"/>
    <w:rsid w:val="00DE55F3"/>
    <w:rsid w:val="00E01957"/>
    <w:rsid w:val="00FA4D25"/>
    <w:rsid w:val="00FD1AD9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255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557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5575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2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255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5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557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5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5575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2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916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Observation Bore Network – access authority</vt:lpstr>
    </vt:vector>
  </TitlesOfParts>
  <Company>CenITex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Observation Bore Network – access authority</dc:title>
  <dc:creator>Christopher Stafford</dc:creator>
  <cp:lastModifiedBy>Emma Davidson</cp:lastModifiedBy>
  <cp:revision>4</cp:revision>
  <cp:lastPrinted>2013-05-12T23:13:00Z</cp:lastPrinted>
  <dcterms:created xsi:type="dcterms:W3CDTF">2015-02-25T05:15:00Z</dcterms:created>
  <dcterms:modified xsi:type="dcterms:W3CDTF">2015-03-12T05:11:00Z</dcterms:modified>
</cp:coreProperties>
</file>