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6403" w14:textId="38C8F741" w:rsidR="007968FE" w:rsidRPr="00FA167E" w:rsidRDefault="007A6EA5" w:rsidP="00AA4B38">
      <w:pPr>
        <w:pStyle w:val="Title"/>
        <w:rPr>
          <w:lang w:val="en-AU"/>
        </w:rPr>
      </w:pPr>
      <w:r w:rsidRPr="00FA167E">
        <w:rPr>
          <w:lang w:val="en-AU"/>
        </w:rPr>
        <w:t>What is the Sustainable Yield Assessment?</w:t>
      </w:r>
    </w:p>
    <w:p w14:paraId="16D0C447" w14:textId="52565416" w:rsidR="00AA4B38" w:rsidRPr="00FA167E" w:rsidRDefault="00AA4B38" w:rsidP="006B6AEA">
      <w:pPr>
        <w:pStyle w:val="Subtitle"/>
        <w:spacing w:before="0" w:after="360"/>
      </w:pPr>
      <w:r w:rsidRPr="00FA167E">
        <w:t>Sustainable Yield Assessment Fact Sheet</w:t>
      </w:r>
    </w:p>
    <w:p w14:paraId="17D8A226" w14:textId="550620FA" w:rsidR="005D48B0" w:rsidRPr="00FA167E" w:rsidRDefault="007A6EA5" w:rsidP="006B6AEA">
      <w:pPr>
        <w:pStyle w:val="Introductoryparagraph"/>
        <w:ind w:right="-285"/>
        <w:rPr>
          <w:lang w:val="en-AU"/>
        </w:rPr>
      </w:pPr>
      <w:r w:rsidRPr="00FA167E">
        <w:rPr>
          <w:lang w:val="en-AU"/>
        </w:rPr>
        <w:t>The Sustainable Yield Assessment provides important information to water managers and users, improving transparency and a shared understanding. It will enable more informed and adaptive decision making to support sustainable groundwater use, where reliability of supply and groundwater-dependent ecosystems are protected</w:t>
      </w:r>
      <w:r w:rsidR="005D48B0" w:rsidRPr="00FA167E">
        <w:rPr>
          <w:lang w:val="en-AU"/>
        </w:rPr>
        <w:t>.</w:t>
      </w:r>
    </w:p>
    <w:p w14:paraId="03B4A187" w14:textId="46F7832F" w:rsidR="007A6EA5" w:rsidRPr="00FA167E" w:rsidRDefault="007A6EA5" w:rsidP="00384898">
      <w:pPr>
        <w:pStyle w:val="BodyText"/>
        <w:ind w:right="-285"/>
        <w:rPr>
          <w:lang w:val="en-AU"/>
        </w:rPr>
      </w:pPr>
      <w:r w:rsidRPr="00FA167E">
        <w:rPr>
          <w:lang w:val="en-AU"/>
        </w:rPr>
        <w:t>It is a consistent way to assess the risk from licensed groundwater extraction across the state, which means we can focus our efforts where they matter most, checking whether current management is working and, where needed, exploring other ways to manage the</w:t>
      </w:r>
      <w:r w:rsidR="00384898" w:rsidRPr="00FA167E">
        <w:rPr>
          <w:lang w:val="en-AU"/>
        </w:rPr>
        <w:t xml:space="preserve"> </w:t>
      </w:r>
      <w:r w:rsidRPr="00FA167E">
        <w:rPr>
          <w:lang w:val="en-AU"/>
        </w:rPr>
        <w:t>risk.</w:t>
      </w:r>
    </w:p>
    <w:p w14:paraId="43A57197" w14:textId="77777777" w:rsidR="007A6EA5" w:rsidRPr="00FA167E" w:rsidRDefault="007A6EA5" w:rsidP="007A6EA5">
      <w:pPr>
        <w:pStyle w:val="Heading1"/>
        <w:rPr>
          <w:lang w:val="en-AU"/>
        </w:rPr>
      </w:pPr>
      <w:r w:rsidRPr="00FA167E">
        <w:rPr>
          <w:lang w:val="en-AU"/>
        </w:rPr>
        <w:t>What is the Sustainable Yield Assessment?</w:t>
      </w:r>
    </w:p>
    <w:p w14:paraId="3D037483" w14:textId="77777777" w:rsidR="007A6EA5" w:rsidRPr="00FA167E" w:rsidRDefault="007A6EA5" w:rsidP="007A6EA5">
      <w:pPr>
        <w:pStyle w:val="BodyText"/>
        <w:rPr>
          <w:lang w:val="en-AU"/>
        </w:rPr>
      </w:pPr>
      <w:r w:rsidRPr="00FA167E">
        <w:rPr>
          <w:lang w:val="en-AU"/>
        </w:rPr>
        <w:t>The Sustainable Yield Assessment is an innovative approach with a strong technical underpinning that has been successfully trialled in Victorian groundwater systems, drawing on more than 50 years of groundwater level monitoring data.</w:t>
      </w:r>
    </w:p>
    <w:p w14:paraId="4899AA71" w14:textId="77777777" w:rsidR="007A6EA5" w:rsidRPr="00FA167E" w:rsidRDefault="007A6EA5" w:rsidP="007A6EA5">
      <w:pPr>
        <w:pStyle w:val="BodyText"/>
        <w:rPr>
          <w:lang w:val="en-AU"/>
        </w:rPr>
      </w:pPr>
      <w:r w:rsidRPr="00FA167E">
        <w:rPr>
          <w:lang w:val="en-AU"/>
        </w:rPr>
        <w:t>It uses cost-effective, measurable parameters and it is easily repeatable so it can support adaptive management.</w:t>
      </w:r>
    </w:p>
    <w:p w14:paraId="4A2C9D9F" w14:textId="77777777" w:rsidR="007A6EA5" w:rsidRPr="00FA167E" w:rsidRDefault="007A6EA5" w:rsidP="007A6EA5">
      <w:pPr>
        <w:pStyle w:val="BodyText"/>
        <w:rPr>
          <w:lang w:val="en-AU"/>
        </w:rPr>
      </w:pPr>
      <w:r w:rsidRPr="00FA167E">
        <w:rPr>
          <w:lang w:val="en-AU"/>
        </w:rPr>
        <w:t>It is a simple but consistent way of comparing groundwater use against the sustainable yield to assess the relative risk in every groundwater system state-wide. This approach improves our shared understanding to inform sustainable groundwater management.</w:t>
      </w:r>
    </w:p>
    <w:p w14:paraId="1EB8EFFE" w14:textId="085644F8" w:rsidR="00B7503C" w:rsidRPr="00FA167E" w:rsidRDefault="007A6EA5" w:rsidP="0013049A">
      <w:pPr>
        <w:pStyle w:val="BodyText"/>
        <w:rPr>
          <w:lang w:val="en-AU"/>
        </w:rPr>
      </w:pPr>
      <w:r w:rsidRPr="00FA167E">
        <w:rPr>
          <w:lang w:val="en-AU"/>
        </w:rPr>
        <w:lastRenderedPageBreak/>
        <w:t xml:space="preserve">This is the first time DEECA has done an assessment of the impact of extraction on groundwater levels across all of Victoria and it has included assessment of over </w:t>
      </w:r>
      <w:r w:rsidR="00094AE5">
        <w:rPr>
          <w:lang w:val="en-AU"/>
        </w:rPr>
        <w:t>10</w:t>
      </w:r>
      <w:r w:rsidRPr="00FA167E">
        <w:rPr>
          <w:lang w:val="en-AU"/>
        </w:rPr>
        <w:t>00 groundwater systems.</w:t>
      </w:r>
    </w:p>
    <w:p w14:paraId="780064BE" w14:textId="6FA4C225" w:rsidR="007A6EA5" w:rsidRPr="00FA167E" w:rsidRDefault="007A6EA5" w:rsidP="0013049A">
      <w:pPr>
        <w:pStyle w:val="Normalbeforebullets"/>
        <w:spacing w:after="240"/>
      </w:pPr>
      <w:r w:rsidRPr="00FA167E">
        <w:t>The Sustainable Yield Assessment uses monitoring data and historic use volumes, as well as climate change scenarios, to estimate the volume of groundwater that can be extracted while limiting drawdown to:</w:t>
      </w:r>
    </w:p>
    <w:p w14:paraId="4225C116" w14:textId="17D2FF31" w:rsidR="007A6EA5" w:rsidRPr="00FA167E" w:rsidRDefault="007A6EA5" w:rsidP="003C56BE">
      <w:pPr>
        <w:pStyle w:val="ListBullet"/>
        <w:rPr>
          <w:lang w:val="en-AU"/>
        </w:rPr>
      </w:pPr>
      <w:r w:rsidRPr="00FA167E">
        <w:rPr>
          <w:lang w:val="en-AU"/>
        </w:rPr>
        <w:t>2 metres in unconfined systems which are shallow and more connecting to the surface environment; and,</w:t>
      </w:r>
    </w:p>
    <w:p w14:paraId="7FE24205" w14:textId="77777777" w:rsidR="00B7503C" w:rsidRDefault="007A6EA5" w:rsidP="0013049A">
      <w:pPr>
        <w:pStyle w:val="ListBullet"/>
        <w:spacing w:after="240"/>
        <w:rPr>
          <w:lang w:val="en-AU"/>
        </w:rPr>
      </w:pPr>
      <w:r w:rsidRPr="00FA167E">
        <w:rPr>
          <w:lang w:val="en-AU"/>
        </w:rPr>
        <w:t>10 metres in confined systems, which are much deeper and have little connection to the surface environment.</w:t>
      </w:r>
    </w:p>
    <w:p w14:paraId="57AAEC46" w14:textId="1023F4C0" w:rsidR="00094AE5" w:rsidRPr="00094AE5" w:rsidRDefault="00094AE5" w:rsidP="00094AE5">
      <w:pPr>
        <w:pStyle w:val="BodyText"/>
      </w:pPr>
      <w:r w:rsidRPr="00FA167E">
        <w:t xml:space="preserve">These drawdown limits may not be appropriate for all </w:t>
      </w:r>
      <w:proofErr w:type="gramStart"/>
      <w:r w:rsidRPr="00FA167E">
        <w:t>systems,</w:t>
      </w:r>
      <w:proofErr w:type="gramEnd"/>
      <w:r w:rsidRPr="00FA167E">
        <w:t xml:space="preserve"> however they provide a consistent statewide starting point to understand risk.</w:t>
      </w:r>
    </w:p>
    <w:p w14:paraId="25C05F00" w14:textId="37DBA1FD" w:rsidR="007A6EA5" w:rsidRPr="00FA167E" w:rsidRDefault="007A6EA5" w:rsidP="0013049A">
      <w:pPr>
        <w:pStyle w:val="Heading2"/>
        <w:spacing w:after="360"/>
        <w:rPr>
          <w:lang w:val="en-AU"/>
        </w:rPr>
      </w:pPr>
      <w:r w:rsidRPr="00FA167E">
        <w:rPr>
          <w:lang w:val="en-AU"/>
        </w:rPr>
        <w:t>What is drawdown?</w:t>
      </w:r>
    </w:p>
    <w:p w14:paraId="600936C6" w14:textId="77777777" w:rsidR="007A6EA5" w:rsidRPr="00FA167E" w:rsidRDefault="007A6EA5" w:rsidP="0013049A">
      <w:pPr>
        <w:pStyle w:val="BodyText"/>
        <w:spacing w:after="360"/>
        <w:rPr>
          <w:lang w:val="en-AU"/>
        </w:rPr>
      </w:pPr>
      <w:r w:rsidRPr="00FA167E">
        <w:rPr>
          <w:lang w:val="en-AU"/>
        </w:rPr>
        <w:t xml:space="preserve">Drawdown is the drop in groundwater levels when water is pumped out or naturally flows away. Drawdown is a natural part of the water </w:t>
      </w:r>
      <w:proofErr w:type="gramStart"/>
      <w:r w:rsidRPr="00FA167E">
        <w:rPr>
          <w:lang w:val="en-AU"/>
        </w:rPr>
        <w:t>cycle</w:t>
      </w:r>
      <w:proofErr w:type="gramEnd"/>
      <w:r w:rsidRPr="00FA167E">
        <w:rPr>
          <w:lang w:val="en-AU"/>
        </w:rPr>
        <w:t xml:space="preserve"> and it is normal to see groundwater levels fluctuate seasonally, especially in unconfined systems. However, excessive or ongoing drawdown can increase risks to other users, surface water systems and groundwater-dependent ecosystems.</w:t>
      </w:r>
    </w:p>
    <w:p w14:paraId="793768E7" w14:textId="77777777" w:rsidR="0013049A" w:rsidRPr="00FA167E" w:rsidRDefault="0013049A" w:rsidP="0013049A">
      <w:pPr>
        <w:pStyle w:val="Caption"/>
        <w:keepNext/>
      </w:pPr>
      <w:r w:rsidRPr="00FA167E">
        <w:lastRenderedPageBreak/>
        <w:t xml:space="preserve">Figure </w:t>
      </w:r>
      <w:fldSimple w:instr=" SEQ Figure \* ARABIC ">
        <w:r w:rsidRPr="00FA167E">
          <w:t>1</w:t>
        </w:r>
      </w:fldSimple>
      <w:r w:rsidRPr="00FA167E">
        <w:t xml:space="preserve">: </w:t>
      </w:r>
      <w:r w:rsidRPr="00FA167E">
        <w:rPr>
          <w:b w:val="0"/>
          <w:bCs/>
        </w:rPr>
        <w:t>The</w:t>
      </w:r>
      <w:r w:rsidRPr="00FA167E">
        <w:t xml:space="preserve"> </w:t>
      </w:r>
      <w:r w:rsidRPr="00FA167E">
        <w:rPr>
          <w:b w:val="0"/>
          <w:bCs/>
        </w:rPr>
        <w:t>Drawdown effect on groundwater levels</w:t>
      </w:r>
    </w:p>
    <w:p w14:paraId="00F95B7D" w14:textId="76988DDD" w:rsidR="0013049A" w:rsidRPr="00FA167E" w:rsidRDefault="0013049A" w:rsidP="0013049A">
      <w:pPr>
        <w:pStyle w:val="BodyText"/>
        <w:jc w:val="center"/>
        <w:rPr>
          <w:lang w:val="en-AU"/>
        </w:rPr>
      </w:pPr>
      <w:r w:rsidRPr="00FA167E">
        <w:rPr>
          <w:noProof/>
          <w:lang w:val="en-AU"/>
        </w:rPr>
        <w:drawing>
          <wp:inline distT="0" distB="0" distL="0" distR="0" wp14:anchorId="38B03542" wp14:editId="4B657342">
            <wp:extent cx="4648200" cy="3673308"/>
            <wp:effectExtent l="0" t="0" r="0" b="0"/>
            <wp:docPr id="1047537535" name="Picture 1" descr="Diagram illustrating groundwater drawdown caused by pumping. A cross-section of land shows the ground surface with farms and vegetation above an unconfined aquifer. Two groundwater bores extend down into the aquifer. Around each bore, the groundwater level curves downward, forming cone-shaped depressions that show drawdown where water is being extracted. The lowered water level is greatest near each bore and gradually rises further away. Beneath the aquifer is solid bedrock. The diagram demonstrates how pumping or natural groundwater movement can lower groundwater levels locally and affect surround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37535" name="Picture 1" descr="Diagram illustrating groundwater drawdown caused by pumping. A cross-section of land shows the ground surface with farms and vegetation above an unconfined aquifer. Two groundwater bores extend down into the aquifer. Around each bore, the groundwater level curves downward, forming cone-shaped depressions that show drawdown where water is being extracted. The lowered water level is greatest near each bore and gradually rises further away. Beneath the aquifer is solid bedrock. The diagram demonstrates how pumping or natural groundwater movement can lower groundwater levels locally and affect surrounding areas."/>
                    <pic:cNvPicPr/>
                  </pic:nvPicPr>
                  <pic:blipFill rotWithShape="1">
                    <a:blip r:embed="rId8"/>
                    <a:srcRect t="7893" b="20900"/>
                    <a:stretch>
                      <a:fillRect/>
                    </a:stretch>
                  </pic:blipFill>
                  <pic:spPr bwMode="auto">
                    <a:xfrm>
                      <a:off x="0" y="0"/>
                      <a:ext cx="4887959" cy="3862781"/>
                    </a:xfrm>
                    <a:prstGeom prst="rect">
                      <a:avLst/>
                    </a:prstGeom>
                    <a:ln>
                      <a:noFill/>
                    </a:ln>
                    <a:extLst>
                      <a:ext uri="{53640926-AAD7-44D8-BBD7-CCE9431645EC}">
                        <a14:shadowObscured xmlns:a14="http://schemas.microsoft.com/office/drawing/2010/main"/>
                      </a:ext>
                    </a:extLst>
                  </pic:spPr>
                </pic:pic>
              </a:graphicData>
            </a:graphic>
          </wp:inline>
        </w:drawing>
      </w:r>
    </w:p>
    <w:p w14:paraId="028A3058" w14:textId="77777777" w:rsidR="00B7503C" w:rsidRPr="00FA167E" w:rsidRDefault="007A6EA5" w:rsidP="007A6EA5">
      <w:pPr>
        <w:pStyle w:val="Heading1"/>
        <w:rPr>
          <w:lang w:val="en-AU"/>
        </w:rPr>
      </w:pPr>
      <w:r w:rsidRPr="00FA167E">
        <w:rPr>
          <w:lang w:val="en-AU"/>
        </w:rPr>
        <w:t>Why did we do the Sustainable Yield Assessment?</w:t>
      </w:r>
    </w:p>
    <w:p w14:paraId="7AB17AC6" w14:textId="66A928AC" w:rsidR="007A6EA5" w:rsidRPr="00FA167E" w:rsidRDefault="007A6EA5" w:rsidP="007A6EA5">
      <w:pPr>
        <w:pStyle w:val="BodyText"/>
        <w:rPr>
          <w:lang w:val="en-AU"/>
        </w:rPr>
      </w:pPr>
      <w:r w:rsidRPr="00FA167E">
        <w:rPr>
          <w:lang w:val="en-AU"/>
        </w:rPr>
        <w:t>We know water users are already facing challenges as they face drying conditions and there is a growing interest in access to groundwater. We are responding to emerging challenges, such as climate change, while also exploring new opportunities, including the growing interest in utilising saline groundwater. This makes it even more important to ensure management decisions are based on the best available information.</w:t>
      </w:r>
    </w:p>
    <w:p w14:paraId="05BFFF1C" w14:textId="77777777" w:rsidR="007A6EA5" w:rsidRPr="00FA167E" w:rsidRDefault="007A6EA5" w:rsidP="007A6EA5">
      <w:pPr>
        <w:pStyle w:val="BodyText"/>
        <w:rPr>
          <w:lang w:val="en-AU"/>
        </w:rPr>
      </w:pPr>
      <w:r w:rsidRPr="00FA167E">
        <w:rPr>
          <w:lang w:val="en-AU"/>
        </w:rPr>
        <w:t>A range of parameters are used to calculate the volume of available groundwater in groundwater systems. Complex numerical models often provide a more complete picture, but they require long lead times, as well as comprehensive and expensive data sets. These models are costly and take years to develop and keep updated, so they are only available for high-use systems in some parts of the state.</w:t>
      </w:r>
    </w:p>
    <w:p w14:paraId="206EBF59" w14:textId="77777777" w:rsidR="00B7503C" w:rsidRPr="00FA167E" w:rsidRDefault="007A6EA5" w:rsidP="007A6EA5">
      <w:pPr>
        <w:pStyle w:val="BodyText"/>
        <w:rPr>
          <w:lang w:val="en-AU"/>
        </w:rPr>
      </w:pPr>
      <w:r w:rsidRPr="00FA167E">
        <w:rPr>
          <w:lang w:val="en-AU"/>
        </w:rPr>
        <w:t xml:space="preserve">Additionally, most groundwater entitlement caps were set nearly 20 years ago, based on the volume of licences on issue at the time and limited technical information. The </w:t>
      </w:r>
      <w:r w:rsidRPr="00FA167E">
        <w:rPr>
          <w:lang w:val="en-AU"/>
        </w:rPr>
        <w:lastRenderedPageBreak/>
        <w:t>Sustainable Yield Assessment uses the information gathered over the past 20 years to provide a cost effective, and generic method that can be applied statewide and helps us to understand where risk may need to be more effectively managed, especially in the context of climate change.</w:t>
      </w:r>
    </w:p>
    <w:p w14:paraId="0DE4C045" w14:textId="77777777" w:rsidR="00B7503C" w:rsidRPr="00FA167E" w:rsidRDefault="007A6EA5" w:rsidP="007A6EA5">
      <w:pPr>
        <w:pStyle w:val="BodyText"/>
        <w:rPr>
          <w:lang w:val="en-AU"/>
        </w:rPr>
      </w:pPr>
      <w:r w:rsidRPr="00FA167E">
        <w:rPr>
          <w:lang w:val="en-AU"/>
        </w:rPr>
        <w:t>Currently, groundwater use across the state is only around 35% of licensed entitlements, however, increased licensed use could put future sustainability and reliability of groundwater at risk. It is therefore important we use the best available information now to ensure we can manage groundwater sustainably into the future, before we see unacceptable levels of groundwater drawdown.</w:t>
      </w:r>
    </w:p>
    <w:p w14:paraId="6CBD6653" w14:textId="53AF79E9" w:rsidR="007A6EA5" w:rsidRPr="00FA167E" w:rsidRDefault="007A6EA5" w:rsidP="007A6EA5">
      <w:pPr>
        <w:pStyle w:val="Heading1"/>
        <w:rPr>
          <w:lang w:val="en-AU"/>
        </w:rPr>
      </w:pPr>
      <w:r w:rsidRPr="00FA167E">
        <w:rPr>
          <w:lang w:val="en-AU"/>
        </w:rPr>
        <w:t>What did the Sustainable Yield Assessment find?</w:t>
      </w:r>
    </w:p>
    <w:p w14:paraId="66C49A46" w14:textId="77777777" w:rsidR="00B7503C" w:rsidRPr="00FA167E" w:rsidRDefault="007A6EA5" w:rsidP="007A6EA5">
      <w:pPr>
        <w:pStyle w:val="BodyText"/>
        <w:rPr>
          <w:lang w:val="en-AU"/>
        </w:rPr>
      </w:pPr>
      <w:r w:rsidRPr="00FA167E">
        <w:rPr>
          <w:lang w:val="en-AU"/>
        </w:rPr>
        <w:t>The Sustainable Yield Assessment found that in most groundwater systems, the volume of use is lower than the sustainable yield volume, which means most systems are not currently at risk.</w:t>
      </w:r>
    </w:p>
    <w:p w14:paraId="25B2EBEE" w14:textId="77777777" w:rsidR="00B7503C" w:rsidRPr="00FA167E" w:rsidRDefault="007A6EA5" w:rsidP="007A6EA5">
      <w:pPr>
        <w:pStyle w:val="BodyText"/>
        <w:rPr>
          <w:lang w:val="en-AU"/>
        </w:rPr>
      </w:pPr>
      <w:r w:rsidRPr="00FA167E">
        <w:rPr>
          <w:lang w:val="en-AU"/>
        </w:rPr>
        <w:t>There are a small number of systems where use is at, or above, the sustainable yield estimate. The Sustainable Yield Assessment found that ‘at risk’ systems are already well understood locally and being actively managed effectively by groundwater managers using existing management tools.</w:t>
      </w:r>
    </w:p>
    <w:p w14:paraId="68349C65" w14:textId="1F5F4A52" w:rsidR="007A6EA5" w:rsidRPr="00FA167E" w:rsidRDefault="007A6EA5" w:rsidP="007A6EA5">
      <w:pPr>
        <w:pStyle w:val="BodyText"/>
        <w:rPr>
          <w:lang w:val="en-AU"/>
        </w:rPr>
      </w:pPr>
      <w:r w:rsidRPr="00FA167E">
        <w:rPr>
          <w:lang w:val="en-AU"/>
        </w:rPr>
        <w:t xml:space="preserve">The Sustainable Yield Assessment also identifies systems which, while not at any immediate risk, may be at risk in the future </w:t>
      </w:r>
      <w:proofErr w:type="gramStart"/>
      <w:r w:rsidRPr="00FA167E">
        <w:rPr>
          <w:lang w:val="en-AU"/>
        </w:rPr>
        <w:t>as a result of</w:t>
      </w:r>
      <w:proofErr w:type="gramEnd"/>
      <w:r w:rsidRPr="00FA167E">
        <w:rPr>
          <w:lang w:val="en-AU"/>
        </w:rPr>
        <w:t xml:space="preserve"> increased legal use and climate impacts.</w:t>
      </w:r>
    </w:p>
    <w:p w14:paraId="3252F4CA" w14:textId="77777777" w:rsidR="00B7503C" w:rsidRPr="00FA167E" w:rsidRDefault="007A6EA5" w:rsidP="007A6EA5">
      <w:pPr>
        <w:pStyle w:val="Heading1"/>
        <w:rPr>
          <w:lang w:val="en-AU"/>
        </w:rPr>
      </w:pPr>
      <w:r w:rsidRPr="00FA167E">
        <w:rPr>
          <w:lang w:val="en-AU"/>
        </w:rPr>
        <w:lastRenderedPageBreak/>
        <w:t>How did we ensure the assessment was technically robust?</w:t>
      </w:r>
    </w:p>
    <w:p w14:paraId="2D47405E" w14:textId="5C11CF84" w:rsidR="007A6EA5" w:rsidRPr="00FA167E" w:rsidRDefault="007A6EA5" w:rsidP="007A6EA5">
      <w:pPr>
        <w:pStyle w:val="BodyText"/>
        <w:rPr>
          <w:lang w:val="en-AU"/>
        </w:rPr>
      </w:pPr>
      <w:r w:rsidRPr="00FA167E">
        <w:rPr>
          <w:lang w:val="en-AU"/>
        </w:rPr>
        <w:t>An Independent Technical Review Panel (ITRP) provided an external check on the Sustainable Yield Assessment, giving confidence in the technical quality and suitability of the work. The ITRP concluded that the Sustainable Yield Assessment is a significant achievement for groundwater management in Victoria and provides a robust, science-based foundation to identify sustainability risks, inform future management decisions, guide adaptive restrictions on use and support the review of entitlement caps.</w:t>
      </w:r>
    </w:p>
    <w:p w14:paraId="0ED3C3DC" w14:textId="217D1205" w:rsidR="008F4C10" w:rsidRPr="00FA167E" w:rsidRDefault="007A6EA5" w:rsidP="007A6EA5">
      <w:pPr>
        <w:pStyle w:val="BodyText"/>
        <w:rPr>
          <w:lang w:val="en-AU"/>
        </w:rPr>
      </w:pPr>
      <w:r w:rsidRPr="00FA167E">
        <w:rPr>
          <w:lang w:val="en-AU"/>
        </w:rPr>
        <w:t>Find out more about how the Sustainable Yield Assessment will be used below</w:t>
      </w:r>
    </w:p>
    <w:p w14:paraId="5795014F" w14:textId="46C50168" w:rsidR="00565CF7" w:rsidRPr="00FA167E" w:rsidRDefault="00565CF7" w:rsidP="007D459F">
      <w:pPr>
        <w:pStyle w:val="Heading1"/>
        <w:rPr>
          <w:lang w:val="en-AU"/>
        </w:rPr>
      </w:pPr>
      <w:r w:rsidRPr="00FA167E">
        <w:rPr>
          <w:lang w:val="en-AU"/>
        </w:rPr>
        <w:t>Additional information:</w:t>
      </w:r>
    </w:p>
    <w:p w14:paraId="58E28475" w14:textId="6E9C7F20" w:rsidR="007A6EA5" w:rsidRPr="00FA167E" w:rsidRDefault="007A6EA5" w:rsidP="007A6EA5">
      <w:pPr>
        <w:pStyle w:val="HightlightBox"/>
        <w:numPr>
          <w:ilvl w:val="0"/>
          <w:numId w:val="57"/>
        </w:numPr>
        <w:spacing w:after="120"/>
        <w:ind w:left="567" w:hanging="283"/>
        <w:rPr>
          <w:rFonts w:ascii="VIC" w:hAnsi="VIC"/>
          <w:i/>
          <w:iCs/>
        </w:rPr>
      </w:pPr>
      <w:hyperlink r:id="rId9" w:tooltip="Hyperlink to the fact sheet ‘How the Sustainable Yield Assessment be used’ at the Water Victoria website" w:history="1">
        <w:r w:rsidRPr="00FA167E">
          <w:rPr>
            <w:rStyle w:val="Hyperlink"/>
            <w:rFonts w:ascii="VIC" w:hAnsi="VIC"/>
            <w:i/>
            <w:iCs/>
          </w:rPr>
          <w:t>Fact Sheet: How the Sustainable Yield Assessment be used</w:t>
        </w:r>
      </w:hyperlink>
    </w:p>
    <w:p w14:paraId="050066C2" w14:textId="295D0B85" w:rsidR="007A6EA5" w:rsidRPr="00FA167E" w:rsidRDefault="007A6EA5" w:rsidP="007A6EA5">
      <w:pPr>
        <w:pStyle w:val="HightlightBox"/>
        <w:numPr>
          <w:ilvl w:val="0"/>
          <w:numId w:val="57"/>
        </w:numPr>
        <w:spacing w:after="120"/>
        <w:ind w:left="567" w:hanging="283"/>
        <w:rPr>
          <w:rFonts w:ascii="VIC" w:hAnsi="VIC"/>
          <w:i/>
          <w:iCs/>
        </w:rPr>
      </w:pPr>
      <w:r>
        <w:fldChar w:fldCharType="begin"/>
      </w:r>
      <w:r w:rsidR="003473D0">
        <w:instrText>HYPERLINK "https://www.water.vic.gov.au/water-sources/groundwater/groundwater-management-2030/sustainable-yield-assessment/Sustainable-Yield-Assessment-Overview-Report.pdf" \o "Hyperlink to the Sustainable Yield Assessment Overview Report "</w:instrText>
      </w:r>
      <w:r>
        <w:fldChar w:fldCharType="separate"/>
      </w:r>
      <w:r w:rsidRPr="00FA167E">
        <w:rPr>
          <w:rStyle w:val="Hyperlink"/>
          <w:rFonts w:ascii="VIC" w:hAnsi="VIC"/>
          <w:i/>
          <w:iCs/>
        </w:rPr>
        <w:t>Sustainable Yield Assessment Overview Report</w:t>
      </w:r>
      <w:r>
        <w:fldChar w:fldCharType="end"/>
      </w:r>
    </w:p>
    <w:p w14:paraId="7B72C351" w14:textId="794BD580" w:rsidR="007A6EA5" w:rsidRPr="00FA167E" w:rsidRDefault="007A6EA5" w:rsidP="007A6EA5">
      <w:pPr>
        <w:pStyle w:val="HightlightBox"/>
        <w:numPr>
          <w:ilvl w:val="0"/>
          <w:numId w:val="57"/>
        </w:numPr>
        <w:spacing w:after="120"/>
        <w:ind w:left="567" w:hanging="283"/>
        <w:rPr>
          <w:rFonts w:ascii="VIC" w:hAnsi="VIC"/>
          <w:i/>
          <w:iCs/>
          <w:u w:color="0000FF"/>
        </w:rPr>
      </w:pPr>
      <w:r>
        <w:fldChar w:fldCharType="begin"/>
      </w:r>
      <w:r>
        <w:instrText>HYPERLINK "https://www.water.vic.gov.au/water-sources/groundwater/groundwater-management-2030/sustainable-yield-assessment/Fact-Sheet_How-groundwater-is-managed.pdf" \o "Hyperlink to the fact sheet ‘How is groundwater is managed?’"</w:instrText>
      </w:r>
      <w:r>
        <w:fldChar w:fldCharType="separate"/>
      </w:r>
      <w:r w:rsidRPr="00FA167E">
        <w:rPr>
          <w:rStyle w:val="Hyperlink"/>
          <w:rFonts w:ascii="VIC" w:hAnsi="VIC"/>
          <w:i/>
          <w:iCs/>
        </w:rPr>
        <w:t>Fact Sheet: How groundwater is managed</w:t>
      </w:r>
      <w:r>
        <w:fldChar w:fldCharType="end"/>
      </w:r>
    </w:p>
    <w:p w14:paraId="29DF1E93" w14:textId="45CB3B04" w:rsidR="00B7503C" w:rsidRPr="00FA167E" w:rsidRDefault="007A6EA5" w:rsidP="007A6EA5">
      <w:pPr>
        <w:pStyle w:val="HightlightBox"/>
        <w:numPr>
          <w:ilvl w:val="0"/>
          <w:numId w:val="57"/>
        </w:numPr>
        <w:spacing w:after="120"/>
        <w:ind w:left="567" w:hanging="283"/>
        <w:rPr>
          <w:rFonts w:ascii="VIC" w:hAnsi="VIC"/>
          <w:i/>
          <w:iCs/>
        </w:rPr>
      </w:pPr>
      <w:hyperlink r:id="rId10" w:tooltip="Hyperlink to the fact sheet ‘How sustainable yields are calculated’ " w:history="1">
        <w:r w:rsidRPr="00FA167E">
          <w:rPr>
            <w:rStyle w:val="Hyperlink"/>
            <w:rFonts w:ascii="VIC" w:hAnsi="VIC"/>
            <w:i/>
            <w:iCs/>
          </w:rPr>
          <w:t>Fact Sheet: How sustainable yields are calculated</w:t>
        </w:r>
      </w:hyperlink>
    </w:p>
    <w:p w14:paraId="68DEFA79" w14:textId="3385AA32" w:rsidR="00222FF2" w:rsidRPr="00FA167E" w:rsidRDefault="00222FF2" w:rsidP="00885AAB">
      <w:pPr>
        <w:pStyle w:val="Heading1"/>
        <w:pageBreakBefore/>
        <w:rPr>
          <w:lang w:val="en-AU"/>
        </w:rPr>
      </w:pPr>
      <w:bookmarkStart w:id="0" w:name="_Toc184285036"/>
      <w:r w:rsidRPr="00FA167E">
        <w:rPr>
          <w:lang w:val="en-AU"/>
        </w:rPr>
        <w:lastRenderedPageBreak/>
        <w:t>Publication information</w:t>
      </w:r>
      <w:bookmarkEnd w:id="0"/>
    </w:p>
    <w:p w14:paraId="4D3BF0F0" w14:textId="77777777" w:rsidR="00222FF2" w:rsidRPr="00FA167E" w:rsidRDefault="00222FF2" w:rsidP="00ED5B06">
      <w:pPr>
        <w:pStyle w:val="Heading2"/>
        <w:spacing w:before="0" w:after="180"/>
        <w:rPr>
          <w:szCs w:val="32"/>
          <w:lang w:val="en-AU"/>
        </w:rPr>
      </w:pPr>
      <w:r w:rsidRPr="00FA167E">
        <w:rPr>
          <w:szCs w:val="32"/>
          <w:lang w:val="en-AU"/>
        </w:rPr>
        <w:t>Acknowledgements</w:t>
      </w:r>
    </w:p>
    <w:p w14:paraId="0F970021" w14:textId="77777777" w:rsidR="00FF45EB" w:rsidRPr="00FA167E" w:rsidRDefault="00FF45EB" w:rsidP="00FF45EB">
      <w:pPr>
        <w:pStyle w:val="BodyText"/>
        <w:spacing w:after="120"/>
        <w:rPr>
          <w:lang w:val="en-AU"/>
        </w:rPr>
      </w:pPr>
      <w:r w:rsidRPr="00FA167E">
        <w:rPr>
          <w:lang w:val="en-AU"/>
        </w:rPr>
        <w:t>We acknowledge and respect Victorian Traditional Owners as the original custodians of Victoria’s land and waters, their unique ability to care for Country and deep spiritual connection to it.</w:t>
      </w:r>
    </w:p>
    <w:p w14:paraId="2EECBCC5" w14:textId="77777777" w:rsidR="00FF45EB" w:rsidRPr="00FA167E" w:rsidRDefault="00FF45EB" w:rsidP="00FF45EB">
      <w:pPr>
        <w:pStyle w:val="BodyText"/>
        <w:spacing w:after="120"/>
        <w:rPr>
          <w:lang w:val="en-AU"/>
        </w:rPr>
      </w:pPr>
      <w:r w:rsidRPr="00FA167E">
        <w:rPr>
          <w:lang w:val="en-AU"/>
        </w:rPr>
        <w:t xml:space="preserve">We honour Elders past and present whose </w:t>
      </w:r>
      <w:proofErr w:type="gramStart"/>
      <w:r w:rsidRPr="00FA167E">
        <w:rPr>
          <w:lang w:val="en-AU"/>
        </w:rPr>
        <w:t>knowledge</w:t>
      </w:r>
      <w:proofErr w:type="gramEnd"/>
      <w:r w:rsidRPr="00FA167E">
        <w:rPr>
          <w:lang w:val="en-AU"/>
        </w:rPr>
        <w:t xml:space="preserve"> and wisdom has ensured the continuation of culture and traditional practices.</w:t>
      </w:r>
    </w:p>
    <w:p w14:paraId="4B128FAE" w14:textId="77777777" w:rsidR="00222FF2" w:rsidRPr="00FA167E" w:rsidRDefault="00FF45EB" w:rsidP="00C51A83">
      <w:pPr>
        <w:pStyle w:val="BodyText"/>
        <w:spacing w:after="120"/>
        <w:rPr>
          <w:lang w:val="en-AU"/>
        </w:rPr>
      </w:pPr>
      <w:r w:rsidRPr="00FA167E">
        <w:rPr>
          <w:lang w:val="en-AU"/>
        </w:rPr>
        <w:t>DEECA is committed to genuinely partnering with Victorian Traditional Owners and Victoria’s Aboriginal community to progress their aspirations.</w:t>
      </w:r>
    </w:p>
    <w:p w14:paraId="221EF64E" w14:textId="77777777" w:rsidR="00222FF2" w:rsidRPr="00FA167E" w:rsidRDefault="00222FF2" w:rsidP="00ED5B06">
      <w:pPr>
        <w:pStyle w:val="Heading2"/>
        <w:spacing w:before="0" w:after="180"/>
        <w:rPr>
          <w:szCs w:val="32"/>
          <w:lang w:val="en-AU"/>
        </w:rPr>
      </w:pPr>
      <w:r w:rsidRPr="00FA167E">
        <w:rPr>
          <w:szCs w:val="32"/>
          <w:lang w:val="en-AU"/>
        </w:rPr>
        <w:t>Copyright</w:t>
      </w:r>
    </w:p>
    <w:p w14:paraId="18DBDDFD" w14:textId="0CD61043" w:rsidR="00222FF2" w:rsidRPr="00FA167E" w:rsidRDefault="00222FF2" w:rsidP="00C51A83">
      <w:pPr>
        <w:pStyle w:val="BodyText"/>
        <w:spacing w:after="120"/>
        <w:ind w:right="-285"/>
        <w:rPr>
          <w:lang w:val="en-AU"/>
        </w:rPr>
      </w:pPr>
      <w:r w:rsidRPr="00FA167E">
        <w:rPr>
          <w:lang w:val="en-AU"/>
        </w:rPr>
        <w:t>© The State of Victoria Department of Energy, Environment and Climate Action, 202</w:t>
      </w:r>
      <w:r w:rsidR="00AA28B2" w:rsidRPr="00FA167E">
        <w:rPr>
          <w:lang w:val="en-AU"/>
        </w:rPr>
        <w:t>6</w:t>
      </w:r>
      <w:r w:rsidRPr="00FA167E">
        <w:rPr>
          <w:lang w:val="en-AU"/>
        </w:rPr>
        <w:t>.</w:t>
      </w:r>
    </w:p>
    <w:p w14:paraId="45DFE99C" w14:textId="77777777" w:rsidR="00222FF2" w:rsidRPr="00FA167E" w:rsidRDefault="00222FF2" w:rsidP="00ED5B06">
      <w:pPr>
        <w:pStyle w:val="Heading2"/>
        <w:spacing w:before="0" w:after="180"/>
        <w:rPr>
          <w:szCs w:val="32"/>
          <w:lang w:val="en-AU"/>
        </w:rPr>
      </w:pPr>
      <w:r w:rsidRPr="00FA167E">
        <w:rPr>
          <w:szCs w:val="32"/>
          <w:lang w:val="en-AU"/>
        </w:rPr>
        <w:t>Creative Commons</w:t>
      </w:r>
    </w:p>
    <w:p w14:paraId="3A11D014" w14:textId="4274C242" w:rsidR="00222FF2" w:rsidRPr="00FA167E" w:rsidRDefault="00222FF2" w:rsidP="00222FF2">
      <w:pPr>
        <w:pStyle w:val="BodyText"/>
        <w:ind w:right="-285"/>
        <w:rPr>
          <w:lang w:val="en-AU"/>
        </w:rPr>
      </w:pPr>
      <w:r w:rsidRPr="00FA167E">
        <w:rPr>
          <w:lang w:val="en-AU"/>
        </w:rPr>
        <w:t xml:space="preserve">This work is licensed under a Creative Commons Attribution 4.0 International licence, visit the </w:t>
      </w:r>
      <w:hyperlink r:id="rId11" w:tooltip="Hyperlink to Creative Commons website" w:history="1">
        <w:r w:rsidRPr="00FA167E">
          <w:rPr>
            <w:rStyle w:val="Hyperlink"/>
            <w:lang w:val="en-AU"/>
          </w:rPr>
          <w:t>Creative Commons website</w:t>
        </w:r>
      </w:hyperlink>
      <w:r w:rsidRPr="00FA167E">
        <w:rPr>
          <w:lang w:val="en-AU"/>
        </w:rPr>
        <w:t xml:space="preserve"> (</w:t>
      </w:r>
      <w:hyperlink r:id="rId12" w:tooltip="Hyperlink to Creative Commons website" w:history="1">
        <w:r w:rsidRPr="00FA167E">
          <w:rPr>
            <w:rStyle w:val="Hyperlink"/>
            <w:lang w:val="en-AU"/>
          </w:rPr>
          <w:t>http://creativecommons.org/licenses/by/4.0/</w:t>
        </w:r>
      </w:hyperlink>
      <w:r w:rsidRPr="00FA167E">
        <w:rPr>
          <w:lang w:val="en-AU"/>
        </w:rPr>
        <w:t>).</w:t>
      </w:r>
    </w:p>
    <w:p w14:paraId="586850E7" w14:textId="77777777" w:rsidR="00222FF2" w:rsidRPr="00FA167E" w:rsidRDefault="00222FF2" w:rsidP="00222FF2">
      <w:pPr>
        <w:pStyle w:val="BodyText"/>
        <w:ind w:right="-285"/>
        <w:rPr>
          <w:lang w:val="en-AU"/>
        </w:rPr>
      </w:pPr>
      <w:r w:rsidRPr="00FA167E">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4F48C41" w14:textId="32156AB5" w:rsidR="00222FF2" w:rsidRPr="00FA167E" w:rsidRDefault="00222FF2" w:rsidP="00AA28B2">
      <w:pPr>
        <w:pStyle w:val="BodyText"/>
        <w:spacing w:after="360" w:line="276" w:lineRule="auto"/>
        <w:ind w:right="-285"/>
        <w:rPr>
          <w:lang w:val="en-AU"/>
        </w:rPr>
      </w:pPr>
      <w:r w:rsidRPr="00FA167E">
        <w:rPr>
          <w:b/>
          <w:bCs/>
          <w:lang w:val="en-AU"/>
        </w:rPr>
        <w:t>ISBN</w:t>
      </w:r>
      <w:r w:rsidRPr="00FA167E">
        <w:rPr>
          <w:lang w:val="en-AU"/>
        </w:rPr>
        <w:t xml:space="preserve"> </w:t>
      </w:r>
      <w:r w:rsidR="00094AE5" w:rsidRPr="00094AE5">
        <w:rPr>
          <w:lang w:val="en-AU"/>
        </w:rPr>
        <w:t>978-1-76176-762-3</w:t>
      </w:r>
      <w:r w:rsidR="00094AE5" w:rsidRPr="00094AE5">
        <w:rPr>
          <w:b/>
          <w:bCs/>
          <w:lang w:val="en-AU"/>
        </w:rPr>
        <w:t xml:space="preserve"> </w:t>
      </w:r>
      <w:r w:rsidR="00340423" w:rsidRPr="00FA167E">
        <w:rPr>
          <w:b/>
          <w:bCs/>
          <w:lang w:val="en-AU"/>
        </w:rPr>
        <w:t>(pdf/online/MS word)</w:t>
      </w:r>
    </w:p>
    <w:p w14:paraId="5E4C2FA2" w14:textId="77777777" w:rsidR="00222FF2" w:rsidRPr="00FA167E" w:rsidRDefault="00222FF2" w:rsidP="00ED5B06">
      <w:pPr>
        <w:pStyle w:val="Heading2"/>
        <w:spacing w:before="0" w:after="180"/>
        <w:rPr>
          <w:szCs w:val="32"/>
          <w:lang w:val="en-AU"/>
        </w:rPr>
      </w:pPr>
      <w:r w:rsidRPr="00FA167E">
        <w:rPr>
          <w:szCs w:val="32"/>
          <w:lang w:val="en-AU"/>
        </w:rPr>
        <w:t>Disclaimer</w:t>
      </w:r>
    </w:p>
    <w:p w14:paraId="2BCC3E8F" w14:textId="77777777" w:rsidR="00222FF2" w:rsidRPr="00FA167E" w:rsidRDefault="00222FF2" w:rsidP="00C51A83">
      <w:pPr>
        <w:pStyle w:val="BodyText"/>
        <w:spacing w:after="120"/>
        <w:rPr>
          <w:lang w:val="en-AU"/>
        </w:rPr>
      </w:pPr>
      <w:r w:rsidRPr="00FA167E">
        <w:rPr>
          <w:lang w:val="en-AU"/>
        </w:rPr>
        <w:t xml:space="preserve">This publication may be of assistance to </w:t>
      </w:r>
      <w:proofErr w:type="gramStart"/>
      <w:r w:rsidRPr="00FA167E">
        <w:rPr>
          <w:lang w:val="en-AU"/>
        </w:rPr>
        <w:t>you</w:t>
      </w:r>
      <w:proofErr w:type="gramEnd"/>
      <w:r w:rsidRPr="00FA167E">
        <w:rPr>
          <w:lang w:val="en-AU"/>
        </w:rPr>
        <w:t xml:space="preserve"> but the State of Victoria and its employees do not guarantee that the publication is without flaw of any kind or is wholly appropriate for your </w:t>
      </w:r>
      <w:proofErr w:type="gramStart"/>
      <w:r w:rsidRPr="00FA167E">
        <w:rPr>
          <w:lang w:val="en-AU"/>
        </w:rPr>
        <w:t>particular purposes</w:t>
      </w:r>
      <w:proofErr w:type="gramEnd"/>
      <w:r w:rsidRPr="00FA167E">
        <w:rPr>
          <w:lang w:val="en-AU"/>
        </w:rPr>
        <w:t xml:space="preserve"> and therefore disclaims all liability for any error, loss or other consequence which may arise from you relying on any information in this publication.</w:t>
      </w:r>
    </w:p>
    <w:p w14:paraId="5588AC38" w14:textId="77777777" w:rsidR="00222FF2" w:rsidRPr="00FA167E" w:rsidRDefault="00222FF2" w:rsidP="00ED5B06">
      <w:pPr>
        <w:pStyle w:val="Heading2"/>
        <w:spacing w:before="0" w:after="180"/>
        <w:rPr>
          <w:szCs w:val="32"/>
          <w:lang w:val="en-AU"/>
        </w:rPr>
      </w:pPr>
      <w:r w:rsidRPr="00FA167E">
        <w:rPr>
          <w:szCs w:val="32"/>
          <w:lang w:val="en-AU"/>
        </w:rPr>
        <w:lastRenderedPageBreak/>
        <w:t>Accessibility</w:t>
      </w:r>
    </w:p>
    <w:p w14:paraId="7743C9FD" w14:textId="123BEF9F" w:rsidR="00806A08" w:rsidRPr="00FA167E" w:rsidRDefault="00806A08" w:rsidP="00806A08">
      <w:pPr>
        <w:pStyle w:val="BodyText"/>
        <w:spacing w:after="120"/>
        <w:rPr>
          <w:lang w:val="en-AU"/>
        </w:rPr>
      </w:pPr>
      <w:r w:rsidRPr="00FA167E">
        <w:rPr>
          <w:lang w:val="en-AU"/>
        </w:rPr>
        <w:t xml:space="preserve">To receive this document in an alternative format, phone the Customer Service Centre on 136 186, email </w:t>
      </w:r>
      <w:hyperlink r:id="rId13" w:tooltip="Send an email to customer service" w:history="1">
        <w:r w:rsidRPr="00FA167E">
          <w:rPr>
            <w:rStyle w:val="Hyperlink"/>
            <w:lang w:val="en-AU"/>
          </w:rPr>
          <w:t>customer.service@delwp.vic.gov.au</w:t>
        </w:r>
      </w:hyperlink>
      <w:r w:rsidRPr="00FA167E">
        <w:rPr>
          <w:lang w:val="en-AU"/>
        </w:rPr>
        <w:t xml:space="preserve">, or contact National Relay Service on 133 677 or visit </w:t>
      </w:r>
      <w:hyperlink r:id="rId14" w:tooltip="Hyperlink to the National Relay Service website" w:history="1">
        <w:r w:rsidRPr="00FA167E">
          <w:rPr>
            <w:rStyle w:val="Hyperlink"/>
            <w:lang w:val="en-AU"/>
          </w:rPr>
          <w:t>http://www.accesshub.gov.au/</w:t>
        </w:r>
      </w:hyperlink>
      <w:r w:rsidRPr="00FA167E">
        <w:rPr>
          <w:lang w:val="en-AU"/>
        </w:rPr>
        <w:t>. Available at DEECA website (</w:t>
      </w:r>
      <w:hyperlink r:id="rId15" w:tooltip="Hyperlink to the DEECA website" w:history="1">
        <w:r w:rsidRPr="00FA167E">
          <w:rPr>
            <w:rStyle w:val="Hyperlink"/>
            <w:lang w:val="en-AU"/>
          </w:rPr>
          <w:t>www.deeca.vic.gov.au</w:t>
        </w:r>
      </w:hyperlink>
      <w:r w:rsidRPr="00FA167E">
        <w:rPr>
          <w:lang w:val="en-AU"/>
        </w:rPr>
        <w:t>).</w:t>
      </w:r>
    </w:p>
    <w:p w14:paraId="7EA8F374" w14:textId="77777777" w:rsidR="00F767CD" w:rsidRPr="00FA167E" w:rsidRDefault="00222FF2" w:rsidP="00ED5B06">
      <w:pPr>
        <w:pStyle w:val="BodyText"/>
        <w:spacing w:before="720" w:after="0"/>
        <w:rPr>
          <w:b/>
          <w:bCs/>
          <w:lang w:val="en-AU"/>
        </w:rPr>
      </w:pPr>
      <w:r w:rsidRPr="00FA167E">
        <w:rPr>
          <w:b/>
          <w:bCs/>
          <w:lang w:val="en-AU"/>
        </w:rPr>
        <w:t>End of document.</w:t>
      </w:r>
    </w:p>
    <w:sectPr w:rsidR="00F767CD" w:rsidRPr="00FA167E" w:rsidSect="00AA4B38">
      <w:footerReference w:type="default" r:id="rId16"/>
      <w:pgSz w:w="11906" w:h="16838"/>
      <w:pgMar w:top="1134" w:right="1134" w:bottom="1134"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A72C" w14:textId="77777777" w:rsidR="001D0D12" w:rsidRDefault="001D0D12" w:rsidP="00F2730B">
      <w:pPr>
        <w:spacing w:after="0" w:line="240" w:lineRule="auto"/>
      </w:pPr>
      <w:r>
        <w:separator/>
      </w:r>
    </w:p>
  </w:endnote>
  <w:endnote w:type="continuationSeparator" w:id="0">
    <w:p w14:paraId="4B59D134" w14:textId="77777777" w:rsidR="001D0D12" w:rsidRDefault="001D0D12"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20B0604020202020204"/>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707BAC06"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834BC1" w14:textId="25230920" w:rsidR="00B165A7" w:rsidRPr="000D4B46" w:rsidRDefault="007A6EA5" w:rsidP="00AA28B2">
    <w:pPr>
      <w:pStyle w:val="Footer"/>
      <w:spacing w:after="80"/>
      <w:ind w:right="360"/>
      <w:rPr>
        <w:b/>
        <w:bCs/>
        <w:sz w:val="20"/>
        <w:szCs w:val="20"/>
      </w:rPr>
    </w:pPr>
    <w:r w:rsidRPr="007A6EA5">
      <w:rPr>
        <w:b/>
        <w:bCs/>
        <w:sz w:val="20"/>
        <w:szCs w:val="20"/>
      </w:rPr>
      <w:t>What is the Sustainable Yield Assessment?</w:t>
    </w:r>
    <w:r>
      <w:rPr>
        <w:b/>
        <w:bCs/>
        <w:sz w:val="20"/>
        <w:szCs w:val="20"/>
      </w:rPr>
      <w:t xml:space="preserve"> </w:t>
    </w:r>
    <w:r w:rsidR="00AA28B2" w:rsidRPr="000D4B46">
      <w:rPr>
        <w:b/>
        <w:bCs/>
        <w:sz w:val="20"/>
        <w:szCs w:val="20"/>
      </w:rPr>
      <w:t xml:space="preserve">– </w:t>
    </w:r>
    <w:r w:rsidR="00AA4B38" w:rsidRPr="000D4B46">
      <w:rPr>
        <w:sz w:val="20"/>
        <w:szCs w:val="20"/>
      </w:rPr>
      <w:t>Sustainable Yield Assessment Fact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79A3" w14:textId="77777777" w:rsidR="001D0D12" w:rsidRDefault="001D0D12" w:rsidP="00F2730B">
      <w:pPr>
        <w:spacing w:after="0" w:line="240" w:lineRule="auto"/>
      </w:pPr>
      <w:r>
        <w:separator/>
      </w:r>
    </w:p>
  </w:footnote>
  <w:footnote w:type="continuationSeparator" w:id="0">
    <w:p w14:paraId="2B78AA3B" w14:textId="77777777" w:rsidR="001D0D12" w:rsidRDefault="001D0D12"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C16450"/>
    <w:multiLevelType w:val="hybridMultilevel"/>
    <w:tmpl w:val="71289256"/>
    <w:lvl w:ilvl="0" w:tplc="8E3AA85A">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AF2C24"/>
    <w:multiLevelType w:val="hybridMultilevel"/>
    <w:tmpl w:val="14626ED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9"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793FE7"/>
    <w:multiLevelType w:val="hybridMultilevel"/>
    <w:tmpl w:val="63787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5"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5"/>
  </w:num>
  <w:num w:numId="3" w16cid:durableId="1813522522">
    <w:abstractNumId w:val="3"/>
  </w:num>
  <w:num w:numId="4" w16cid:durableId="533276510">
    <w:abstractNumId w:val="43"/>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6"/>
  </w:num>
  <w:num w:numId="10" w16cid:durableId="307325374">
    <w:abstractNumId w:val="10"/>
  </w:num>
  <w:num w:numId="11" w16cid:durableId="1207567416">
    <w:abstractNumId w:val="16"/>
  </w:num>
  <w:num w:numId="12" w16cid:durableId="1714499310">
    <w:abstractNumId w:val="15"/>
  </w:num>
  <w:num w:numId="13" w16cid:durableId="1557817223">
    <w:abstractNumId w:val="30"/>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7"/>
  </w:num>
  <w:num w:numId="25" w16cid:durableId="1336883623">
    <w:abstractNumId w:val="32"/>
  </w:num>
  <w:num w:numId="26" w16cid:durableId="1859196455">
    <w:abstractNumId w:val="9"/>
  </w:num>
  <w:num w:numId="27" w16cid:durableId="1643851276">
    <w:abstractNumId w:val="22"/>
  </w:num>
  <w:num w:numId="28" w16cid:durableId="1329362202">
    <w:abstractNumId w:val="19"/>
  </w:num>
  <w:num w:numId="29" w16cid:durableId="1795561713">
    <w:abstractNumId w:val="34"/>
  </w:num>
  <w:num w:numId="30" w16cid:durableId="71048478">
    <w:abstractNumId w:val="34"/>
  </w:num>
  <w:num w:numId="31" w16cid:durableId="755857827">
    <w:abstractNumId w:val="25"/>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6"/>
  </w:num>
  <w:num w:numId="38" w16cid:durableId="1204173423">
    <w:abstractNumId w:val="31"/>
  </w:num>
  <w:num w:numId="39" w16cid:durableId="1448893088">
    <w:abstractNumId w:val="44"/>
  </w:num>
  <w:num w:numId="40" w16cid:durableId="1900021242">
    <w:abstractNumId w:val="41"/>
  </w:num>
  <w:num w:numId="41" w16cid:durableId="995105162">
    <w:abstractNumId w:val="39"/>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4"/>
  </w:num>
  <w:num w:numId="48" w16cid:durableId="2061048727">
    <w:abstractNumId w:val="12"/>
  </w:num>
  <w:num w:numId="49" w16cid:durableId="1849246280">
    <w:abstractNumId w:val="11"/>
  </w:num>
  <w:num w:numId="50" w16cid:durableId="785197264">
    <w:abstractNumId w:val="35"/>
  </w:num>
  <w:num w:numId="51" w16cid:durableId="1299335420">
    <w:abstractNumId w:val="18"/>
  </w:num>
  <w:num w:numId="52" w16cid:durableId="1754938255">
    <w:abstractNumId w:val="20"/>
  </w:num>
  <w:num w:numId="53" w16cid:durableId="1013340051">
    <w:abstractNumId w:val="42"/>
  </w:num>
  <w:num w:numId="54" w16cid:durableId="888301183">
    <w:abstractNumId w:val="29"/>
  </w:num>
  <w:num w:numId="55" w16cid:durableId="180975641">
    <w:abstractNumId w:val="21"/>
  </w:num>
  <w:num w:numId="56" w16cid:durableId="2098937772">
    <w:abstractNumId w:val="40"/>
  </w:num>
  <w:num w:numId="57" w16cid:durableId="44570851">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A"/>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4AE5"/>
    <w:rsid w:val="00096052"/>
    <w:rsid w:val="00096F20"/>
    <w:rsid w:val="000A06C8"/>
    <w:rsid w:val="000A07D7"/>
    <w:rsid w:val="000A09C6"/>
    <w:rsid w:val="000A2C96"/>
    <w:rsid w:val="000A2E17"/>
    <w:rsid w:val="000A49E3"/>
    <w:rsid w:val="000B0066"/>
    <w:rsid w:val="000B0305"/>
    <w:rsid w:val="000B181D"/>
    <w:rsid w:val="000B62B5"/>
    <w:rsid w:val="000C021F"/>
    <w:rsid w:val="000C259F"/>
    <w:rsid w:val="000C377A"/>
    <w:rsid w:val="000C4A37"/>
    <w:rsid w:val="000C4B11"/>
    <w:rsid w:val="000D4B46"/>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049A"/>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0D12"/>
    <w:rsid w:val="001D3828"/>
    <w:rsid w:val="001D441D"/>
    <w:rsid w:val="001D5686"/>
    <w:rsid w:val="001E0685"/>
    <w:rsid w:val="001E1D26"/>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0423"/>
    <w:rsid w:val="0034155C"/>
    <w:rsid w:val="00341E23"/>
    <w:rsid w:val="003473D0"/>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4898"/>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56BE"/>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19B3"/>
    <w:rsid w:val="00433E87"/>
    <w:rsid w:val="00434824"/>
    <w:rsid w:val="00434D8A"/>
    <w:rsid w:val="0043540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0EE3"/>
    <w:rsid w:val="004E2D9F"/>
    <w:rsid w:val="004E4CB9"/>
    <w:rsid w:val="004E6D88"/>
    <w:rsid w:val="004F3F5B"/>
    <w:rsid w:val="004F7042"/>
    <w:rsid w:val="004F724A"/>
    <w:rsid w:val="004F77CA"/>
    <w:rsid w:val="00504788"/>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94D"/>
    <w:rsid w:val="00561FF9"/>
    <w:rsid w:val="00562EF3"/>
    <w:rsid w:val="00563326"/>
    <w:rsid w:val="00564079"/>
    <w:rsid w:val="005659D9"/>
    <w:rsid w:val="00565CF7"/>
    <w:rsid w:val="00565E34"/>
    <w:rsid w:val="00573734"/>
    <w:rsid w:val="005740D5"/>
    <w:rsid w:val="0057561A"/>
    <w:rsid w:val="00576223"/>
    <w:rsid w:val="00577C9B"/>
    <w:rsid w:val="00591C88"/>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8B0"/>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005F"/>
    <w:rsid w:val="00661813"/>
    <w:rsid w:val="00661920"/>
    <w:rsid w:val="0066651F"/>
    <w:rsid w:val="00673096"/>
    <w:rsid w:val="006738F0"/>
    <w:rsid w:val="006810F9"/>
    <w:rsid w:val="0068129E"/>
    <w:rsid w:val="006835A0"/>
    <w:rsid w:val="00684BBF"/>
    <w:rsid w:val="00685936"/>
    <w:rsid w:val="006872C0"/>
    <w:rsid w:val="00690194"/>
    <w:rsid w:val="0069226A"/>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B6AEA"/>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17F8"/>
    <w:rsid w:val="0071440E"/>
    <w:rsid w:val="0071469C"/>
    <w:rsid w:val="00715677"/>
    <w:rsid w:val="00716272"/>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556"/>
    <w:rsid w:val="00792C27"/>
    <w:rsid w:val="00793193"/>
    <w:rsid w:val="00793EC8"/>
    <w:rsid w:val="007968FE"/>
    <w:rsid w:val="007972D5"/>
    <w:rsid w:val="007A006C"/>
    <w:rsid w:val="007A019C"/>
    <w:rsid w:val="007A02EE"/>
    <w:rsid w:val="007A16FB"/>
    <w:rsid w:val="007A261A"/>
    <w:rsid w:val="007A526F"/>
    <w:rsid w:val="007A5657"/>
    <w:rsid w:val="007A5FC5"/>
    <w:rsid w:val="007A6EA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459F"/>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529F"/>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1669"/>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6B89"/>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8F4C10"/>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1EA0"/>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51F5"/>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28B2"/>
    <w:rsid w:val="00AA2FDF"/>
    <w:rsid w:val="00AA45F8"/>
    <w:rsid w:val="00AA4B3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767"/>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03C"/>
    <w:rsid w:val="00B75868"/>
    <w:rsid w:val="00B77E61"/>
    <w:rsid w:val="00B802C3"/>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5952"/>
    <w:rsid w:val="00DE76BB"/>
    <w:rsid w:val="00DE76F0"/>
    <w:rsid w:val="00DF0241"/>
    <w:rsid w:val="00DF071B"/>
    <w:rsid w:val="00DF177E"/>
    <w:rsid w:val="00DF1A7E"/>
    <w:rsid w:val="00DF27D7"/>
    <w:rsid w:val="00DF649F"/>
    <w:rsid w:val="00E00C8A"/>
    <w:rsid w:val="00E01FCC"/>
    <w:rsid w:val="00E040C6"/>
    <w:rsid w:val="00E07A62"/>
    <w:rsid w:val="00E11A71"/>
    <w:rsid w:val="00E14182"/>
    <w:rsid w:val="00E157A5"/>
    <w:rsid w:val="00E23117"/>
    <w:rsid w:val="00E2494E"/>
    <w:rsid w:val="00E25D0B"/>
    <w:rsid w:val="00E27AC3"/>
    <w:rsid w:val="00E27B9E"/>
    <w:rsid w:val="00E31D73"/>
    <w:rsid w:val="00E33504"/>
    <w:rsid w:val="00E33557"/>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B06"/>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67E"/>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B4D7A"/>
  <w14:defaultImageDpi w14:val="0"/>
  <w15:docId w15:val="{CE3BAF81-6DE1-3047-BB19-3990E4B3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ED5B06"/>
    <w:pPr>
      <w:keepNext/>
      <w:keepLines/>
      <w:spacing w:after="240" w:line="560" w:lineRule="exact"/>
      <w:outlineLvl w:val="0"/>
    </w:pPr>
    <w:rPr>
      <w:rFonts w:asciiTheme="majorHAnsi" w:eastAsiaTheme="majorEastAsia" w:hAnsiTheme="majorHAnsi" w:cs="Times New Roman (Headings CS)"/>
      <w:b/>
      <w:bCs/>
      <w:sz w:val="36"/>
      <w:szCs w:val="36"/>
      <w:lang w:val="en-GB"/>
    </w:rPr>
  </w:style>
  <w:style w:type="paragraph" w:styleId="Heading2">
    <w:name w:val="heading 2"/>
    <w:basedOn w:val="Normal"/>
    <w:next w:val="Normal"/>
    <w:link w:val="Heading2Char"/>
    <w:uiPriority w:val="9"/>
    <w:unhideWhenUsed/>
    <w:qFormat/>
    <w:rsid w:val="005D48B0"/>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0D4B46"/>
    <w:pPr>
      <w:spacing w:after="240" w:line="800" w:lineRule="exact"/>
    </w:pPr>
    <w:rPr>
      <w:rFonts w:asciiTheme="majorHAnsi" w:eastAsiaTheme="majorEastAsia" w:hAnsiTheme="majorHAnsi" w:cs="Times New Roman (Headings CS)"/>
      <w:b/>
      <w:bCs/>
      <w:spacing w:val="8"/>
      <w:kern w:val="28"/>
      <w:sz w:val="56"/>
      <w:szCs w:val="58"/>
      <w:lang w:val="en-GB"/>
    </w:rPr>
  </w:style>
  <w:style w:type="character" w:customStyle="1" w:styleId="TitleChar">
    <w:name w:val="Title Char"/>
    <w:basedOn w:val="DefaultParagraphFont"/>
    <w:link w:val="Title"/>
    <w:uiPriority w:val="10"/>
    <w:rsid w:val="000D4B46"/>
    <w:rPr>
      <w:rFonts w:asciiTheme="majorHAnsi" w:eastAsiaTheme="majorEastAsia" w:hAnsiTheme="majorHAnsi" w:cs="Times New Roman (Headings CS)"/>
      <w:b/>
      <w:bCs/>
      <w:spacing w:val="8"/>
      <w:kern w:val="28"/>
      <w:sz w:val="56"/>
      <w:szCs w:val="58"/>
      <w:lang w:val="en-GB"/>
    </w:rPr>
  </w:style>
  <w:style w:type="paragraph" w:styleId="Subtitle">
    <w:name w:val="Subtitle"/>
    <w:basedOn w:val="Normal"/>
    <w:next w:val="Normal"/>
    <w:link w:val="SubtitleChar"/>
    <w:uiPriority w:val="11"/>
    <w:qFormat/>
    <w:rsid w:val="00AA4B38"/>
    <w:pPr>
      <w:numPr>
        <w:ilvl w:val="1"/>
      </w:numPr>
      <w:spacing w:before="240" w:after="480" w:line="360" w:lineRule="auto"/>
    </w:pPr>
    <w:rPr>
      <w:sz w:val="48"/>
      <w:szCs w:val="36"/>
    </w:rPr>
  </w:style>
  <w:style w:type="character" w:customStyle="1" w:styleId="SubtitleChar">
    <w:name w:val="Subtitle Char"/>
    <w:basedOn w:val="DefaultParagraphFont"/>
    <w:link w:val="Subtitle"/>
    <w:uiPriority w:val="11"/>
    <w:rsid w:val="00AA4B38"/>
    <w:rPr>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ED5B06"/>
    <w:rPr>
      <w:rFonts w:asciiTheme="majorHAnsi" w:eastAsiaTheme="majorEastAsia" w:hAnsiTheme="majorHAnsi" w:cs="Times New Roman (Headings CS)"/>
      <w:b/>
      <w:bCs/>
      <w:sz w:val="36"/>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5D48B0"/>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CommentReference">
    <w:name w:val="annotation reference"/>
    <w:basedOn w:val="DefaultParagraphFont"/>
    <w:uiPriority w:val="99"/>
    <w:semiHidden/>
    <w:unhideWhenUsed/>
    <w:rsid w:val="00565CF7"/>
    <w:rPr>
      <w:sz w:val="16"/>
      <w:szCs w:val="16"/>
    </w:rPr>
  </w:style>
  <w:style w:type="character" w:styleId="Mention">
    <w:name w:val="Mention"/>
    <w:basedOn w:val="DefaultParagraphFont"/>
    <w:uiPriority w:val="99"/>
    <w:unhideWhenUsed/>
    <w:rsid w:val="00565CF7"/>
    <w:rPr>
      <w:color w:val="2B579A"/>
      <w:shd w:val="clear" w:color="auto" w:fill="E1DFDD"/>
    </w:rPr>
  </w:style>
  <w:style w:type="character" w:styleId="UnresolvedMention">
    <w:name w:val="Unresolved Mention"/>
    <w:basedOn w:val="DefaultParagraphFont"/>
    <w:uiPriority w:val="99"/>
    <w:semiHidden/>
    <w:unhideWhenUsed/>
    <w:rsid w:val="00565CF7"/>
    <w:rPr>
      <w:color w:val="605E5C"/>
      <w:shd w:val="clear" w:color="auto" w:fill="E1DFDD"/>
    </w:rPr>
  </w:style>
  <w:style w:type="paragraph" w:customStyle="1" w:styleId="AnswerStyle">
    <w:name w:val="Answer Style"/>
    <w:basedOn w:val="NoSpacing"/>
    <w:link w:val="AnswerStyleChar"/>
    <w:qFormat/>
    <w:rsid w:val="0066005F"/>
    <w:pPr>
      <w:tabs>
        <w:tab w:val="left" w:pos="426"/>
      </w:tabs>
      <w:suppressAutoHyphens w:val="0"/>
      <w:spacing w:after="120" w:line="240" w:lineRule="atLeast"/>
    </w:pPr>
    <w:rPr>
      <w:rFonts w:eastAsia="Times New Roman" w:cs="Times New Roman"/>
      <w:color w:val="000000" w:themeColor="text1"/>
      <w:sz w:val="20"/>
      <w:szCs w:val="20"/>
    </w:rPr>
  </w:style>
  <w:style w:type="character" w:customStyle="1" w:styleId="AnswerStyleChar">
    <w:name w:val="Answer Style Char"/>
    <w:basedOn w:val="DefaultParagraphFont"/>
    <w:link w:val="AnswerStyle"/>
    <w:rsid w:val="0066005F"/>
    <w:rPr>
      <w:rFonts w:eastAsia="Times New Roman" w:cs="Times New Roman"/>
      <w:color w:val="000000" w:themeColor="text1"/>
      <w:sz w:val="20"/>
      <w:szCs w:val="20"/>
    </w:rPr>
  </w:style>
  <w:style w:type="paragraph" w:styleId="NoSpacing">
    <w:name w:val="No Spacing"/>
    <w:uiPriority w:val="1"/>
    <w:qFormat/>
    <w:rsid w:val="0066005F"/>
    <w:pPr>
      <w:suppressAutoHyphens/>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stomer.service@delwp.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www.deeca.vic.gov.au/" TargetMode="External"/><Relationship Id="rId10" Type="http://schemas.openxmlformats.org/officeDocument/2006/relationships/hyperlink" Target="https://www.water.vic.gov.au/water-sources/groundwater/groundwater-management-2030/sustainable-yield-assessment/Fact-Sheet_How-sustainable-yields-are-calculated.pdf" TargetMode="External"/><Relationship Id="rId4" Type="http://schemas.openxmlformats.org/officeDocument/2006/relationships/settings" Target="settings.xml"/><Relationship Id="rId9" Type="http://schemas.openxmlformats.org/officeDocument/2006/relationships/hyperlink" Target="https://www.water.vic.gov.au/water-sources/groundwater/groundwater-management-2030/sustainable-yield-assessment/Fact-Sheet_How-the-Sustainable-Yield-Assessment-will-be-used.pdf" TargetMode="External"/><Relationship Id="rId14" Type="http://schemas.openxmlformats.org/officeDocument/2006/relationships/hyperlink" Target="http://www.accesshub.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TotalTime>
  <Pages>7</Pages>
  <Words>1346</Words>
  <Characters>7730</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What is the Sustainable Yield Assessment?  Sustainable Yield Assessment Fact Sheet  </vt:lpstr>
    </vt:vector>
  </TitlesOfParts>
  <Manager>N/A</Manager>
  <Company>Department of Energy, Environment and Climate Action </Company>
  <LinksUpToDate>false</LinksUpToDate>
  <CharactersWithSpaces>9008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Sustainable Yield Assessment?  Sustainable Yield Assessment Fact Sheet  </dc:title>
  <dc:subject>What is the Sustainable Yield Assessment?  Sustainable Yield Assessment Fact Sheet  </dc:subject>
  <dc:creator>Department of Energy, Environment and Climate Action </dc:creator>
  <cp:keywords/>
  <dc:description>© The State of Victoria Department of Energy, Environment and Climate Action </dc:description>
  <cp:lastModifiedBy>Kathryn A Parker (DEECA)</cp:lastModifiedBy>
  <cp:revision>3</cp:revision>
  <dcterms:created xsi:type="dcterms:W3CDTF">2026-01-22T22:56:00Z</dcterms:created>
  <dcterms:modified xsi:type="dcterms:W3CDTF">2026-01-22T23:01:00Z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