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2C77E" w14:textId="77777777" w:rsidR="001B336C" w:rsidRDefault="001B336C" w:rsidP="00F207BE">
      <w:pPr>
        <w:pStyle w:val="Title"/>
        <w:jc w:val="left"/>
        <w:rPr>
          <w:rFonts w:ascii="Arial" w:hAnsi="Arial" w:cs="Arial"/>
          <w:color w:val="auto"/>
          <w:spacing w:val="0"/>
        </w:rPr>
      </w:pPr>
      <w:r w:rsidRPr="00AF556C">
        <w:rPr>
          <w:rFonts w:ascii="Arial" w:hAnsi="Arial" w:cs="Arial"/>
          <w:color w:val="auto"/>
          <w:spacing w:val="0"/>
        </w:rPr>
        <w:t>Juvenile stock in waterways</w:t>
      </w:r>
    </w:p>
    <w:p w14:paraId="478C0ABC" w14:textId="77777777" w:rsidR="001B336C" w:rsidRPr="008D0BDB" w:rsidRDefault="001B336C" w:rsidP="00F207BE"/>
    <w:p w14:paraId="62849FBE" w14:textId="77777777" w:rsidR="001B336C" w:rsidRPr="00AF556C" w:rsidRDefault="00683751" w:rsidP="00F207BE">
      <w:pPr>
        <w:pStyle w:val="Subtitle"/>
        <w:jc w:val="left"/>
        <w:rPr>
          <w:rFonts w:ascii="Arial" w:hAnsi="Arial" w:cs="Arial"/>
          <w:color w:val="auto"/>
          <w:spacing w:val="0"/>
        </w:rPr>
      </w:pPr>
      <w:r w:rsidRPr="00CD2C20">
        <w:rPr>
          <w:rFonts w:ascii="Arial" w:hAnsi="Arial" w:cs="Arial"/>
          <w:color w:val="auto"/>
          <w:spacing w:val="0"/>
        </w:rPr>
        <w:t>Supplementary information and resources</w:t>
      </w:r>
    </w:p>
    <w:p w14:paraId="14F126E0" w14:textId="77777777" w:rsidR="001B336C" w:rsidRPr="00AF556C" w:rsidRDefault="001B336C" w:rsidP="001B336C">
      <w:pPr>
        <w:rPr>
          <w:rFonts w:ascii="Arial" w:hAnsi="Arial"/>
          <w:color w:val="auto"/>
        </w:rPr>
      </w:pPr>
    </w:p>
    <w:p w14:paraId="026D139B" w14:textId="77777777" w:rsidR="001B336C" w:rsidRDefault="001B336C" w:rsidP="001B336C">
      <w:pPr>
        <w:pStyle w:val="BodyText"/>
        <w:rPr>
          <w:rFonts w:ascii="Arial" w:hAnsi="Arial" w:cs="Arial"/>
          <w:color w:val="auto"/>
        </w:rPr>
      </w:pPr>
    </w:p>
    <w:p w14:paraId="2D95C593" w14:textId="77777777" w:rsidR="001B336C" w:rsidRDefault="001B336C" w:rsidP="001B336C">
      <w:pPr>
        <w:pStyle w:val="BodyText"/>
        <w:rPr>
          <w:rFonts w:ascii="Arial" w:hAnsi="Arial" w:cs="Arial"/>
          <w:color w:val="auto"/>
        </w:rPr>
      </w:pPr>
    </w:p>
    <w:p w14:paraId="65C96EF2" w14:textId="77777777" w:rsidR="00BC4347" w:rsidRPr="00CD2C20" w:rsidRDefault="00BC4347" w:rsidP="00BC4347">
      <w:pPr>
        <w:pStyle w:val="IntroFeatureText"/>
        <w:rPr>
          <w:rFonts w:ascii="Arial" w:hAnsi="Arial"/>
          <w:color w:val="auto"/>
        </w:rPr>
      </w:pPr>
      <w:r w:rsidRPr="00CD2C20">
        <w:rPr>
          <w:rFonts w:ascii="Arial" w:hAnsi="Arial"/>
          <w:color w:val="auto"/>
        </w:rPr>
        <w:t>Landholders play an important role in protecting the health of Victoria’s waterways. The presence of livestock, particularly juvenile stock, in waterways creates a risk to human and stock health. There are steps landholders can take to help manage the problem.</w:t>
      </w:r>
    </w:p>
    <w:p w14:paraId="7BB222E3" w14:textId="77777777" w:rsidR="009D226D" w:rsidRPr="00CD2C20" w:rsidRDefault="00BC4347" w:rsidP="009D226D">
      <w:pPr>
        <w:pStyle w:val="BodyText"/>
        <w:rPr>
          <w:rFonts w:ascii="Arial" w:hAnsi="Arial" w:cs="Arial"/>
          <w:color w:val="auto"/>
        </w:rPr>
      </w:pPr>
      <w:r w:rsidRPr="00CD2C20">
        <w:rPr>
          <w:rFonts w:ascii="Arial" w:hAnsi="Arial" w:cs="Arial"/>
          <w:color w:val="auto"/>
        </w:rPr>
        <w:t xml:space="preserve">This brochure is intended for staff from catchment management authorities and other </w:t>
      </w:r>
      <w:r w:rsidR="00BA03A3" w:rsidRPr="00CD2C20">
        <w:rPr>
          <w:rFonts w:ascii="Arial" w:hAnsi="Arial" w:cs="Arial"/>
          <w:color w:val="auto"/>
        </w:rPr>
        <w:t>natural resource management</w:t>
      </w:r>
      <w:r w:rsidRPr="00CD2C20">
        <w:rPr>
          <w:rFonts w:ascii="Arial" w:hAnsi="Arial" w:cs="Arial"/>
          <w:color w:val="auto"/>
        </w:rPr>
        <w:t xml:space="preserve"> agencies. It is accompanied by a shorter version specifically prepared for landholder</w:t>
      </w:r>
      <w:r w:rsidR="009D226D" w:rsidRPr="00CD2C20">
        <w:rPr>
          <w:rFonts w:ascii="Arial" w:hAnsi="Arial" w:cs="Arial"/>
          <w:color w:val="auto"/>
        </w:rPr>
        <w:t>s</w:t>
      </w:r>
      <w:r w:rsidR="009D226D" w:rsidRPr="00CD2C20">
        <w:rPr>
          <w:rStyle w:val="EndnoteReference"/>
          <w:rFonts w:ascii="Arial" w:hAnsi="Arial" w:cs="Arial"/>
          <w:color w:val="auto"/>
        </w:rPr>
        <w:endnoteReference w:id="1"/>
      </w:r>
      <w:r w:rsidR="009D226D" w:rsidRPr="00CD2C20">
        <w:rPr>
          <w:rFonts w:ascii="Arial" w:hAnsi="Arial" w:cs="Arial"/>
          <w:color w:val="auto"/>
        </w:rPr>
        <w:t xml:space="preserve"> </w:t>
      </w:r>
      <w:bookmarkStart w:id="0" w:name="_Toc460924660"/>
    </w:p>
    <w:p w14:paraId="7BF14AA8" w14:textId="77777777" w:rsidR="001306D2" w:rsidRPr="00CD2C20" w:rsidRDefault="00BC4347" w:rsidP="00E96084">
      <w:pPr>
        <w:pStyle w:val="Heading2"/>
        <w:numPr>
          <w:ilvl w:val="1"/>
          <w:numId w:val="9"/>
        </w:numPr>
        <w:ind w:left="0" w:firstLine="0"/>
        <w:rPr>
          <w:rFonts w:ascii="Arial" w:hAnsi="Arial"/>
          <w:color w:val="auto"/>
        </w:rPr>
      </w:pPr>
      <w:r w:rsidRPr="00CD2C20">
        <w:rPr>
          <w:rFonts w:ascii="Arial" w:hAnsi="Arial"/>
          <w:color w:val="auto"/>
        </w:rPr>
        <w:t>Public health impacts caused by stock in waterways</w:t>
      </w:r>
      <w:bookmarkEnd w:id="0"/>
    </w:p>
    <w:p w14:paraId="72CA1A52" w14:textId="77777777" w:rsidR="00BC4347" w:rsidRPr="00CD2C20" w:rsidRDefault="00BC4347" w:rsidP="00BC4347">
      <w:pPr>
        <w:pStyle w:val="BodyText"/>
        <w:rPr>
          <w:rFonts w:ascii="Arial" w:hAnsi="Arial" w:cs="Arial"/>
          <w:color w:val="auto"/>
        </w:rPr>
      </w:pPr>
      <w:r w:rsidRPr="00CD2C20">
        <w:rPr>
          <w:rFonts w:ascii="Arial" w:hAnsi="Arial" w:cs="Arial"/>
          <w:color w:val="auto"/>
        </w:rPr>
        <w:t>Stock manure contains disease-causing microorganisms known as pathogens.</w:t>
      </w:r>
      <w:r w:rsidRPr="00CD2C20">
        <w:rPr>
          <w:rFonts w:ascii="Arial" w:hAnsi="Arial" w:cs="Arial"/>
          <w:bCs/>
          <w:color w:val="auto"/>
        </w:rPr>
        <w:t xml:space="preserve"> Stock </w:t>
      </w:r>
      <w:r w:rsidRPr="00CD2C20">
        <w:rPr>
          <w:rFonts w:ascii="Arial" w:hAnsi="Arial" w:cs="Arial"/>
          <w:color w:val="auto"/>
        </w:rPr>
        <w:t>defecate more when standing in waterways to drink or when crossing waterways</w:t>
      </w:r>
      <w:r w:rsidRPr="00CD2C20">
        <w:rPr>
          <w:rStyle w:val="EndnoteReference"/>
          <w:rFonts w:ascii="Arial" w:hAnsi="Arial" w:cs="Arial"/>
          <w:color w:val="auto"/>
        </w:rPr>
        <w:endnoteReference w:id="2"/>
      </w:r>
      <w:r w:rsidRPr="00CD2C20">
        <w:rPr>
          <w:rFonts w:ascii="Arial" w:hAnsi="Arial" w:cs="Arial"/>
          <w:color w:val="auto"/>
        </w:rPr>
        <w:t>. They also stir up sediments and any pathogens that may be in the water.</w:t>
      </w:r>
    </w:p>
    <w:p w14:paraId="4E60AF67" w14:textId="77777777" w:rsidR="00BC4347" w:rsidRPr="00CD2C20" w:rsidRDefault="00BC4347" w:rsidP="00BC4347">
      <w:pPr>
        <w:pStyle w:val="BodyText"/>
        <w:rPr>
          <w:rFonts w:ascii="Arial" w:hAnsi="Arial" w:cs="Arial"/>
          <w:color w:val="auto"/>
        </w:rPr>
      </w:pPr>
      <w:r w:rsidRPr="00CD2C20">
        <w:rPr>
          <w:rFonts w:ascii="Arial" w:hAnsi="Arial" w:cs="Arial"/>
          <w:color w:val="auto"/>
        </w:rPr>
        <w:t xml:space="preserve">If stock manure contaminates drinking water sources, and the required level of water treatment is not applied, pathogens can cause serious outbreaks of </w:t>
      </w:r>
      <w:r w:rsidR="00F7565B" w:rsidRPr="00CD2C20">
        <w:rPr>
          <w:rFonts w:ascii="Arial" w:hAnsi="Arial" w:cs="Arial"/>
          <w:color w:val="auto"/>
        </w:rPr>
        <w:t xml:space="preserve">human </w:t>
      </w:r>
      <w:r w:rsidRPr="00CD2C20">
        <w:rPr>
          <w:rFonts w:ascii="Arial" w:hAnsi="Arial" w:cs="Arial"/>
          <w:color w:val="auto"/>
        </w:rPr>
        <w:t>disease.</w:t>
      </w:r>
    </w:p>
    <w:p w14:paraId="6E35E6BF" w14:textId="77777777" w:rsidR="00BC4347" w:rsidRPr="00CD2C20" w:rsidRDefault="00BC4347" w:rsidP="00BC4347">
      <w:pPr>
        <w:pStyle w:val="BodyText"/>
        <w:rPr>
          <w:rFonts w:ascii="Arial" w:hAnsi="Arial" w:cs="Arial"/>
          <w:bCs/>
          <w:color w:val="auto"/>
        </w:rPr>
      </w:pPr>
      <w:r w:rsidRPr="00CD2C20">
        <w:rPr>
          <w:rFonts w:ascii="Arial" w:hAnsi="Arial" w:cs="Arial"/>
          <w:bCs/>
          <w:color w:val="auto"/>
        </w:rPr>
        <w:t>Therefore, managing stock access to waterways upstream of drinking water off-takes is a priority for riparian management programs in Victoria</w:t>
      </w:r>
      <w:r w:rsidRPr="00CD2C20">
        <w:rPr>
          <w:rStyle w:val="EndnoteReference"/>
          <w:rFonts w:ascii="Arial" w:hAnsi="Arial" w:cs="Arial"/>
          <w:bCs/>
          <w:color w:val="auto"/>
        </w:rPr>
        <w:endnoteReference w:id="3"/>
      </w:r>
      <w:r w:rsidR="00443AC0" w:rsidRPr="00CD2C20">
        <w:rPr>
          <w:rFonts w:ascii="Arial" w:hAnsi="Arial" w:cs="Arial"/>
          <w:bCs/>
          <w:color w:val="auto"/>
        </w:rPr>
        <w:t xml:space="preserve"> </w:t>
      </w:r>
      <w:r w:rsidR="00443AC0" w:rsidRPr="00CD2C20">
        <w:rPr>
          <w:rStyle w:val="EndnoteReference"/>
          <w:rFonts w:ascii="Arial" w:hAnsi="Arial" w:cs="Arial"/>
          <w:bCs/>
          <w:color w:val="auto"/>
        </w:rPr>
        <w:endnoteReference w:id="4"/>
      </w:r>
      <w:r w:rsidRPr="00CD2C20">
        <w:rPr>
          <w:rFonts w:ascii="Arial" w:hAnsi="Arial" w:cs="Arial"/>
          <w:bCs/>
          <w:color w:val="auto"/>
        </w:rPr>
        <w:t>.</w:t>
      </w:r>
    </w:p>
    <w:p w14:paraId="24E20F8B" w14:textId="77777777" w:rsidR="00BC4347" w:rsidRPr="00CD2C20" w:rsidRDefault="00BC4347" w:rsidP="00E96084">
      <w:pPr>
        <w:pStyle w:val="Heading2"/>
        <w:numPr>
          <w:ilvl w:val="1"/>
          <w:numId w:val="9"/>
        </w:numPr>
        <w:ind w:left="0" w:firstLine="0"/>
        <w:rPr>
          <w:rFonts w:ascii="Arial" w:hAnsi="Arial"/>
          <w:color w:val="auto"/>
        </w:rPr>
      </w:pPr>
      <w:r w:rsidRPr="00CD2C20">
        <w:rPr>
          <w:rFonts w:ascii="Arial" w:hAnsi="Arial"/>
          <w:color w:val="auto"/>
        </w:rPr>
        <w:t>Stock health impacts</w:t>
      </w:r>
    </w:p>
    <w:p w14:paraId="0F7B1F8A" w14:textId="77777777" w:rsidR="00BC4347" w:rsidRPr="00CD2C20" w:rsidRDefault="00BC4347" w:rsidP="00BC4347">
      <w:pPr>
        <w:pStyle w:val="BodyText"/>
        <w:rPr>
          <w:rFonts w:ascii="Arial" w:hAnsi="Arial" w:cs="Arial"/>
          <w:color w:val="auto"/>
        </w:rPr>
      </w:pPr>
      <w:r w:rsidRPr="00CD2C20">
        <w:rPr>
          <w:rFonts w:ascii="Arial" w:hAnsi="Arial" w:cs="Arial"/>
          <w:color w:val="auto"/>
        </w:rPr>
        <w:t>Poor quality water can adversely affect stock growth, lactation and reproduction. Contaminated water can also cause stock diseases such as Bovine Johne’s.</w:t>
      </w:r>
    </w:p>
    <w:p w14:paraId="0175B506" w14:textId="77777777" w:rsidR="00BC4347" w:rsidRPr="00CD2C20" w:rsidRDefault="00BC4347" w:rsidP="00E96084">
      <w:pPr>
        <w:pStyle w:val="Heading2"/>
        <w:numPr>
          <w:ilvl w:val="1"/>
          <w:numId w:val="9"/>
        </w:numPr>
        <w:ind w:left="0" w:firstLine="0"/>
        <w:rPr>
          <w:rFonts w:ascii="Arial" w:hAnsi="Arial"/>
          <w:color w:val="auto"/>
        </w:rPr>
      </w:pPr>
      <w:r w:rsidRPr="00CD2C20">
        <w:rPr>
          <w:rFonts w:ascii="Arial" w:hAnsi="Arial"/>
          <w:color w:val="auto"/>
        </w:rPr>
        <w:t>The main problem pathogens</w:t>
      </w:r>
    </w:p>
    <w:p w14:paraId="1BAE4A06" w14:textId="77777777" w:rsidR="00BC4347" w:rsidRPr="00CD2C20" w:rsidRDefault="00BC4347" w:rsidP="00BC4347">
      <w:pPr>
        <w:pStyle w:val="BodyText"/>
        <w:rPr>
          <w:rFonts w:ascii="Arial" w:hAnsi="Arial" w:cs="Arial"/>
          <w:color w:val="auto"/>
        </w:rPr>
      </w:pPr>
      <w:r w:rsidRPr="00CD2C20">
        <w:rPr>
          <w:rFonts w:ascii="Arial" w:hAnsi="Arial" w:cs="Arial"/>
          <w:bCs/>
          <w:color w:val="auto"/>
        </w:rPr>
        <w:t xml:space="preserve">Two of the most common waterborne pathogens that can cause illness in humans are infectious species of </w:t>
      </w:r>
      <w:r w:rsidRPr="00CD2C20">
        <w:rPr>
          <w:rFonts w:ascii="Arial" w:hAnsi="Arial" w:cs="Arial"/>
          <w:bCs/>
          <w:i/>
          <w:color w:val="auto"/>
        </w:rPr>
        <w:t>Giardia</w:t>
      </w:r>
      <w:r w:rsidRPr="00CD2C20">
        <w:rPr>
          <w:rFonts w:ascii="Arial" w:hAnsi="Arial" w:cs="Arial"/>
          <w:bCs/>
          <w:color w:val="auto"/>
        </w:rPr>
        <w:t xml:space="preserve"> and </w:t>
      </w:r>
      <w:r w:rsidRPr="00CD2C20">
        <w:rPr>
          <w:rFonts w:ascii="Arial" w:hAnsi="Arial" w:cs="Arial"/>
          <w:bCs/>
          <w:i/>
          <w:color w:val="auto"/>
        </w:rPr>
        <w:t>Cryptosporidium</w:t>
      </w:r>
      <w:r w:rsidR="00633F9B" w:rsidRPr="00CD2C20">
        <w:rPr>
          <w:rFonts w:ascii="Arial" w:hAnsi="Arial" w:cs="Arial"/>
          <w:bCs/>
          <w:i/>
          <w:color w:val="auto"/>
        </w:rPr>
        <w:t xml:space="preserve"> - </w:t>
      </w:r>
      <w:r w:rsidR="00633F9B" w:rsidRPr="00CD2C20">
        <w:rPr>
          <w:rFonts w:ascii="Arial" w:hAnsi="Arial" w:cs="Arial"/>
          <w:bCs/>
          <w:color w:val="auto"/>
        </w:rPr>
        <w:t>both of which are protozoa, not bacteria</w:t>
      </w:r>
      <w:r w:rsidR="004C7659" w:rsidRPr="00CD2C20">
        <w:rPr>
          <w:rFonts w:ascii="Arial" w:hAnsi="Arial" w:cs="Arial"/>
          <w:bCs/>
          <w:color w:val="auto"/>
        </w:rPr>
        <w:t xml:space="preserve">. </w:t>
      </w:r>
      <w:r w:rsidRPr="00CD2C20">
        <w:rPr>
          <w:rFonts w:ascii="Arial" w:hAnsi="Arial" w:cs="Arial"/>
          <w:i/>
          <w:color w:val="auto"/>
        </w:rPr>
        <w:t>Cryptosporidium</w:t>
      </w:r>
      <w:r w:rsidRPr="00CD2C20">
        <w:rPr>
          <w:rFonts w:ascii="Arial" w:hAnsi="Arial" w:cs="Arial"/>
          <w:color w:val="auto"/>
        </w:rPr>
        <w:t xml:space="preserve"> causes cryptosporidiosis, which is a very common infection of cattle</w:t>
      </w:r>
      <w:r w:rsidRPr="00CD2C20">
        <w:rPr>
          <w:rStyle w:val="EndnoteReference"/>
          <w:rFonts w:ascii="Arial" w:hAnsi="Arial" w:cs="Arial"/>
          <w:color w:val="auto"/>
        </w:rPr>
        <w:endnoteReference w:id="5"/>
      </w:r>
      <w:r w:rsidRPr="00CD2C20">
        <w:rPr>
          <w:rFonts w:ascii="Arial" w:hAnsi="Arial" w:cs="Arial"/>
          <w:color w:val="auto"/>
        </w:rPr>
        <w:t xml:space="preserve"> and can cause intestinal illnesses in humans, including diarrhoea, abdominal pain, bloating, nausea, headaches and fever. Symptoms can last from days to weeks and can be life threatening in people with weakened immune systems.</w:t>
      </w:r>
    </w:p>
    <w:p w14:paraId="085A8D6B" w14:textId="77777777" w:rsidR="00BC4347" w:rsidRPr="00CD2C20" w:rsidRDefault="009F23E8" w:rsidP="00E96084">
      <w:pPr>
        <w:pStyle w:val="Heading2"/>
        <w:numPr>
          <w:ilvl w:val="1"/>
          <w:numId w:val="9"/>
        </w:numPr>
        <w:ind w:left="0" w:firstLine="0"/>
        <w:rPr>
          <w:rFonts w:ascii="Arial" w:hAnsi="Arial"/>
          <w:color w:val="auto"/>
        </w:rPr>
      </w:pPr>
      <w:r w:rsidRPr="00CD2C20">
        <w:rPr>
          <w:rFonts w:ascii="Arial" w:hAnsi="Arial"/>
          <w:color w:val="auto"/>
        </w:rPr>
        <w:t>R</w:t>
      </w:r>
      <w:r w:rsidR="00BC4347" w:rsidRPr="00CD2C20">
        <w:rPr>
          <w:rFonts w:ascii="Arial" w:hAnsi="Arial"/>
          <w:color w:val="auto"/>
        </w:rPr>
        <w:t>isks from juvenile stock manure</w:t>
      </w:r>
    </w:p>
    <w:p w14:paraId="14EFFA8F" w14:textId="77777777" w:rsidR="00BC4347" w:rsidRPr="00CD2C20" w:rsidRDefault="00BC4347" w:rsidP="004C7659">
      <w:pPr>
        <w:pStyle w:val="BodyText"/>
        <w:rPr>
          <w:rFonts w:ascii="Arial" w:hAnsi="Arial" w:cs="Arial"/>
          <w:color w:val="auto"/>
        </w:rPr>
      </w:pPr>
      <w:r w:rsidRPr="00CD2C20">
        <w:rPr>
          <w:rFonts w:ascii="Arial" w:hAnsi="Arial" w:cs="Arial"/>
          <w:color w:val="auto"/>
        </w:rPr>
        <w:t>Juvenile stock, particularly calves, contain many times more of these human-infectious pathogens than adult stock. This is because juvenile stock take a while to develop resistance to the protozoan pathogens that cause cryptosporidiosis. Adult stock are generally resistant to the disease, except for lactating stock which also contain more of these pathogens than other stock.</w:t>
      </w:r>
    </w:p>
    <w:p w14:paraId="556BF004" w14:textId="77777777" w:rsidR="00ED458D" w:rsidRDefault="00BC4347" w:rsidP="00ED458D">
      <w:pPr>
        <w:pStyle w:val="BodyText"/>
        <w:rPr>
          <w:rFonts w:ascii="Arial" w:hAnsi="Arial" w:cs="Arial"/>
          <w:color w:val="auto"/>
        </w:rPr>
      </w:pPr>
      <w:r w:rsidRPr="00CD2C20">
        <w:rPr>
          <w:rFonts w:ascii="Arial" w:hAnsi="Arial" w:cs="Arial"/>
          <w:color w:val="auto"/>
        </w:rPr>
        <w:t xml:space="preserve">Various studies show that pre-weaned calves (birth </w:t>
      </w:r>
      <w:r w:rsidR="004C7659" w:rsidRPr="00CD2C20">
        <w:rPr>
          <w:rFonts w:ascii="Arial" w:hAnsi="Arial" w:cs="Arial"/>
          <w:color w:val="auto"/>
        </w:rPr>
        <w:t>–</w:t>
      </w:r>
      <w:r w:rsidRPr="00CD2C20">
        <w:rPr>
          <w:rFonts w:ascii="Arial" w:hAnsi="Arial" w:cs="Arial"/>
          <w:color w:val="auto"/>
        </w:rPr>
        <w:t xml:space="preserve"> </w:t>
      </w:r>
      <w:r w:rsidR="004C7659" w:rsidRPr="00CD2C20">
        <w:rPr>
          <w:rFonts w:ascii="Arial" w:hAnsi="Arial" w:cs="Arial"/>
          <w:color w:val="auto"/>
        </w:rPr>
        <w:t>8</w:t>
      </w:r>
      <w:r w:rsidRPr="00CD2C20">
        <w:rPr>
          <w:rFonts w:ascii="Arial" w:hAnsi="Arial" w:cs="Arial"/>
          <w:color w:val="auto"/>
        </w:rPr>
        <w:t xml:space="preserve"> weeks of age), post-weaned calves (</w:t>
      </w:r>
      <w:r w:rsidR="004C7659" w:rsidRPr="00CD2C20">
        <w:rPr>
          <w:rFonts w:ascii="Arial" w:hAnsi="Arial" w:cs="Arial"/>
          <w:color w:val="auto"/>
        </w:rPr>
        <w:t>3 – 12</w:t>
      </w:r>
      <w:r w:rsidRPr="00CD2C20">
        <w:rPr>
          <w:rFonts w:ascii="Arial" w:hAnsi="Arial" w:cs="Arial"/>
          <w:color w:val="auto"/>
        </w:rPr>
        <w:t xml:space="preserve"> months) and heifers (12 – 24 months) all carry greater rates of human-infectious </w:t>
      </w:r>
      <w:r w:rsidRPr="00CD2C20">
        <w:rPr>
          <w:rFonts w:ascii="Arial" w:hAnsi="Arial" w:cs="Arial"/>
          <w:i/>
          <w:color w:val="auto"/>
        </w:rPr>
        <w:t>Cryptosporidium</w:t>
      </w:r>
      <w:r w:rsidRPr="00CD2C20">
        <w:rPr>
          <w:rFonts w:ascii="Arial" w:hAnsi="Arial" w:cs="Arial"/>
          <w:color w:val="auto"/>
        </w:rPr>
        <w:t xml:space="preserve"> than adult animals</w:t>
      </w:r>
      <w:r w:rsidRPr="00CD2C20">
        <w:rPr>
          <w:rStyle w:val="EndnoteReference"/>
          <w:rFonts w:ascii="Arial" w:hAnsi="Arial" w:cs="Arial"/>
          <w:color w:val="auto"/>
        </w:rPr>
        <w:endnoteReference w:id="6"/>
      </w:r>
      <w:r w:rsidRPr="00CD2C20">
        <w:rPr>
          <w:rFonts w:ascii="Arial" w:hAnsi="Arial" w:cs="Arial"/>
          <w:color w:val="auto"/>
        </w:rPr>
        <w:t xml:space="preserve">. The highest rates of infection are typically found in pre-weaned calves (birth </w:t>
      </w:r>
      <w:r w:rsidR="004C7659" w:rsidRPr="00CD2C20">
        <w:rPr>
          <w:rFonts w:ascii="Arial" w:hAnsi="Arial" w:cs="Arial"/>
          <w:color w:val="auto"/>
        </w:rPr>
        <w:t xml:space="preserve">– 8 </w:t>
      </w:r>
      <w:r w:rsidRPr="00CD2C20">
        <w:rPr>
          <w:rFonts w:ascii="Arial" w:hAnsi="Arial" w:cs="Arial"/>
          <w:color w:val="auto"/>
        </w:rPr>
        <w:t xml:space="preserve">weeks of age). </w:t>
      </w:r>
    </w:p>
    <w:p w14:paraId="28E3A428" w14:textId="77777777" w:rsidR="00ED458D" w:rsidRDefault="00ED458D" w:rsidP="00ED458D">
      <w:pPr>
        <w:rPr>
          <w:lang w:eastAsia="en-US"/>
        </w:rPr>
      </w:pPr>
      <w:r>
        <w:br w:type="page"/>
      </w:r>
    </w:p>
    <w:p w14:paraId="401D5478" w14:textId="77777777" w:rsidR="007A2BA0" w:rsidRPr="00CD2C20" w:rsidRDefault="007A2BA0" w:rsidP="007A2BA0">
      <w:pPr>
        <w:pStyle w:val="TableTitle"/>
        <w:rPr>
          <w:rFonts w:ascii="Arial" w:hAnsi="Arial"/>
          <w:color w:val="auto"/>
        </w:rPr>
      </w:pPr>
      <w:r w:rsidRPr="00CD2C20">
        <w:rPr>
          <w:rFonts w:ascii="Arial" w:hAnsi="Arial"/>
          <w:color w:val="auto"/>
        </w:rPr>
        <w:lastRenderedPageBreak/>
        <w:t xml:space="preserve">Table 1. Approximate average yield of human-infectious </w:t>
      </w:r>
      <w:r w:rsidRPr="00CD2C20">
        <w:rPr>
          <w:rFonts w:ascii="Arial" w:hAnsi="Arial"/>
          <w:i/>
          <w:color w:val="auto"/>
        </w:rPr>
        <w:t>Cryptosporidium</w:t>
      </w:r>
      <w:r w:rsidRPr="00CD2C20">
        <w:rPr>
          <w:rFonts w:ascii="Arial" w:hAnsi="Arial"/>
          <w:color w:val="auto"/>
        </w:rPr>
        <w:t xml:space="preserve"> per day per host</w:t>
      </w:r>
      <w:r w:rsidRPr="00CD2C20">
        <w:rPr>
          <w:rStyle w:val="EndnoteReference"/>
          <w:rFonts w:ascii="Arial" w:hAnsi="Arial" w:cs="Arial"/>
          <w:color w:val="auto"/>
        </w:rPr>
        <w:endnoteReference w:id="7"/>
      </w:r>
      <w:r w:rsidRPr="00CD2C20">
        <w:rPr>
          <w:rFonts w:ascii="Arial" w:hAnsi="Arial"/>
          <w:color w:val="auto"/>
        </w:rPr>
        <w:t xml:space="preserve"> </w:t>
      </w:r>
    </w:p>
    <w:tbl>
      <w:tblPr>
        <w:tblW w:w="10206" w:type="dxa"/>
        <w:tblInd w:w="108" w:type="dxa"/>
        <w:tblBorders>
          <w:bottom w:val="single" w:sz="4" w:space="0" w:color="228591"/>
          <w:insideH w:val="single" w:sz="4" w:space="0" w:color="228591"/>
        </w:tblBorders>
        <w:tblLook w:val="01E0" w:firstRow="1" w:lastRow="1" w:firstColumn="1" w:lastColumn="1" w:noHBand="0" w:noVBand="0"/>
      </w:tblPr>
      <w:tblGrid>
        <w:gridCol w:w="2132"/>
        <w:gridCol w:w="1206"/>
        <w:gridCol w:w="1443"/>
        <w:gridCol w:w="1456"/>
        <w:gridCol w:w="1418"/>
        <w:gridCol w:w="1276"/>
        <w:gridCol w:w="1275"/>
      </w:tblGrid>
      <w:tr w:rsidR="00EE496F" w:rsidRPr="00566FE3" w14:paraId="6640BABC" w14:textId="77777777" w:rsidTr="00ED458D">
        <w:trPr>
          <w:trHeight w:val="844"/>
        </w:trPr>
        <w:tc>
          <w:tcPr>
            <w:tcW w:w="2132" w:type="dxa"/>
            <w:tcBorders>
              <w:top w:val="single" w:sz="4" w:space="0" w:color="000000"/>
              <w:bottom w:val="single" w:sz="4" w:space="0" w:color="000000"/>
            </w:tcBorders>
            <w:shd w:val="clear" w:color="auto" w:fill="363534" w:themeFill="text1"/>
            <w:vAlign w:val="center"/>
          </w:tcPr>
          <w:p w14:paraId="403E5370" w14:textId="77777777" w:rsidR="007A2BA0" w:rsidRPr="00572AE9" w:rsidRDefault="007A2BA0" w:rsidP="00E37FBE">
            <w:pPr>
              <w:pStyle w:val="TableHeadingRight"/>
              <w:jc w:val="left"/>
            </w:pPr>
            <w:r w:rsidRPr="00CD2C20">
              <w:rPr>
                <w:rFonts w:ascii="Arial" w:hAnsi="Arial" w:cs="Arial"/>
                <w:color w:val="auto"/>
              </w:rPr>
              <w:t>Factor</w:t>
            </w:r>
          </w:p>
        </w:tc>
        <w:tc>
          <w:tcPr>
            <w:tcW w:w="1206" w:type="dxa"/>
            <w:tcBorders>
              <w:top w:val="single" w:sz="4" w:space="0" w:color="000000"/>
              <w:bottom w:val="single" w:sz="4" w:space="0" w:color="000000"/>
            </w:tcBorders>
            <w:shd w:val="clear" w:color="auto" w:fill="363534" w:themeFill="text1"/>
            <w:vAlign w:val="center"/>
          </w:tcPr>
          <w:p w14:paraId="3213D358" w14:textId="77777777" w:rsidR="007A2BA0" w:rsidRPr="00572AE9" w:rsidRDefault="007A2BA0" w:rsidP="00391C29">
            <w:pPr>
              <w:pStyle w:val="TableHeadingRight"/>
              <w:jc w:val="center"/>
            </w:pPr>
            <w:r w:rsidRPr="00CD2C20">
              <w:rPr>
                <w:rFonts w:ascii="Arial" w:hAnsi="Arial" w:cs="Arial"/>
                <w:color w:val="auto"/>
              </w:rPr>
              <w:t>Human sewage</w:t>
            </w:r>
          </w:p>
        </w:tc>
        <w:tc>
          <w:tcPr>
            <w:tcW w:w="1443" w:type="dxa"/>
            <w:tcBorders>
              <w:top w:val="single" w:sz="4" w:space="0" w:color="000000"/>
              <w:bottom w:val="single" w:sz="4" w:space="0" w:color="000000"/>
            </w:tcBorders>
            <w:shd w:val="clear" w:color="auto" w:fill="363534" w:themeFill="text1"/>
            <w:vAlign w:val="center"/>
          </w:tcPr>
          <w:p w14:paraId="3D9FA0C6" w14:textId="77777777" w:rsidR="007A2BA0" w:rsidRPr="00572AE9" w:rsidRDefault="007A2BA0" w:rsidP="00391C29">
            <w:pPr>
              <w:pStyle w:val="TableHeadingRight"/>
              <w:jc w:val="center"/>
            </w:pPr>
            <w:r w:rsidRPr="00CD2C20">
              <w:rPr>
                <w:rFonts w:ascii="Arial" w:hAnsi="Arial" w:cs="Arial"/>
                <w:color w:val="auto"/>
              </w:rPr>
              <w:t>Calf</w:t>
            </w:r>
            <w:r w:rsidRPr="00CD2C20">
              <w:rPr>
                <w:rFonts w:ascii="Arial" w:hAnsi="Arial" w:cs="Arial"/>
                <w:color w:val="auto"/>
                <w:vertAlign w:val="superscript"/>
              </w:rPr>
              <w:t>^</w:t>
            </w:r>
            <w:r w:rsidRPr="00CD2C20">
              <w:rPr>
                <w:rFonts w:ascii="Arial" w:hAnsi="Arial" w:cs="Arial"/>
                <w:color w:val="auto"/>
              </w:rPr>
              <w:t xml:space="preserve"> manure</w:t>
            </w:r>
          </w:p>
        </w:tc>
        <w:tc>
          <w:tcPr>
            <w:tcW w:w="1456" w:type="dxa"/>
            <w:tcBorders>
              <w:top w:val="single" w:sz="4" w:space="0" w:color="000000"/>
              <w:bottom w:val="single" w:sz="4" w:space="0" w:color="000000"/>
            </w:tcBorders>
            <w:shd w:val="clear" w:color="auto" w:fill="363534" w:themeFill="text1"/>
            <w:vAlign w:val="center"/>
          </w:tcPr>
          <w:p w14:paraId="2FE7A28C" w14:textId="77777777" w:rsidR="007A2BA0" w:rsidRPr="00572AE9" w:rsidRDefault="007A2BA0" w:rsidP="00391C29">
            <w:pPr>
              <w:pStyle w:val="TableHeadingRight"/>
              <w:jc w:val="center"/>
            </w:pPr>
            <w:r w:rsidRPr="00CD2C20">
              <w:rPr>
                <w:rFonts w:ascii="Arial" w:hAnsi="Arial" w:cs="Arial"/>
                <w:color w:val="auto"/>
              </w:rPr>
              <w:t>Lamb manure</w:t>
            </w:r>
          </w:p>
        </w:tc>
        <w:tc>
          <w:tcPr>
            <w:tcW w:w="1418" w:type="dxa"/>
            <w:tcBorders>
              <w:top w:val="single" w:sz="4" w:space="0" w:color="000000"/>
              <w:bottom w:val="single" w:sz="4" w:space="0" w:color="000000"/>
            </w:tcBorders>
            <w:shd w:val="clear" w:color="auto" w:fill="363534" w:themeFill="text1"/>
            <w:vAlign w:val="center"/>
          </w:tcPr>
          <w:p w14:paraId="6453ADCC" w14:textId="77777777" w:rsidR="007A2BA0" w:rsidRPr="00572AE9" w:rsidRDefault="007A2BA0" w:rsidP="00391C29">
            <w:pPr>
              <w:pStyle w:val="TableHeadingRight"/>
              <w:jc w:val="center"/>
            </w:pPr>
            <w:r w:rsidRPr="00CD2C20">
              <w:rPr>
                <w:rFonts w:ascii="Arial" w:hAnsi="Arial" w:cs="Arial"/>
                <w:color w:val="auto"/>
              </w:rPr>
              <w:t>Dairy cow manure</w:t>
            </w:r>
          </w:p>
        </w:tc>
        <w:tc>
          <w:tcPr>
            <w:tcW w:w="1276" w:type="dxa"/>
            <w:tcBorders>
              <w:top w:val="single" w:sz="4" w:space="0" w:color="000000"/>
              <w:bottom w:val="single" w:sz="4" w:space="0" w:color="000000"/>
            </w:tcBorders>
            <w:shd w:val="clear" w:color="auto" w:fill="363534" w:themeFill="text1"/>
            <w:vAlign w:val="center"/>
          </w:tcPr>
          <w:p w14:paraId="793F5C3F" w14:textId="77777777" w:rsidR="007A2BA0" w:rsidRPr="00572AE9" w:rsidRDefault="007A2BA0" w:rsidP="00391C29">
            <w:pPr>
              <w:pStyle w:val="TableHeadingRight"/>
              <w:jc w:val="center"/>
            </w:pPr>
            <w:r w:rsidRPr="00CD2C20">
              <w:rPr>
                <w:rFonts w:ascii="Arial" w:hAnsi="Arial" w:cs="Arial"/>
                <w:color w:val="auto"/>
              </w:rPr>
              <w:t>Beef cow manure</w:t>
            </w:r>
          </w:p>
        </w:tc>
        <w:tc>
          <w:tcPr>
            <w:tcW w:w="1275" w:type="dxa"/>
            <w:tcBorders>
              <w:top w:val="single" w:sz="4" w:space="0" w:color="000000"/>
              <w:bottom w:val="single" w:sz="4" w:space="0" w:color="000000"/>
            </w:tcBorders>
            <w:shd w:val="clear" w:color="auto" w:fill="363534" w:themeFill="text1"/>
            <w:vAlign w:val="center"/>
          </w:tcPr>
          <w:p w14:paraId="0EC2E7BB" w14:textId="77777777" w:rsidR="007A2BA0" w:rsidRPr="00572AE9" w:rsidRDefault="007A2BA0" w:rsidP="00391C29">
            <w:pPr>
              <w:pStyle w:val="TableHeadingRight"/>
              <w:jc w:val="center"/>
            </w:pPr>
            <w:r w:rsidRPr="00CD2C20">
              <w:rPr>
                <w:rFonts w:ascii="Arial" w:hAnsi="Arial" w:cs="Arial"/>
                <w:color w:val="auto"/>
              </w:rPr>
              <w:t>Sheep manure</w:t>
            </w:r>
          </w:p>
        </w:tc>
      </w:tr>
      <w:tr w:rsidR="007A2BA0" w14:paraId="6CDDC4BB" w14:textId="77777777" w:rsidTr="00ED458D">
        <w:trPr>
          <w:trHeight w:val="844"/>
        </w:trPr>
        <w:tc>
          <w:tcPr>
            <w:tcW w:w="2132" w:type="dxa"/>
            <w:tcBorders>
              <w:top w:val="single" w:sz="4" w:space="0" w:color="000000"/>
              <w:bottom w:val="single" w:sz="4" w:space="0" w:color="000000"/>
            </w:tcBorders>
            <w:vAlign w:val="center"/>
          </w:tcPr>
          <w:p w14:paraId="5C48BB47" w14:textId="77777777" w:rsidR="007A2BA0" w:rsidRPr="00AC43FB" w:rsidRDefault="007A2BA0" w:rsidP="00391C29">
            <w:pPr>
              <w:pStyle w:val="TableTextCentre"/>
              <w:spacing w:line="240" w:lineRule="auto"/>
              <w:jc w:val="left"/>
            </w:pPr>
            <w:r w:rsidRPr="00CD2C20">
              <w:rPr>
                <w:rFonts w:ascii="Arial" w:hAnsi="Arial"/>
                <w:color w:val="auto"/>
              </w:rPr>
              <w:t>Prevalence of  Cryptosporidium*</w:t>
            </w:r>
          </w:p>
        </w:tc>
        <w:tc>
          <w:tcPr>
            <w:tcW w:w="1206" w:type="dxa"/>
            <w:tcBorders>
              <w:top w:val="single" w:sz="4" w:space="0" w:color="000000"/>
              <w:bottom w:val="single" w:sz="4" w:space="0" w:color="000000"/>
            </w:tcBorders>
            <w:vAlign w:val="center"/>
          </w:tcPr>
          <w:p w14:paraId="6D456BBB" w14:textId="77777777" w:rsidR="007A2BA0" w:rsidRPr="00AC43FB" w:rsidRDefault="007A2BA0" w:rsidP="00E37FBE">
            <w:pPr>
              <w:pStyle w:val="TableTextCentre"/>
              <w:spacing w:line="240" w:lineRule="auto"/>
              <w:rPr>
                <w:sz w:val="20"/>
              </w:rPr>
            </w:pPr>
            <w:r w:rsidRPr="00CD2C20">
              <w:rPr>
                <w:rFonts w:ascii="Arial" w:hAnsi="Arial"/>
                <w:color w:val="auto"/>
                <w:sz w:val="20"/>
              </w:rPr>
              <w:t>100%</w:t>
            </w:r>
          </w:p>
        </w:tc>
        <w:tc>
          <w:tcPr>
            <w:tcW w:w="1443" w:type="dxa"/>
            <w:tcBorders>
              <w:top w:val="single" w:sz="4" w:space="0" w:color="000000"/>
              <w:bottom w:val="single" w:sz="4" w:space="0" w:color="000000"/>
            </w:tcBorders>
            <w:vAlign w:val="center"/>
          </w:tcPr>
          <w:p w14:paraId="1B42D614" w14:textId="77777777" w:rsidR="007A2BA0" w:rsidRPr="00AC43FB" w:rsidRDefault="007A2BA0" w:rsidP="00E37FBE">
            <w:pPr>
              <w:pStyle w:val="TableTextCentre"/>
              <w:spacing w:line="240" w:lineRule="auto"/>
              <w:rPr>
                <w:sz w:val="20"/>
              </w:rPr>
            </w:pPr>
            <w:r w:rsidRPr="00CD2C20">
              <w:rPr>
                <w:rFonts w:ascii="Arial" w:hAnsi="Arial"/>
                <w:color w:val="auto"/>
                <w:sz w:val="20"/>
              </w:rPr>
              <w:t>50.3%</w:t>
            </w:r>
          </w:p>
        </w:tc>
        <w:tc>
          <w:tcPr>
            <w:tcW w:w="1456" w:type="dxa"/>
            <w:tcBorders>
              <w:top w:val="single" w:sz="4" w:space="0" w:color="000000"/>
              <w:bottom w:val="single" w:sz="4" w:space="0" w:color="000000"/>
            </w:tcBorders>
            <w:vAlign w:val="center"/>
          </w:tcPr>
          <w:p w14:paraId="6E1B7B87" w14:textId="77777777" w:rsidR="007A2BA0" w:rsidRPr="00AC43FB" w:rsidRDefault="007A2BA0" w:rsidP="00E37FBE">
            <w:pPr>
              <w:pStyle w:val="TableTextCentre"/>
              <w:spacing w:line="240" w:lineRule="auto"/>
              <w:rPr>
                <w:sz w:val="20"/>
              </w:rPr>
            </w:pPr>
            <w:r w:rsidRPr="00CD2C20">
              <w:rPr>
                <w:rFonts w:ascii="Arial" w:hAnsi="Arial"/>
                <w:color w:val="auto"/>
                <w:sz w:val="20"/>
              </w:rPr>
              <w:t>12.9%</w:t>
            </w:r>
          </w:p>
        </w:tc>
        <w:tc>
          <w:tcPr>
            <w:tcW w:w="1418" w:type="dxa"/>
            <w:tcBorders>
              <w:top w:val="single" w:sz="4" w:space="0" w:color="000000"/>
              <w:bottom w:val="single" w:sz="4" w:space="0" w:color="000000"/>
            </w:tcBorders>
            <w:vAlign w:val="center"/>
          </w:tcPr>
          <w:p w14:paraId="2F5EE813" w14:textId="77777777" w:rsidR="007A2BA0" w:rsidRPr="00AC43FB" w:rsidRDefault="007A2BA0" w:rsidP="00E37FBE">
            <w:pPr>
              <w:pStyle w:val="TableTextCentre"/>
              <w:spacing w:line="240" w:lineRule="auto"/>
              <w:rPr>
                <w:sz w:val="20"/>
              </w:rPr>
            </w:pPr>
            <w:r w:rsidRPr="00CD2C20">
              <w:rPr>
                <w:rFonts w:ascii="Arial" w:hAnsi="Arial"/>
                <w:color w:val="auto"/>
                <w:sz w:val="20"/>
              </w:rPr>
              <w:t>11.9%</w:t>
            </w:r>
          </w:p>
        </w:tc>
        <w:tc>
          <w:tcPr>
            <w:tcW w:w="1276" w:type="dxa"/>
            <w:tcBorders>
              <w:top w:val="single" w:sz="4" w:space="0" w:color="000000"/>
              <w:bottom w:val="single" w:sz="4" w:space="0" w:color="000000"/>
            </w:tcBorders>
            <w:vAlign w:val="center"/>
          </w:tcPr>
          <w:p w14:paraId="66F9E875" w14:textId="77777777" w:rsidR="007A2BA0" w:rsidRPr="00AC43FB" w:rsidRDefault="007A2BA0" w:rsidP="00E37FBE">
            <w:pPr>
              <w:pStyle w:val="TableTextCentre"/>
              <w:spacing w:line="240" w:lineRule="auto"/>
              <w:rPr>
                <w:sz w:val="20"/>
              </w:rPr>
            </w:pPr>
            <w:r w:rsidRPr="00CD2C20">
              <w:rPr>
                <w:rFonts w:ascii="Arial" w:hAnsi="Arial"/>
                <w:color w:val="auto"/>
                <w:sz w:val="20"/>
              </w:rPr>
              <w:t>11.9%</w:t>
            </w:r>
          </w:p>
        </w:tc>
        <w:tc>
          <w:tcPr>
            <w:tcW w:w="1275" w:type="dxa"/>
            <w:tcBorders>
              <w:top w:val="single" w:sz="4" w:space="0" w:color="000000"/>
              <w:bottom w:val="single" w:sz="4" w:space="0" w:color="000000"/>
            </w:tcBorders>
            <w:vAlign w:val="center"/>
          </w:tcPr>
          <w:p w14:paraId="1C57BC41" w14:textId="77777777" w:rsidR="007A2BA0" w:rsidRPr="00AC43FB" w:rsidRDefault="007A2BA0" w:rsidP="00E37FBE">
            <w:pPr>
              <w:pStyle w:val="TableTextCentre"/>
              <w:spacing w:line="240" w:lineRule="auto"/>
              <w:rPr>
                <w:sz w:val="20"/>
              </w:rPr>
            </w:pPr>
            <w:r w:rsidRPr="00CD2C20">
              <w:rPr>
                <w:rFonts w:ascii="Arial" w:hAnsi="Arial"/>
                <w:color w:val="auto"/>
                <w:sz w:val="20"/>
              </w:rPr>
              <w:t>5.3%</w:t>
            </w:r>
          </w:p>
        </w:tc>
      </w:tr>
      <w:tr w:rsidR="007A2BA0" w14:paraId="489AA648" w14:textId="77777777" w:rsidTr="00ED458D">
        <w:trPr>
          <w:trHeight w:val="818"/>
        </w:trPr>
        <w:tc>
          <w:tcPr>
            <w:tcW w:w="2132" w:type="dxa"/>
            <w:tcBorders>
              <w:top w:val="single" w:sz="4" w:space="0" w:color="000000"/>
              <w:bottom w:val="single" w:sz="4" w:space="0" w:color="000000"/>
            </w:tcBorders>
            <w:vAlign w:val="center"/>
          </w:tcPr>
          <w:p w14:paraId="12D11FD7" w14:textId="77777777" w:rsidR="007A2BA0" w:rsidRPr="00AC43FB" w:rsidRDefault="007A2BA0" w:rsidP="00391C29">
            <w:pPr>
              <w:pStyle w:val="TableTextCentre"/>
              <w:spacing w:line="240" w:lineRule="auto"/>
              <w:jc w:val="left"/>
            </w:pPr>
            <w:r w:rsidRPr="00CD2C20">
              <w:rPr>
                <w:rFonts w:ascii="Arial" w:hAnsi="Arial"/>
                <w:color w:val="auto"/>
              </w:rPr>
              <w:t>Human-infectious proportion*</w:t>
            </w:r>
          </w:p>
        </w:tc>
        <w:tc>
          <w:tcPr>
            <w:tcW w:w="1206" w:type="dxa"/>
            <w:tcBorders>
              <w:top w:val="single" w:sz="4" w:space="0" w:color="000000"/>
              <w:bottom w:val="single" w:sz="4" w:space="0" w:color="000000"/>
            </w:tcBorders>
            <w:vAlign w:val="center"/>
          </w:tcPr>
          <w:p w14:paraId="7BBF2FC7" w14:textId="77777777" w:rsidR="007A2BA0" w:rsidRPr="00572AE9" w:rsidRDefault="007A2BA0" w:rsidP="00E37FBE">
            <w:pPr>
              <w:pStyle w:val="TableTextCentre"/>
              <w:spacing w:line="240" w:lineRule="auto"/>
              <w:rPr>
                <w:sz w:val="20"/>
              </w:rPr>
            </w:pPr>
            <w:r w:rsidRPr="00CD2C20">
              <w:rPr>
                <w:rFonts w:ascii="Arial" w:hAnsi="Arial"/>
                <w:color w:val="auto"/>
                <w:sz w:val="20"/>
              </w:rPr>
              <w:t>100%</w:t>
            </w:r>
          </w:p>
        </w:tc>
        <w:tc>
          <w:tcPr>
            <w:tcW w:w="1443" w:type="dxa"/>
            <w:tcBorders>
              <w:top w:val="single" w:sz="4" w:space="0" w:color="000000"/>
              <w:bottom w:val="single" w:sz="4" w:space="0" w:color="000000"/>
            </w:tcBorders>
            <w:vAlign w:val="center"/>
          </w:tcPr>
          <w:p w14:paraId="7098D9BB" w14:textId="77777777" w:rsidR="007A2BA0" w:rsidRPr="00572AE9" w:rsidRDefault="007A2BA0" w:rsidP="00E37FBE">
            <w:pPr>
              <w:pStyle w:val="TableTextCentre"/>
              <w:spacing w:line="240" w:lineRule="auto"/>
              <w:rPr>
                <w:sz w:val="20"/>
              </w:rPr>
            </w:pPr>
            <w:r w:rsidRPr="00CD2C20">
              <w:rPr>
                <w:rFonts w:ascii="Arial" w:hAnsi="Arial"/>
                <w:color w:val="auto"/>
                <w:sz w:val="20"/>
              </w:rPr>
              <w:t>85%</w:t>
            </w:r>
          </w:p>
        </w:tc>
        <w:tc>
          <w:tcPr>
            <w:tcW w:w="1456" w:type="dxa"/>
            <w:tcBorders>
              <w:top w:val="single" w:sz="4" w:space="0" w:color="000000"/>
              <w:bottom w:val="single" w:sz="4" w:space="0" w:color="000000"/>
            </w:tcBorders>
            <w:vAlign w:val="center"/>
          </w:tcPr>
          <w:p w14:paraId="32E5BF44" w14:textId="77777777" w:rsidR="007A2BA0" w:rsidRPr="00572AE9" w:rsidRDefault="007A2BA0" w:rsidP="00E37FBE">
            <w:pPr>
              <w:pStyle w:val="TableTextCentre"/>
              <w:spacing w:line="240" w:lineRule="auto"/>
              <w:rPr>
                <w:sz w:val="20"/>
              </w:rPr>
            </w:pPr>
            <w:r w:rsidRPr="00CD2C20">
              <w:rPr>
                <w:rFonts w:ascii="Arial" w:hAnsi="Arial"/>
                <w:color w:val="auto"/>
                <w:sz w:val="20"/>
              </w:rPr>
              <w:t>70%</w:t>
            </w:r>
          </w:p>
        </w:tc>
        <w:tc>
          <w:tcPr>
            <w:tcW w:w="1418" w:type="dxa"/>
            <w:tcBorders>
              <w:top w:val="single" w:sz="4" w:space="0" w:color="000000"/>
              <w:bottom w:val="single" w:sz="4" w:space="0" w:color="000000"/>
            </w:tcBorders>
            <w:vAlign w:val="center"/>
          </w:tcPr>
          <w:p w14:paraId="32E74F92" w14:textId="77777777" w:rsidR="007A2BA0" w:rsidRPr="00572AE9" w:rsidRDefault="007A2BA0" w:rsidP="00E37FBE">
            <w:pPr>
              <w:pStyle w:val="TableTextCentre"/>
              <w:spacing w:line="240" w:lineRule="auto"/>
              <w:rPr>
                <w:sz w:val="20"/>
              </w:rPr>
            </w:pPr>
            <w:r w:rsidRPr="00CD2C20">
              <w:rPr>
                <w:rFonts w:ascii="Arial" w:hAnsi="Arial"/>
                <w:color w:val="auto"/>
                <w:sz w:val="20"/>
              </w:rPr>
              <w:t>0.7%</w:t>
            </w:r>
          </w:p>
        </w:tc>
        <w:tc>
          <w:tcPr>
            <w:tcW w:w="1276" w:type="dxa"/>
            <w:tcBorders>
              <w:top w:val="single" w:sz="4" w:space="0" w:color="000000"/>
              <w:bottom w:val="single" w:sz="4" w:space="0" w:color="000000"/>
            </w:tcBorders>
            <w:vAlign w:val="center"/>
          </w:tcPr>
          <w:p w14:paraId="6EE472E5" w14:textId="77777777" w:rsidR="007A2BA0" w:rsidRPr="00572AE9" w:rsidRDefault="007A2BA0" w:rsidP="00E37FBE">
            <w:pPr>
              <w:pStyle w:val="TableTextCentre"/>
              <w:spacing w:line="240" w:lineRule="auto"/>
              <w:rPr>
                <w:sz w:val="20"/>
              </w:rPr>
            </w:pPr>
            <w:r w:rsidRPr="00CD2C20">
              <w:rPr>
                <w:rFonts w:ascii="Arial" w:hAnsi="Arial"/>
                <w:color w:val="auto"/>
                <w:sz w:val="20"/>
              </w:rPr>
              <w:t>0.7%</w:t>
            </w:r>
          </w:p>
        </w:tc>
        <w:tc>
          <w:tcPr>
            <w:tcW w:w="1275" w:type="dxa"/>
            <w:tcBorders>
              <w:top w:val="single" w:sz="4" w:space="0" w:color="000000"/>
              <w:bottom w:val="single" w:sz="4" w:space="0" w:color="000000"/>
            </w:tcBorders>
            <w:vAlign w:val="center"/>
          </w:tcPr>
          <w:p w14:paraId="4D18B9BF" w14:textId="77777777" w:rsidR="007A2BA0" w:rsidRPr="00572AE9" w:rsidRDefault="007A2BA0" w:rsidP="00E37FBE">
            <w:pPr>
              <w:pStyle w:val="TableTextCentre"/>
              <w:spacing w:line="240" w:lineRule="auto"/>
              <w:rPr>
                <w:sz w:val="20"/>
              </w:rPr>
            </w:pPr>
            <w:r w:rsidRPr="00CD2C20">
              <w:rPr>
                <w:rFonts w:ascii="Arial" w:hAnsi="Arial"/>
                <w:color w:val="auto"/>
                <w:sz w:val="20"/>
              </w:rPr>
              <w:t>1%</w:t>
            </w:r>
          </w:p>
        </w:tc>
      </w:tr>
      <w:tr w:rsidR="007A2BA0" w14:paraId="41EEE1B8" w14:textId="77777777" w:rsidTr="00ED458D">
        <w:trPr>
          <w:trHeight w:val="871"/>
        </w:trPr>
        <w:tc>
          <w:tcPr>
            <w:tcW w:w="2132" w:type="dxa"/>
            <w:tcBorders>
              <w:top w:val="single" w:sz="4" w:space="0" w:color="000000"/>
              <w:bottom w:val="single" w:sz="4" w:space="0" w:color="000000"/>
            </w:tcBorders>
            <w:vAlign w:val="center"/>
          </w:tcPr>
          <w:p w14:paraId="6FEA0673" w14:textId="77777777" w:rsidR="007A2BA0" w:rsidRPr="00AC43FB" w:rsidRDefault="007A2BA0" w:rsidP="00391C29">
            <w:pPr>
              <w:pStyle w:val="TableTextCentre"/>
              <w:spacing w:line="240" w:lineRule="auto"/>
              <w:jc w:val="left"/>
            </w:pPr>
            <w:r w:rsidRPr="00CD2C20">
              <w:rPr>
                <w:rFonts w:ascii="Arial" w:hAnsi="Arial"/>
                <w:color w:val="auto"/>
              </w:rPr>
              <w:t>Concentration of oocysts per litre or gram of manure</w:t>
            </w:r>
          </w:p>
        </w:tc>
        <w:tc>
          <w:tcPr>
            <w:tcW w:w="1206" w:type="dxa"/>
            <w:tcBorders>
              <w:top w:val="single" w:sz="4" w:space="0" w:color="000000"/>
              <w:bottom w:val="single" w:sz="4" w:space="0" w:color="000000"/>
            </w:tcBorders>
            <w:vAlign w:val="center"/>
          </w:tcPr>
          <w:p w14:paraId="00065202" w14:textId="77777777" w:rsidR="007A2BA0" w:rsidRPr="00572AE9" w:rsidRDefault="007A2BA0" w:rsidP="00E37FBE">
            <w:pPr>
              <w:pStyle w:val="TableTextCentre"/>
              <w:spacing w:line="240" w:lineRule="auto"/>
              <w:rPr>
                <w:sz w:val="20"/>
              </w:rPr>
            </w:pPr>
            <w:r w:rsidRPr="00CD2C20">
              <w:rPr>
                <w:rFonts w:ascii="Arial" w:hAnsi="Arial"/>
                <w:color w:val="auto"/>
                <w:sz w:val="20"/>
              </w:rPr>
              <w:t>2,000/L</w:t>
            </w:r>
          </w:p>
        </w:tc>
        <w:tc>
          <w:tcPr>
            <w:tcW w:w="1443" w:type="dxa"/>
            <w:tcBorders>
              <w:top w:val="single" w:sz="4" w:space="0" w:color="000000"/>
              <w:bottom w:val="single" w:sz="4" w:space="0" w:color="000000"/>
            </w:tcBorders>
            <w:vAlign w:val="center"/>
          </w:tcPr>
          <w:p w14:paraId="0D84BD51" w14:textId="77777777" w:rsidR="007A2BA0" w:rsidRPr="00572AE9" w:rsidRDefault="007A2BA0" w:rsidP="00E37FBE">
            <w:pPr>
              <w:pStyle w:val="TableTextCentre"/>
              <w:spacing w:line="240" w:lineRule="auto"/>
              <w:rPr>
                <w:sz w:val="20"/>
              </w:rPr>
            </w:pPr>
            <w:r w:rsidRPr="00CD2C20">
              <w:rPr>
                <w:rFonts w:ascii="Arial" w:hAnsi="Arial"/>
                <w:color w:val="auto"/>
                <w:sz w:val="20"/>
              </w:rPr>
              <w:t>24,000/g</w:t>
            </w:r>
          </w:p>
        </w:tc>
        <w:tc>
          <w:tcPr>
            <w:tcW w:w="1456" w:type="dxa"/>
            <w:tcBorders>
              <w:top w:val="single" w:sz="4" w:space="0" w:color="000000"/>
              <w:bottom w:val="single" w:sz="4" w:space="0" w:color="000000"/>
            </w:tcBorders>
            <w:vAlign w:val="center"/>
          </w:tcPr>
          <w:p w14:paraId="385F94CF" w14:textId="77777777" w:rsidR="007A2BA0" w:rsidRPr="00572AE9" w:rsidRDefault="007A2BA0" w:rsidP="00E37FBE">
            <w:pPr>
              <w:pStyle w:val="TableTextCentre"/>
              <w:spacing w:line="240" w:lineRule="auto"/>
              <w:rPr>
                <w:sz w:val="20"/>
              </w:rPr>
            </w:pPr>
            <w:r w:rsidRPr="00CD2C20">
              <w:rPr>
                <w:rFonts w:ascii="Arial" w:hAnsi="Arial"/>
                <w:color w:val="auto"/>
                <w:sz w:val="20"/>
              </w:rPr>
              <w:t>18,000/g</w:t>
            </w:r>
          </w:p>
        </w:tc>
        <w:tc>
          <w:tcPr>
            <w:tcW w:w="1418" w:type="dxa"/>
            <w:tcBorders>
              <w:top w:val="single" w:sz="4" w:space="0" w:color="000000"/>
              <w:bottom w:val="single" w:sz="4" w:space="0" w:color="000000"/>
            </w:tcBorders>
            <w:vAlign w:val="center"/>
          </w:tcPr>
          <w:p w14:paraId="45DC9C2A" w14:textId="77777777" w:rsidR="007A2BA0" w:rsidRPr="00572AE9" w:rsidRDefault="007A2BA0" w:rsidP="00E37FBE">
            <w:pPr>
              <w:pStyle w:val="TableTextCentre"/>
              <w:spacing w:line="240" w:lineRule="auto"/>
              <w:rPr>
                <w:sz w:val="20"/>
              </w:rPr>
            </w:pPr>
            <w:r w:rsidRPr="00CD2C20">
              <w:rPr>
                <w:rFonts w:ascii="Arial" w:hAnsi="Arial"/>
                <w:color w:val="auto"/>
                <w:sz w:val="20"/>
              </w:rPr>
              <w:t>1,800/g</w:t>
            </w:r>
          </w:p>
        </w:tc>
        <w:tc>
          <w:tcPr>
            <w:tcW w:w="1276" w:type="dxa"/>
            <w:tcBorders>
              <w:top w:val="single" w:sz="4" w:space="0" w:color="000000"/>
              <w:bottom w:val="single" w:sz="4" w:space="0" w:color="000000"/>
            </w:tcBorders>
            <w:vAlign w:val="center"/>
          </w:tcPr>
          <w:p w14:paraId="3B5FCC27" w14:textId="77777777" w:rsidR="007A2BA0" w:rsidRPr="00572AE9" w:rsidRDefault="007A2BA0" w:rsidP="00E37FBE">
            <w:pPr>
              <w:pStyle w:val="TableTextCentre"/>
              <w:spacing w:line="240" w:lineRule="auto"/>
              <w:rPr>
                <w:sz w:val="20"/>
              </w:rPr>
            </w:pPr>
            <w:r w:rsidRPr="00CD2C20">
              <w:rPr>
                <w:rFonts w:ascii="Arial" w:hAnsi="Arial"/>
                <w:color w:val="auto"/>
                <w:sz w:val="20"/>
              </w:rPr>
              <w:t>1,400/g</w:t>
            </w:r>
          </w:p>
        </w:tc>
        <w:tc>
          <w:tcPr>
            <w:tcW w:w="1275" w:type="dxa"/>
            <w:tcBorders>
              <w:top w:val="single" w:sz="4" w:space="0" w:color="000000"/>
              <w:bottom w:val="single" w:sz="4" w:space="0" w:color="000000"/>
            </w:tcBorders>
            <w:vAlign w:val="center"/>
          </w:tcPr>
          <w:p w14:paraId="6527C64A" w14:textId="77777777" w:rsidR="007A2BA0" w:rsidRPr="00572AE9" w:rsidRDefault="007A2BA0" w:rsidP="00E37FBE">
            <w:pPr>
              <w:pStyle w:val="TableTextCentre"/>
              <w:spacing w:line="240" w:lineRule="auto"/>
              <w:rPr>
                <w:sz w:val="20"/>
              </w:rPr>
            </w:pPr>
            <w:r w:rsidRPr="00CD2C20">
              <w:rPr>
                <w:rFonts w:ascii="Arial" w:hAnsi="Arial"/>
                <w:color w:val="auto"/>
                <w:sz w:val="20"/>
              </w:rPr>
              <w:t>2,800/g</w:t>
            </w:r>
          </w:p>
        </w:tc>
      </w:tr>
      <w:tr w:rsidR="007A2BA0" w14:paraId="49D82190" w14:textId="77777777" w:rsidTr="00ED458D">
        <w:trPr>
          <w:trHeight w:val="871"/>
        </w:trPr>
        <w:tc>
          <w:tcPr>
            <w:tcW w:w="2132" w:type="dxa"/>
            <w:tcBorders>
              <w:top w:val="single" w:sz="4" w:space="0" w:color="000000"/>
              <w:bottom w:val="single" w:sz="4" w:space="0" w:color="000000"/>
            </w:tcBorders>
            <w:vAlign w:val="center"/>
          </w:tcPr>
          <w:p w14:paraId="04562BB6" w14:textId="77777777" w:rsidR="007A2BA0" w:rsidRPr="00AC43FB" w:rsidRDefault="007A2BA0" w:rsidP="00391C29">
            <w:pPr>
              <w:pStyle w:val="TableTextCentre"/>
              <w:spacing w:line="240" w:lineRule="auto"/>
              <w:jc w:val="left"/>
            </w:pPr>
            <w:r w:rsidRPr="00CD2C20">
              <w:rPr>
                <w:rFonts w:ascii="Arial" w:hAnsi="Arial"/>
                <w:color w:val="auto"/>
              </w:rPr>
              <w:t>Average number of human-infectious oocysts shed per infected host per day</w:t>
            </w:r>
          </w:p>
        </w:tc>
        <w:tc>
          <w:tcPr>
            <w:tcW w:w="1206" w:type="dxa"/>
            <w:tcBorders>
              <w:top w:val="single" w:sz="4" w:space="0" w:color="000000"/>
              <w:bottom w:val="single" w:sz="4" w:space="0" w:color="000000"/>
            </w:tcBorders>
            <w:vAlign w:val="center"/>
          </w:tcPr>
          <w:p w14:paraId="78D78CC0" w14:textId="77777777" w:rsidR="007A2BA0" w:rsidRPr="00572AE9" w:rsidRDefault="007A2BA0" w:rsidP="00E37FBE">
            <w:pPr>
              <w:pStyle w:val="TableTextCentre"/>
              <w:spacing w:line="240" w:lineRule="auto"/>
              <w:rPr>
                <w:sz w:val="20"/>
              </w:rPr>
            </w:pPr>
            <w:r w:rsidRPr="00CD2C20">
              <w:rPr>
                <w:rFonts w:ascii="Arial" w:hAnsi="Arial"/>
                <w:color w:val="auto"/>
                <w:sz w:val="20"/>
              </w:rPr>
              <w:t>300,000</w:t>
            </w:r>
          </w:p>
        </w:tc>
        <w:tc>
          <w:tcPr>
            <w:tcW w:w="1443" w:type="dxa"/>
            <w:tcBorders>
              <w:top w:val="single" w:sz="4" w:space="0" w:color="000000"/>
              <w:bottom w:val="single" w:sz="4" w:space="0" w:color="000000"/>
            </w:tcBorders>
            <w:vAlign w:val="center"/>
          </w:tcPr>
          <w:p w14:paraId="003FA554" w14:textId="77777777" w:rsidR="007A2BA0" w:rsidRPr="00572AE9" w:rsidRDefault="007A2BA0" w:rsidP="00E37FBE">
            <w:pPr>
              <w:pStyle w:val="TableTextCentre"/>
              <w:spacing w:line="240" w:lineRule="auto"/>
              <w:rPr>
                <w:sz w:val="20"/>
              </w:rPr>
            </w:pPr>
            <w:r w:rsidRPr="00CD2C20">
              <w:rPr>
                <w:rFonts w:ascii="Arial" w:hAnsi="Arial"/>
                <w:color w:val="auto"/>
                <w:sz w:val="20"/>
              </w:rPr>
              <w:t>57,000,000</w:t>
            </w:r>
          </w:p>
        </w:tc>
        <w:tc>
          <w:tcPr>
            <w:tcW w:w="1456" w:type="dxa"/>
            <w:tcBorders>
              <w:top w:val="single" w:sz="4" w:space="0" w:color="000000"/>
              <w:bottom w:val="single" w:sz="4" w:space="0" w:color="000000"/>
            </w:tcBorders>
            <w:vAlign w:val="center"/>
          </w:tcPr>
          <w:p w14:paraId="24B6397F" w14:textId="77777777" w:rsidR="007A2BA0" w:rsidRPr="00572AE9" w:rsidRDefault="007A2BA0" w:rsidP="00E37FBE">
            <w:pPr>
              <w:pStyle w:val="TableTextCentre"/>
              <w:spacing w:line="240" w:lineRule="auto"/>
              <w:rPr>
                <w:sz w:val="20"/>
              </w:rPr>
            </w:pPr>
            <w:r w:rsidRPr="00CD2C20">
              <w:rPr>
                <w:rFonts w:ascii="Arial" w:hAnsi="Arial"/>
                <w:color w:val="auto"/>
                <w:sz w:val="20"/>
              </w:rPr>
              <w:t>1,620,000</w:t>
            </w:r>
          </w:p>
        </w:tc>
        <w:tc>
          <w:tcPr>
            <w:tcW w:w="1418" w:type="dxa"/>
            <w:tcBorders>
              <w:top w:val="single" w:sz="4" w:space="0" w:color="000000"/>
              <w:bottom w:val="single" w:sz="4" w:space="0" w:color="000000"/>
            </w:tcBorders>
            <w:vAlign w:val="center"/>
          </w:tcPr>
          <w:p w14:paraId="7DC87688" w14:textId="77777777" w:rsidR="007A2BA0" w:rsidRPr="00572AE9" w:rsidRDefault="007A2BA0" w:rsidP="00E37FBE">
            <w:pPr>
              <w:pStyle w:val="TableTextCentre"/>
              <w:spacing w:line="240" w:lineRule="auto"/>
              <w:rPr>
                <w:sz w:val="20"/>
              </w:rPr>
            </w:pPr>
            <w:r w:rsidRPr="00CD2C20">
              <w:rPr>
                <w:rFonts w:ascii="Arial" w:hAnsi="Arial"/>
                <w:color w:val="auto"/>
                <w:sz w:val="20"/>
              </w:rPr>
              <w:t>81,500</w:t>
            </w:r>
          </w:p>
        </w:tc>
        <w:tc>
          <w:tcPr>
            <w:tcW w:w="1276" w:type="dxa"/>
            <w:tcBorders>
              <w:top w:val="single" w:sz="4" w:space="0" w:color="000000"/>
              <w:bottom w:val="single" w:sz="4" w:space="0" w:color="000000"/>
            </w:tcBorders>
            <w:vAlign w:val="center"/>
          </w:tcPr>
          <w:p w14:paraId="0E782CE1" w14:textId="77777777" w:rsidR="007A2BA0" w:rsidRPr="00572AE9" w:rsidRDefault="007A2BA0" w:rsidP="00E37FBE">
            <w:pPr>
              <w:pStyle w:val="TableTextCentre"/>
              <w:spacing w:line="240" w:lineRule="auto"/>
              <w:rPr>
                <w:sz w:val="20"/>
              </w:rPr>
            </w:pPr>
            <w:r w:rsidRPr="00CD2C20">
              <w:rPr>
                <w:rFonts w:ascii="Arial" w:hAnsi="Arial"/>
                <w:color w:val="auto"/>
                <w:sz w:val="20"/>
              </w:rPr>
              <w:t>2,400</w:t>
            </w:r>
          </w:p>
        </w:tc>
        <w:tc>
          <w:tcPr>
            <w:tcW w:w="1275" w:type="dxa"/>
            <w:tcBorders>
              <w:top w:val="single" w:sz="4" w:space="0" w:color="000000"/>
              <w:bottom w:val="single" w:sz="4" w:space="0" w:color="000000"/>
            </w:tcBorders>
            <w:vAlign w:val="center"/>
          </w:tcPr>
          <w:p w14:paraId="335E75C0" w14:textId="77777777" w:rsidR="007A2BA0" w:rsidRPr="00572AE9" w:rsidRDefault="007A2BA0" w:rsidP="00E37FBE">
            <w:pPr>
              <w:pStyle w:val="TableTextCentre"/>
              <w:spacing w:line="240" w:lineRule="auto"/>
              <w:rPr>
                <w:sz w:val="20"/>
              </w:rPr>
            </w:pPr>
            <w:r w:rsidRPr="00CD2C20">
              <w:rPr>
                <w:rFonts w:ascii="Arial" w:hAnsi="Arial"/>
                <w:color w:val="auto"/>
                <w:sz w:val="20"/>
              </w:rPr>
              <w:t>1,600</w:t>
            </w:r>
          </w:p>
        </w:tc>
      </w:tr>
    </w:tbl>
    <w:p w14:paraId="038C70DA" w14:textId="77777777" w:rsidR="0095584F" w:rsidRPr="00CD2C20" w:rsidRDefault="007A2BA0" w:rsidP="00E37FBE">
      <w:pPr>
        <w:pStyle w:val="TableTextBullet3"/>
        <w:numPr>
          <w:ilvl w:val="0"/>
          <w:numId w:val="0"/>
        </w:numPr>
        <w:tabs>
          <w:tab w:val="clear" w:pos="822"/>
          <w:tab w:val="clear" w:pos="1219"/>
        </w:tabs>
        <w:ind w:left="624" w:hanging="414"/>
        <w:rPr>
          <w:rFonts w:ascii="Arial" w:hAnsi="Arial"/>
          <w:color w:val="auto"/>
        </w:rPr>
      </w:pPr>
      <w:r w:rsidRPr="00CD2C20">
        <w:rPr>
          <w:rFonts w:ascii="Arial" w:hAnsi="Arial"/>
          <w:color w:val="auto"/>
        </w:rPr>
        <w:t>^ For the purposes of this table, calves are defined as animals that are less than 12 months of age.</w:t>
      </w:r>
    </w:p>
    <w:p w14:paraId="3DD1FF03" w14:textId="77777777" w:rsidR="007A2BA0" w:rsidRPr="00CD2C20" w:rsidRDefault="007A2BA0" w:rsidP="00E37FBE">
      <w:pPr>
        <w:pStyle w:val="TableTextBullet3"/>
        <w:numPr>
          <w:ilvl w:val="0"/>
          <w:numId w:val="0"/>
        </w:numPr>
        <w:tabs>
          <w:tab w:val="clear" w:pos="822"/>
          <w:tab w:val="clear" w:pos="1219"/>
        </w:tabs>
        <w:ind w:left="624" w:hanging="414"/>
        <w:rPr>
          <w:rFonts w:ascii="Arial" w:hAnsi="Arial"/>
          <w:color w:val="auto"/>
        </w:rPr>
      </w:pPr>
      <w:r w:rsidRPr="00CD2C20">
        <w:rPr>
          <w:rFonts w:ascii="Arial" w:hAnsi="Arial"/>
          <w:color w:val="auto"/>
        </w:rPr>
        <w:t>* To interpret the table:  12.9% of lamb manure has Cryptosporidium and of that amount, 70% is human-infectious.</w:t>
      </w:r>
    </w:p>
    <w:p w14:paraId="3C30E930" w14:textId="77777777" w:rsidR="00ED458D" w:rsidRDefault="00ED458D" w:rsidP="009D226D">
      <w:pPr>
        <w:pStyle w:val="BodyText"/>
        <w:rPr>
          <w:rFonts w:ascii="Arial" w:hAnsi="Arial" w:cs="Arial"/>
          <w:color w:val="auto"/>
        </w:rPr>
      </w:pPr>
    </w:p>
    <w:p w14:paraId="3B6E9AC6" w14:textId="77777777" w:rsidR="009F23E8" w:rsidRPr="00CD2C20" w:rsidRDefault="009F23E8" w:rsidP="009D226D">
      <w:pPr>
        <w:pStyle w:val="BodyText"/>
        <w:rPr>
          <w:rFonts w:ascii="Arial" w:hAnsi="Arial" w:cs="Arial"/>
          <w:color w:val="auto"/>
        </w:rPr>
      </w:pPr>
      <w:r w:rsidRPr="00CD2C20">
        <w:rPr>
          <w:rFonts w:ascii="Arial" w:hAnsi="Arial" w:cs="Arial"/>
          <w:color w:val="auto"/>
        </w:rPr>
        <w:t xml:space="preserve">For example, Table 1 shows that for </w:t>
      </w:r>
      <w:r w:rsidRPr="00CD2C20">
        <w:rPr>
          <w:rFonts w:ascii="Arial" w:hAnsi="Arial" w:cs="Arial"/>
          <w:i/>
          <w:color w:val="auto"/>
        </w:rPr>
        <w:t>Cryptosporidium</w:t>
      </w:r>
      <w:r w:rsidRPr="00CD2C20">
        <w:rPr>
          <w:rFonts w:ascii="Arial" w:hAnsi="Arial" w:cs="Arial"/>
          <w:color w:val="auto"/>
        </w:rPr>
        <w:t>:</w:t>
      </w:r>
    </w:p>
    <w:p w14:paraId="1D346A95" w14:textId="77777777" w:rsidR="009D226D" w:rsidRPr="00CD2C20" w:rsidRDefault="009D226D" w:rsidP="00E96084">
      <w:pPr>
        <w:pStyle w:val="ListBullet"/>
        <w:rPr>
          <w:rFonts w:ascii="Arial" w:hAnsi="Arial"/>
          <w:color w:val="auto"/>
        </w:rPr>
      </w:pPr>
      <w:r w:rsidRPr="00CD2C20">
        <w:rPr>
          <w:rFonts w:ascii="Arial" w:hAnsi="Arial"/>
          <w:color w:val="auto"/>
        </w:rPr>
        <w:t>The proportion of oocysts</w:t>
      </w:r>
      <w:r w:rsidRPr="00CD2C20">
        <w:rPr>
          <w:rStyle w:val="FootnoteReference"/>
          <w:rFonts w:ascii="Arial" w:hAnsi="Arial" w:cs="Arial"/>
          <w:color w:val="auto"/>
        </w:rPr>
        <w:footnoteReference w:id="2"/>
      </w:r>
      <w:r w:rsidRPr="00CD2C20">
        <w:rPr>
          <w:rFonts w:ascii="Arial" w:hAnsi="Arial"/>
          <w:color w:val="auto"/>
        </w:rPr>
        <w:t xml:space="preserve"> is much higher in calf and lamb manure (18,000 to 24,000 per gram) than in adults (1,400 to 2,800 per gram).</w:t>
      </w:r>
    </w:p>
    <w:p w14:paraId="7EE9A8FF" w14:textId="77777777" w:rsidR="009D226D" w:rsidRPr="00CD2C20" w:rsidRDefault="009D226D" w:rsidP="00E96084">
      <w:pPr>
        <w:pStyle w:val="ListBullet"/>
        <w:rPr>
          <w:rFonts w:ascii="Arial" w:hAnsi="Arial"/>
          <w:color w:val="auto"/>
        </w:rPr>
      </w:pPr>
      <w:r w:rsidRPr="00CD2C20">
        <w:rPr>
          <w:rFonts w:ascii="Arial" w:hAnsi="Arial"/>
          <w:color w:val="auto"/>
        </w:rPr>
        <w:t xml:space="preserve">Calf manure is more likely to have </w:t>
      </w:r>
      <w:r w:rsidRPr="00CD2C20">
        <w:rPr>
          <w:rFonts w:ascii="Arial" w:hAnsi="Arial"/>
          <w:i/>
          <w:color w:val="auto"/>
        </w:rPr>
        <w:t xml:space="preserve">Cryptosporidium </w:t>
      </w:r>
      <w:r w:rsidRPr="00CD2C20">
        <w:rPr>
          <w:rFonts w:ascii="Arial" w:hAnsi="Arial"/>
          <w:color w:val="auto"/>
        </w:rPr>
        <w:t xml:space="preserve">than adult stock (50 percent compared 12 percent). For lamb manure, the difference is not as great compared to adult sheep but still significant </w:t>
      </w:r>
      <w:r w:rsidR="00AD58B8" w:rsidRPr="00CD2C20">
        <w:rPr>
          <w:rFonts w:ascii="Arial" w:hAnsi="Arial"/>
          <w:color w:val="auto"/>
        </w:rPr>
        <w:br/>
      </w:r>
      <w:r w:rsidRPr="00CD2C20">
        <w:rPr>
          <w:rFonts w:ascii="Arial" w:hAnsi="Arial"/>
          <w:color w:val="auto"/>
        </w:rPr>
        <w:t>(13 percent compared to 5 percent).</w:t>
      </w:r>
    </w:p>
    <w:p w14:paraId="65053ACA" w14:textId="77777777" w:rsidR="009D226D" w:rsidRPr="00CD2C20" w:rsidRDefault="00BC4347" w:rsidP="00E96084">
      <w:pPr>
        <w:pStyle w:val="ListBullet"/>
        <w:rPr>
          <w:rFonts w:ascii="Arial" w:hAnsi="Arial"/>
          <w:color w:val="auto"/>
        </w:rPr>
      </w:pPr>
      <w:r w:rsidRPr="00CD2C20">
        <w:rPr>
          <w:rFonts w:ascii="Arial" w:hAnsi="Arial"/>
          <w:color w:val="auto"/>
        </w:rPr>
        <w:t xml:space="preserve">The proportion of human-infectious </w:t>
      </w:r>
      <w:r w:rsidRPr="00CD2C20">
        <w:rPr>
          <w:rFonts w:ascii="Arial" w:hAnsi="Arial"/>
          <w:i/>
          <w:color w:val="auto"/>
        </w:rPr>
        <w:t>Cryptosporidium</w:t>
      </w:r>
      <w:r w:rsidRPr="00CD2C20">
        <w:rPr>
          <w:rFonts w:ascii="Arial" w:hAnsi="Arial"/>
          <w:color w:val="auto"/>
        </w:rPr>
        <w:t xml:space="preserve"> is much higher in calf and lamb manure (85 percent and 70 percent respectively) than in </w:t>
      </w:r>
      <w:r w:rsidR="004C7659" w:rsidRPr="00CD2C20">
        <w:rPr>
          <w:rFonts w:ascii="Arial" w:hAnsi="Arial"/>
          <w:color w:val="auto"/>
        </w:rPr>
        <w:t>cows</w:t>
      </w:r>
      <w:r w:rsidRPr="00CD2C20">
        <w:rPr>
          <w:rFonts w:ascii="Arial" w:hAnsi="Arial"/>
          <w:color w:val="auto"/>
        </w:rPr>
        <w:t xml:space="preserve"> and </w:t>
      </w:r>
      <w:r w:rsidR="004C7659" w:rsidRPr="00CD2C20">
        <w:rPr>
          <w:rFonts w:ascii="Arial" w:hAnsi="Arial"/>
          <w:color w:val="auto"/>
        </w:rPr>
        <w:t>sheep</w:t>
      </w:r>
      <w:r w:rsidRPr="00CD2C20">
        <w:rPr>
          <w:rFonts w:ascii="Arial" w:hAnsi="Arial"/>
          <w:color w:val="auto"/>
        </w:rPr>
        <w:t xml:space="preserve"> (just 0.7 to </w:t>
      </w:r>
      <w:r w:rsidR="00EF39BA" w:rsidRPr="00CD2C20">
        <w:rPr>
          <w:rFonts w:ascii="Arial" w:hAnsi="Arial"/>
          <w:color w:val="auto"/>
        </w:rPr>
        <w:t>1</w:t>
      </w:r>
      <w:r w:rsidRPr="00CD2C20">
        <w:rPr>
          <w:rFonts w:ascii="Arial" w:hAnsi="Arial"/>
          <w:color w:val="auto"/>
        </w:rPr>
        <w:t xml:space="preserve"> percent).</w:t>
      </w:r>
    </w:p>
    <w:p w14:paraId="14AD56D7" w14:textId="77777777" w:rsidR="00BC4347" w:rsidRPr="00CD2C20" w:rsidRDefault="00BC4347" w:rsidP="00E96084">
      <w:pPr>
        <w:pStyle w:val="ListBullet"/>
        <w:rPr>
          <w:rFonts w:ascii="Arial" w:hAnsi="Arial"/>
          <w:color w:val="auto"/>
        </w:rPr>
      </w:pPr>
      <w:r w:rsidRPr="00CD2C20">
        <w:rPr>
          <w:rFonts w:ascii="Arial" w:hAnsi="Arial"/>
          <w:color w:val="auto"/>
        </w:rPr>
        <w:t>Consequently, calf and lamb manure contains far more human infectious oocysts than the manure of adult stock. For example, calves shed an average of 57 million oocysts per day in their manure, compared to a beef cow, w</w:t>
      </w:r>
      <w:r w:rsidR="00EF39BA" w:rsidRPr="00CD2C20">
        <w:rPr>
          <w:rFonts w:ascii="Arial" w:hAnsi="Arial"/>
          <w:color w:val="auto"/>
        </w:rPr>
        <w:t xml:space="preserve">hich sheds on average </w:t>
      </w:r>
      <w:r w:rsidRPr="00CD2C20">
        <w:rPr>
          <w:rFonts w:ascii="Arial" w:hAnsi="Arial"/>
          <w:color w:val="auto"/>
        </w:rPr>
        <w:t>2,</w:t>
      </w:r>
      <w:r w:rsidR="00EF39BA" w:rsidRPr="00CD2C20">
        <w:rPr>
          <w:rFonts w:ascii="Arial" w:hAnsi="Arial"/>
          <w:color w:val="auto"/>
        </w:rPr>
        <w:t>4</w:t>
      </w:r>
      <w:r w:rsidRPr="00CD2C20">
        <w:rPr>
          <w:rFonts w:ascii="Arial" w:hAnsi="Arial"/>
          <w:color w:val="auto"/>
        </w:rPr>
        <w:t>00</w:t>
      </w:r>
      <w:r w:rsidR="00E6287F" w:rsidRPr="00CD2C20">
        <w:rPr>
          <w:rFonts w:ascii="Arial" w:hAnsi="Arial"/>
          <w:color w:val="auto"/>
        </w:rPr>
        <w:t xml:space="preserve"> per day</w:t>
      </w:r>
      <w:r w:rsidRPr="00CD2C20">
        <w:rPr>
          <w:rFonts w:ascii="Arial" w:hAnsi="Arial"/>
          <w:color w:val="auto"/>
        </w:rPr>
        <w:t xml:space="preserve"> or a dairy cow around 80,000</w:t>
      </w:r>
      <w:r w:rsidR="00EF39BA" w:rsidRPr="00CD2C20">
        <w:rPr>
          <w:rFonts w:ascii="Arial" w:hAnsi="Arial"/>
          <w:color w:val="auto"/>
        </w:rPr>
        <w:t xml:space="preserve"> per day</w:t>
      </w:r>
      <w:r w:rsidRPr="00CD2C20">
        <w:rPr>
          <w:rFonts w:ascii="Arial" w:hAnsi="Arial"/>
          <w:color w:val="auto"/>
        </w:rPr>
        <w:t>.</w:t>
      </w:r>
    </w:p>
    <w:p w14:paraId="58E92875" w14:textId="77777777" w:rsidR="00BC4347" w:rsidRPr="00CD2C20" w:rsidRDefault="00BC4347" w:rsidP="00BC4347">
      <w:pPr>
        <w:spacing w:before="120" w:after="120"/>
        <w:rPr>
          <w:rFonts w:ascii="Arial" w:hAnsi="Arial"/>
          <w:color w:val="auto"/>
        </w:rPr>
      </w:pPr>
      <w:r w:rsidRPr="00CD2C20">
        <w:rPr>
          <w:rFonts w:ascii="Arial" w:hAnsi="Arial"/>
          <w:color w:val="auto"/>
        </w:rPr>
        <w:t>The potential public health issues associated with the higher pathogen concentrations in manure from juvenile stock, and their lactating mothers, are further increased by the common practice of locating juvenile stock near waterways due to the availability of water, productive pastures and the shelter from wind provided by riparian vegetation.</w:t>
      </w:r>
    </w:p>
    <w:p w14:paraId="03C1ECBF" w14:textId="77777777" w:rsidR="004C7659" w:rsidRPr="00CD2C20" w:rsidRDefault="00BC4347" w:rsidP="004C7659">
      <w:pPr>
        <w:spacing w:before="120" w:after="120"/>
        <w:rPr>
          <w:rFonts w:ascii="Arial" w:hAnsi="Arial"/>
          <w:color w:val="auto"/>
        </w:rPr>
      </w:pPr>
      <w:r w:rsidRPr="00CD2C20">
        <w:rPr>
          <w:rFonts w:ascii="Arial" w:hAnsi="Arial"/>
          <w:color w:val="auto"/>
        </w:rPr>
        <w:t xml:space="preserve">The </w:t>
      </w:r>
      <w:r w:rsidR="00F7565B" w:rsidRPr="00CD2C20">
        <w:rPr>
          <w:rFonts w:ascii="Arial" w:hAnsi="Arial"/>
          <w:color w:val="auto"/>
        </w:rPr>
        <w:t xml:space="preserve">amount of pathogens entering waterways is also highest then stock graze on paddocks adjacent to riparian land not long before or during a rainfall event that creates </w:t>
      </w:r>
      <w:r w:rsidR="00E6287F" w:rsidRPr="00CD2C20">
        <w:rPr>
          <w:rFonts w:ascii="Arial" w:hAnsi="Arial"/>
          <w:color w:val="auto"/>
        </w:rPr>
        <w:t>run</w:t>
      </w:r>
      <w:r w:rsidR="00E37FBE" w:rsidRPr="00CD2C20">
        <w:rPr>
          <w:rFonts w:ascii="Arial" w:hAnsi="Arial"/>
          <w:color w:val="auto"/>
        </w:rPr>
        <w:t>-off.</w:t>
      </w:r>
    </w:p>
    <w:p w14:paraId="41A3FF81" w14:textId="77777777" w:rsidR="009F23E8" w:rsidRPr="00CD2C20" w:rsidRDefault="009F23E8" w:rsidP="00E96084">
      <w:pPr>
        <w:pStyle w:val="Heading2"/>
        <w:numPr>
          <w:ilvl w:val="1"/>
          <w:numId w:val="9"/>
        </w:numPr>
        <w:ind w:left="0" w:firstLine="0"/>
        <w:rPr>
          <w:rFonts w:ascii="Arial" w:hAnsi="Arial"/>
          <w:color w:val="auto"/>
        </w:rPr>
      </w:pPr>
      <w:r w:rsidRPr="00CD2C20">
        <w:rPr>
          <w:rFonts w:ascii="Arial" w:hAnsi="Arial"/>
          <w:color w:val="auto"/>
        </w:rPr>
        <w:t>Native animals</w:t>
      </w:r>
    </w:p>
    <w:p w14:paraId="4B8DC078" w14:textId="77777777" w:rsidR="0002416C" w:rsidRPr="00CD2C20" w:rsidRDefault="009F23E8" w:rsidP="004C7659">
      <w:pPr>
        <w:pStyle w:val="BodyText"/>
        <w:rPr>
          <w:rFonts w:ascii="Arial" w:hAnsi="Arial" w:cs="Arial"/>
          <w:color w:val="auto"/>
        </w:rPr>
      </w:pPr>
      <w:r w:rsidRPr="00CD2C20">
        <w:rPr>
          <w:rFonts w:ascii="Arial" w:hAnsi="Arial" w:cs="Arial"/>
          <w:color w:val="auto"/>
        </w:rPr>
        <w:t>Native animals (such as kangaroos) pose a much lower risk of contaminating drinking water supplies with their faeces as they are less likely to carry the human-infectious species of pathogens, and, overall, they shed much lower amounts of pathogens in their faeces.</w:t>
      </w:r>
      <w:r w:rsidR="003138B0" w:rsidRPr="00CD2C20">
        <w:rPr>
          <w:rFonts w:ascii="Arial" w:hAnsi="Arial" w:cs="Arial"/>
          <w:color w:val="auto"/>
        </w:rPr>
        <w:t xml:space="preserve"> </w:t>
      </w:r>
    </w:p>
    <w:p w14:paraId="181D95CF" w14:textId="77777777" w:rsidR="003138B0" w:rsidRPr="00CD2C20" w:rsidRDefault="002A0D44" w:rsidP="004C7659">
      <w:pPr>
        <w:pStyle w:val="BodyText"/>
        <w:rPr>
          <w:rFonts w:ascii="Arial" w:hAnsi="Arial" w:cs="Arial"/>
          <w:color w:val="auto"/>
        </w:rPr>
      </w:pPr>
      <w:r w:rsidRPr="00CD2C20">
        <w:rPr>
          <w:rFonts w:ascii="Arial" w:hAnsi="Arial" w:cs="Arial"/>
          <w:color w:val="auto"/>
        </w:rPr>
        <w:t xml:space="preserve">For example, kangaroos typically have about 200 </w:t>
      </w:r>
      <w:r w:rsidRPr="00CD2C20">
        <w:rPr>
          <w:rFonts w:ascii="Arial" w:hAnsi="Arial" w:cs="Arial"/>
          <w:i/>
          <w:color w:val="auto"/>
        </w:rPr>
        <w:t>Cryptosporidium</w:t>
      </w:r>
      <w:r w:rsidRPr="00CD2C20">
        <w:rPr>
          <w:rFonts w:ascii="Arial" w:hAnsi="Arial" w:cs="Arial"/>
          <w:color w:val="auto"/>
        </w:rPr>
        <w:t xml:space="preserve"> oocysts per gram in their faece</w:t>
      </w:r>
      <w:r w:rsidR="009D226D" w:rsidRPr="00CD2C20">
        <w:rPr>
          <w:rFonts w:ascii="Arial" w:hAnsi="Arial" w:cs="Arial"/>
          <w:color w:val="auto"/>
        </w:rPr>
        <w:t>s</w:t>
      </w:r>
      <w:r w:rsidR="009D226D" w:rsidRPr="00CD2C20">
        <w:rPr>
          <w:rStyle w:val="EndnoteReference"/>
          <w:rFonts w:ascii="Arial" w:hAnsi="Arial" w:cs="Arial"/>
          <w:color w:val="auto"/>
        </w:rPr>
        <w:endnoteReference w:id="8"/>
      </w:r>
      <w:r w:rsidR="009D226D" w:rsidRPr="00CD2C20">
        <w:rPr>
          <w:rFonts w:ascii="Arial" w:hAnsi="Arial" w:cs="Arial"/>
          <w:color w:val="auto"/>
        </w:rPr>
        <w:t xml:space="preserve"> </w:t>
      </w:r>
      <w:r w:rsidRPr="00CD2C20">
        <w:rPr>
          <w:rFonts w:ascii="Arial" w:hAnsi="Arial" w:cs="Arial"/>
          <w:color w:val="auto"/>
        </w:rPr>
        <w:t xml:space="preserve"> compared to the much higher figures for stock shown in Table 1.</w:t>
      </w:r>
    </w:p>
    <w:p w14:paraId="4208F45A" w14:textId="77777777" w:rsidR="009F23E8" w:rsidRPr="00CD2C20" w:rsidRDefault="009F23E8" w:rsidP="003138B0">
      <w:pPr>
        <w:spacing w:before="120" w:after="120"/>
        <w:rPr>
          <w:rFonts w:ascii="Arial" w:hAnsi="Arial"/>
          <w:color w:val="auto"/>
        </w:rPr>
      </w:pPr>
      <w:r w:rsidRPr="00CD2C20">
        <w:rPr>
          <w:rStyle w:val="Heading2Char"/>
          <w:rFonts w:ascii="Arial" w:hAnsi="Arial"/>
          <w:color w:val="auto"/>
        </w:rPr>
        <w:t>Treating drinking water doesn’t eliminate</w:t>
      </w:r>
      <w:r w:rsidR="003138B0" w:rsidRPr="00CD2C20">
        <w:rPr>
          <w:rStyle w:val="Heading2Char"/>
          <w:rFonts w:ascii="Arial" w:hAnsi="Arial"/>
          <w:color w:val="auto"/>
        </w:rPr>
        <w:t xml:space="preserve"> risk</w:t>
      </w:r>
    </w:p>
    <w:p w14:paraId="6C92E57A" w14:textId="77777777" w:rsidR="009F23E8" w:rsidRPr="00CD2C20" w:rsidRDefault="009F23E8" w:rsidP="009F23E8">
      <w:pPr>
        <w:spacing w:before="120" w:after="120"/>
        <w:rPr>
          <w:rFonts w:ascii="Arial" w:hAnsi="Arial"/>
          <w:color w:val="auto"/>
        </w:rPr>
      </w:pPr>
      <w:r w:rsidRPr="00CD2C20">
        <w:rPr>
          <w:rFonts w:ascii="Arial" w:hAnsi="Arial"/>
          <w:color w:val="auto"/>
        </w:rPr>
        <w:t xml:space="preserve">Victoria’s </w:t>
      </w:r>
      <w:r w:rsidRPr="00CD2C20">
        <w:rPr>
          <w:rFonts w:ascii="Arial" w:hAnsi="Arial"/>
          <w:i/>
          <w:color w:val="auto"/>
        </w:rPr>
        <w:t>Safe Drinking Water Act 2003</w:t>
      </w:r>
      <w:r w:rsidRPr="00CD2C20">
        <w:rPr>
          <w:rFonts w:ascii="Arial" w:hAnsi="Arial"/>
          <w:color w:val="auto"/>
        </w:rPr>
        <w:t xml:space="preserve"> requires water businesses to manage risk to the drinking water they supply from the catchment and wa</w:t>
      </w:r>
      <w:r w:rsidR="00647C03" w:rsidRPr="00CD2C20">
        <w:rPr>
          <w:rFonts w:ascii="Arial" w:hAnsi="Arial"/>
          <w:color w:val="auto"/>
        </w:rPr>
        <w:t>terways to the customer’s tap.</w:t>
      </w:r>
    </w:p>
    <w:p w14:paraId="5A7A6FC8" w14:textId="77777777" w:rsidR="009F23E8" w:rsidRPr="00CD2C20" w:rsidRDefault="009F23E8" w:rsidP="009F23E8">
      <w:pPr>
        <w:spacing w:before="120" w:after="120"/>
        <w:rPr>
          <w:rFonts w:ascii="Arial" w:hAnsi="Arial"/>
          <w:bCs/>
          <w:color w:val="auto"/>
        </w:rPr>
      </w:pPr>
      <w:r w:rsidRPr="00CD2C20">
        <w:rPr>
          <w:rFonts w:ascii="Arial" w:hAnsi="Arial"/>
          <w:color w:val="auto"/>
        </w:rPr>
        <w:lastRenderedPageBreak/>
        <w:t xml:space="preserve">Most pathogens are rendered inactivate by the chlorine disinfection process commonly used by Victoria’s water businesses to treat water for </w:t>
      </w:r>
      <w:r w:rsidR="00647C03" w:rsidRPr="00CD2C20">
        <w:rPr>
          <w:rFonts w:ascii="Arial" w:hAnsi="Arial"/>
          <w:color w:val="auto"/>
        </w:rPr>
        <w:t>drinking.</w:t>
      </w:r>
      <w:r w:rsidRPr="00CD2C20">
        <w:rPr>
          <w:rFonts w:ascii="Arial" w:hAnsi="Arial"/>
          <w:color w:val="auto"/>
        </w:rPr>
        <w:t xml:space="preserve"> However, </w:t>
      </w:r>
      <w:r w:rsidRPr="00CD2C20">
        <w:rPr>
          <w:rFonts w:ascii="Arial" w:hAnsi="Arial"/>
          <w:bCs/>
          <w:i/>
          <w:color w:val="auto"/>
        </w:rPr>
        <w:t>Giardia</w:t>
      </w:r>
      <w:r w:rsidRPr="00CD2C20">
        <w:rPr>
          <w:rFonts w:ascii="Arial" w:hAnsi="Arial"/>
          <w:color w:val="auto"/>
        </w:rPr>
        <w:t xml:space="preserve"> and </w:t>
      </w:r>
      <w:r w:rsidRPr="00CD2C20">
        <w:rPr>
          <w:rFonts w:ascii="Arial" w:hAnsi="Arial"/>
          <w:bCs/>
          <w:i/>
          <w:color w:val="auto"/>
        </w:rPr>
        <w:t>Cryptosporidium</w:t>
      </w:r>
      <w:r w:rsidRPr="00CD2C20">
        <w:rPr>
          <w:rFonts w:ascii="Arial" w:hAnsi="Arial"/>
          <w:bCs/>
          <w:color w:val="auto"/>
        </w:rPr>
        <w:t xml:space="preserve"> are </w:t>
      </w:r>
      <w:r w:rsidRPr="00CD2C20">
        <w:rPr>
          <w:rFonts w:ascii="Arial" w:hAnsi="Arial"/>
          <w:bCs/>
          <w:i/>
          <w:color w:val="auto"/>
        </w:rPr>
        <w:t>not</w:t>
      </w:r>
      <w:r w:rsidR="00647C03" w:rsidRPr="00CD2C20">
        <w:rPr>
          <w:rFonts w:ascii="Arial" w:hAnsi="Arial"/>
          <w:bCs/>
          <w:color w:val="auto"/>
        </w:rPr>
        <w:t xml:space="preserve">. </w:t>
      </w:r>
      <w:r w:rsidRPr="00CD2C20">
        <w:rPr>
          <w:rFonts w:ascii="Arial" w:hAnsi="Arial"/>
          <w:bCs/>
          <w:color w:val="auto"/>
        </w:rPr>
        <w:t xml:space="preserve">Other forms of treatment, such as filtration and/or UV disinfection (which is high cost and energy intensive), need to be used to remove or inactivate </w:t>
      </w:r>
      <w:r w:rsidRPr="00CD2C20">
        <w:rPr>
          <w:rFonts w:ascii="Arial" w:hAnsi="Arial"/>
          <w:bCs/>
          <w:i/>
          <w:color w:val="auto"/>
        </w:rPr>
        <w:t>Giardia</w:t>
      </w:r>
      <w:r w:rsidRPr="00CD2C20">
        <w:rPr>
          <w:rFonts w:ascii="Arial" w:hAnsi="Arial"/>
          <w:color w:val="auto"/>
        </w:rPr>
        <w:t xml:space="preserve"> and </w:t>
      </w:r>
      <w:r w:rsidRPr="00CD2C20">
        <w:rPr>
          <w:rFonts w:ascii="Arial" w:hAnsi="Arial"/>
          <w:bCs/>
          <w:i/>
          <w:color w:val="auto"/>
        </w:rPr>
        <w:t xml:space="preserve">Cryptosporidium </w:t>
      </w:r>
      <w:r w:rsidRPr="00CD2C20">
        <w:rPr>
          <w:rFonts w:ascii="Arial" w:hAnsi="Arial"/>
          <w:bCs/>
          <w:color w:val="auto"/>
        </w:rPr>
        <w:t>from source water to make it suitable for drinking.</w:t>
      </w:r>
    </w:p>
    <w:p w14:paraId="261F2C3E" w14:textId="77777777" w:rsidR="009F23E8" w:rsidRPr="00CD2C20" w:rsidRDefault="009F23E8" w:rsidP="009F23E8">
      <w:pPr>
        <w:spacing w:before="120" w:after="120"/>
        <w:rPr>
          <w:rFonts w:ascii="Arial" w:hAnsi="Arial"/>
          <w:color w:val="auto"/>
        </w:rPr>
      </w:pPr>
      <w:r w:rsidRPr="00CD2C20">
        <w:rPr>
          <w:rFonts w:ascii="Arial" w:hAnsi="Arial"/>
          <w:bCs/>
          <w:color w:val="auto"/>
        </w:rPr>
        <w:t>While the vast majority of town supplies in Victoria have treatment processes that include filtration and/or UV disinfection</w:t>
      </w:r>
      <w:r w:rsidRPr="00CD2C20">
        <w:rPr>
          <w:rFonts w:ascii="Arial" w:hAnsi="Arial"/>
          <w:color w:val="auto"/>
        </w:rPr>
        <w:t xml:space="preserve">, a small number of supplies are not specifically set up to remove these pathogens. </w:t>
      </w:r>
    </w:p>
    <w:p w14:paraId="14F0FF2C" w14:textId="77777777" w:rsidR="009F23E8" w:rsidRPr="00CD2C20" w:rsidRDefault="009F23E8" w:rsidP="009F23E8">
      <w:pPr>
        <w:spacing w:before="120" w:after="120"/>
        <w:rPr>
          <w:rFonts w:ascii="Arial" w:hAnsi="Arial"/>
          <w:color w:val="auto"/>
        </w:rPr>
      </w:pPr>
      <w:r w:rsidRPr="00CD2C20">
        <w:rPr>
          <w:rFonts w:ascii="Arial" w:hAnsi="Arial"/>
          <w:color w:val="auto"/>
        </w:rPr>
        <w:t>Managing risks to water quality in the catchment reduces reliance on costly treatment processes. Better source water quality also means that treatment is likely to be more effective with fewer chemicals needed to produce a safe drinking water supply to communities.</w:t>
      </w:r>
    </w:p>
    <w:p w14:paraId="7C79FABF" w14:textId="77777777" w:rsidR="009F23E8" w:rsidRPr="00CD2C20" w:rsidRDefault="009F23E8" w:rsidP="009F23E8">
      <w:pPr>
        <w:spacing w:before="120" w:after="120"/>
        <w:rPr>
          <w:rFonts w:ascii="Arial" w:hAnsi="Arial"/>
          <w:color w:val="auto"/>
        </w:rPr>
      </w:pPr>
      <w:r w:rsidRPr="00CD2C20">
        <w:rPr>
          <w:rFonts w:ascii="Arial" w:hAnsi="Arial"/>
          <w:color w:val="auto"/>
        </w:rPr>
        <w:t>The Australian Drinking Water Guidelines recommend managing water quality risks at source as much as realistically possible</w:t>
      </w:r>
      <w:r w:rsidRPr="00CD2C20">
        <w:rPr>
          <w:rStyle w:val="EndnoteReference"/>
          <w:rFonts w:ascii="Arial" w:hAnsi="Arial" w:cs="Arial"/>
          <w:color w:val="auto"/>
        </w:rPr>
        <w:endnoteReference w:id="9"/>
      </w:r>
      <w:r w:rsidRPr="00CD2C20">
        <w:rPr>
          <w:rFonts w:ascii="Arial" w:hAnsi="Arial"/>
          <w:color w:val="auto"/>
        </w:rPr>
        <w:t>.</w:t>
      </w:r>
    </w:p>
    <w:p w14:paraId="6E956154" w14:textId="77777777" w:rsidR="009F23E8" w:rsidRPr="00CD2C20" w:rsidRDefault="009F23E8" w:rsidP="009F23E8">
      <w:pPr>
        <w:spacing w:before="120" w:after="120"/>
        <w:rPr>
          <w:rFonts w:ascii="Arial" w:hAnsi="Arial"/>
          <w:color w:val="auto"/>
        </w:rPr>
      </w:pPr>
      <w:r w:rsidRPr="00CD2C20">
        <w:rPr>
          <w:rFonts w:ascii="Arial" w:hAnsi="Arial"/>
          <w:color w:val="auto"/>
        </w:rPr>
        <w:t xml:space="preserve">The management of juvenile stock in waterways is the most cost-effective first intervention for the protection of drinking water catchments. Separating calves and lambs from waterways used for the supply of drinking water can reduce the pathogen risk to water supplies by 1,000-fold – similar to the reductions achieved by water filtration or UV disinfection systems. </w:t>
      </w:r>
    </w:p>
    <w:p w14:paraId="73C3BBBD" w14:textId="77777777" w:rsidR="009F23E8" w:rsidRPr="00CD2C20" w:rsidRDefault="009F23E8" w:rsidP="00E96084">
      <w:pPr>
        <w:pStyle w:val="Heading2"/>
        <w:numPr>
          <w:ilvl w:val="1"/>
          <w:numId w:val="9"/>
        </w:numPr>
        <w:spacing w:before="0"/>
        <w:ind w:left="0" w:firstLine="0"/>
        <w:rPr>
          <w:rFonts w:ascii="Arial" w:hAnsi="Arial"/>
          <w:color w:val="auto"/>
        </w:rPr>
      </w:pPr>
      <w:r w:rsidRPr="00CD2C20">
        <w:rPr>
          <w:rFonts w:ascii="Arial" w:hAnsi="Arial"/>
          <w:color w:val="auto"/>
        </w:rPr>
        <w:t>Reducing the impact of pathogens</w:t>
      </w:r>
    </w:p>
    <w:p w14:paraId="370634FA" w14:textId="77777777" w:rsidR="009F23E8" w:rsidRPr="00CD2C20" w:rsidRDefault="009F23E8" w:rsidP="009F23E8">
      <w:pPr>
        <w:spacing w:before="120" w:after="120"/>
        <w:rPr>
          <w:rFonts w:ascii="Arial" w:hAnsi="Arial"/>
          <w:color w:val="auto"/>
        </w:rPr>
      </w:pPr>
      <w:r w:rsidRPr="00CD2C20">
        <w:rPr>
          <w:rFonts w:ascii="Arial" w:hAnsi="Arial"/>
          <w:color w:val="auto"/>
        </w:rPr>
        <w:t>Landholders can reduce the pathogen impact by:</w:t>
      </w:r>
    </w:p>
    <w:p w14:paraId="042B2348" w14:textId="77777777" w:rsidR="009F23E8" w:rsidRPr="00CD2C20" w:rsidRDefault="009F23E8" w:rsidP="00E96084">
      <w:pPr>
        <w:pStyle w:val="ListBullet"/>
        <w:rPr>
          <w:rFonts w:ascii="Arial" w:hAnsi="Arial"/>
          <w:color w:val="auto"/>
        </w:rPr>
      </w:pPr>
      <w:r w:rsidRPr="00CD2C20">
        <w:rPr>
          <w:rFonts w:ascii="Arial" w:hAnsi="Arial"/>
          <w:color w:val="auto"/>
        </w:rPr>
        <w:t xml:space="preserve">Fencing waterways on or abutting their property. Preventing </w:t>
      </w:r>
      <w:r w:rsidRPr="00CD2C20">
        <w:rPr>
          <w:rFonts w:ascii="Arial" w:hAnsi="Arial"/>
          <w:b/>
          <w:color w:val="auto"/>
        </w:rPr>
        <w:t>all</w:t>
      </w:r>
      <w:r w:rsidRPr="00CD2C20">
        <w:rPr>
          <w:rFonts w:ascii="Arial" w:hAnsi="Arial"/>
          <w:color w:val="auto"/>
        </w:rPr>
        <w:t xml:space="preserve"> stock access will have the biggest impact on reducing pathogen risk from stock defecating directly in waterways. </w:t>
      </w:r>
    </w:p>
    <w:p w14:paraId="05F52713" w14:textId="77777777" w:rsidR="009F23E8" w:rsidRPr="00CD2C20" w:rsidRDefault="009F23E8" w:rsidP="00E96084">
      <w:pPr>
        <w:pStyle w:val="ListBullet"/>
        <w:rPr>
          <w:rFonts w:ascii="Arial" w:hAnsi="Arial"/>
          <w:color w:val="auto"/>
        </w:rPr>
      </w:pPr>
      <w:r w:rsidRPr="00CD2C20">
        <w:rPr>
          <w:rFonts w:ascii="Arial" w:hAnsi="Arial"/>
          <w:color w:val="auto"/>
        </w:rPr>
        <w:t xml:space="preserve">Excluding only juvenile stock and their lactating mothers from waterways and paddocks that adjoin waterways, </w:t>
      </w:r>
      <w:r w:rsidRPr="00CD2C20">
        <w:rPr>
          <w:rFonts w:ascii="Arial" w:hAnsi="Arial"/>
          <w:b/>
          <w:color w:val="auto"/>
        </w:rPr>
        <w:t>until the juveniles have been weaned at about three to four months old</w:t>
      </w:r>
      <w:r w:rsidRPr="00CD2C20">
        <w:rPr>
          <w:rFonts w:ascii="Arial" w:hAnsi="Arial"/>
          <w:color w:val="auto"/>
        </w:rPr>
        <w:t>. Targeting juvenile stock and lactating mothers can significantly reduce the amount of pathogens entering the waterways.</w:t>
      </w:r>
    </w:p>
    <w:p w14:paraId="28E8B3EF" w14:textId="77777777" w:rsidR="009F23E8" w:rsidRPr="00CD2C20" w:rsidRDefault="009F23E8" w:rsidP="00E96084">
      <w:pPr>
        <w:pStyle w:val="ListBullet"/>
        <w:rPr>
          <w:rFonts w:ascii="Arial" w:hAnsi="Arial"/>
          <w:color w:val="auto"/>
        </w:rPr>
      </w:pPr>
      <w:r w:rsidRPr="00CD2C20">
        <w:rPr>
          <w:rFonts w:ascii="Arial" w:hAnsi="Arial"/>
          <w:color w:val="auto"/>
        </w:rPr>
        <w:t>Not applying dairy effluent to paddocks bei</w:t>
      </w:r>
      <w:r w:rsidR="00F7565B" w:rsidRPr="00CD2C20">
        <w:rPr>
          <w:rFonts w:ascii="Arial" w:hAnsi="Arial"/>
          <w:color w:val="auto"/>
        </w:rPr>
        <w:t xml:space="preserve">ng grazed by stock less than 12 months </w:t>
      </w:r>
      <w:r w:rsidRPr="00CD2C20">
        <w:rPr>
          <w:rFonts w:ascii="Arial" w:hAnsi="Arial"/>
          <w:color w:val="auto"/>
        </w:rPr>
        <w:t>old to reduce infection rates.</w:t>
      </w:r>
    </w:p>
    <w:p w14:paraId="024B9BDD" w14:textId="77777777" w:rsidR="009F23E8" w:rsidRPr="00CD2C20" w:rsidRDefault="009F23E8" w:rsidP="00E96084">
      <w:pPr>
        <w:pStyle w:val="ListBullet"/>
        <w:rPr>
          <w:rFonts w:ascii="Arial" w:hAnsi="Arial"/>
          <w:color w:val="auto"/>
        </w:rPr>
      </w:pPr>
      <w:r w:rsidRPr="00CD2C20">
        <w:rPr>
          <w:rFonts w:ascii="Arial" w:hAnsi="Arial"/>
          <w:color w:val="auto"/>
        </w:rPr>
        <w:t>Excluding calves from pastures grazed by infected cows.</w:t>
      </w:r>
    </w:p>
    <w:p w14:paraId="29A71E11" w14:textId="77777777" w:rsidR="009F23E8" w:rsidRPr="00CD2C20" w:rsidRDefault="009F23E8" w:rsidP="00E96084">
      <w:pPr>
        <w:pStyle w:val="ListBullet"/>
        <w:rPr>
          <w:rFonts w:ascii="Arial" w:hAnsi="Arial"/>
          <w:color w:val="auto"/>
        </w:rPr>
      </w:pPr>
      <w:r w:rsidRPr="00CD2C20">
        <w:rPr>
          <w:rFonts w:ascii="Arial" w:hAnsi="Arial"/>
          <w:color w:val="auto"/>
        </w:rPr>
        <w:t xml:space="preserve">Establishing permanent off-stream watering points. </w:t>
      </w:r>
    </w:p>
    <w:p w14:paraId="0B392F2C" w14:textId="77777777" w:rsidR="009F23E8" w:rsidRPr="00CD2C20" w:rsidRDefault="009F23E8" w:rsidP="00E96084">
      <w:pPr>
        <w:pStyle w:val="ListBullet"/>
        <w:rPr>
          <w:rFonts w:ascii="Arial" w:hAnsi="Arial"/>
          <w:color w:val="auto"/>
        </w:rPr>
      </w:pPr>
      <w:r w:rsidRPr="00CD2C20">
        <w:rPr>
          <w:rFonts w:ascii="Arial" w:hAnsi="Arial"/>
          <w:color w:val="auto"/>
        </w:rPr>
        <w:t>Maintaining groundcover in paddocks above 80 percent, for example through changing from continuous to rotational grazing. This limits selective grazing and improves the persistence of desirable perennial groundcover species.</w:t>
      </w:r>
      <w:r w:rsidR="00843C3F" w:rsidRPr="00CD2C20">
        <w:rPr>
          <w:rFonts w:ascii="Arial" w:hAnsi="Arial"/>
          <w:color w:val="auto"/>
        </w:rPr>
        <w:t xml:space="preserve"> Better groundcover reduces pathogen run off to waterways.</w:t>
      </w:r>
    </w:p>
    <w:p w14:paraId="2BD36FEC" w14:textId="77777777" w:rsidR="009F23E8" w:rsidRPr="00CD2C20" w:rsidRDefault="009F23E8" w:rsidP="00E96084">
      <w:pPr>
        <w:pStyle w:val="ListBullet"/>
        <w:rPr>
          <w:rFonts w:ascii="Arial" w:hAnsi="Arial"/>
          <w:color w:val="auto"/>
        </w:rPr>
      </w:pPr>
      <w:r w:rsidRPr="00CD2C20">
        <w:rPr>
          <w:rFonts w:ascii="Arial" w:hAnsi="Arial"/>
          <w:color w:val="auto"/>
        </w:rPr>
        <w:t>Locating stock laneways away from riparian land.</w:t>
      </w:r>
    </w:p>
    <w:p w14:paraId="69796867" w14:textId="77777777" w:rsidR="009F23E8" w:rsidRPr="00CD2C20" w:rsidRDefault="009F23E8" w:rsidP="00E96084">
      <w:pPr>
        <w:pStyle w:val="ListBullet"/>
        <w:rPr>
          <w:rFonts w:ascii="Arial" w:hAnsi="Arial"/>
          <w:color w:val="auto"/>
        </w:rPr>
      </w:pPr>
      <w:r w:rsidRPr="00CD2C20">
        <w:rPr>
          <w:rFonts w:ascii="Arial" w:hAnsi="Arial"/>
          <w:color w:val="auto"/>
        </w:rPr>
        <w:t xml:space="preserve">Revegetating riparian land. This helps to minimise the movement of pathogens from paddocks to waterways. </w:t>
      </w:r>
    </w:p>
    <w:p w14:paraId="71A7360B" w14:textId="77777777" w:rsidR="009F23E8" w:rsidRPr="00CD2C20" w:rsidRDefault="009F23E8" w:rsidP="00E96084">
      <w:pPr>
        <w:pStyle w:val="Heading2"/>
        <w:numPr>
          <w:ilvl w:val="1"/>
          <w:numId w:val="9"/>
        </w:numPr>
        <w:spacing w:before="120" w:after="120" w:line="276" w:lineRule="auto"/>
        <w:ind w:left="0" w:firstLine="0"/>
        <w:rPr>
          <w:rFonts w:ascii="Arial" w:hAnsi="Arial"/>
          <w:color w:val="auto"/>
        </w:rPr>
      </w:pPr>
      <w:r w:rsidRPr="00CD2C20">
        <w:rPr>
          <w:rFonts w:ascii="Arial" w:hAnsi="Arial"/>
          <w:color w:val="auto"/>
        </w:rPr>
        <w:t xml:space="preserve">Further benefits of managing </w:t>
      </w:r>
      <w:r w:rsidR="004C7659" w:rsidRPr="00CD2C20">
        <w:rPr>
          <w:rFonts w:ascii="Arial" w:hAnsi="Arial"/>
          <w:color w:val="auto"/>
        </w:rPr>
        <w:t>juvenile</w:t>
      </w:r>
      <w:r w:rsidRPr="00CD2C20">
        <w:rPr>
          <w:rFonts w:ascii="Arial" w:hAnsi="Arial"/>
          <w:color w:val="auto"/>
        </w:rPr>
        <w:t xml:space="preserve"> stock access to waterways </w:t>
      </w:r>
    </w:p>
    <w:p w14:paraId="36D14326" w14:textId="77777777" w:rsidR="009F23E8" w:rsidRPr="00CD2C20" w:rsidRDefault="009F23E8" w:rsidP="00E96084">
      <w:pPr>
        <w:pStyle w:val="Heading3"/>
        <w:numPr>
          <w:ilvl w:val="2"/>
          <w:numId w:val="9"/>
        </w:numPr>
        <w:ind w:left="0" w:firstLine="0"/>
        <w:rPr>
          <w:rFonts w:ascii="Arial" w:hAnsi="Arial"/>
          <w:color w:val="auto"/>
        </w:rPr>
      </w:pPr>
      <w:r w:rsidRPr="00CD2C20">
        <w:rPr>
          <w:rFonts w:ascii="Arial" w:hAnsi="Arial"/>
          <w:color w:val="auto"/>
        </w:rPr>
        <w:t>Healthier and more productive stock</w:t>
      </w:r>
    </w:p>
    <w:p w14:paraId="1509EC16" w14:textId="77777777" w:rsidR="009F23E8" w:rsidRPr="00CD2C20" w:rsidRDefault="009F23E8" w:rsidP="009F23E8">
      <w:pPr>
        <w:spacing w:before="120" w:after="120"/>
        <w:rPr>
          <w:rFonts w:ascii="Arial" w:hAnsi="Arial"/>
          <w:color w:val="auto"/>
        </w:rPr>
      </w:pPr>
      <w:r w:rsidRPr="00CD2C20">
        <w:rPr>
          <w:rFonts w:ascii="Arial" w:hAnsi="Arial"/>
          <w:color w:val="auto"/>
        </w:rPr>
        <w:t>Stock water from troughs is of better quality and much less likely to contain pathogens than water consumed directly from waterways. Landholders benefit from the improved water quality through healthier and more vigorous stock.</w:t>
      </w:r>
    </w:p>
    <w:p w14:paraId="38B2D552" w14:textId="77777777" w:rsidR="009F23E8" w:rsidRPr="00CD2C20" w:rsidRDefault="009F23E8" w:rsidP="009F23E8">
      <w:pPr>
        <w:spacing w:before="120" w:after="120"/>
        <w:rPr>
          <w:rFonts w:ascii="Arial" w:hAnsi="Arial"/>
          <w:color w:val="auto"/>
        </w:rPr>
      </w:pPr>
      <w:r w:rsidRPr="00CD2C20">
        <w:rPr>
          <w:rFonts w:ascii="Arial" w:hAnsi="Arial"/>
          <w:color w:val="auto"/>
        </w:rPr>
        <w:t>Stock will drink more water if it is of better quality, leading to an increase in pasture use and feed intake, resulting in stock weight gains or, where relevant, increased milk production</w:t>
      </w:r>
      <w:r w:rsidRPr="00CD2C20">
        <w:rPr>
          <w:rStyle w:val="EndnoteReference"/>
          <w:rFonts w:ascii="Arial" w:hAnsi="Arial" w:cs="Arial"/>
          <w:color w:val="auto"/>
        </w:rPr>
        <w:endnoteReference w:id="10"/>
      </w:r>
      <w:r w:rsidRPr="00CD2C20">
        <w:rPr>
          <w:rFonts w:ascii="Arial" w:hAnsi="Arial"/>
          <w:color w:val="auto"/>
        </w:rPr>
        <w:t xml:space="preserve"> . </w:t>
      </w:r>
    </w:p>
    <w:p w14:paraId="3FAE6FA6" w14:textId="77777777" w:rsidR="009F23E8" w:rsidRPr="00CD2C20" w:rsidRDefault="009F23E8" w:rsidP="009F23E8">
      <w:pPr>
        <w:spacing w:before="120" w:after="120"/>
        <w:rPr>
          <w:rFonts w:ascii="Arial" w:hAnsi="Arial"/>
          <w:color w:val="auto"/>
        </w:rPr>
      </w:pPr>
      <w:r w:rsidRPr="00CD2C20">
        <w:rPr>
          <w:rFonts w:ascii="Arial" w:hAnsi="Arial"/>
          <w:color w:val="auto"/>
        </w:rPr>
        <w:t>Other potential benefits for landholders include increased property values, wind protection for stock, easier stock management around waterways with reduced risk of stock injury and loss, and decreased soil erosion.</w:t>
      </w:r>
    </w:p>
    <w:p w14:paraId="21FE0A60" w14:textId="77777777" w:rsidR="009D226D" w:rsidRPr="00CD2C20" w:rsidRDefault="009D226D" w:rsidP="00E96084">
      <w:pPr>
        <w:pStyle w:val="Heading3"/>
        <w:numPr>
          <w:ilvl w:val="2"/>
          <w:numId w:val="9"/>
        </w:numPr>
        <w:ind w:left="0" w:firstLine="0"/>
        <w:rPr>
          <w:rFonts w:ascii="Arial" w:hAnsi="Arial"/>
          <w:color w:val="auto"/>
        </w:rPr>
      </w:pPr>
      <w:r w:rsidRPr="00CD2C20">
        <w:rPr>
          <w:rFonts w:ascii="Arial" w:hAnsi="Arial"/>
          <w:color w:val="auto"/>
        </w:rPr>
        <w:t xml:space="preserve">Healthier environment and improved social values </w:t>
      </w:r>
    </w:p>
    <w:p w14:paraId="29E0BAE6" w14:textId="77777777" w:rsidR="009D226D" w:rsidRPr="00CD2C20" w:rsidRDefault="009D226D" w:rsidP="009D226D">
      <w:pPr>
        <w:spacing w:before="120" w:after="120"/>
        <w:rPr>
          <w:rFonts w:ascii="Arial" w:hAnsi="Arial"/>
          <w:color w:val="auto"/>
        </w:rPr>
      </w:pPr>
      <w:r w:rsidRPr="00CD2C20">
        <w:rPr>
          <w:rFonts w:ascii="Arial" w:hAnsi="Arial"/>
          <w:color w:val="auto"/>
        </w:rPr>
        <w:t>There are many benefits to the environment from reducing juvenile stock access to waterways, including improved water quality and native riparian vegetation, which provide better habitat for native animals and fish. Healthy riparian land also provides a corridor for the movement of native animals and plants, and stability for river banks. Riparian land also provides important recreational opportunities and protects cultural values, especially at sites of significance to Traditional Owners.</w:t>
      </w:r>
    </w:p>
    <w:p w14:paraId="2D6EE1F9" w14:textId="77777777" w:rsidR="005912E7" w:rsidRPr="00CD2C20" w:rsidRDefault="005912E7" w:rsidP="00E96084">
      <w:pPr>
        <w:pStyle w:val="Heading2"/>
        <w:numPr>
          <w:ilvl w:val="1"/>
          <w:numId w:val="9"/>
        </w:numPr>
        <w:ind w:left="0" w:firstLine="0"/>
        <w:rPr>
          <w:rFonts w:ascii="Arial" w:hAnsi="Arial"/>
          <w:color w:val="auto"/>
        </w:rPr>
      </w:pPr>
      <w:r w:rsidRPr="00CD2C20">
        <w:rPr>
          <w:rFonts w:ascii="Arial" w:hAnsi="Arial"/>
          <w:color w:val="auto"/>
        </w:rPr>
        <w:t xml:space="preserve">Acknowledgements </w:t>
      </w:r>
    </w:p>
    <w:p w14:paraId="11DFCDD3" w14:textId="77777777" w:rsidR="005912E7" w:rsidRPr="00CD2C20" w:rsidRDefault="005912E7" w:rsidP="005912E7">
      <w:pPr>
        <w:pStyle w:val="BodyText"/>
        <w:rPr>
          <w:rFonts w:ascii="Arial" w:hAnsi="Arial" w:cs="Arial"/>
          <w:color w:val="auto"/>
          <w:lang w:eastAsia="en-AU"/>
        </w:rPr>
      </w:pPr>
      <w:r w:rsidRPr="00CD2C20">
        <w:rPr>
          <w:rFonts w:ascii="Arial" w:hAnsi="Arial" w:cs="Arial"/>
          <w:color w:val="auto"/>
          <w:lang w:eastAsia="en-AU"/>
        </w:rPr>
        <w:t>This fact</w:t>
      </w:r>
      <w:r w:rsidR="009C1729" w:rsidRPr="00CD2C20">
        <w:rPr>
          <w:rFonts w:ascii="Arial" w:hAnsi="Arial" w:cs="Arial"/>
          <w:color w:val="auto"/>
          <w:lang w:eastAsia="en-AU"/>
        </w:rPr>
        <w:t xml:space="preserve"> </w:t>
      </w:r>
      <w:r w:rsidRPr="00CD2C20">
        <w:rPr>
          <w:rFonts w:ascii="Arial" w:hAnsi="Arial" w:cs="Arial"/>
          <w:color w:val="auto"/>
          <w:lang w:eastAsia="en-AU"/>
        </w:rPr>
        <w:t xml:space="preserve">sheet was prepared in consultation with </w:t>
      </w:r>
      <w:r w:rsidR="00F7565B" w:rsidRPr="00CD2C20">
        <w:rPr>
          <w:rFonts w:ascii="Arial" w:hAnsi="Arial" w:cs="Arial"/>
          <w:color w:val="auto"/>
          <w:lang w:eastAsia="en-AU"/>
        </w:rPr>
        <w:t>catchment management authorities</w:t>
      </w:r>
      <w:r w:rsidRPr="00CD2C20">
        <w:rPr>
          <w:rFonts w:ascii="Arial" w:hAnsi="Arial" w:cs="Arial"/>
          <w:color w:val="auto"/>
          <w:lang w:eastAsia="en-AU"/>
        </w:rPr>
        <w:t>, Department of Health and Human Services, Agriculture Victoria (Department of Economic Development, Jobs, Transport and Resources) and the Victorian Farmers Federation.</w:t>
      </w:r>
    </w:p>
    <w:p w14:paraId="51E7CC40" w14:textId="77777777" w:rsidR="009F23E8" w:rsidRPr="00CD2C20" w:rsidRDefault="009F23E8" w:rsidP="00E96084">
      <w:pPr>
        <w:pStyle w:val="Heading2"/>
        <w:numPr>
          <w:ilvl w:val="1"/>
          <w:numId w:val="9"/>
        </w:numPr>
        <w:spacing w:before="0"/>
        <w:ind w:left="0" w:firstLine="0"/>
        <w:rPr>
          <w:rFonts w:ascii="Arial" w:hAnsi="Arial"/>
          <w:color w:val="auto"/>
        </w:rPr>
      </w:pPr>
      <w:r w:rsidRPr="00CD2C20">
        <w:rPr>
          <w:rFonts w:ascii="Arial" w:hAnsi="Arial"/>
          <w:color w:val="auto"/>
        </w:rPr>
        <w:lastRenderedPageBreak/>
        <w:t>Further reading</w:t>
      </w:r>
    </w:p>
    <w:p w14:paraId="4493A0B8" w14:textId="77777777" w:rsidR="004C7659" w:rsidRPr="00CD2C20" w:rsidRDefault="004C7659" w:rsidP="004C7659">
      <w:pPr>
        <w:pStyle w:val="BodyText"/>
        <w:rPr>
          <w:rFonts w:ascii="Arial" w:hAnsi="Arial" w:cs="Arial"/>
          <w:color w:val="auto"/>
        </w:rPr>
      </w:pPr>
      <w:r w:rsidRPr="00CD2C20">
        <w:rPr>
          <w:rFonts w:ascii="Arial" w:hAnsi="Arial" w:cs="Arial"/>
          <w:color w:val="auto"/>
        </w:rPr>
        <w:t>Department of Environment, Land, Water and Planning. 2016</w:t>
      </w:r>
      <w:r w:rsidRPr="00CD2C20">
        <w:rPr>
          <w:rFonts w:ascii="Arial" w:hAnsi="Arial" w:cs="Arial"/>
          <w:i/>
          <w:color w:val="auto"/>
        </w:rPr>
        <w:t>. Managing Crown water frontages for better farms and waterways</w:t>
      </w:r>
      <w:r w:rsidRPr="00CD2C20">
        <w:rPr>
          <w:rFonts w:ascii="Arial" w:hAnsi="Arial" w:cs="Arial"/>
          <w:color w:val="auto"/>
        </w:rPr>
        <w:t>. (</w:t>
      </w:r>
      <w:hyperlink r:id="rId8" w:history="1">
        <w:r w:rsidRPr="00CD2C20">
          <w:rPr>
            <w:rStyle w:val="Hyperlink"/>
            <w:rFonts w:ascii="Arial" w:eastAsiaTheme="majorEastAsia" w:hAnsi="Arial" w:cs="Arial"/>
            <w:u w:val="none"/>
          </w:rPr>
          <w:t>http://www.depi.vic.gov.au/__data/assets/pdf_file/0008/273581/Managing-Crown-frontages-for-better-farms-and-waterways-fact-sheet-2016-.pdf.pdf</w:t>
        </w:r>
      </w:hyperlink>
      <w:r w:rsidRPr="00CD2C20">
        <w:rPr>
          <w:rFonts w:ascii="Arial" w:hAnsi="Arial" w:cs="Arial"/>
          <w:color w:val="auto"/>
        </w:rPr>
        <w:t xml:space="preserve">) </w:t>
      </w:r>
    </w:p>
    <w:p w14:paraId="6E899B24" w14:textId="77777777" w:rsidR="009F23E8" w:rsidRPr="00CD2C20" w:rsidRDefault="009F23E8" w:rsidP="004C7659">
      <w:pPr>
        <w:pStyle w:val="BodyText"/>
        <w:rPr>
          <w:rFonts w:ascii="Arial" w:hAnsi="Arial" w:cs="Arial"/>
          <w:color w:val="auto"/>
        </w:rPr>
      </w:pPr>
      <w:r w:rsidRPr="00CD2C20">
        <w:rPr>
          <w:rFonts w:ascii="Arial" w:hAnsi="Arial" w:cs="Arial"/>
          <w:color w:val="auto"/>
        </w:rPr>
        <w:t xml:space="preserve">Department of Health. 2010. </w:t>
      </w:r>
      <w:r w:rsidRPr="00CD2C20">
        <w:rPr>
          <w:rFonts w:ascii="Arial" w:hAnsi="Arial" w:cs="Arial"/>
          <w:i/>
          <w:color w:val="auto"/>
        </w:rPr>
        <w:t>Protect our waters. Protect our health. Highlighting the importance of preventing stock access to natural waterway</w:t>
      </w:r>
      <w:r w:rsidR="009C1729" w:rsidRPr="00CD2C20">
        <w:rPr>
          <w:rFonts w:ascii="Arial" w:hAnsi="Arial" w:cs="Arial"/>
          <w:color w:val="auto"/>
        </w:rPr>
        <w:t xml:space="preserve">s. </w:t>
      </w:r>
      <w:r w:rsidRPr="00CD2C20">
        <w:rPr>
          <w:rFonts w:ascii="Arial" w:hAnsi="Arial" w:cs="Arial"/>
          <w:color w:val="auto"/>
        </w:rPr>
        <w:t>(</w:t>
      </w:r>
      <w:hyperlink r:id="rId9" w:history="1">
        <w:r w:rsidRPr="00CD2C20">
          <w:rPr>
            <w:rStyle w:val="Hyperlink"/>
            <w:rFonts w:ascii="Arial" w:eastAsiaTheme="majorEastAsia" w:hAnsi="Arial" w:cs="Arial"/>
            <w:u w:val="none"/>
          </w:rPr>
          <w:t>https://www2.health.vic.gov.au/public-health/water/drinking-water-in-victoria/protecting-drinking-water-catchments</w:t>
        </w:r>
      </w:hyperlink>
      <w:r w:rsidRPr="00CD2C20">
        <w:rPr>
          <w:rFonts w:ascii="Arial" w:hAnsi="Arial" w:cs="Arial"/>
          <w:color w:val="auto"/>
        </w:rPr>
        <w:t>)</w:t>
      </w:r>
    </w:p>
    <w:p w14:paraId="3011AE4A" w14:textId="77777777" w:rsidR="005877F7" w:rsidRDefault="009F23E8" w:rsidP="004C7659">
      <w:pPr>
        <w:pStyle w:val="BodyText"/>
        <w:rPr>
          <w:rFonts w:ascii="Arial" w:hAnsi="Arial" w:cs="Arial"/>
          <w:color w:val="auto"/>
        </w:rPr>
      </w:pPr>
      <w:r w:rsidRPr="00CD2C20">
        <w:rPr>
          <w:rFonts w:ascii="Arial" w:hAnsi="Arial" w:cs="Arial"/>
          <w:color w:val="auto"/>
        </w:rPr>
        <w:t xml:space="preserve">Department of Health. 2010. </w:t>
      </w:r>
      <w:r w:rsidRPr="00CD2C20">
        <w:rPr>
          <w:rFonts w:ascii="Arial" w:hAnsi="Arial" w:cs="Arial"/>
          <w:i/>
          <w:color w:val="auto"/>
        </w:rPr>
        <w:t>Protect our waters. Protect our health. A guide for landholders on managing land in drinking water catchments.</w:t>
      </w:r>
      <w:r w:rsidRPr="00CD2C20">
        <w:rPr>
          <w:rFonts w:ascii="Arial" w:hAnsi="Arial" w:cs="Arial"/>
          <w:color w:val="auto"/>
        </w:rPr>
        <w:t xml:space="preserve">  (</w:t>
      </w:r>
      <w:hyperlink r:id="rId10" w:history="1">
        <w:r w:rsidRPr="00CD2C20">
          <w:rPr>
            <w:rStyle w:val="Hyperlink"/>
            <w:rFonts w:ascii="Arial" w:eastAsiaTheme="majorEastAsia" w:hAnsi="Arial" w:cs="Arial"/>
            <w:u w:val="none"/>
          </w:rPr>
          <w:t>https://www2.health.vic.gov.au/public-health/water/drinking-water-in-victoria/protecting-drinking-water-catchments</w:t>
        </w:r>
      </w:hyperlink>
      <w:r w:rsidRPr="00CD2C20">
        <w:rPr>
          <w:rFonts w:ascii="Arial" w:hAnsi="Arial" w:cs="Arial"/>
          <w:color w:val="auto"/>
        </w:rPr>
        <w:t xml:space="preserve">) </w:t>
      </w:r>
    </w:p>
    <w:p w14:paraId="31580A40" w14:textId="77777777" w:rsidR="004C7659" w:rsidRPr="00CD2C20" w:rsidRDefault="004C7659" w:rsidP="004C7659">
      <w:pPr>
        <w:pStyle w:val="BodyText"/>
        <w:rPr>
          <w:rFonts w:ascii="Arial" w:hAnsi="Arial" w:cs="Arial"/>
          <w:color w:val="auto"/>
        </w:rPr>
      </w:pPr>
      <w:r w:rsidRPr="00CD2C20">
        <w:rPr>
          <w:rFonts w:ascii="Arial" w:hAnsi="Arial" w:cs="Arial"/>
          <w:color w:val="auto"/>
        </w:rPr>
        <w:t xml:space="preserve">A Dufour, J Bartram, R Bos and V Gannon (Eds). 2012. </w:t>
      </w:r>
      <w:r w:rsidRPr="00CD2C20">
        <w:rPr>
          <w:rFonts w:ascii="Arial" w:hAnsi="Arial" w:cs="Arial"/>
          <w:i/>
          <w:color w:val="auto"/>
        </w:rPr>
        <w:t>Animal waste, water quality and human health.</w:t>
      </w:r>
      <w:r w:rsidRPr="00CD2C20">
        <w:rPr>
          <w:rFonts w:ascii="Arial" w:hAnsi="Arial" w:cs="Arial"/>
          <w:color w:val="auto"/>
        </w:rPr>
        <w:t xml:space="preserve"> Published for the World Health Organization, International Water Association and United States Environmental Protection Agency by IWA Publishing, London</w:t>
      </w:r>
      <w:r w:rsidR="00E6287F" w:rsidRPr="00CD2C20">
        <w:rPr>
          <w:rFonts w:ascii="Arial" w:hAnsi="Arial" w:cs="Arial"/>
          <w:color w:val="auto"/>
        </w:rPr>
        <w:t>. (</w:t>
      </w:r>
      <w:hyperlink r:id="rId11" w:history="1">
        <w:r w:rsidRPr="00CD2C20">
          <w:rPr>
            <w:rStyle w:val="Hyperlink"/>
            <w:rFonts w:ascii="Arial" w:hAnsi="Arial" w:cs="Arial"/>
            <w:u w:val="none"/>
          </w:rPr>
          <w:t>http://apps.who.int/iris/handle/10665/75700</w:t>
        </w:r>
      </w:hyperlink>
      <w:r w:rsidRPr="00CD2C20">
        <w:rPr>
          <w:rFonts w:ascii="Arial" w:hAnsi="Arial" w:cs="Arial"/>
          <w:color w:val="auto"/>
        </w:rPr>
        <w:t xml:space="preserve">) </w:t>
      </w:r>
    </w:p>
    <w:p w14:paraId="198E0A06" w14:textId="77777777" w:rsidR="009F23E8" w:rsidRPr="00CD2C20" w:rsidRDefault="009F23E8" w:rsidP="004C7659">
      <w:pPr>
        <w:pStyle w:val="BodyText"/>
        <w:rPr>
          <w:rFonts w:ascii="Arial" w:hAnsi="Arial" w:cs="Arial"/>
          <w:color w:val="auto"/>
        </w:rPr>
      </w:pPr>
      <w:r w:rsidRPr="00CD2C20">
        <w:rPr>
          <w:rFonts w:ascii="Arial" w:hAnsi="Arial" w:cs="Arial"/>
          <w:color w:val="auto"/>
        </w:rPr>
        <w:t xml:space="preserve">J Staton and J O’Sullivan. 2006. </w:t>
      </w:r>
      <w:r w:rsidRPr="00CD2C20">
        <w:rPr>
          <w:rFonts w:ascii="Arial" w:hAnsi="Arial" w:cs="Arial"/>
          <w:i/>
          <w:color w:val="auto"/>
        </w:rPr>
        <w:t>Stock and waterways. A manager’s guide.</w:t>
      </w:r>
      <w:r w:rsidRPr="00CD2C20">
        <w:rPr>
          <w:rFonts w:ascii="Arial" w:hAnsi="Arial" w:cs="Arial"/>
          <w:color w:val="auto"/>
        </w:rPr>
        <w:t xml:space="preserve"> Land and Water Australia. (</w:t>
      </w:r>
      <w:hyperlink r:id="rId12" w:history="1">
        <w:r w:rsidRPr="00CD2C20">
          <w:rPr>
            <w:rStyle w:val="Hyperlink"/>
            <w:rFonts w:ascii="Arial" w:eastAsiaTheme="majorEastAsia" w:hAnsi="Arial" w:cs="Arial"/>
            <w:u w:val="none"/>
          </w:rPr>
          <w:t>http://lwa.gov.au/products/pr061132</w:t>
        </w:r>
      </w:hyperlink>
      <w:r w:rsidRPr="00CD2C20">
        <w:rPr>
          <w:rFonts w:ascii="Arial" w:hAnsi="Arial" w:cs="Arial"/>
          <w:color w:val="auto"/>
        </w:rPr>
        <w:t>)</w:t>
      </w:r>
    </w:p>
    <w:p w14:paraId="79235AAC" w14:textId="77777777" w:rsidR="009F23E8" w:rsidRPr="00CD2C20" w:rsidRDefault="009F23E8" w:rsidP="004C7659">
      <w:pPr>
        <w:pStyle w:val="BodyText"/>
        <w:rPr>
          <w:rFonts w:ascii="Arial" w:hAnsi="Arial" w:cs="Arial"/>
          <w:color w:val="auto"/>
        </w:rPr>
      </w:pPr>
      <w:r w:rsidRPr="00CD2C20">
        <w:rPr>
          <w:rFonts w:ascii="Arial" w:hAnsi="Arial" w:cs="Arial"/>
          <w:color w:val="auto"/>
        </w:rPr>
        <w:t xml:space="preserve">B Stein, M Keys, C Langford, S Orgill and B Upjohn. 2009. </w:t>
      </w:r>
      <w:r w:rsidRPr="00CD2C20">
        <w:rPr>
          <w:rFonts w:ascii="Arial" w:hAnsi="Arial" w:cs="Arial"/>
          <w:i/>
          <w:color w:val="auto"/>
        </w:rPr>
        <w:t>Sustainable land management practices for graziers. Best management practices for grazing in the Tablelands and Southern Highlands of NSW.</w:t>
      </w:r>
      <w:r w:rsidRPr="00CD2C20">
        <w:rPr>
          <w:rFonts w:ascii="Arial" w:hAnsi="Arial" w:cs="Arial"/>
          <w:color w:val="auto"/>
        </w:rPr>
        <w:t xml:space="preserve"> Published by the NSW Department of Industry and Investment and the Sydney Catchment Authority. (</w:t>
      </w:r>
      <w:hyperlink r:id="rId13" w:history="1">
        <w:r w:rsidRPr="00CD2C20">
          <w:rPr>
            <w:rStyle w:val="Hyperlink"/>
            <w:rFonts w:ascii="Arial" w:eastAsiaTheme="majorEastAsia" w:hAnsi="Arial" w:cs="Arial"/>
            <w:u w:val="none"/>
          </w:rPr>
          <w:t>http://www.dpi.nsw.gov.au/agriculture/pastures/pastures-and-rangelands/management/sustainable-graziers</w:t>
        </w:r>
      </w:hyperlink>
      <w:r w:rsidRPr="00CD2C20">
        <w:rPr>
          <w:rFonts w:ascii="Arial" w:hAnsi="Arial" w:cs="Arial"/>
          <w:color w:val="auto"/>
        </w:rPr>
        <w:t xml:space="preserve">) </w:t>
      </w:r>
    </w:p>
    <w:p w14:paraId="5C5A7829" w14:textId="77777777" w:rsidR="009F23E8" w:rsidRPr="00CD2C20" w:rsidRDefault="009F23E8" w:rsidP="004C7659">
      <w:pPr>
        <w:pStyle w:val="BodyText"/>
        <w:rPr>
          <w:rFonts w:ascii="Arial" w:hAnsi="Arial" w:cs="Arial"/>
          <w:color w:val="auto"/>
        </w:rPr>
      </w:pPr>
      <w:r w:rsidRPr="00CD2C20">
        <w:rPr>
          <w:rFonts w:ascii="Arial" w:hAnsi="Arial" w:cs="Arial"/>
          <w:color w:val="auto"/>
        </w:rPr>
        <w:t xml:space="preserve">Further information on the human health impacts of protozoan infections can be found in: Department of Health. 2009. </w:t>
      </w:r>
      <w:r w:rsidRPr="00CD2C20">
        <w:rPr>
          <w:rFonts w:ascii="Arial" w:hAnsi="Arial" w:cs="Arial"/>
          <w:i/>
          <w:color w:val="auto"/>
        </w:rPr>
        <w:t>Blue book – Guidelines for the control of infectious diseases.</w:t>
      </w:r>
      <w:r w:rsidRPr="00CD2C20">
        <w:rPr>
          <w:rFonts w:ascii="Arial" w:hAnsi="Arial" w:cs="Arial"/>
          <w:color w:val="auto"/>
        </w:rPr>
        <w:t xml:space="preserve"> (</w:t>
      </w:r>
      <w:hyperlink r:id="rId14" w:history="1">
        <w:r w:rsidRPr="00CD2C20">
          <w:rPr>
            <w:rStyle w:val="Hyperlink"/>
            <w:rFonts w:ascii="Arial" w:eastAsiaTheme="majorEastAsia" w:hAnsi="Arial" w:cs="Arial"/>
            <w:u w:val="none"/>
          </w:rPr>
          <w:t>http://ideas.health.vic.gov.au/bluebook.asp</w:t>
        </w:r>
      </w:hyperlink>
      <w:r w:rsidRPr="00CD2C20">
        <w:rPr>
          <w:rFonts w:ascii="Arial" w:hAnsi="Arial" w:cs="Arial"/>
          <w:color w:val="auto"/>
        </w:rPr>
        <w:t>)</w:t>
      </w:r>
    </w:p>
    <w:p w14:paraId="15C0AA84" w14:textId="77777777" w:rsidR="00B07416" w:rsidRDefault="009F23E8" w:rsidP="00F12070">
      <w:pPr>
        <w:pStyle w:val="BodyText"/>
        <w:rPr>
          <w:rFonts w:ascii="Arial" w:hAnsi="Arial" w:cs="Arial"/>
          <w:color w:val="auto"/>
        </w:rPr>
      </w:pPr>
      <w:r w:rsidRPr="00CD2C20">
        <w:rPr>
          <w:rFonts w:ascii="Arial" w:hAnsi="Arial" w:cs="Arial"/>
          <w:color w:val="auto"/>
        </w:rPr>
        <w:t xml:space="preserve">Further information on </w:t>
      </w:r>
      <w:r w:rsidRPr="00CD2C20">
        <w:rPr>
          <w:rFonts w:ascii="Arial" w:hAnsi="Arial" w:cs="Arial"/>
          <w:i/>
          <w:color w:val="auto"/>
        </w:rPr>
        <w:t>Cryptosporidium</w:t>
      </w:r>
      <w:r w:rsidRPr="00CD2C20">
        <w:rPr>
          <w:rFonts w:ascii="Arial" w:hAnsi="Arial" w:cs="Arial"/>
          <w:color w:val="auto"/>
        </w:rPr>
        <w:t>, particularly its sources and the contribution of adult and juvenile stock to contamination in waterways, c</w:t>
      </w:r>
      <w:r w:rsidR="007A0E48" w:rsidRPr="00CD2C20">
        <w:rPr>
          <w:rFonts w:ascii="Arial" w:hAnsi="Arial" w:cs="Arial"/>
          <w:color w:val="auto"/>
        </w:rPr>
        <w:t>an be found in:           U R</w:t>
      </w:r>
      <w:r w:rsidRPr="00CD2C20">
        <w:rPr>
          <w:rFonts w:ascii="Arial" w:hAnsi="Arial" w:cs="Arial"/>
          <w:color w:val="auto"/>
        </w:rPr>
        <w:t xml:space="preserve">yan. 2010. </w:t>
      </w:r>
      <w:r w:rsidRPr="00CD2C20">
        <w:rPr>
          <w:rFonts w:ascii="Arial" w:hAnsi="Arial" w:cs="Arial"/>
          <w:i/>
          <w:color w:val="auto"/>
        </w:rPr>
        <w:t>Cryptosporidium literature review</w:t>
      </w:r>
      <w:r w:rsidRPr="00CD2C20">
        <w:rPr>
          <w:rFonts w:ascii="Arial" w:hAnsi="Arial" w:cs="Arial"/>
          <w:color w:val="auto"/>
        </w:rPr>
        <w:t xml:space="preserve">. Water Quality </w:t>
      </w:r>
      <w:r w:rsidR="000A1460" w:rsidRPr="00CD2C20">
        <w:rPr>
          <w:rFonts w:ascii="Arial" w:hAnsi="Arial" w:cs="Arial"/>
          <w:color w:val="auto"/>
        </w:rPr>
        <w:t>Research Australia project 1037</w:t>
      </w:r>
      <w:r w:rsidR="007A0E48" w:rsidRPr="00CD2C20">
        <w:rPr>
          <w:rFonts w:ascii="Arial" w:hAnsi="Arial" w:cs="Arial"/>
          <w:color w:val="auto"/>
        </w:rPr>
        <w:t>.</w:t>
      </w:r>
      <w:r w:rsidR="000A1460" w:rsidRPr="00CD2C20">
        <w:rPr>
          <w:rFonts w:ascii="Arial" w:hAnsi="Arial" w:cs="Arial"/>
          <w:color w:val="auto"/>
        </w:rPr>
        <w:t xml:space="preserve"> (</w:t>
      </w:r>
      <w:hyperlink r:id="rId15" w:history="1">
        <w:r w:rsidR="000A1460" w:rsidRPr="00CD2C20">
          <w:rPr>
            <w:rStyle w:val="Hyperlink"/>
            <w:rFonts w:ascii="Arial" w:hAnsi="Arial" w:cs="Arial"/>
            <w:u w:val="none"/>
          </w:rPr>
          <w:t>http://www.waterra.com.au/project-details/30</w:t>
        </w:r>
      </w:hyperlink>
      <w:r w:rsidR="000A1460" w:rsidRPr="00CD2C20">
        <w:rPr>
          <w:rFonts w:ascii="Arial" w:hAnsi="Arial" w:cs="Arial"/>
          <w:color w:val="auto"/>
        </w:rPr>
        <w:t xml:space="preserve">) </w:t>
      </w:r>
    </w:p>
    <w:p w14:paraId="1B5A59D4" w14:textId="77777777" w:rsidR="00DD2F6D" w:rsidRPr="00CD2C20" w:rsidRDefault="00DD2F6D" w:rsidP="00E96084">
      <w:pPr>
        <w:pStyle w:val="Heading2"/>
        <w:numPr>
          <w:ilvl w:val="1"/>
          <w:numId w:val="9"/>
        </w:numPr>
        <w:ind w:left="0" w:firstLine="0"/>
        <w:rPr>
          <w:rFonts w:ascii="Arial" w:hAnsi="Arial"/>
          <w:color w:val="auto"/>
        </w:rPr>
      </w:pPr>
      <w:r w:rsidRPr="00CD2C20">
        <w:rPr>
          <w:rFonts w:ascii="Arial" w:hAnsi="Arial"/>
          <w:color w:val="auto"/>
        </w:rPr>
        <w:t>References</w:t>
      </w:r>
    </w:p>
    <w:sectPr w:rsidR="00DD2F6D" w:rsidRPr="00CD2C20" w:rsidSect="00ED458D">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1134" w:right="851" w:bottom="794" w:left="851" w:header="284" w:footer="28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5693C" w14:textId="77777777" w:rsidR="0017425B" w:rsidRPr="00ED458D" w:rsidRDefault="0017425B" w:rsidP="00ED458D">
      <w:pPr>
        <w:pStyle w:val="Footer"/>
      </w:pPr>
    </w:p>
  </w:endnote>
  <w:endnote w:type="continuationSeparator" w:id="0">
    <w:p w14:paraId="29AEEC1C" w14:textId="77777777" w:rsidR="0017425B" w:rsidRPr="00ED458D" w:rsidRDefault="0017425B" w:rsidP="00ED458D">
      <w:pPr>
        <w:pStyle w:val="Footer"/>
      </w:pPr>
    </w:p>
  </w:endnote>
  <w:endnote w:id="1">
    <w:p w14:paraId="0654F655" w14:textId="77777777" w:rsidR="00000000" w:rsidRDefault="009D226D" w:rsidP="00AD58B8">
      <w:pPr>
        <w:pStyle w:val="BodyText"/>
      </w:pPr>
      <w:r w:rsidRPr="006F0B91">
        <w:rPr>
          <w:rStyle w:val="EndnoteReference"/>
        </w:rPr>
        <w:endnoteRef/>
      </w:r>
      <w:r w:rsidRPr="006F0B91">
        <w:t xml:space="preserve"> Department of Environment, Land, Water and Planning. 2016. </w:t>
      </w:r>
      <w:r w:rsidRPr="005877F7">
        <w:rPr>
          <w:i/>
        </w:rPr>
        <w:t>Juvenile stock in waterways –</w:t>
      </w:r>
      <w:r w:rsidR="00131EBF">
        <w:rPr>
          <w:i/>
        </w:rPr>
        <w:t xml:space="preserve"> R</w:t>
      </w:r>
      <w:r w:rsidRPr="005877F7">
        <w:rPr>
          <w:i/>
        </w:rPr>
        <w:t>educing imp</w:t>
      </w:r>
      <w:r w:rsidR="005912E7" w:rsidRPr="005877F7">
        <w:rPr>
          <w:i/>
        </w:rPr>
        <w:t>acts on health and stock health</w:t>
      </w:r>
    </w:p>
  </w:endnote>
  <w:endnote w:id="2">
    <w:p w14:paraId="047ABFBF" w14:textId="77777777" w:rsidR="00000000" w:rsidRDefault="00BC4347" w:rsidP="004C7659">
      <w:pPr>
        <w:pStyle w:val="BodyText"/>
      </w:pPr>
      <w:r w:rsidRPr="006F0B91">
        <w:rPr>
          <w:rStyle w:val="EndnoteReference"/>
        </w:rPr>
        <w:endnoteRef/>
      </w:r>
      <w:r w:rsidRPr="006F0B91">
        <w:t xml:space="preserve"> R Davies-Colley, J Nagels, R Smith, R Young and C Phillips. 2004. </w:t>
      </w:r>
      <w:r w:rsidRPr="006F0B91">
        <w:rPr>
          <w:i/>
        </w:rPr>
        <w:t>Water quality impact of a dairy cow herd crossing a stream</w:t>
      </w:r>
      <w:r w:rsidRPr="006F0B91">
        <w:t xml:space="preserve">. New Zealand Journal of Marine and Freshwater Research. 138, 569-576. </w:t>
      </w:r>
    </w:p>
  </w:endnote>
  <w:endnote w:id="3">
    <w:p w14:paraId="741AC3F2" w14:textId="77777777" w:rsidR="00000000" w:rsidRDefault="00BC4347" w:rsidP="004C7659">
      <w:pPr>
        <w:pStyle w:val="BodyText"/>
      </w:pPr>
      <w:r w:rsidRPr="006F0B91">
        <w:rPr>
          <w:rStyle w:val="EndnoteReference"/>
        </w:rPr>
        <w:endnoteRef/>
      </w:r>
      <w:r w:rsidRPr="006F0B91">
        <w:t xml:space="preserve"> Department of Env</w:t>
      </w:r>
      <w:r w:rsidR="009C1729" w:rsidRPr="006F0B91">
        <w:t>ironment and Primary Industries.</w:t>
      </w:r>
      <w:r w:rsidRPr="006F0B91">
        <w:t xml:space="preserve"> 2013. </w:t>
      </w:r>
      <w:r w:rsidRPr="006F0B91">
        <w:rPr>
          <w:i/>
        </w:rPr>
        <w:t>Improving our waterways. Victorian Waterway Management Strategy.</w:t>
      </w:r>
      <w:r w:rsidRPr="006F0B91">
        <w:t xml:space="preserve"> (</w:t>
      </w:r>
      <w:hyperlink r:id="rId1" w:history="1">
        <w:r w:rsidRPr="006F0B91">
          <w:rPr>
            <w:rStyle w:val="Hyperlink"/>
            <w:rFonts w:eastAsiaTheme="majorEastAsia"/>
            <w:color w:val="363534" w:themeColor="text1"/>
            <w:u w:val="none"/>
          </w:rPr>
          <w:t>http://www.depi.vic.gov.au/water/rivers-estuaries-and-wetlands/strategy-and-planning</w:t>
        </w:r>
      </w:hyperlink>
      <w:r w:rsidRPr="006F0B91">
        <w:t>)</w:t>
      </w:r>
    </w:p>
  </w:endnote>
  <w:endnote w:id="4">
    <w:p w14:paraId="41DC18A5" w14:textId="77777777" w:rsidR="00000000" w:rsidRDefault="00443AC0" w:rsidP="004C7659">
      <w:pPr>
        <w:pStyle w:val="BodyText"/>
      </w:pPr>
      <w:r w:rsidRPr="006F0B91">
        <w:rPr>
          <w:rStyle w:val="EndnoteReference"/>
        </w:rPr>
        <w:endnoteRef/>
      </w:r>
      <w:r w:rsidRPr="006F0B91">
        <w:t xml:space="preserve"> Department of Environ</w:t>
      </w:r>
      <w:r w:rsidR="009C1729" w:rsidRPr="006F0B91">
        <w:t xml:space="preserve">ment, Land, Water and Planning. </w:t>
      </w:r>
      <w:r w:rsidRPr="006F0B91">
        <w:t xml:space="preserve">2014. </w:t>
      </w:r>
      <w:r w:rsidRPr="006F0B91">
        <w:rPr>
          <w:i/>
        </w:rPr>
        <w:t>Regional Riparian Action Plan.</w:t>
      </w:r>
      <w:r w:rsidRPr="006F0B91">
        <w:t xml:space="preserve"> (</w:t>
      </w:r>
      <w:hyperlink r:id="rId2" w:history="1">
        <w:r w:rsidRPr="006F0B91">
          <w:rPr>
            <w:rStyle w:val="Hyperlink"/>
            <w:color w:val="363534" w:themeColor="text1"/>
            <w:u w:val="none"/>
          </w:rPr>
          <w:t>http://delwp.vic.gov.au/water/rivers,-estuaries-and-wetlands/regional-riparian-action-plan</w:t>
        </w:r>
      </w:hyperlink>
      <w:r w:rsidRPr="006F0B91">
        <w:t xml:space="preserve">) </w:t>
      </w:r>
    </w:p>
  </w:endnote>
  <w:endnote w:id="5">
    <w:p w14:paraId="33AA43FD" w14:textId="77777777" w:rsidR="00000000" w:rsidRDefault="00BC4347" w:rsidP="00B07416">
      <w:pPr>
        <w:pStyle w:val="BodyText"/>
      </w:pPr>
      <w:r w:rsidRPr="006F0B91">
        <w:rPr>
          <w:rStyle w:val="EndnoteReference"/>
        </w:rPr>
        <w:endnoteRef/>
      </w:r>
      <w:r w:rsidRPr="006F0B91">
        <w:t xml:space="preserve"> M Santin, J M Trout and R Frayer. 2008. </w:t>
      </w:r>
      <w:r w:rsidR="00513045" w:rsidRPr="006F0B91">
        <w:t>‘</w:t>
      </w:r>
      <w:r w:rsidRPr="006F0B91">
        <w:t>A longitudinal study of cryptosporidiosis in dairy cattle from birth to two years of age</w:t>
      </w:r>
      <w:r w:rsidR="00513045" w:rsidRPr="006F0B91">
        <w:t>’</w:t>
      </w:r>
      <w:r w:rsidRPr="006F0B91">
        <w:t>.</w:t>
      </w:r>
      <w:r w:rsidRPr="006F0B91">
        <w:rPr>
          <w:i/>
        </w:rPr>
        <w:t xml:space="preserve"> Veterinary Parasitology</w:t>
      </w:r>
      <w:r w:rsidRPr="006F0B91">
        <w:t xml:space="preserve">, 155, 15-23. </w:t>
      </w:r>
      <w:r w:rsidR="00B07416" w:rsidRPr="006F0B91">
        <w:t>(</w:t>
      </w:r>
      <w:hyperlink r:id="rId3" w:history="1">
        <w:r w:rsidR="00443AC0" w:rsidRPr="006F0B91">
          <w:rPr>
            <w:rStyle w:val="Hyperlink"/>
            <w:rFonts w:eastAsiaTheme="majorEastAsia"/>
            <w:color w:val="363534" w:themeColor="text1"/>
            <w:u w:val="none"/>
          </w:rPr>
          <w:t>http://naldc.nal.usda.gov/download/35323/PDF</w:t>
        </w:r>
      </w:hyperlink>
      <w:r w:rsidRPr="006F0B91">
        <w:t xml:space="preserve">) </w:t>
      </w:r>
    </w:p>
  </w:endnote>
  <w:endnote w:id="6">
    <w:p w14:paraId="25FF16C8" w14:textId="77777777" w:rsidR="00000000" w:rsidRDefault="00BC4347" w:rsidP="00B07416">
      <w:pPr>
        <w:pStyle w:val="BodyText"/>
      </w:pPr>
      <w:r w:rsidRPr="006F0B91">
        <w:rPr>
          <w:rStyle w:val="EndnoteReference"/>
        </w:rPr>
        <w:endnoteRef/>
      </w:r>
      <w:r w:rsidRPr="006F0B91">
        <w:t xml:space="preserve"> Santin et al, 2008</w:t>
      </w:r>
    </w:p>
  </w:endnote>
  <w:endnote w:id="7">
    <w:p w14:paraId="4619B047" w14:textId="77777777" w:rsidR="006F0B91" w:rsidRPr="009451E3" w:rsidRDefault="006F0B91" w:rsidP="009451E3">
      <w:pPr>
        <w:pStyle w:val="BodyText"/>
        <w:spacing w:before="0" w:after="0" w:line="140" w:lineRule="exact"/>
        <w:rPr>
          <w:sz w:val="4"/>
          <w:szCs w:val="4"/>
        </w:rPr>
      </w:pPr>
    </w:p>
    <w:p w14:paraId="628C616B" w14:textId="77777777" w:rsidR="00000000" w:rsidRDefault="007A2BA0" w:rsidP="007A2BA0">
      <w:pPr>
        <w:pStyle w:val="BodyText"/>
      </w:pPr>
      <w:r w:rsidRPr="006F0B91">
        <w:rPr>
          <w:rStyle w:val="EndnoteReference"/>
        </w:rPr>
        <w:endnoteRef/>
      </w:r>
      <w:r w:rsidRPr="006F0B91">
        <w:t xml:space="preserve"> Water Futures. 2011. </w:t>
      </w:r>
      <w:r w:rsidRPr="006F0B91">
        <w:rPr>
          <w:i/>
        </w:rPr>
        <w:t>Public health issues associated with stock accessing waterways upstream of drinking water off-takes.</w:t>
      </w:r>
      <w:r w:rsidRPr="006F0B91">
        <w:t xml:space="preserve"> A report prepared for the Department of Health. (</w:t>
      </w:r>
      <w:hyperlink r:id="rId4" w:history="1">
        <w:r w:rsidRPr="006F0B91">
          <w:rPr>
            <w:rStyle w:val="Hyperlink"/>
            <w:color w:val="363534" w:themeColor="text1"/>
            <w:u w:val="none"/>
          </w:rPr>
          <w:t>http://docs.health.vic.gov.au/docs/doc/Public-health-issues-associated-with-stock-accessing-waterways-upstream-of-drinking-water-off-takes</w:t>
        </w:r>
      </w:hyperlink>
      <w:r w:rsidRPr="006F0B91">
        <w:t>)</w:t>
      </w:r>
    </w:p>
  </w:endnote>
  <w:endnote w:id="8">
    <w:p w14:paraId="3E82269B" w14:textId="77777777" w:rsidR="00000000" w:rsidRDefault="009D226D" w:rsidP="00B07416">
      <w:pPr>
        <w:pStyle w:val="BodyText"/>
      </w:pPr>
      <w:r w:rsidRPr="006F0B91">
        <w:rPr>
          <w:rStyle w:val="EndnoteReference"/>
        </w:rPr>
        <w:endnoteRef/>
      </w:r>
      <w:r w:rsidRPr="006F0B91">
        <w:t xml:space="preserve"> </w:t>
      </w:r>
      <w:r w:rsidR="001221DB" w:rsidRPr="006F0B91">
        <w:t>C Fe</w:t>
      </w:r>
      <w:r w:rsidRPr="006F0B91">
        <w:t>rguson and D Kay. 2012</w:t>
      </w:r>
      <w:r w:rsidR="00613179" w:rsidRPr="006F0B91">
        <w:t>.</w:t>
      </w:r>
      <w:r w:rsidRPr="006F0B91">
        <w:t xml:space="preserve"> Chapter 5</w:t>
      </w:r>
      <w:r w:rsidR="00613179" w:rsidRPr="006F0B91">
        <w:t>,</w:t>
      </w:r>
      <w:r w:rsidRPr="006F0B91">
        <w:t xml:space="preserve"> </w:t>
      </w:r>
      <w:r w:rsidR="00513045" w:rsidRPr="006F0B91">
        <w:t>‘</w:t>
      </w:r>
      <w:r w:rsidRPr="006F0B91">
        <w:t>Transport of microbial pollution in catchment systems</w:t>
      </w:r>
      <w:r w:rsidR="00513045" w:rsidRPr="006F0B91">
        <w:t>’</w:t>
      </w:r>
      <w:r w:rsidR="00613179" w:rsidRPr="006F0B91">
        <w:t>,</w:t>
      </w:r>
      <w:r w:rsidRPr="006F0B91">
        <w:t xml:space="preserve"> </w:t>
      </w:r>
      <w:r w:rsidR="00613179" w:rsidRPr="006F0B91">
        <w:t>i</w:t>
      </w:r>
      <w:r w:rsidRPr="006F0B91">
        <w:t>n A Dufour, J Bartram</w:t>
      </w:r>
      <w:r w:rsidR="00613179" w:rsidRPr="006F0B91">
        <w:t xml:space="preserve">, R Bos and V Gannon (Eds), </w:t>
      </w:r>
      <w:r w:rsidRPr="006F0B91">
        <w:rPr>
          <w:i/>
        </w:rPr>
        <w:t>Animal waste, water quality and human health.</w:t>
      </w:r>
      <w:r w:rsidRPr="006F0B91">
        <w:t xml:space="preserve"> Published for the World Health Organization, International Water Association and United States Environmental Prote</w:t>
      </w:r>
      <w:r w:rsidR="00613179" w:rsidRPr="006F0B91">
        <w:t>ction Agency by IWA Publishing, L</w:t>
      </w:r>
      <w:r w:rsidRPr="006F0B91">
        <w:t>ondon.</w:t>
      </w:r>
      <w:r w:rsidR="00613179" w:rsidRPr="006F0B91">
        <w:t xml:space="preserve"> </w:t>
      </w:r>
      <w:r w:rsidRPr="006F0B91">
        <w:t>(</w:t>
      </w:r>
      <w:hyperlink r:id="rId5" w:history="1">
        <w:r w:rsidRPr="006F0B91">
          <w:rPr>
            <w:rStyle w:val="Hyperlink"/>
            <w:color w:val="363534" w:themeColor="text1"/>
            <w:u w:val="none"/>
          </w:rPr>
          <w:t>http://apps.who.int/iris/handle/10665/75700</w:t>
        </w:r>
      </w:hyperlink>
      <w:r w:rsidRPr="006F0B91">
        <w:t>)</w:t>
      </w:r>
    </w:p>
  </w:endnote>
  <w:endnote w:id="9">
    <w:p w14:paraId="220FCEE5" w14:textId="77777777" w:rsidR="00000000" w:rsidRDefault="009F23E8" w:rsidP="00B07416">
      <w:pPr>
        <w:pStyle w:val="BodyText"/>
      </w:pPr>
      <w:r w:rsidRPr="006F0B91">
        <w:rPr>
          <w:rStyle w:val="EndnoteReference"/>
        </w:rPr>
        <w:endnoteRef/>
      </w:r>
      <w:r w:rsidRPr="006F0B91">
        <w:t xml:space="preserve"> National Health and Medical Research Council. 2011 (updated 2016). </w:t>
      </w:r>
      <w:r w:rsidRPr="006F0B91">
        <w:rPr>
          <w:i/>
        </w:rPr>
        <w:t>Australian Drinking Water Guidelines.</w:t>
      </w:r>
      <w:r w:rsidRPr="006F0B91">
        <w:t>(</w:t>
      </w:r>
      <w:hyperlink r:id="rId6" w:history="1">
        <w:r w:rsidRPr="006F0B91">
          <w:rPr>
            <w:rStyle w:val="Hyperlink"/>
            <w:rFonts w:eastAsiaTheme="majorEastAsia"/>
            <w:color w:val="363534" w:themeColor="text1"/>
            <w:u w:val="none"/>
          </w:rPr>
          <w:t>https://www.nhmrc.gov.au/guidelines-publications/eh52</w:t>
        </w:r>
      </w:hyperlink>
      <w:r w:rsidRPr="006F0B91">
        <w:t xml:space="preserve">) </w:t>
      </w:r>
    </w:p>
  </w:endnote>
  <w:endnote w:id="10">
    <w:p w14:paraId="5380DEB6" w14:textId="77777777" w:rsidR="00354C0B" w:rsidRDefault="009F23E8" w:rsidP="00B07416">
      <w:pPr>
        <w:pStyle w:val="BodyText"/>
      </w:pPr>
      <w:r w:rsidRPr="006F0B91">
        <w:rPr>
          <w:rStyle w:val="EndnoteReference"/>
        </w:rPr>
        <w:endnoteRef/>
      </w:r>
      <w:r w:rsidRPr="006F0B91">
        <w:t xml:space="preserve"> Evidentiary. 2016. </w:t>
      </w:r>
      <w:r w:rsidRPr="006F0B91">
        <w:rPr>
          <w:i/>
        </w:rPr>
        <w:t xml:space="preserve">What are the benefits to landholders of adopting riparian works? A summary of evidence. </w:t>
      </w:r>
      <w:r w:rsidRPr="006F0B91">
        <w:t>A report for the Department of Environment, Land, Water and Planning.</w:t>
      </w:r>
    </w:p>
    <w:p w14:paraId="11ECDCD0" w14:textId="77777777" w:rsidR="00F207BE" w:rsidRDefault="00F207BE" w:rsidP="00B07416">
      <w:pPr>
        <w:pStyle w:val="BodyText"/>
      </w:pPr>
    </w:p>
    <w:p w14:paraId="46DFD23B" w14:textId="77777777" w:rsidR="00F207BE" w:rsidRDefault="00F207BE" w:rsidP="00B07416">
      <w:pPr>
        <w:pStyle w:val="BodyText"/>
      </w:pPr>
    </w:p>
    <w:p w14:paraId="139103E4" w14:textId="77777777" w:rsidR="00F207BE" w:rsidRDefault="00F207BE" w:rsidP="00B07416">
      <w:pPr>
        <w:pStyle w:val="BodyText"/>
      </w:pPr>
    </w:p>
    <w:p w14:paraId="3D4F0F3B" w14:textId="77777777" w:rsidR="00F207BE" w:rsidRDefault="00F207BE" w:rsidP="00B07416">
      <w:pPr>
        <w:pStyle w:val="BodyText"/>
      </w:pPr>
    </w:p>
    <w:p w14:paraId="1D081643" w14:textId="77777777" w:rsidR="00F207BE" w:rsidRDefault="00F207BE" w:rsidP="00F207BE">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E96084">
        <w:rPr>
          <w:noProof/>
        </w:rPr>
        <w:t>2023</w:t>
      </w:r>
      <w:r>
        <w:fldChar w:fldCharType="end"/>
      </w:r>
    </w:p>
    <w:p w14:paraId="5A4ADB49" w14:textId="77777777" w:rsidR="00F207BE" w:rsidRPr="00915A11" w:rsidRDefault="00F207BE" w:rsidP="00F207BE">
      <w:pPr>
        <w:pStyle w:val="SmallBodyText"/>
      </w:pPr>
      <w:r w:rsidRPr="00405DE3">
        <w:t>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w:t>
      </w:r>
      <w:r w:rsidRPr="00915A11">
        <w:t xml:space="preserve">, Land, Water and Planning (DELWP) logo. To view a copy of this licence, visit http://creativecommons.org/licenses/by/4.0/ </w:t>
      </w:r>
    </w:p>
    <w:p w14:paraId="04CB5C49" w14:textId="77777777" w:rsidR="00F207BE" w:rsidRPr="00915A11" w:rsidRDefault="00F207BE" w:rsidP="00F207BE">
      <w:pPr>
        <w:pStyle w:val="SmallBodyText"/>
      </w:pPr>
      <w:r w:rsidRPr="00915A11">
        <w:t>ISBN 978-1-76047-326-6 (pdf/online)</w:t>
      </w:r>
    </w:p>
    <w:p w14:paraId="08A00B0E" w14:textId="77777777" w:rsidR="00F207BE" w:rsidRDefault="00F207BE" w:rsidP="00F207BE">
      <w:pPr>
        <w:pStyle w:val="SmallHeading"/>
      </w:pPr>
      <w:r w:rsidRPr="00C255C2">
        <w:t>Disclaimer</w:t>
      </w:r>
    </w:p>
    <w:p w14:paraId="7ED4C3D7" w14:textId="77777777" w:rsidR="00F207BE" w:rsidRDefault="00F207BE" w:rsidP="00F207BE">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p w14:paraId="436A124E" w14:textId="77777777" w:rsidR="00F207BE" w:rsidRDefault="00F207BE" w:rsidP="00F207BE">
      <w:pPr>
        <w:pStyle w:val="xAccessibilityHeading"/>
      </w:pPr>
    </w:p>
    <w:p w14:paraId="574D1646" w14:textId="77777777" w:rsidR="00F207BE" w:rsidRPr="00E97294" w:rsidRDefault="00F207BE" w:rsidP="00F207BE">
      <w:pPr>
        <w:pStyle w:val="xAccessibilityHeading"/>
      </w:pPr>
      <w:r w:rsidRPr="00E97294">
        <w:t>Accessibility</w:t>
      </w:r>
    </w:p>
    <w:p w14:paraId="435C5066" w14:textId="77777777" w:rsidR="00F207BE" w:rsidRPr="00CD2C20" w:rsidRDefault="00F207BE" w:rsidP="00F207BE">
      <w:pPr>
        <w:pStyle w:val="SmallBodyText"/>
        <w:rPr>
          <w:spacing w:val="0"/>
          <w:sz w:val="24"/>
        </w:rPr>
      </w:pPr>
      <w:r w:rsidRPr="00CD2C20">
        <w:rPr>
          <w:spacing w:val="0"/>
          <w:sz w:val="24"/>
        </w:rPr>
        <w:t>If you would like to receive this publication in an alternative format, please telephone the DELWP Customer Service Centre on 136186, email </w:t>
      </w:r>
      <w:hyperlink r:id="rId7" w:history="1">
        <w:r w:rsidRPr="00CD2C20">
          <w:rPr>
            <w:spacing w:val="0"/>
            <w:sz w:val="24"/>
          </w:rPr>
          <w:t>customer.service@delwp.vic.gov.au</w:t>
        </w:r>
      </w:hyperlink>
      <w:r w:rsidRPr="00CD2C20">
        <w:rPr>
          <w:spacing w:val="0"/>
          <w:sz w:val="24"/>
        </w:rPr>
        <w:t xml:space="preserve">, or via the National Relay Service on 133 677 </w:t>
      </w:r>
      <w:hyperlink r:id="rId8" w:history="1">
        <w:r w:rsidRPr="00CD2C20">
          <w:rPr>
            <w:spacing w:val="0"/>
            <w:sz w:val="24"/>
          </w:rPr>
          <w:t>www.relayservice.com.au</w:t>
        </w:r>
      </w:hyperlink>
      <w:r w:rsidRPr="00CD2C20">
        <w:rPr>
          <w:spacing w:val="0"/>
          <w:sz w:val="24"/>
        </w:rPr>
        <w:t xml:space="preserve">. This document is also available on the internet at </w:t>
      </w:r>
      <w:hyperlink r:id="rId9" w:history="1">
        <w:r w:rsidRPr="00CD2C20">
          <w:rPr>
            <w:spacing w:val="0"/>
            <w:sz w:val="24"/>
          </w:rPr>
          <w:t>www.delwp.vic.gov.au</w:t>
        </w:r>
      </w:hyperlink>
      <w:r w:rsidRPr="00CD2C20">
        <w:rPr>
          <w:spacing w:val="0"/>
          <w:sz w:val="24"/>
        </w:rPr>
        <w:t>.</w:t>
      </w:r>
    </w:p>
    <w:p w14:paraId="47853225" w14:textId="77777777" w:rsidR="00000000" w:rsidRDefault="00000000" w:rsidP="00F207BE">
      <w:pPr>
        <w:pStyle w:val="SmallBody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2OcuAe"/>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Ps2OcuAe"/>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64F5A" w14:textId="77777777" w:rsidR="00A76209" w:rsidRDefault="00A762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04426" w14:textId="3846B35F" w:rsidR="00A76209" w:rsidRDefault="00A76209">
    <w:pPr>
      <w:pStyle w:val="Footer"/>
    </w:pPr>
    <w:r>
      <w:rPr>
        <w:noProof/>
      </w:rPr>
      <w:pict w14:anchorId="0B5C2718">
        <v:shapetype id="_x0000_t202" coordsize="21600,21600" o:spt="202" path="m,l,21600r21600,l21600,xe">
          <v:stroke joinstyle="miter"/>
          <v:path gradientshapeok="t" o:connecttype="rect"/>
        </v:shapetype>
        <v:shape id="MSIPCM698842ffad2824985bbd52a1" o:spid="_x0000_s1028" type="#_x0000_t202" alt="{&quot;HashCode&quot;:1862493762,&quot;Height&quot;:842.0,&quot;Width&quot;:595.0,&quot;Placement&quot;:&quot;Footer&quot;,&quot;Index&quot;:&quot;Primary&quot;,&quot;Section&quot;:1,&quot;Top&quot;:0.0,&quot;Left&quot;:0.0}" style="position:absolute;margin-left:0;margin-top:805.45pt;width:595.35pt;height:21.55pt;z-index:251659776;mso-wrap-style:square;mso-position-horizontal:absolute;mso-position-horizontal-relative:page;mso-position-vertical:absolute;mso-position-vertical-relative:page;v-text-anchor:bottom" o:allowincell="f" filled="f" stroked="f">
          <v:textbox inset=",0,,0">
            <w:txbxContent>
              <w:p w14:paraId="1BD6D8B8" w14:textId="1C44D925" w:rsidR="00A76209" w:rsidRPr="00A76209" w:rsidRDefault="00A76209" w:rsidP="00A76209">
                <w:pPr>
                  <w:jc w:val="center"/>
                  <w:rPr>
                    <w:rFonts w:ascii="Calibri" w:hAnsi="Calibri" w:cs="Calibri"/>
                    <w:color w:val="000000"/>
                    <w:sz w:val="24"/>
                  </w:rPr>
                </w:pPr>
                <w:r w:rsidRPr="00A76209">
                  <w:rPr>
                    <w:rFonts w:ascii="Calibri" w:hAnsi="Calibri" w:cs="Calibri"/>
                    <w:color w:val="000000"/>
                    <w:sz w:val="24"/>
                  </w:rPr>
                  <w:t>OFFICIAL</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8645" w14:textId="184B332A" w:rsidR="00A76209" w:rsidRDefault="00A76209">
    <w:pPr>
      <w:pStyle w:val="Footer"/>
    </w:pPr>
    <w:r>
      <w:rPr>
        <w:noProof/>
      </w:rPr>
      <w:pict w14:anchorId="17F69A1E">
        <v:shapetype id="_x0000_t202" coordsize="21600,21600" o:spt="202" path="m,l,21600r21600,l21600,xe">
          <v:stroke joinstyle="miter"/>
          <v:path gradientshapeok="t" o:connecttype="rect"/>
        </v:shapetype>
        <v:shape id="MSIPCM70404e7483cf083a00079e94" o:spid="_x0000_s1029" type="#_x0000_t202" alt="{&quot;HashCode&quot;:1862493762,&quot;Height&quot;:842.0,&quot;Width&quot;:595.0,&quot;Placement&quot;:&quot;Footer&quot;,&quot;Index&quot;:&quot;FirstPage&quot;,&quot;Section&quot;:1,&quot;Top&quot;:0.0,&quot;Left&quot;:0.0}" style="position:absolute;margin-left:0;margin-top:805.45pt;width:595.35pt;height:21.55pt;z-index:251660800;mso-wrap-style:square;mso-position-horizontal:absolute;mso-position-horizontal-relative:page;mso-position-vertical:absolute;mso-position-vertical-relative:page;v-text-anchor:bottom" o:allowincell="f" filled="f" stroked="f">
          <v:textbox inset=",0,,0">
            <w:txbxContent>
              <w:p w14:paraId="4533DBBE" w14:textId="7181EF6C" w:rsidR="00A76209" w:rsidRPr="00A76209" w:rsidRDefault="00A76209" w:rsidP="00A76209">
                <w:pPr>
                  <w:jc w:val="center"/>
                  <w:rPr>
                    <w:rFonts w:ascii="Calibri" w:hAnsi="Calibri" w:cs="Calibri"/>
                    <w:color w:val="000000"/>
                    <w:sz w:val="24"/>
                  </w:rPr>
                </w:pPr>
                <w:r w:rsidRPr="00A76209">
                  <w:rPr>
                    <w:rFonts w:ascii="Calibri" w:hAnsi="Calibri" w:cs="Calibri"/>
                    <w:color w:val="000000"/>
                    <w:sz w:val="24"/>
                  </w:rPr>
                  <w:t>OFFICIAL</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9223C" w14:textId="77777777" w:rsidR="0017425B" w:rsidRPr="008F5280" w:rsidRDefault="0017425B" w:rsidP="008F5280">
      <w:pPr>
        <w:pStyle w:val="FootnoteSeparator"/>
      </w:pPr>
    </w:p>
  </w:footnote>
  <w:footnote w:type="continuationSeparator" w:id="0">
    <w:p w14:paraId="77D7DE70" w14:textId="77777777" w:rsidR="0017425B" w:rsidRDefault="0017425B" w:rsidP="008F5280">
      <w:pPr>
        <w:pStyle w:val="FootnoteSeparator"/>
      </w:pPr>
    </w:p>
    <w:p w14:paraId="2F7D563D" w14:textId="77777777" w:rsidR="0017425B" w:rsidRDefault="0017425B"/>
    <w:p w14:paraId="76623D32" w14:textId="77777777" w:rsidR="0017425B" w:rsidRDefault="0017425B"/>
  </w:footnote>
  <w:footnote w:type="continuationNotice" w:id="1">
    <w:p w14:paraId="77A84745" w14:textId="77777777" w:rsidR="0017425B" w:rsidRDefault="0017425B" w:rsidP="00D55628"/>
    <w:p w14:paraId="0DC32A97" w14:textId="77777777" w:rsidR="0017425B" w:rsidRDefault="0017425B"/>
    <w:p w14:paraId="13459489" w14:textId="77777777" w:rsidR="0017425B" w:rsidRDefault="0017425B"/>
  </w:footnote>
  <w:footnote w:id="2">
    <w:p w14:paraId="6022AD5A" w14:textId="77777777" w:rsidR="00000000" w:rsidRDefault="009D226D" w:rsidP="00F207BE">
      <w:pPr>
        <w:pStyle w:val="FootnoteText"/>
        <w:tabs>
          <w:tab w:val="clear" w:pos="284"/>
          <w:tab w:val="left" w:pos="142"/>
        </w:tabs>
        <w:ind w:left="142" w:hanging="142"/>
      </w:pPr>
      <w:r w:rsidRPr="001E5DAC">
        <w:rPr>
          <w:rStyle w:val="FootnoteReference"/>
          <w:rFonts w:cs="Arial"/>
          <w:sz w:val="16"/>
          <w:szCs w:val="16"/>
        </w:rPr>
        <w:footnoteRef/>
      </w:r>
      <w:r w:rsidRPr="001E5DAC">
        <w:rPr>
          <w:sz w:val="16"/>
          <w:szCs w:val="16"/>
        </w:rPr>
        <w:t xml:space="preserve"> </w:t>
      </w:r>
      <w:r w:rsidR="00F207BE">
        <w:rPr>
          <w:sz w:val="16"/>
          <w:szCs w:val="16"/>
        </w:rPr>
        <w:tab/>
      </w:r>
      <w:r w:rsidRPr="001E5DAC">
        <w:rPr>
          <w:sz w:val="16"/>
          <w:szCs w:val="16"/>
        </w:rPr>
        <w:t xml:space="preserve">An </w:t>
      </w:r>
      <w:r w:rsidRPr="001E5DAC">
        <w:rPr>
          <w:i/>
          <w:sz w:val="16"/>
          <w:szCs w:val="16"/>
        </w:rPr>
        <w:t>oocyst</w:t>
      </w:r>
      <w:r w:rsidRPr="001E5DAC">
        <w:rPr>
          <w:sz w:val="16"/>
          <w:szCs w:val="16"/>
        </w:rPr>
        <w:t xml:space="preserve"> is a thick walled structure in which each pathogen cell is ‘housed’ to transfer to a new host.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EE496F" w:rsidRPr="00975ED3" w14:paraId="358B27B7" w14:textId="77777777" w:rsidTr="00391C29">
      <w:trPr>
        <w:trHeight w:hRule="exact" w:val="1418"/>
      </w:trPr>
      <w:tc>
        <w:tcPr>
          <w:tcW w:w="7761" w:type="dxa"/>
          <w:vAlign w:val="center"/>
        </w:tcPr>
        <w:p w14:paraId="4D64F801" w14:textId="77777777" w:rsidR="00EE496F" w:rsidRPr="00975ED3" w:rsidRDefault="00B172BF" w:rsidP="00EE496F">
          <w:pPr>
            <w:pStyle w:val="Header"/>
          </w:pPr>
          <w:fldSimple w:instr=" STYLEREF  Title  \* MERGEFORMAT ">
            <w:r w:rsidR="00EE496F">
              <w:rPr>
                <w:noProof/>
              </w:rPr>
              <w:t>Juvenile stock in waterways</w:t>
            </w:r>
          </w:fldSimple>
        </w:p>
      </w:tc>
    </w:tr>
  </w:tbl>
  <w:p w14:paraId="367F59CB" w14:textId="77777777" w:rsidR="00EE496F" w:rsidRPr="00E97294" w:rsidRDefault="00000000" w:rsidP="00435833">
    <w:pPr>
      <w:pStyle w:val="Header"/>
    </w:pPr>
    <w:r>
      <w:rPr>
        <w:noProof/>
      </w:rPr>
      <w:pict w14:anchorId="46EFA6C7">
        <v:shape id="TriangleRight" o:spid="_x0000_s1025" style="position:absolute;left:0;text-align:left;margin-left:56.7pt;margin-top:22.7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" path="m1339,1419l669,,,1419r1339,xe" fillcolor="#201547 [3206]" stroked="f">
          <v:path arrowok="t" o:connecttype="custom" o:connectlocs="864000,900000;431677,0;0,900000;864000,900000" o:connectangles="0,0,0,0"/>
          <w10:wrap anchorx="page" anchory="page"/>
        </v:shape>
      </w:pict>
    </w:r>
    <w:r>
      <w:rPr>
        <w:noProof/>
      </w:rPr>
      <w:pict w14:anchorId="72DE054B">
        <v:shape id="TriangleLeft" o:spid="_x0000_s1026" style="position:absolute;left:0;text-align:left;margin-left:22.7pt;margin-top:22.7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PjGUldACAADSBgAADgAAAAAAAAAAAAAAAAAuAgAAZHJzL2Uyb0Rv&#10;Yy54bWxQSwECLQAUAAYACAAAACEA3BC+V98AAAAJAQAADwAAAAAAAAAAAAAAAAAqBQAAZHJzL2Rv&#10;d25yZXYueG1sUEsFBgAAAAAEAAQA8wAAADYGAAAAAA==&#10;" path="m,l665,1419,1334,,,xe" fillcolor="#71c5e8 [3202]" stroked="f">
          <v:path arrowok="t" o:connecttype="custom" o:connectlocs="0,0;430705,900000;864000,0;0,0" o:connectangles="0,0,0,0"/>
          <w10:wrap anchorx="page" anchory="page"/>
        </v:shape>
      </w:pict>
    </w:r>
    <w:r>
      <w:rPr>
        <w:noProof/>
      </w:rPr>
      <w:pict w14:anchorId="4A7E08C1">
        <v:rect id="Rectangle" o:spid="_x0000_s1027" style="position:absolute;left:0;text-align:left;margin-left:22.7pt;margin-top:22.7pt;width:552.75pt;height:70.85pt;z-index:-25165977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XbPWy/QEAAOgDAAAOAAAAAAAAAAAA&#10;AAAAAC4CAABkcnMvZTJvRG9jLnhtbFBLAQItABQABgAIAAAAIQA2aXEu3wAAAAoBAAAPAAAAAAAA&#10;AAAAAAAAAFcEAABkcnMvZG93bnJldi54bWxQSwUGAAAAAAQABADzAAAAYwUAAAAA&#10;" fillcolor="#00b2a9 [3204]" stroked="f">
          <w10:wrap anchorx="page" anchory="page"/>
        </v:rect>
      </w:pict>
    </w:r>
  </w:p>
  <w:p w14:paraId="4EA49112" w14:textId="77777777" w:rsidR="00EE496F" w:rsidRDefault="00EE4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3415F" w14:textId="77777777" w:rsidR="00A76209" w:rsidRDefault="00A762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995FC" w14:textId="77777777" w:rsidR="00A76209" w:rsidRDefault="00A762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FFFFFFFF"/>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FFFFFFFF"/>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8B37FE"/>
    <w:multiLevelType w:val="multilevel"/>
    <w:tmpl w:val="FFFFFFFF"/>
    <w:name w:val="DEPIListBullets"/>
    <w:lvl w:ilvl="0">
      <w:start w:val="1"/>
      <w:numFmt w:val="bullet"/>
      <w:pStyle w:val="ListBullet"/>
      <w:lvlText w:val="•"/>
      <w:lvlJc w:val="left"/>
      <w:pPr>
        <w:tabs>
          <w:tab w:val="num" w:pos="170"/>
        </w:tabs>
        <w:ind w:left="170" w:hanging="170"/>
      </w:pPr>
      <w:rPr>
        <w:rFonts w:ascii="Times New Roman" w:hAnsi="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6"/>
      </w:rPr>
    </w:lvl>
    <w:lvl w:ilvl="3">
      <w:start w:val="1"/>
      <w:numFmt w:val="none"/>
      <w:lvlText w:val=""/>
      <w:lvlJc w:val="left"/>
      <w:pPr>
        <w:tabs>
          <w:tab w:val="num" w:pos="-31680"/>
        </w:tabs>
      </w:pPr>
      <w:rPr>
        <w:rFonts w:cs="Times New Roman" w:hint="default"/>
      </w:rPr>
    </w:lvl>
    <w:lvl w:ilvl="4">
      <w:start w:val="1"/>
      <w:numFmt w:val="none"/>
      <w:lvlText w:val=""/>
      <w:lvlJc w:val="left"/>
      <w:pPr>
        <w:tabs>
          <w:tab w:val="num" w:pos="-31680"/>
        </w:tabs>
      </w:pPr>
      <w:rPr>
        <w:rFonts w:cs="Times New Roman" w:hint="default"/>
      </w:rPr>
    </w:lvl>
    <w:lvl w:ilvl="5">
      <w:start w:val="1"/>
      <w:numFmt w:val="none"/>
      <w:lvlText w:val=""/>
      <w:lvlJc w:val="left"/>
      <w:pPr>
        <w:tabs>
          <w:tab w:val="num" w:pos="-31680"/>
        </w:tabs>
      </w:pPr>
      <w:rPr>
        <w:rFonts w:cs="Times New Roman" w:hint="default"/>
      </w:rPr>
    </w:lvl>
    <w:lvl w:ilvl="6">
      <w:start w:val="1"/>
      <w:numFmt w:val="none"/>
      <w:lvlText w:val=""/>
      <w:lvlJc w:val="left"/>
      <w:pPr>
        <w:tabs>
          <w:tab w:val="num" w:pos="-31680"/>
        </w:tabs>
      </w:pPr>
      <w:rPr>
        <w:rFonts w:cs="Times New Roman" w:hint="default"/>
      </w:rPr>
    </w:lvl>
    <w:lvl w:ilvl="7">
      <w:start w:val="1"/>
      <w:numFmt w:val="none"/>
      <w:lvlText w:val=""/>
      <w:lvlJc w:val="left"/>
      <w:pPr>
        <w:tabs>
          <w:tab w:val="num" w:pos="-31680"/>
        </w:tabs>
      </w:pPr>
      <w:rPr>
        <w:rFonts w:cs="Times New Roman" w:hint="default"/>
      </w:rPr>
    </w:lvl>
    <w:lvl w:ilvl="8">
      <w:start w:val="1"/>
      <w:numFmt w:val="none"/>
      <w:lvlText w:val=""/>
      <w:lvlJc w:val="left"/>
      <w:pPr>
        <w:tabs>
          <w:tab w:val="num" w:pos="-31680"/>
        </w:tabs>
      </w:pPr>
      <w:rPr>
        <w:rFonts w:cs="Times New Roman" w:hint="default"/>
      </w:rPr>
    </w:lvl>
  </w:abstractNum>
  <w:abstractNum w:abstractNumId="4" w15:restartNumberingAfterBreak="0">
    <w:nsid w:val="0C351215"/>
    <w:multiLevelType w:val="multilevel"/>
    <w:tmpl w:val="FFFFFFFF"/>
    <w:name w:val="DELWPHeadings"/>
    <w:lvl w:ilvl="0">
      <w:start w:val="1"/>
      <w:numFmt w:val="none"/>
      <w:lvlRestart w:val="0"/>
      <w:suff w:val="nothing"/>
      <w:lvlText w:val=""/>
      <w:lvlJc w:val="left"/>
      <w:rPr>
        <w:rFonts w:cs="Times New Roman" w:hint="default"/>
        <w:color w:val="71C5E8" w:themeColor="text2"/>
        <w:sz w:val="40"/>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lvlText w:val="%1.%2.%3.%4"/>
      <w:lvlJc w:val="left"/>
      <w:pPr>
        <w:ind w:left="765" w:hanging="765"/>
      </w:pPr>
      <w:rPr>
        <w:rFonts w:cs="Times New Roman" w:hint="default"/>
      </w:rPr>
    </w:lvl>
    <w:lvl w:ilvl="4">
      <w:start w:val="1"/>
      <w:numFmt w:val="decimal"/>
      <w:lvlText w:val="%1.%2.%3.%4.%5"/>
      <w:lvlJc w:val="left"/>
      <w:pPr>
        <w:ind w:left="765" w:hanging="765"/>
      </w:pPr>
      <w:rPr>
        <w:rFonts w:cs="Times New Roman" w:hint="default"/>
      </w:rPr>
    </w:lvl>
    <w:lvl w:ilvl="5">
      <w:start w:val="1"/>
      <w:numFmt w:val="decimal"/>
      <w:lvlText w:val="%1.%2.%3.%4.%5.%6"/>
      <w:lvlJc w:val="left"/>
      <w:pPr>
        <w:ind w:left="765" w:hanging="765"/>
      </w:pPr>
      <w:rPr>
        <w:rFonts w:cs="Times New Roman" w:hint="default"/>
      </w:rPr>
    </w:lvl>
    <w:lvl w:ilvl="6">
      <w:start w:val="1"/>
      <w:numFmt w:val="decimal"/>
      <w:lvlText w:val="%1.%2.%3.%4.%5.%6.%7."/>
      <w:lvlJc w:val="left"/>
      <w:pPr>
        <w:ind w:left="765" w:hanging="765"/>
      </w:pPr>
      <w:rPr>
        <w:rFonts w:cs="Times New Roman" w:hint="default"/>
      </w:rPr>
    </w:lvl>
    <w:lvl w:ilvl="7">
      <w:start w:val="1"/>
      <w:numFmt w:val="decimal"/>
      <w:lvlText w:val="%1.%2.%3.%4.%5.%6.%7.%8."/>
      <w:lvlJc w:val="left"/>
      <w:pPr>
        <w:ind w:left="765" w:hanging="765"/>
      </w:pPr>
      <w:rPr>
        <w:rFonts w:cs="Times New Roman" w:hint="default"/>
      </w:rPr>
    </w:lvl>
    <w:lvl w:ilvl="8">
      <w:start w:val="1"/>
      <w:numFmt w:val="decimal"/>
      <w:lvlText w:val="%1.%2.%3.%4.%5.%6.%7.%8.%9."/>
      <w:lvlJc w:val="left"/>
      <w:pPr>
        <w:ind w:left="765" w:hanging="765"/>
      </w:pPr>
      <w:rPr>
        <w:rFonts w:cs="Times New Roman" w:hint="default"/>
      </w:rPr>
    </w:lvl>
  </w:abstractNum>
  <w:abstractNum w:abstractNumId="5" w15:restartNumberingAfterBreak="0">
    <w:nsid w:val="0FB2573F"/>
    <w:multiLevelType w:val="multilevel"/>
    <w:tmpl w:val="FFFFFFFF"/>
    <w:name w:val="TableFootnotes"/>
    <w:lvl w:ilvl="0">
      <w:start w:val="1"/>
      <w:numFmt w:val="lowerLetter"/>
      <w:lvlText w:val="%1."/>
      <w:lvlJc w:val="left"/>
      <w:pPr>
        <w:ind w:left="284" w:hanging="284"/>
      </w:pPr>
      <w:rPr>
        <w:rFonts w:cs="Times New Roman" w:hint="default"/>
        <w:spacing w:val="-10"/>
      </w:rPr>
    </w:lvl>
    <w:lvl w:ilvl="1">
      <w:start w:val="1"/>
      <w:numFmt w:val="lowerRoman"/>
      <w:lvlText w:val="%2."/>
      <w:lvlJc w:val="left"/>
      <w:pPr>
        <w:tabs>
          <w:tab w:val="num" w:pos="567"/>
        </w:tabs>
        <w:ind w:left="567" w:hanging="283"/>
      </w:pPr>
      <w:rPr>
        <w:rFonts w:cs="Times New Roman" w:hint="default"/>
        <w:spacing w:val="0"/>
        <w:w w:val="100"/>
        <w:kern w:val="0"/>
        <w:position w:val="0"/>
      </w:rPr>
    </w:lvl>
    <w:lvl w:ilvl="2">
      <w:start w:val="1"/>
      <w:numFmt w:val="none"/>
      <w:lvlRestart w:val="0"/>
      <w:lvlText w:val=""/>
      <w:lvlJc w:val="left"/>
      <w:pPr>
        <w:tabs>
          <w:tab w:val="num" w:pos="0"/>
        </w:tabs>
      </w:pPr>
      <w:rPr>
        <w:rFonts w:cs="Times New Roman" w:hint="default"/>
        <w:color w:val="auto"/>
        <w:spacing w:val="-4"/>
      </w:rPr>
    </w:lvl>
    <w:lvl w:ilvl="3">
      <w:start w:val="1"/>
      <w:numFmt w:val="none"/>
      <w:lvlText w:val=""/>
      <w:lvlJc w:val="left"/>
      <w:pPr>
        <w:tabs>
          <w:tab w:val="num" w:pos="0"/>
        </w:tabs>
        <w:ind w:hanging="5670"/>
      </w:pPr>
      <w:rPr>
        <w:rFonts w:cs="Times New Roman" w:hint="default"/>
        <w:spacing w:val="-10"/>
        <w:w w:val="100"/>
      </w:rPr>
    </w:lvl>
    <w:lvl w:ilvl="4">
      <w:start w:val="1"/>
      <w:numFmt w:val="none"/>
      <w:lvlText w:val=""/>
      <w:lvlJc w:val="left"/>
      <w:pPr>
        <w:tabs>
          <w:tab w:val="num" w:pos="0"/>
        </w:tabs>
      </w:pPr>
      <w:rPr>
        <w:rFonts w:cs="Times New Roman" w:hint="default"/>
      </w:rPr>
    </w:lvl>
    <w:lvl w:ilvl="5">
      <w:start w:val="1"/>
      <w:numFmt w:val="none"/>
      <w:lvlText w:val=""/>
      <w:lvlJc w:val="left"/>
      <w:pPr>
        <w:tabs>
          <w:tab w:val="num" w:pos="0"/>
        </w:tabs>
      </w:pPr>
      <w:rPr>
        <w:rFonts w:cs="Times New Roman" w:hint="default"/>
      </w:rPr>
    </w:lvl>
    <w:lvl w:ilvl="6">
      <w:start w:val="1"/>
      <w:numFmt w:val="none"/>
      <w:lvlRestart w:val="0"/>
      <w:lvlText w:val="%7"/>
      <w:lvlJc w:val="left"/>
      <w:pPr>
        <w:tabs>
          <w:tab w:val="num" w:pos="0"/>
        </w:tabs>
      </w:pPr>
      <w:rPr>
        <w:rFonts w:cs="Times New Roman" w:hint="default"/>
      </w:rPr>
    </w:lvl>
    <w:lvl w:ilvl="7">
      <w:start w:val="1"/>
      <w:numFmt w:val="none"/>
      <w:lvlText w:val="%8."/>
      <w:lvlJc w:val="left"/>
      <w:pPr>
        <w:tabs>
          <w:tab w:val="num" w:pos="0"/>
        </w:tabs>
      </w:pPr>
      <w:rPr>
        <w:rFonts w:cs="Times New Roman" w:hint="default"/>
        <w:position w:val="0"/>
      </w:rPr>
    </w:lvl>
    <w:lvl w:ilvl="8">
      <w:start w:val="1"/>
      <w:numFmt w:val="none"/>
      <w:lvlText w:val=""/>
      <w:lvlJc w:val="left"/>
      <w:pPr>
        <w:tabs>
          <w:tab w:val="num" w:pos="0"/>
        </w:tabs>
      </w:pPr>
      <w:rPr>
        <w:rFonts w:cs="Times New Roman" w:hint="default"/>
        <w:position w:val="2"/>
        <w:sz w:val="20"/>
        <w:szCs w:val="20"/>
      </w:rPr>
    </w:lvl>
  </w:abstractNum>
  <w:abstractNum w:abstractNumId="6" w15:restartNumberingAfterBreak="0">
    <w:nsid w:val="194A695C"/>
    <w:multiLevelType w:val="multilevel"/>
    <w:tmpl w:val="FFFFFFFF"/>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cs="Times New Roman" w:hint="default"/>
      </w:rPr>
    </w:lvl>
    <w:lvl w:ilvl="4">
      <w:start w:val="1"/>
      <w:numFmt w:val="none"/>
      <w:lvlText w:val=""/>
      <w:lvlJc w:val="left"/>
      <w:pPr>
        <w:ind w:left="3487" w:hanging="360"/>
      </w:pPr>
      <w:rPr>
        <w:rFonts w:cs="Times New Roman" w:hint="default"/>
      </w:rPr>
    </w:lvl>
    <w:lvl w:ilvl="5">
      <w:start w:val="1"/>
      <w:numFmt w:val="none"/>
      <w:lvlText w:val=""/>
      <w:lvlJc w:val="left"/>
      <w:pPr>
        <w:ind w:left="4207" w:hanging="360"/>
      </w:pPr>
      <w:rPr>
        <w:rFonts w:cs="Times New Roman" w:hint="default"/>
      </w:rPr>
    </w:lvl>
    <w:lvl w:ilvl="6">
      <w:start w:val="1"/>
      <w:numFmt w:val="none"/>
      <w:lvlText w:val=""/>
      <w:lvlJc w:val="left"/>
      <w:pPr>
        <w:ind w:left="4927" w:hanging="360"/>
      </w:pPr>
      <w:rPr>
        <w:rFonts w:cs="Times New Roman" w:hint="default"/>
      </w:rPr>
    </w:lvl>
    <w:lvl w:ilvl="7">
      <w:start w:val="1"/>
      <w:numFmt w:val="none"/>
      <w:lvlText w:val=""/>
      <w:lvlJc w:val="left"/>
      <w:pPr>
        <w:ind w:left="5647" w:hanging="360"/>
      </w:pPr>
      <w:rPr>
        <w:rFonts w:cs="Times New Roman" w:hint="default"/>
      </w:rPr>
    </w:lvl>
    <w:lvl w:ilvl="8">
      <w:start w:val="1"/>
      <w:numFmt w:val="none"/>
      <w:lvlText w:val=""/>
      <w:lvlJc w:val="left"/>
      <w:pPr>
        <w:ind w:left="6367" w:hanging="360"/>
      </w:pPr>
      <w:rPr>
        <w:rFonts w:cs="Times New Roman" w:hint="default"/>
      </w:rPr>
    </w:lvl>
  </w:abstractNum>
  <w:abstractNum w:abstractNumId="7" w15:restartNumberingAfterBreak="0">
    <w:nsid w:val="1F275C51"/>
    <w:multiLevelType w:val="multilevel"/>
    <w:tmpl w:val="FFFFFFFF"/>
    <w:name w:val="DEPIListAlpha"/>
    <w:lvl w:ilvl="0">
      <w:start w:val="1"/>
      <w:numFmt w:val="lowerLetter"/>
      <w:lvlText w:val="%1."/>
      <w:lvlJc w:val="left"/>
      <w:pPr>
        <w:ind w:left="340" w:hanging="340"/>
      </w:pPr>
      <w:rPr>
        <w:rFonts w:cs="Times New Roman" w:hint="default"/>
      </w:rPr>
    </w:lvl>
    <w:lvl w:ilvl="1">
      <w:start w:val="1"/>
      <w:numFmt w:val="lowerRoman"/>
      <w:lvlText w:val="%2."/>
      <w:lvlJc w:val="left"/>
      <w:pPr>
        <w:ind w:left="709" w:hanging="369"/>
      </w:pPr>
      <w:rPr>
        <w:rFonts w:cs="Times New Roman" w:hint="default"/>
      </w:rPr>
    </w:lvl>
    <w:lvl w:ilvl="2">
      <w:start w:val="1"/>
      <w:numFmt w:val="bullet"/>
      <w:lvlText w:val="–"/>
      <w:lvlJc w:val="left"/>
      <w:pPr>
        <w:ind w:left="1049" w:hanging="340"/>
      </w:pPr>
      <w:rPr>
        <w:rFonts w:ascii="Arial" w:hAnsi="Arial" w:hint="default"/>
        <w:color w:val="auto"/>
      </w:rPr>
    </w:lvl>
    <w:lvl w:ilvl="3">
      <w:start w:val="1"/>
      <w:numFmt w:val="decimal"/>
      <w:lvlText w:val="%4."/>
      <w:lvlJc w:val="left"/>
      <w:pPr>
        <w:ind w:left="1816" w:hanging="454"/>
      </w:pPr>
      <w:rPr>
        <w:rFonts w:cs="Times New Roman" w:hint="default"/>
      </w:rPr>
    </w:lvl>
    <w:lvl w:ilvl="4">
      <w:start w:val="1"/>
      <w:numFmt w:val="lowerLetter"/>
      <w:lvlText w:val="%5."/>
      <w:lvlJc w:val="left"/>
      <w:pPr>
        <w:ind w:left="2270" w:hanging="454"/>
      </w:pPr>
      <w:rPr>
        <w:rFonts w:cs="Times New Roman" w:hint="default"/>
      </w:rPr>
    </w:lvl>
    <w:lvl w:ilvl="5">
      <w:start w:val="1"/>
      <w:numFmt w:val="lowerRoman"/>
      <w:lvlText w:val="%6."/>
      <w:lvlJc w:val="right"/>
      <w:pPr>
        <w:ind w:left="2724" w:hanging="454"/>
      </w:pPr>
      <w:rPr>
        <w:rFonts w:cs="Times New Roman" w:hint="default"/>
      </w:rPr>
    </w:lvl>
    <w:lvl w:ilvl="6">
      <w:start w:val="1"/>
      <w:numFmt w:val="decimal"/>
      <w:lvlText w:val="%7."/>
      <w:lvlJc w:val="left"/>
      <w:pPr>
        <w:ind w:left="3178" w:hanging="454"/>
      </w:pPr>
      <w:rPr>
        <w:rFonts w:cs="Times New Roman" w:hint="default"/>
      </w:rPr>
    </w:lvl>
    <w:lvl w:ilvl="7">
      <w:start w:val="1"/>
      <w:numFmt w:val="lowerLetter"/>
      <w:lvlText w:val="%8."/>
      <w:lvlJc w:val="left"/>
      <w:pPr>
        <w:ind w:left="3632" w:hanging="454"/>
      </w:pPr>
      <w:rPr>
        <w:rFonts w:cs="Times New Roman" w:hint="default"/>
      </w:rPr>
    </w:lvl>
    <w:lvl w:ilvl="8">
      <w:start w:val="1"/>
      <w:numFmt w:val="lowerRoman"/>
      <w:lvlText w:val="%9."/>
      <w:lvlJc w:val="right"/>
      <w:pPr>
        <w:ind w:left="4086" w:hanging="454"/>
      </w:pPr>
      <w:rPr>
        <w:rFonts w:cs="Times New Roman" w:hint="default"/>
      </w:rPr>
    </w:lvl>
  </w:abstractNum>
  <w:abstractNum w:abstractNumId="8" w15:restartNumberingAfterBreak="0">
    <w:nsid w:val="2C72580B"/>
    <w:multiLevelType w:val="multilevel"/>
    <w:tmpl w:val="FFFFFFFF"/>
    <w:name w:val="PullOutBoxNumbering"/>
    <w:lvl w:ilvl="0">
      <w:start w:val="1"/>
      <w:numFmt w:val="decimal"/>
      <w:pStyle w:val="PullOutBoxNumbered"/>
      <w:lvlText w:val="%1."/>
      <w:lvlJc w:val="left"/>
      <w:pPr>
        <w:tabs>
          <w:tab w:val="num" w:pos="482"/>
        </w:tabs>
        <w:ind w:left="482" w:hanging="340"/>
      </w:pPr>
      <w:rPr>
        <w:rFonts w:cs="Times New Roman" w:hint="default"/>
      </w:rPr>
    </w:lvl>
    <w:lvl w:ilvl="1">
      <w:start w:val="1"/>
      <w:numFmt w:val="lowerLetter"/>
      <w:pStyle w:val="PullOutBoxNumbered2"/>
      <w:lvlText w:val="%2."/>
      <w:lvlJc w:val="left"/>
      <w:pPr>
        <w:tabs>
          <w:tab w:val="num" w:pos="822"/>
        </w:tabs>
        <w:ind w:left="822" w:hanging="340"/>
      </w:pPr>
      <w:rPr>
        <w:rFonts w:cs="Times New Roman" w:hint="default"/>
        <w:color w:val="363534" w:themeColor="text1"/>
      </w:rPr>
    </w:lvl>
    <w:lvl w:ilvl="2">
      <w:start w:val="1"/>
      <w:numFmt w:val="lowerRoman"/>
      <w:pStyle w:val="PullOutBoxNumbered3"/>
      <w:lvlText w:val="%3."/>
      <w:lvlJc w:val="left"/>
      <w:pPr>
        <w:tabs>
          <w:tab w:val="num" w:pos="1219"/>
        </w:tabs>
        <w:ind w:left="1219" w:hanging="397"/>
      </w:pPr>
      <w:rPr>
        <w:rFonts w:cs="Times New Roman" w:hint="default"/>
        <w:color w:val="363534" w:themeColor="text1"/>
        <w:position w:val="2"/>
        <w:sz w:val="22"/>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9" w15:restartNumberingAfterBreak="0">
    <w:nsid w:val="38723AD4"/>
    <w:multiLevelType w:val="multilevel"/>
    <w:tmpl w:val="FFFFFFFF"/>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10" w15:restartNumberingAfterBreak="0">
    <w:nsid w:val="3A505378"/>
    <w:multiLevelType w:val="multilevel"/>
    <w:tmpl w:val="FFFFFFFF"/>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3CFD75B0"/>
    <w:multiLevelType w:val="multilevel"/>
    <w:tmpl w:val="FFFFFFFF"/>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41F21788"/>
    <w:multiLevelType w:val="multilevel"/>
    <w:tmpl w:val="FFFFFFFF"/>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D545EC4"/>
    <w:multiLevelType w:val="multilevel"/>
    <w:tmpl w:val="FFFFFFFF"/>
    <w:name w:val="HighlightBoxBullet"/>
    <w:lvl w:ilvl="0">
      <w:start w:val="1"/>
      <w:numFmt w:val="bullet"/>
      <w:lvlRestart w:val="0"/>
      <w:pStyle w:val="HighlightBoxBullet"/>
      <w:lvlText w:val="•"/>
      <w:lvlJc w:val="left"/>
      <w:pPr>
        <w:ind w:left="454" w:hanging="227"/>
      </w:pPr>
      <w:rPr>
        <w:rFonts w:ascii="Arial" w:hAnsi="Arial" w:hint="default"/>
        <w:color w:val="FFFFFF"/>
        <w:sz w:val="24"/>
      </w:rPr>
    </w:lvl>
    <w:lvl w:ilvl="1">
      <w:start w:val="1"/>
      <w:numFmt w:val="bullet"/>
      <w:lvlText w:val="o"/>
      <w:lvlJc w:val="left"/>
      <w:pPr>
        <w:ind w:left="1667" w:hanging="360"/>
      </w:pPr>
      <w:rPr>
        <w:rFonts w:ascii="Courier New" w:hAnsi="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hint="default"/>
      </w:rPr>
    </w:lvl>
    <w:lvl w:ilvl="8">
      <w:start w:val="1"/>
      <w:numFmt w:val="bullet"/>
      <w:lvlText w:val=""/>
      <w:lvlJc w:val="left"/>
      <w:pPr>
        <w:ind w:left="6707" w:hanging="360"/>
      </w:pPr>
      <w:rPr>
        <w:rFonts w:ascii="Wingdings" w:hAnsi="Wingdings" w:hint="default"/>
      </w:rPr>
    </w:lvl>
  </w:abstractNum>
  <w:abstractNum w:abstractNumId="14" w15:restartNumberingAfterBreak="0">
    <w:nsid w:val="512536C5"/>
    <w:multiLevelType w:val="multilevel"/>
    <w:tmpl w:val="FFFFFFFF"/>
    <w:name w:val="PBNumbering"/>
    <w:lvl w:ilvl="0">
      <w:start w:val="1"/>
      <w:numFmt w:val="decimal"/>
      <w:lvlText w:val="%1."/>
      <w:lvlJc w:val="left"/>
      <w:pPr>
        <w:tabs>
          <w:tab w:val="num" w:pos="425"/>
        </w:tabs>
        <w:ind w:left="425" w:hanging="425"/>
      </w:pPr>
      <w:rPr>
        <w:rFonts w:cs="Times New Roman" w:hint="default"/>
      </w:rPr>
    </w:lvl>
    <w:lvl w:ilvl="1">
      <w:start w:val="1"/>
      <w:numFmt w:val="lowerLetter"/>
      <w:lvlText w:val="%2)"/>
      <w:lvlJc w:val="left"/>
      <w:pPr>
        <w:tabs>
          <w:tab w:val="num" w:pos="851"/>
        </w:tabs>
        <w:ind w:left="851" w:hanging="426"/>
      </w:pPr>
      <w:rPr>
        <w:rFonts w:cs="Times New Roman" w:hint="default"/>
      </w:rPr>
    </w:lvl>
    <w:lvl w:ilvl="2">
      <w:start w:val="1"/>
      <w:numFmt w:val="lowerRoman"/>
      <w:lvlText w:val="%3)"/>
      <w:lvlJc w:val="left"/>
      <w:pPr>
        <w:tabs>
          <w:tab w:val="num" w:pos="1276"/>
        </w:tabs>
        <w:ind w:left="1276" w:hanging="425"/>
      </w:pPr>
      <w:rPr>
        <w:rFonts w:cs="Times New Roman"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pPr>
      <w:rPr>
        <w:rFonts w:cs="Times New Roman" w:hint="default"/>
      </w:rPr>
    </w:lvl>
    <w:lvl w:ilvl="5">
      <w:start w:val="1"/>
      <w:numFmt w:val="none"/>
      <w:lvlText w:val="(%6)"/>
      <w:lvlJc w:val="left"/>
      <w:pPr>
        <w:tabs>
          <w:tab w:val="num" w:pos="2160"/>
        </w:tabs>
      </w:pPr>
      <w:rPr>
        <w:rFonts w:cs="Times New Roman" w:hint="default"/>
      </w:rPr>
    </w:lvl>
    <w:lvl w:ilvl="6">
      <w:start w:val="1"/>
      <w:numFmt w:val="none"/>
      <w:lvlText w:val="%7"/>
      <w:lvlJc w:val="left"/>
      <w:pPr>
        <w:tabs>
          <w:tab w:val="num" w:pos="2520"/>
        </w:tabs>
      </w:pPr>
      <w:rPr>
        <w:rFonts w:cs="Times New Roman" w:hint="default"/>
      </w:rPr>
    </w:lvl>
    <w:lvl w:ilvl="7">
      <w:start w:val="1"/>
      <w:numFmt w:val="none"/>
      <w:lvlText w:val=""/>
      <w:lvlJc w:val="left"/>
      <w:pPr>
        <w:tabs>
          <w:tab w:val="num" w:pos="2880"/>
        </w:tabs>
      </w:pPr>
      <w:rPr>
        <w:rFonts w:cs="Times New Roman" w:hint="default"/>
      </w:rPr>
    </w:lvl>
    <w:lvl w:ilvl="8">
      <w:start w:val="1"/>
      <w:numFmt w:val="none"/>
      <w:lvlText w:val="%9."/>
      <w:lvlJc w:val="left"/>
      <w:pPr>
        <w:tabs>
          <w:tab w:val="num" w:pos="3240"/>
        </w:tabs>
      </w:pPr>
      <w:rPr>
        <w:rFonts w:cs="Times New Roman" w:hint="default"/>
      </w:rPr>
    </w:lvl>
  </w:abstractNum>
  <w:abstractNum w:abstractNumId="15" w15:restartNumberingAfterBreak="0">
    <w:nsid w:val="515E53D8"/>
    <w:multiLevelType w:val="multilevel"/>
    <w:tmpl w:val="FFFFFFFF"/>
    <w:name w:val="ACHM Main Numbering"/>
    <w:lvl w:ilvl="0">
      <w:start w:val="1"/>
      <w:numFmt w:val="none"/>
      <w:suff w:val="nothing"/>
      <w:lvlText w:val=""/>
      <w:lvlJc w:val="left"/>
      <w:rPr>
        <w:rFonts w:cs="Times New Roman" w:hint="default"/>
      </w:rPr>
    </w:lvl>
    <w:lvl w:ilvl="1">
      <w:start w:val="1"/>
      <w:numFmt w:val="decimal"/>
      <w:lvlText w:val="%1%2."/>
      <w:lvlJc w:val="left"/>
      <w:pPr>
        <w:tabs>
          <w:tab w:val="num" w:pos="397"/>
        </w:tabs>
        <w:ind w:left="397" w:hanging="397"/>
      </w:pPr>
      <w:rPr>
        <w:rFonts w:cs="Times New Roman" w:hint="default"/>
        <w:b w:val="0"/>
        <w:i w:val="0"/>
      </w:rPr>
    </w:lvl>
    <w:lvl w:ilvl="2">
      <w:start w:val="1"/>
      <w:numFmt w:val="lowerLetter"/>
      <w:lvlText w:val="%3."/>
      <w:lvlJc w:val="left"/>
      <w:pPr>
        <w:tabs>
          <w:tab w:val="num" w:pos="794"/>
        </w:tabs>
        <w:ind w:left="794" w:hanging="397"/>
      </w:pPr>
      <w:rPr>
        <w:rFonts w:cs="Times New Roman"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cs="Times New Roman" w:hint="default"/>
      </w:rPr>
    </w:lvl>
    <w:lvl w:ilvl="5">
      <w:start w:val="1"/>
      <w:numFmt w:val="none"/>
      <w:lvlText w:val=""/>
      <w:lvlJc w:val="left"/>
      <w:pPr>
        <w:tabs>
          <w:tab w:val="num" w:pos="1418"/>
        </w:tabs>
        <w:ind w:left="1418" w:hanging="482"/>
      </w:pPr>
      <w:rPr>
        <w:rFonts w:cs="Times New Roman" w:hint="default"/>
      </w:rPr>
    </w:lvl>
    <w:lvl w:ilvl="6">
      <w:start w:val="1"/>
      <w:numFmt w:val="none"/>
      <w:lvlText w:val=""/>
      <w:lvlJc w:val="left"/>
      <w:pPr>
        <w:tabs>
          <w:tab w:val="num" w:pos="482"/>
        </w:tabs>
        <w:ind w:left="482" w:hanging="482"/>
      </w:pPr>
      <w:rPr>
        <w:rFonts w:cs="Times New Roman" w:hint="default"/>
      </w:rPr>
    </w:lvl>
    <w:lvl w:ilvl="7">
      <w:start w:val="1"/>
      <w:numFmt w:val="decimal"/>
      <w:lvlText w:val="%1"/>
      <w:lvlJc w:val="left"/>
      <w:pPr>
        <w:tabs>
          <w:tab w:val="num" w:pos="1440"/>
        </w:tabs>
        <w:ind w:left="1440" w:hanging="1440"/>
      </w:pPr>
      <w:rPr>
        <w:rFonts w:cs="Times New Roman" w:hint="default"/>
      </w:rPr>
    </w:lvl>
    <w:lvl w:ilvl="8">
      <w:start w:val="1"/>
      <w:numFmt w:val="decimal"/>
      <w:lvlText w:val="%1"/>
      <w:lvlJc w:val="left"/>
      <w:pPr>
        <w:tabs>
          <w:tab w:val="num" w:pos="1584"/>
        </w:tabs>
        <w:ind w:left="1584" w:hanging="1584"/>
      </w:pPr>
      <w:rPr>
        <w:rFonts w:cs="Times New Roman" w:hint="default"/>
      </w:rPr>
    </w:lvl>
  </w:abstractNum>
  <w:abstractNum w:abstractNumId="16" w15:restartNumberingAfterBreak="0">
    <w:nsid w:val="5D0540A9"/>
    <w:multiLevelType w:val="multilevel"/>
    <w:tmpl w:val="FFFFFFFF"/>
    <w:name w:val="DEPIAppendices"/>
    <w:lvl w:ilvl="0">
      <w:start w:val="1"/>
      <w:numFmt w:val="upperLetter"/>
      <w:pStyle w:val="Heading8"/>
      <w:lvlText w:val="Appendix %1"/>
      <w:lvlJc w:val="left"/>
      <w:pPr>
        <w:tabs>
          <w:tab w:val="num" w:pos="3686"/>
        </w:tabs>
        <w:ind w:left="3686" w:hanging="2552"/>
      </w:pPr>
      <w:rPr>
        <w:rFonts w:cs="Times New Roman" w:hint="default"/>
        <w:b/>
        <w:i w:val="0"/>
        <w:sz w:val="40"/>
      </w:rPr>
    </w:lvl>
    <w:lvl w:ilvl="1">
      <w:start w:val="1"/>
      <w:numFmt w:val="none"/>
      <w:lvlText w:val=""/>
      <w:lvlJc w:val="left"/>
      <w:pPr>
        <w:tabs>
          <w:tab w:val="num" w:pos="765"/>
        </w:tabs>
        <w:ind w:left="765" w:hanging="765"/>
      </w:pPr>
      <w:rPr>
        <w:rFonts w:cs="Times New Roman" w:hint="default"/>
        <w:sz w:val="26"/>
      </w:rPr>
    </w:lvl>
    <w:lvl w:ilvl="2">
      <w:start w:val="1"/>
      <w:numFmt w:val="decimal"/>
      <w:lvlText w:val="%1%2.%3"/>
      <w:lvlJc w:val="left"/>
      <w:pPr>
        <w:tabs>
          <w:tab w:val="num" w:pos="765"/>
        </w:tabs>
        <w:ind w:left="765" w:hanging="765"/>
      </w:pPr>
      <w:rPr>
        <w:rFonts w:cs="Times New Roman" w:hint="default"/>
      </w:rPr>
    </w:lvl>
    <w:lvl w:ilvl="3">
      <w:start w:val="1"/>
      <w:numFmt w:val="decimal"/>
      <w:lvlText w:val="%1%2.%3.%4"/>
      <w:lvlJc w:val="left"/>
      <w:pPr>
        <w:tabs>
          <w:tab w:val="num" w:pos="765"/>
        </w:tabs>
        <w:ind w:left="765" w:hanging="765"/>
      </w:pPr>
      <w:rPr>
        <w:rFonts w:cs="Times New Roman" w:hint="default"/>
      </w:rPr>
    </w:lvl>
    <w:lvl w:ilvl="4">
      <w:start w:val="1"/>
      <w:numFmt w:val="decimal"/>
      <w:lvlText w:val="%1%2.%3.%4.%5"/>
      <w:lvlJc w:val="left"/>
      <w:pPr>
        <w:tabs>
          <w:tab w:val="num" w:pos="1134"/>
        </w:tabs>
        <w:ind w:left="1134" w:hanging="1134"/>
      </w:pPr>
      <w:rPr>
        <w:rFonts w:cs="Times New Roman" w:hint="default"/>
      </w:rPr>
    </w:lvl>
    <w:lvl w:ilvl="5">
      <w:start w:val="1"/>
      <w:numFmt w:val="none"/>
      <w:lvlText w:val=""/>
      <w:lvlJc w:val="right"/>
      <w:rPr>
        <w:rFonts w:cs="Times New Roman" w:hint="default"/>
      </w:rPr>
    </w:lvl>
    <w:lvl w:ilvl="6">
      <w:start w:val="1"/>
      <w:numFmt w:val="none"/>
      <w:lvlText w:val=""/>
      <w:lvlJc w:val="left"/>
      <w:rPr>
        <w:rFonts w:cs="Times New Roman" w:hint="default"/>
      </w:rPr>
    </w:lvl>
    <w:lvl w:ilvl="7">
      <w:start w:val="1"/>
      <w:numFmt w:val="none"/>
      <w:lvlText w:val=""/>
      <w:lvlJc w:val="left"/>
      <w:pPr>
        <w:ind w:left="5760" w:hanging="5760"/>
      </w:pPr>
      <w:rPr>
        <w:rFonts w:cs="Times New Roman" w:hint="default"/>
      </w:rPr>
    </w:lvl>
    <w:lvl w:ilvl="8">
      <w:start w:val="1"/>
      <w:numFmt w:val="none"/>
      <w:lvlText w:val=""/>
      <w:lvlJc w:val="right"/>
      <w:pPr>
        <w:ind w:left="6480" w:hanging="6480"/>
      </w:pPr>
      <w:rPr>
        <w:rFonts w:cs="Times New Roman" w:hint="default"/>
      </w:rPr>
    </w:lvl>
  </w:abstractNum>
  <w:abstractNum w:abstractNumId="17" w15:restartNumberingAfterBreak="0">
    <w:nsid w:val="63A869DF"/>
    <w:multiLevelType w:val="multilevel"/>
    <w:tmpl w:val="FFFFFFFF"/>
    <w:name w:val="JemenaHeadings"/>
    <w:lvl w:ilvl="0">
      <w:start w:val="1"/>
      <w:numFmt w:val="decimal"/>
      <w:lvlRestart w:val="0"/>
      <w:lvlText w:val="%1."/>
      <w:lvlJc w:val="left"/>
      <w:pPr>
        <w:tabs>
          <w:tab w:val="num" w:pos="822"/>
        </w:tabs>
        <w:ind w:left="822" w:hanging="822"/>
      </w:pPr>
      <w:rPr>
        <w:rFonts w:cs="Times New Roman" w:hint="default"/>
      </w:rPr>
    </w:lvl>
    <w:lvl w:ilvl="1">
      <w:start w:val="1"/>
      <w:numFmt w:val="decimal"/>
      <w:lvlText w:val="%1.%2"/>
      <w:lvlJc w:val="left"/>
      <w:pPr>
        <w:tabs>
          <w:tab w:val="num" w:pos="822"/>
        </w:tabs>
        <w:ind w:left="822" w:hanging="822"/>
      </w:pPr>
      <w:rPr>
        <w:rFonts w:cs="Times New Roman" w:hint="default"/>
      </w:rPr>
    </w:lvl>
    <w:lvl w:ilvl="2">
      <w:start w:val="1"/>
      <w:numFmt w:val="decimal"/>
      <w:lvlText w:val="%1.%2.%3"/>
      <w:lvlJc w:val="left"/>
      <w:pPr>
        <w:tabs>
          <w:tab w:val="num" w:pos="822"/>
        </w:tabs>
        <w:ind w:left="822" w:hanging="822"/>
      </w:pPr>
      <w:rPr>
        <w:rFonts w:cs="Times New Roman" w:hint="default"/>
      </w:rPr>
    </w:lvl>
    <w:lvl w:ilvl="3">
      <w:start w:val="1"/>
      <w:numFmt w:val="decimal"/>
      <w:suff w:val="space"/>
      <w:lvlText w:val="%1.%2.%3.%4 "/>
      <w:lvlJc w:val="left"/>
      <w:rPr>
        <w:rFonts w:cs="Times New Roman" w:hint="default"/>
      </w:rPr>
    </w:lvl>
    <w:lvl w:ilvl="4">
      <w:start w:val="1"/>
      <w:numFmt w:val="none"/>
      <w:lvlText w:val=""/>
      <w:lvlJc w:val="left"/>
      <w:pPr>
        <w:tabs>
          <w:tab w:val="num" w:pos="1134"/>
        </w:tabs>
        <w:ind w:left="1134" w:hanging="1134"/>
      </w:pPr>
      <w:rPr>
        <w:rFonts w:cs="Times New Roman" w:hint="default"/>
      </w:rPr>
    </w:lvl>
    <w:lvl w:ilvl="5">
      <w:start w:val="1"/>
      <w:numFmt w:val="none"/>
      <w:lvlText w:val="%6"/>
      <w:lvlJc w:val="left"/>
      <w:pPr>
        <w:tabs>
          <w:tab w:val="num" w:pos="1134"/>
        </w:tabs>
        <w:ind w:left="1134" w:hanging="1134"/>
      </w:pPr>
      <w:rPr>
        <w:rFonts w:cs="Times New Roman" w:hint="default"/>
      </w:rPr>
    </w:lvl>
    <w:lvl w:ilvl="6">
      <w:start w:val="1"/>
      <w:numFmt w:val="none"/>
      <w:lvlText w:val=""/>
      <w:lvlJc w:val="left"/>
      <w:pPr>
        <w:tabs>
          <w:tab w:val="num" w:pos="1134"/>
        </w:tabs>
        <w:ind w:left="1134" w:hanging="1134"/>
      </w:pPr>
      <w:rPr>
        <w:rFonts w:cs="Times New Roman" w:hint="default"/>
      </w:rPr>
    </w:lvl>
    <w:lvl w:ilvl="7">
      <w:start w:val="1"/>
      <w:numFmt w:val="none"/>
      <w:lvlText w:val=""/>
      <w:lvlJc w:val="left"/>
      <w:pPr>
        <w:tabs>
          <w:tab w:val="num" w:pos="1134"/>
        </w:tabs>
        <w:ind w:left="1134" w:hanging="1134"/>
      </w:pPr>
      <w:rPr>
        <w:rFonts w:cs="Times New Roman" w:hint="default"/>
      </w:rPr>
    </w:lvl>
    <w:lvl w:ilvl="8">
      <w:start w:val="1"/>
      <w:numFmt w:val="none"/>
      <w:lvlText w:val=""/>
      <w:lvlJc w:val="left"/>
      <w:pPr>
        <w:tabs>
          <w:tab w:val="num" w:pos="1134"/>
        </w:tabs>
        <w:ind w:left="1134" w:hanging="1134"/>
      </w:pPr>
      <w:rPr>
        <w:rFonts w:cs="Times New Roman" w:hint="default"/>
      </w:rPr>
    </w:lvl>
  </w:abstractNum>
  <w:abstractNum w:abstractNumId="18" w15:restartNumberingAfterBreak="0">
    <w:nsid w:val="6D1D40AC"/>
    <w:multiLevelType w:val="multilevel"/>
    <w:tmpl w:val="FFFFFFFF"/>
    <w:name w:val="TableNumbering"/>
    <w:lvl w:ilvl="0">
      <w:start w:val="1"/>
      <w:numFmt w:val="decimal"/>
      <w:pStyle w:val="TableTextNumbered"/>
      <w:lvlText w:val="%1."/>
      <w:lvlJc w:val="left"/>
      <w:pPr>
        <w:tabs>
          <w:tab w:val="num" w:pos="482"/>
        </w:tabs>
        <w:ind w:left="482" w:hanging="369"/>
      </w:pPr>
      <w:rPr>
        <w:rFonts w:cs="Times New Roman" w:hint="default"/>
      </w:rPr>
    </w:lvl>
    <w:lvl w:ilvl="1">
      <w:start w:val="1"/>
      <w:numFmt w:val="lowerLetter"/>
      <w:pStyle w:val="TableTextNumbered2"/>
      <w:lvlText w:val="%2."/>
      <w:lvlJc w:val="left"/>
      <w:pPr>
        <w:tabs>
          <w:tab w:val="num" w:pos="822"/>
        </w:tabs>
        <w:ind w:left="822" w:hanging="340"/>
      </w:pPr>
      <w:rPr>
        <w:rFonts w:cs="Times New Roman" w:hint="default"/>
      </w:rPr>
    </w:lvl>
    <w:lvl w:ilvl="2">
      <w:start w:val="1"/>
      <w:numFmt w:val="lowerRoman"/>
      <w:pStyle w:val="TableTextNumbered3"/>
      <w:lvlText w:val="%3."/>
      <w:lvlJc w:val="left"/>
      <w:pPr>
        <w:tabs>
          <w:tab w:val="num" w:pos="1219"/>
        </w:tabs>
        <w:ind w:left="1219" w:hanging="397"/>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9" w15:restartNumberingAfterBreak="0">
    <w:nsid w:val="70250B03"/>
    <w:multiLevelType w:val="multilevel"/>
    <w:tmpl w:val="FFFFFFFF"/>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71C5E8"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0" w15:restartNumberingAfterBreak="0">
    <w:nsid w:val="7839021E"/>
    <w:multiLevelType w:val="multilevel"/>
    <w:tmpl w:val="FFFFFFFF"/>
    <w:name w:val="DEPIListNumbering"/>
    <w:lvl w:ilvl="0">
      <w:start w:val="1"/>
      <w:numFmt w:val="decimal"/>
      <w:lvlText w:val="%1."/>
      <w:lvlJc w:val="left"/>
      <w:pPr>
        <w:tabs>
          <w:tab w:val="num" w:pos="340"/>
        </w:tabs>
        <w:ind w:left="340" w:hanging="340"/>
      </w:pPr>
      <w:rPr>
        <w:rFonts w:cs="Times New Roman" w:hint="default"/>
        <w:color w:val="363534" w:themeColor="text1"/>
        <w:spacing w:val="0"/>
        <w:sz w:val="20"/>
      </w:rPr>
    </w:lvl>
    <w:lvl w:ilvl="1">
      <w:start w:val="1"/>
      <w:numFmt w:val="lowerLetter"/>
      <w:lvlText w:val="%2."/>
      <w:lvlJc w:val="left"/>
      <w:pPr>
        <w:tabs>
          <w:tab w:val="num" w:pos="680"/>
        </w:tabs>
        <w:ind w:left="680" w:hanging="340"/>
      </w:pPr>
      <w:rPr>
        <w:rFonts w:cs="Times New Roman" w:hint="default"/>
        <w:color w:val="363534" w:themeColor="text1"/>
        <w:spacing w:val="0"/>
        <w:sz w:val="20"/>
      </w:rPr>
    </w:lvl>
    <w:lvl w:ilvl="2">
      <w:start w:val="1"/>
      <w:numFmt w:val="lowerRoman"/>
      <w:lvlText w:val="%3."/>
      <w:lvlJc w:val="left"/>
      <w:pPr>
        <w:tabs>
          <w:tab w:val="num" w:pos="1049"/>
        </w:tabs>
        <w:ind w:left="1049" w:hanging="369"/>
      </w:pPr>
      <w:rPr>
        <w:rFonts w:cs="Times New Roman" w:hint="default"/>
        <w:color w:val="363534" w:themeColor="text1"/>
        <w:spacing w:val="0"/>
        <w:position w:val="0"/>
        <w:sz w:val="16"/>
        <w:szCs w:val="16"/>
      </w:rPr>
    </w:lvl>
    <w:lvl w:ilvl="3">
      <w:start w:val="1"/>
      <w:numFmt w:val="none"/>
      <w:lvlText w:val=""/>
      <w:lvlJc w:val="left"/>
      <w:pPr>
        <w:tabs>
          <w:tab w:val="num" w:pos="-31680"/>
        </w:tabs>
      </w:pPr>
      <w:rPr>
        <w:rFonts w:cs="Times New Roman" w:hint="default"/>
      </w:rPr>
    </w:lvl>
    <w:lvl w:ilvl="4">
      <w:start w:val="1"/>
      <w:numFmt w:val="none"/>
      <w:lvlText w:val=""/>
      <w:lvlJc w:val="left"/>
      <w:pPr>
        <w:tabs>
          <w:tab w:val="num" w:pos="-31680"/>
        </w:tabs>
      </w:pPr>
      <w:rPr>
        <w:rFonts w:cs="Times New Roman" w:hint="default"/>
      </w:rPr>
    </w:lvl>
    <w:lvl w:ilvl="5">
      <w:start w:val="1"/>
      <w:numFmt w:val="none"/>
      <w:lvlText w:val=""/>
      <w:lvlJc w:val="left"/>
      <w:pPr>
        <w:tabs>
          <w:tab w:val="num" w:pos="-31680"/>
        </w:tabs>
      </w:pPr>
      <w:rPr>
        <w:rFonts w:cs="Times New Roman" w:hint="default"/>
      </w:rPr>
    </w:lvl>
    <w:lvl w:ilvl="6">
      <w:start w:val="1"/>
      <w:numFmt w:val="none"/>
      <w:lvlText w:val=""/>
      <w:lvlJc w:val="left"/>
      <w:pPr>
        <w:tabs>
          <w:tab w:val="num" w:pos="-31680"/>
        </w:tabs>
      </w:pPr>
      <w:rPr>
        <w:rFonts w:cs="Times New Roman" w:hint="default"/>
      </w:rPr>
    </w:lvl>
    <w:lvl w:ilvl="7">
      <w:start w:val="1"/>
      <w:numFmt w:val="none"/>
      <w:lvlText w:val=""/>
      <w:lvlJc w:val="left"/>
      <w:pPr>
        <w:tabs>
          <w:tab w:val="num" w:pos="-31680"/>
        </w:tabs>
      </w:pPr>
      <w:rPr>
        <w:rFonts w:cs="Times New Roman" w:hint="default"/>
      </w:rPr>
    </w:lvl>
    <w:lvl w:ilvl="8">
      <w:start w:val="1"/>
      <w:numFmt w:val="none"/>
      <w:lvlText w:val=""/>
      <w:lvlJc w:val="left"/>
      <w:pPr>
        <w:tabs>
          <w:tab w:val="num" w:pos="-31680"/>
        </w:tabs>
      </w:pPr>
      <w:rPr>
        <w:rFonts w:cs="Times New Roman" w:hint="default"/>
      </w:rPr>
    </w:lvl>
  </w:abstractNum>
  <w:num w:numId="1" w16cid:durableId="2083671735">
    <w:abstractNumId w:val="2"/>
  </w:num>
  <w:num w:numId="2" w16cid:durableId="126822048">
    <w:abstractNumId w:val="1"/>
  </w:num>
  <w:num w:numId="3" w16cid:durableId="1503544141">
    <w:abstractNumId w:val="0"/>
  </w:num>
  <w:num w:numId="4" w16cid:durableId="1491292285">
    <w:abstractNumId w:val="2"/>
  </w:num>
  <w:num w:numId="5" w16cid:durableId="499127521">
    <w:abstractNumId w:val="11"/>
  </w:num>
  <w:num w:numId="6" w16cid:durableId="1063135179">
    <w:abstractNumId w:val="18"/>
  </w:num>
  <w:num w:numId="7" w16cid:durableId="1296763931">
    <w:abstractNumId w:val="16"/>
  </w:num>
  <w:num w:numId="8" w16cid:durableId="382096630">
    <w:abstractNumId w:val="8"/>
  </w:num>
  <w:num w:numId="9" w16cid:durableId="473722403">
    <w:abstractNumId w:val="4"/>
  </w:num>
  <w:num w:numId="10" w16cid:durableId="284311215">
    <w:abstractNumId w:val="3"/>
  </w:num>
  <w:num w:numId="11" w16cid:durableId="63721929">
    <w:abstractNumId w:val="19"/>
  </w:num>
  <w:num w:numId="12" w16cid:durableId="1707098766">
    <w:abstractNumId w:val="6"/>
  </w:num>
  <w:num w:numId="13" w16cid:durableId="354962120">
    <w:abstractNumId w:val="9"/>
  </w:num>
  <w:num w:numId="14" w16cid:durableId="170535436">
    <w:abstractNumId w:val="12"/>
  </w:num>
  <w:num w:numId="15" w16cid:durableId="1118835668">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doNotExpandShiftReturn/>
    <w:compatSetting w:name="compatibilityMode" w:uri="http://schemas.microsoft.com/office/word" w:val="12"/>
    <w:compatSetting w:name="useWord2013TrackBottomHyphenation" w:uri="http://schemas.microsoft.com/office/word" w:val="0"/>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WaterAndCatchments"/>
    <w:docVar w:name="TOC" w:val="True"/>
    <w:docVar w:name="TOCNew" w:val="True"/>
    <w:docVar w:name="Version" w:val="1"/>
  </w:docVars>
  <w:rsids>
    <w:rsidRoot w:val="007B4929"/>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16C"/>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5584"/>
    <w:rsid w:val="000655FD"/>
    <w:rsid w:val="00065A52"/>
    <w:rsid w:val="00065AA4"/>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460"/>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1DB"/>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1EBF"/>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25B"/>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36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C50"/>
    <w:rsid w:val="001E1E96"/>
    <w:rsid w:val="001E24D4"/>
    <w:rsid w:val="001E25C4"/>
    <w:rsid w:val="001E2E6F"/>
    <w:rsid w:val="001E3511"/>
    <w:rsid w:val="001E3642"/>
    <w:rsid w:val="001E3DBD"/>
    <w:rsid w:val="001E4751"/>
    <w:rsid w:val="001E4769"/>
    <w:rsid w:val="001E4938"/>
    <w:rsid w:val="001E4CD8"/>
    <w:rsid w:val="001E4FB6"/>
    <w:rsid w:val="001E53A9"/>
    <w:rsid w:val="001E55D5"/>
    <w:rsid w:val="001E589C"/>
    <w:rsid w:val="001E5DA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B84"/>
    <w:rsid w:val="00215CE4"/>
    <w:rsid w:val="00215E20"/>
    <w:rsid w:val="0021610D"/>
    <w:rsid w:val="002165C1"/>
    <w:rsid w:val="00216A8E"/>
    <w:rsid w:val="00217538"/>
    <w:rsid w:val="00217563"/>
    <w:rsid w:val="00217998"/>
    <w:rsid w:val="00217DA5"/>
    <w:rsid w:val="00217EC2"/>
    <w:rsid w:val="00220219"/>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A8B"/>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0D44"/>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47"/>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8B0"/>
    <w:rsid w:val="00313AA4"/>
    <w:rsid w:val="003140E6"/>
    <w:rsid w:val="00314485"/>
    <w:rsid w:val="003145C4"/>
    <w:rsid w:val="00314978"/>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C0B"/>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C29"/>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454"/>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17D"/>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5DE3"/>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3AC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EA9"/>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659"/>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29"/>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045"/>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3"/>
    <w:rsid w:val="00566FEA"/>
    <w:rsid w:val="005676F5"/>
    <w:rsid w:val="00567C79"/>
    <w:rsid w:val="00570012"/>
    <w:rsid w:val="00570018"/>
    <w:rsid w:val="005704B3"/>
    <w:rsid w:val="005705A3"/>
    <w:rsid w:val="00570BFE"/>
    <w:rsid w:val="005715BD"/>
    <w:rsid w:val="00572AE9"/>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7F7"/>
    <w:rsid w:val="00587A9A"/>
    <w:rsid w:val="00587F6A"/>
    <w:rsid w:val="00587FAB"/>
    <w:rsid w:val="0059071B"/>
    <w:rsid w:val="00590903"/>
    <w:rsid w:val="00590B1F"/>
    <w:rsid w:val="00590B89"/>
    <w:rsid w:val="005912E7"/>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7B"/>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74C"/>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345F"/>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56"/>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179"/>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3F9B"/>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C03"/>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2F3"/>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751"/>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0B4"/>
    <w:rsid w:val="006E6C8C"/>
    <w:rsid w:val="006E7019"/>
    <w:rsid w:val="006E711E"/>
    <w:rsid w:val="006E71FE"/>
    <w:rsid w:val="006E77E2"/>
    <w:rsid w:val="006E7867"/>
    <w:rsid w:val="006E7900"/>
    <w:rsid w:val="006E7D6C"/>
    <w:rsid w:val="006F06E8"/>
    <w:rsid w:val="006F08C0"/>
    <w:rsid w:val="006F08EF"/>
    <w:rsid w:val="006F0AA8"/>
    <w:rsid w:val="006F0B91"/>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2B6"/>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96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0E48"/>
    <w:rsid w:val="007A1097"/>
    <w:rsid w:val="007A146A"/>
    <w:rsid w:val="007A1A56"/>
    <w:rsid w:val="007A22B8"/>
    <w:rsid w:val="007A2603"/>
    <w:rsid w:val="007A2BA0"/>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929"/>
    <w:rsid w:val="007B4EC0"/>
    <w:rsid w:val="007B5135"/>
    <w:rsid w:val="007B5174"/>
    <w:rsid w:val="007B51F1"/>
    <w:rsid w:val="007B5837"/>
    <w:rsid w:val="007B5BC4"/>
    <w:rsid w:val="007B608C"/>
    <w:rsid w:val="007B620A"/>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C4B"/>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0D6"/>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3C3F"/>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0BDB"/>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5A11"/>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1E3"/>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84F"/>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46C1"/>
    <w:rsid w:val="0097539B"/>
    <w:rsid w:val="00975C91"/>
    <w:rsid w:val="00975D72"/>
    <w:rsid w:val="00975ED3"/>
    <w:rsid w:val="00976B89"/>
    <w:rsid w:val="00977318"/>
    <w:rsid w:val="0097757C"/>
    <w:rsid w:val="00977945"/>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729"/>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26D"/>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3E8"/>
    <w:rsid w:val="009F24FC"/>
    <w:rsid w:val="009F26D5"/>
    <w:rsid w:val="009F26F4"/>
    <w:rsid w:val="009F28C7"/>
    <w:rsid w:val="009F2912"/>
    <w:rsid w:val="009F30F1"/>
    <w:rsid w:val="009F3538"/>
    <w:rsid w:val="009F3761"/>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B28"/>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209"/>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3FB"/>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8B8"/>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56C"/>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416"/>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2BF"/>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96"/>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3A3"/>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347"/>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6B0"/>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6DF"/>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C20"/>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27BF7"/>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3F91"/>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78"/>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767"/>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2F6D"/>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3FCA"/>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1DEF"/>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37FBE"/>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1573"/>
    <w:rsid w:val="00E620C5"/>
    <w:rsid w:val="00E62139"/>
    <w:rsid w:val="00E6239D"/>
    <w:rsid w:val="00E626BE"/>
    <w:rsid w:val="00E62825"/>
    <w:rsid w:val="00E6287F"/>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42"/>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084"/>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58D"/>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6F"/>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9BA"/>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7BE"/>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65B"/>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BCB"/>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271"/>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4FA9"/>
    <w:rsid w:val="00FF5169"/>
    <w:rsid w:val="00FF5328"/>
    <w:rsid w:val="00FF5399"/>
    <w:rsid w:val="00FF58A7"/>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4E000B"/>
  <w14:defaultImageDpi w14:val="0"/>
  <w15:docId w15:val="{629C95B9-FC2C-4C4F-AFBC-1B913DFEB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8E9"/>
    <w:rPr>
      <w:rFonts w:cs="Arial"/>
    </w:rPr>
  </w:style>
  <w:style w:type="paragraph" w:styleId="Heading1">
    <w:name w:val="heading 1"/>
    <w:basedOn w:val="Normal"/>
    <w:next w:val="BodyText"/>
    <w:link w:val="Heading1Char"/>
    <w:uiPriority w:val="9"/>
    <w:qFormat/>
    <w:rsid w:val="00A209C4"/>
    <w:pPr>
      <w:keepNext/>
      <w:keepLines/>
      <w:numPr>
        <w:numId w:val="3"/>
      </w:numPr>
      <w:tabs>
        <w:tab w:val="clear" w:pos="1492"/>
      </w:tabs>
      <w:spacing w:before="300" w:after="360" w:line="440" w:lineRule="exact"/>
      <w:ind w:left="0" w:firstLine="0"/>
      <w:outlineLvl w:val="0"/>
    </w:pPr>
    <w:rPr>
      <w:b/>
      <w:bCs/>
      <w:color w:val="71C5E8" w:themeColor="text2"/>
      <w:kern w:val="32"/>
      <w:sz w:val="40"/>
      <w:szCs w:val="32"/>
    </w:rPr>
  </w:style>
  <w:style w:type="paragraph" w:styleId="Heading2">
    <w:name w:val="heading 2"/>
    <w:basedOn w:val="Normal"/>
    <w:next w:val="BodyText"/>
    <w:link w:val="Heading2Char"/>
    <w:uiPriority w:val="9"/>
    <w:qFormat/>
    <w:rsid w:val="00C30843"/>
    <w:pPr>
      <w:keepNext/>
      <w:keepLines/>
      <w:numPr>
        <w:ilvl w:val="1"/>
        <w:numId w:val="3"/>
      </w:numPr>
      <w:tabs>
        <w:tab w:val="clear" w:pos="1492"/>
        <w:tab w:val="left" w:pos="1418"/>
        <w:tab w:val="left" w:pos="1701"/>
        <w:tab w:val="left" w:pos="1985"/>
      </w:tabs>
      <w:spacing w:before="240" w:after="100" w:line="260" w:lineRule="exact"/>
      <w:ind w:left="0" w:firstLine="0"/>
      <w:outlineLvl w:val="1"/>
    </w:pPr>
    <w:rPr>
      <w:b/>
      <w:bCs/>
      <w:iCs/>
      <w:color w:val="71C5E8" w:themeColor="text2"/>
      <w:kern w:val="20"/>
      <w:sz w:val="22"/>
      <w:szCs w:val="28"/>
    </w:rPr>
  </w:style>
  <w:style w:type="paragraph" w:styleId="Heading3">
    <w:name w:val="heading 3"/>
    <w:basedOn w:val="Normal"/>
    <w:next w:val="BodyText"/>
    <w:link w:val="Heading3Char"/>
    <w:uiPriority w:val="9"/>
    <w:qFormat/>
    <w:rsid w:val="00C30843"/>
    <w:pPr>
      <w:keepNext/>
      <w:keepLines/>
      <w:numPr>
        <w:ilvl w:val="2"/>
        <w:numId w:val="3"/>
      </w:numPr>
      <w:tabs>
        <w:tab w:val="clear" w:pos="1492"/>
        <w:tab w:val="left" w:pos="1418"/>
        <w:tab w:val="left" w:pos="1701"/>
        <w:tab w:val="left" w:pos="1985"/>
      </w:tabs>
      <w:spacing w:before="200" w:after="100" w:line="240" w:lineRule="exact"/>
      <w:ind w:left="0" w:firstLine="0"/>
      <w:outlineLvl w:val="2"/>
    </w:pPr>
    <w:rPr>
      <w:b/>
      <w:color w:val="494847"/>
    </w:rPr>
  </w:style>
  <w:style w:type="paragraph" w:styleId="Heading4">
    <w:name w:val="heading 4"/>
    <w:basedOn w:val="Normal"/>
    <w:next w:val="BodyText"/>
    <w:link w:val="Heading4Char"/>
    <w:uiPriority w:val="9"/>
    <w:qFormat/>
    <w:rsid w:val="00C30843"/>
    <w:pPr>
      <w:keepNext/>
      <w:keepLines/>
      <w:tabs>
        <w:tab w:val="left" w:pos="1418"/>
        <w:tab w:val="left" w:pos="1701"/>
        <w:tab w:val="left" w:pos="1985"/>
      </w:tabs>
      <w:spacing w:before="200" w:after="100"/>
      <w:outlineLvl w:val="3"/>
    </w:pPr>
    <w:rPr>
      <w:rFonts w:asciiTheme="majorHAnsi" w:eastAsiaTheme="majorEastAsia" w:hAnsiTheme="majorHAnsi" w:cs="Times New Roman"/>
      <w:b/>
      <w:bCs/>
      <w:i/>
      <w:iCs/>
      <w:color w:val="494847"/>
    </w:rPr>
  </w:style>
  <w:style w:type="paragraph" w:styleId="Heading5">
    <w:name w:val="heading 5"/>
    <w:basedOn w:val="Normal"/>
    <w:next w:val="BodyText"/>
    <w:link w:val="Heading5Char"/>
    <w:uiPriority w:val="9"/>
    <w:qFormat/>
    <w:rsid w:val="00C30843"/>
    <w:pPr>
      <w:keepNext/>
      <w:keepLines/>
      <w:spacing w:before="200" w:after="100"/>
      <w:outlineLvl w:val="4"/>
    </w:pPr>
    <w:rPr>
      <w:rFonts w:asciiTheme="majorHAnsi" w:eastAsiaTheme="majorEastAsia" w:hAnsiTheme="majorHAnsi" w:cs="Times New Roman"/>
      <w:i/>
      <w:color w:val="494847"/>
    </w:rPr>
  </w:style>
  <w:style w:type="paragraph" w:styleId="Heading6">
    <w:name w:val="heading 6"/>
    <w:basedOn w:val="Normal"/>
    <w:next w:val="BodyText"/>
    <w:link w:val="Heading6Char"/>
    <w:uiPriority w:val="9"/>
    <w:semiHidden/>
    <w:qFormat/>
    <w:rsid w:val="00D14E24"/>
    <w:pPr>
      <w:keepNext/>
      <w:keepLines/>
      <w:spacing w:before="100" w:after="100"/>
      <w:outlineLvl w:val="5"/>
    </w:pPr>
    <w:rPr>
      <w:rFonts w:asciiTheme="majorHAnsi" w:eastAsiaTheme="majorEastAsia" w:hAnsiTheme="majorHAnsi" w:cs="Times New Roman"/>
      <w:i/>
      <w:iCs/>
      <w:color w:val="71C5E8" w:themeColor="text2"/>
    </w:rPr>
  </w:style>
  <w:style w:type="paragraph" w:styleId="Heading7">
    <w:name w:val="heading 7"/>
    <w:basedOn w:val="Normal"/>
    <w:next w:val="Normal"/>
    <w:link w:val="Heading7Char"/>
    <w:uiPriority w:val="9"/>
    <w:semiHidden/>
    <w:rsid w:val="007E536E"/>
    <w:pPr>
      <w:keepNext/>
      <w:keepLines/>
      <w:spacing w:before="2820" w:after="180"/>
      <w:outlineLvl w:val="6"/>
    </w:pPr>
    <w:rPr>
      <w:rFonts w:asciiTheme="majorHAnsi" w:eastAsiaTheme="majorEastAsia" w:hAnsiTheme="majorHAnsi" w:cs="Times New Roman"/>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7"/>
      </w:numPr>
      <w:spacing w:before="1300" w:after="440" w:line="440" w:lineRule="exact"/>
      <w:ind w:right="1134"/>
      <w:outlineLvl w:val="7"/>
    </w:pPr>
    <w:rPr>
      <w:rFonts w:asciiTheme="majorHAnsi" w:eastAsiaTheme="majorEastAsia" w:hAnsiTheme="majorHAnsi" w:cs="Times New Roman"/>
      <w:b/>
      <w:color w:val="71C5E8"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71C5E8" w:themeColor="text2"/>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209C4"/>
    <w:rPr>
      <w:rFonts w:cs="Arial"/>
      <w:b/>
      <w:bCs/>
      <w:color w:val="71C5E8" w:themeColor="text2"/>
      <w:kern w:val="32"/>
      <w:sz w:val="40"/>
      <w:szCs w:val="32"/>
    </w:rPr>
  </w:style>
  <w:style w:type="character" w:customStyle="1" w:styleId="Heading2Char">
    <w:name w:val="Heading 2 Char"/>
    <w:basedOn w:val="DefaultParagraphFont"/>
    <w:link w:val="Heading2"/>
    <w:uiPriority w:val="9"/>
    <w:locked/>
    <w:rsid w:val="001306D2"/>
    <w:rPr>
      <w:rFonts w:cs="Arial"/>
      <w:b/>
      <w:bCs/>
      <w:iCs/>
      <w:color w:val="71C5E8" w:themeColor="text2"/>
      <w:kern w:val="20"/>
      <w:sz w:val="22"/>
      <w:szCs w:val="28"/>
    </w:rPr>
  </w:style>
  <w:style w:type="character" w:customStyle="1" w:styleId="Heading3Char">
    <w:name w:val="Heading 3 Char"/>
    <w:basedOn w:val="DefaultParagraphFont"/>
    <w:link w:val="Heading3"/>
    <w:uiPriority w:val="9"/>
    <w:locked/>
    <w:rsid w:val="001306D2"/>
    <w:rPr>
      <w:rFonts w:cs="Arial"/>
      <w:b/>
      <w:color w:val="494847"/>
    </w:rPr>
  </w:style>
  <w:style w:type="character" w:customStyle="1" w:styleId="Heading4Char">
    <w:name w:val="Heading 4 Char"/>
    <w:basedOn w:val="DefaultParagraphFont"/>
    <w:link w:val="Heading4"/>
    <w:uiPriority w:val="9"/>
    <w:locked/>
    <w:rsid w:val="00C30843"/>
    <w:rPr>
      <w:rFonts w:asciiTheme="majorHAnsi" w:eastAsiaTheme="majorEastAsia" w:hAnsiTheme="majorHAnsi" w:cs="Times New Roman"/>
      <w:b/>
      <w:bCs/>
      <w:i/>
      <w:iCs/>
      <w:color w:val="494847"/>
    </w:rPr>
  </w:style>
  <w:style w:type="character" w:customStyle="1" w:styleId="Heading5Char">
    <w:name w:val="Heading 5 Char"/>
    <w:basedOn w:val="DefaultParagraphFont"/>
    <w:link w:val="Heading5"/>
    <w:uiPriority w:val="9"/>
    <w:locked/>
    <w:rsid w:val="00C30843"/>
    <w:rPr>
      <w:rFonts w:asciiTheme="majorHAnsi" w:eastAsiaTheme="majorEastAsia" w:hAnsiTheme="majorHAnsi" w:cs="Times New Roman"/>
      <w:i/>
      <w:color w:val="494847"/>
    </w:rPr>
  </w:style>
  <w:style w:type="character" w:customStyle="1" w:styleId="Heading6Char">
    <w:name w:val="Heading 6 Char"/>
    <w:basedOn w:val="DefaultParagraphFont"/>
    <w:link w:val="Heading6"/>
    <w:uiPriority w:val="9"/>
    <w:semiHidden/>
    <w:locked/>
    <w:rsid w:val="006D10E8"/>
    <w:rPr>
      <w:rFonts w:asciiTheme="majorHAnsi" w:eastAsiaTheme="majorEastAsia" w:hAnsiTheme="majorHAnsi" w:cs="Times New Roman"/>
      <w:i/>
      <w:iCs/>
      <w:color w:val="71C5E8" w:themeColor="text2"/>
    </w:rPr>
  </w:style>
  <w:style w:type="character" w:customStyle="1" w:styleId="Heading7Char">
    <w:name w:val="Heading 7 Char"/>
    <w:basedOn w:val="DefaultParagraphFont"/>
    <w:link w:val="Heading7"/>
    <w:uiPriority w:val="9"/>
    <w:semiHidden/>
    <w:locked/>
    <w:rsid w:val="007E536E"/>
    <w:rPr>
      <w:rFonts w:asciiTheme="majorHAnsi" w:eastAsiaTheme="majorEastAsia" w:hAnsiTheme="majorHAnsi" w:cs="Times New Roman"/>
      <w:b/>
      <w:iCs/>
      <w:color w:val="FFFFFF"/>
      <w:sz w:val="22"/>
    </w:rPr>
  </w:style>
  <w:style w:type="character" w:customStyle="1" w:styleId="Heading8Char">
    <w:name w:val="Heading 8 Char"/>
    <w:aliases w:val="Appendix Title Char"/>
    <w:basedOn w:val="DefaultParagraphFont"/>
    <w:link w:val="Heading8"/>
    <w:uiPriority w:val="1"/>
    <w:semiHidden/>
    <w:locked/>
    <w:rsid w:val="00C328E9"/>
    <w:rPr>
      <w:rFonts w:asciiTheme="majorHAnsi" w:eastAsiaTheme="majorEastAsia" w:hAnsiTheme="majorHAnsi" w:cs="Times New Roman"/>
      <w:b/>
      <w:color w:val="71C5E8" w:themeColor="text2"/>
      <w:sz w:val="40"/>
    </w:rPr>
  </w:style>
  <w:style w:type="character" w:customStyle="1" w:styleId="Heading9Char">
    <w:name w:val="Heading 9 Char"/>
    <w:aliases w:val="Appendix Heading 1 Char"/>
    <w:basedOn w:val="DefaultParagraphFont"/>
    <w:link w:val="Heading9"/>
    <w:uiPriority w:val="1"/>
    <w:semiHidden/>
    <w:locked/>
    <w:rsid w:val="00C328E9"/>
    <w:rPr>
      <w:rFonts w:cs="Times New Roman"/>
      <w:b/>
      <w:color w:val="71C5E8" w:themeColor="text2"/>
      <w:sz w:val="24"/>
    </w:rPr>
  </w:style>
  <w:style w:type="paragraph" w:styleId="Header">
    <w:name w:val="header"/>
    <w:basedOn w:val="Normal"/>
    <w:link w:val="HeaderChar"/>
    <w:uiPriority w:val="99"/>
    <w:rsid w:val="00920652"/>
    <w:pPr>
      <w:spacing w:line="440" w:lineRule="exact"/>
      <w:jc w:val="right"/>
    </w:pPr>
    <w:rPr>
      <w:b/>
      <w:color w:val="FFFFFF"/>
      <w:sz w:val="40"/>
    </w:rPr>
  </w:style>
  <w:style w:type="character" w:customStyle="1" w:styleId="HeaderChar">
    <w:name w:val="Header Char"/>
    <w:basedOn w:val="DefaultParagraphFont"/>
    <w:link w:val="Header"/>
    <w:uiPriority w:val="99"/>
    <w:locked/>
    <w:rsid w:val="00920652"/>
    <w:rPr>
      <w:rFonts w:cs="Times New Roman"/>
      <w:b/>
      <w:color w:val="FFFFFF"/>
      <w:sz w:val="40"/>
    </w:rPr>
  </w:style>
  <w:style w:type="paragraph" w:styleId="Footer">
    <w:name w:val="footer"/>
    <w:basedOn w:val="Normal"/>
    <w:link w:val="FooterChar"/>
    <w:uiPriority w:val="99"/>
    <w:semiHidden/>
    <w:rsid w:val="00F83203"/>
    <w:pPr>
      <w:spacing w:line="200" w:lineRule="atLeast"/>
    </w:pPr>
    <w:rPr>
      <w:sz w:val="16"/>
    </w:rPr>
  </w:style>
  <w:style w:type="character" w:customStyle="1" w:styleId="FooterChar">
    <w:name w:val="Footer Char"/>
    <w:basedOn w:val="DefaultParagraphFont"/>
    <w:link w:val="Footer"/>
    <w:uiPriority w:val="99"/>
    <w:semiHidden/>
    <w:locked/>
    <w:rsid w:val="00C328E9"/>
    <w:rPr>
      <w:rFonts w:cs="Times New Roman"/>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uiPriority w:val="99"/>
    <w:semiHidden/>
    <w:rsid w:val="003C3BC2"/>
    <w:rPr>
      <w:rFonts w:ascii="Arial" w:hAnsi="Arial" w:cs="Times New Roman"/>
      <w:b/>
      <w:color w:val="auto"/>
      <w:sz w:val="16"/>
    </w:rPr>
  </w:style>
  <w:style w:type="paragraph" w:customStyle="1" w:styleId="FooterOdd">
    <w:name w:val="Footer Odd"/>
    <w:next w:val="Footer"/>
    <w:semiHidden/>
    <w:rsid w:val="00F83203"/>
    <w:pPr>
      <w:spacing w:line="200" w:lineRule="atLeast"/>
      <w:jc w:val="right"/>
    </w:pPr>
    <w:rPr>
      <w:rFonts w:cs="Arial"/>
      <w:spacing w:val="2"/>
      <w:sz w:val="16"/>
    </w:rPr>
  </w:style>
  <w:style w:type="table" w:styleId="TableGrid">
    <w:name w:val="Table Grid"/>
    <w:basedOn w:val="TableNormal"/>
    <w:uiPriority w:val="39"/>
    <w:rsid w:val="00BB1F66"/>
    <w:pPr>
      <w:spacing w:before="60" w:after="60" w:line="220" w:lineRule="atLeast"/>
      <w:ind w:left="113" w:right="113"/>
    </w:pPr>
    <w:rPr>
      <w:rFonts w:cs="Times New Roman"/>
      <w:sz w:val="18"/>
    </w:rPr>
    <w:tblPr>
      <w:tblStyleColBandSize w:val="1"/>
      <w:tblBorders>
        <w:top w:val="single" w:sz="8" w:space="0" w:color="71C5E8" w:themeColor="text2"/>
        <w:bottom w:val="single" w:sz="8" w:space="0" w:color="71C5E8" w:themeColor="text2"/>
        <w:insideH w:val="single" w:sz="8" w:space="0" w:color="71C5E8" w:themeColor="text2"/>
      </w:tblBorders>
      <w:tblCellMar>
        <w:left w:w="0" w:type="dxa"/>
        <w:right w:w="0" w:type="dxa"/>
      </w:tblCellMar>
    </w:tblPr>
    <w:tblStylePr w:type="firstRow">
      <w:pPr>
        <w:spacing w:beforeLines="0" w:before="60" w:beforeAutospacing="0" w:afterLines="0" w:after="60" w:afterAutospacing="0" w:line="220" w:lineRule="atLeast"/>
        <w:jc w:val="left"/>
      </w:pPr>
      <w:rPr>
        <w:rFonts w:asciiTheme="minorHAnsi" w:hAnsiTheme="minorHAnsi" w:cs="Times New Roman"/>
        <w:b w:val="0"/>
        <w:color w:val="363534" w:themeColor="text1"/>
        <w:sz w:val="18"/>
      </w:rPr>
      <w:tblPr/>
      <w:tcPr>
        <w:shd w:val="clear" w:color="auto" w:fill="71C5E8" w:themeFill="text2"/>
      </w:tcPr>
    </w:tblStylePr>
    <w:tblStylePr w:type="lastRow">
      <w:rPr>
        <w:rFonts w:cs="Times New Roman"/>
        <w:b w:val="0"/>
      </w:rPr>
    </w:tblStylePr>
    <w:tblStylePr w:type="lastCol">
      <w:pPr>
        <w:jc w:val="left"/>
      </w:pPr>
      <w:rPr>
        <w:rFonts w:cs="Times New Roman"/>
      </w:rPr>
    </w:tblStylePr>
    <w:tblStylePr w:type="band1Vert">
      <w:rPr>
        <w:rFonts w:cs="Times New Roman"/>
      </w:rPr>
      <w:tblPr/>
      <w:tcPr>
        <w:shd w:val="clear" w:color="auto" w:fill="F1F9FD" w:themeFill="background2"/>
      </w:tcPr>
    </w:tblStylePr>
    <w:tblStylePr w:type="nwCell">
      <w:pPr>
        <w:jc w:val="left"/>
      </w:pPr>
      <w:rPr>
        <w:rFonts w:cs="Times New Roman"/>
      </w:rPr>
    </w:tblStylePr>
  </w:style>
  <w:style w:type="paragraph" w:customStyle="1" w:styleId="FooterEven">
    <w:name w:val="Footer Even"/>
    <w:next w:val="Footer"/>
    <w:semiHidden/>
    <w:rsid w:val="00F83203"/>
    <w:pPr>
      <w:spacing w:line="200" w:lineRule="atLeast"/>
    </w:pPr>
    <w:rPr>
      <w:rFonts w:cs="Arial"/>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uiPriority w:val="99"/>
    <w:semiHidden/>
    <w:qFormat/>
    <w:rsid w:val="00606818"/>
    <w:pPr>
      <w:spacing w:before="220" w:after="220"/>
      <w:ind w:left="340"/>
    </w:pPr>
  </w:style>
  <w:style w:type="paragraph" w:styleId="ListContinue2">
    <w:name w:val="List Continue 2"/>
    <w:basedOn w:val="Normal"/>
    <w:uiPriority w:val="99"/>
    <w:semiHidden/>
    <w:qFormat/>
    <w:rsid w:val="00606818"/>
    <w:pPr>
      <w:spacing w:before="220" w:after="220"/>
      <w:ind w:left="680"/>
    </w:pPr>
  </w:style>
  <w:style w:type="paragraph" w:styleId="ListNumber">
    <w:name w:val="List Number"/>
    <w:basedOn w:val="Normal"/>
    <w:uiPriority w:val="99"/>
    <w:qFormat/>
    <w:rsid w:val="00B876CB"/>
    <w:pPr>
      <w:numPr>
        <w:numId w:val="1"/>
      </w:numPr>
      <w:tabs>
        <w:tab w:val="clear" w:pos="360"/>
        <w:tab w:val="num" w:pos="340"/>
      </w:tabs>
      <w:spacing w:before="120" w:after="120"/>
      <w:ind w:left="340" w:hanging="340"/>
    </w:pPr>
  </w:style>
  <w:style w:type="paragraph" w:styleId="ListNumber2">
    <w:name w:val="List Number 2"/>
    <w:basedOn w:val="Normal"/>
    <w:uiPriority w:val="99"/>
    <w:qFormat/>
    <w:rsid w:val="00781566"/>
    <w:pPr>
      <w:numPr>
        <w:ilvl w:val="1"/>
        <w:numId w:val="1"/>
      </w:numPr>
      <w:tabs>
        <w:tab w:val="clear" w:pos="360"/>
        <w:tab w:val="num" w:pos="680"/>
      </w:tabs>
      <w:spacing w:before="120" w:after="120"/>
      <w:ind w:left="680" w:hanging="340"/>
    </w:pPr>
  </w:style>
  <w:style w:type="paragraph" w:styleId="ListNumber3">
    <w:name w:val="List Number 3"/>
    <w:basedOn w:val="Normal"/>
    <w:uiPriority w:val="99"/>
    <w:qFormat/>
    <w:rsid w:val="00781566"/>
    <w:pPr>
      <w:numPr>
        <w:ilvl w:val="2"/>
        <w:numId w:val="1"/>
      </w:numPr>
      <w:tabs>
        <w:tab w:val="clear" w:pos="360"/>
        <w:tab w:val="num" w:pos="1049"/>
      </w:tabs>
      <w:spacing w:before="120" w:after="120"/>
      <w:ind w:left="1049" w:hanging="369"/>
    </w:pPr>
  </w:style>
  <w:style w:type="paragraph" w:styleId="BalloonText">
    <w:name w:val="Balloon Text"/>
    <w:basedOn w:val="Normal"/>
    <w:link w:val="BalloonTextChar"/>
    <w:uiPriority w:val="99"/>
    <w:semiHidden/>
    <w:unhideWhenUsed/>
    <w:rsid w:val="0060681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 w:type="paragraph" w:customStyle="1" w:styleId="TableTextBullet2">
    <w:name w:val="Table Text Bullet 2"/>
    <w:basedOn w:val="TableTextBullet"/>
    <w:qFormat/>
    <w:rsid w:val="004D4063"/>
    <w:pPr>
      <w:numPr>
        <w:ilvl w:val="1"/>
      </w:numPr>
      <w:tabs>
        <w:tab w:val="num" w:pos="822"/>
      </w:tabs>
    </w:pPr>
    <w:rPr>
      <w:bCs/>
    </w:rPr>
  </w:style>
  <w:style w:type="paragraph" w:customStyle="1" w:styleId="TableTextBullet3">
    <w:name w:val="Table Text Bullet 3"/>
    <w:basedOn w:val="TableTextBullet2"/>
    <w:qFormat/>
    <w:rsid w:val="004D4063"/>
    <w:pPr>
      <w:numPr>
        <w:ilvl w:val="2"/>
      </w:numPr>
      <w:tabs>
        <w:tab w:val="num" w:pos="1219"/>
      </w:tabs>
      <w:ind w:hanging="397"/>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uiPriority w:val="99"/>
    <w:qFormat/>
    <w:rsid w:val="00AD58B8"/>
    <w:pPr>
      <w:spacing w:before="60" w:after="120" w:line="200" w:lineRule="atLeast"/>
    </w:pPr>
    <w:rPr>
      <w:rFonts w:cs="Times New Roman"/>
      <w:lang w:eastAsia="en-US"/>
    </w:rPr>
  </w:style>
  <w:style w:type="character" w:customStyle="1" w:styleId="BodyTextChar">
    <w:name w:val="Body Text Char"/>
    <w:basedOn w:val="DefaultParagraphFont"/>
    <w:link w:val="BodyText"/>
    <w:uiPriority w:val="99"/>
    <w:locked/>
    <w:rsid w:val="00AD58B8"/>
    <w:rPr>
      <w:rFonts w:cs="Times New Roman"/>
      <w:lang w:val="x-none" w:eastAsia="en-US"/>
    </w:rPr>
  </w:style>
  <w:style w:type="paragraph" w:customStyle="1" w:styleId="Footnotes">
    <w:name w:val="Footnotes"/>
    <w:basedOn w:val="Normal"/>
    <w:rsid w:val="0016301C"/>
    <w:pPr>
      <w:keepLines/>
      <w:numPr>
        <w:numId w:val="2"/>
      </w:numPr>
      <w:tabs>
        <w:tab w:val="clear" w:pos="926"/>
      </w:tabs>
      <w:spacing w:before="60" w:after="100" w:afterAutospacing="1" w:line="180" w:lineRule="exact"/>
      <w:ind w:left="284" w:hanging="284"/>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rFonts w:cs="Times New Roman"/>
      <w:color w:val="auto"/>
      <w:u w:val="single"/>
    </w:rPr>
  </w:style>
  <w:style w:type="paragraph" w:styleId="ListParagraph">
    <w:name w:val="List Paragraph"/>
    <w:basedOn w:val="Normal"/>
    <w:uiPriority w:val="99"/>
    <w:qFormat/>
    <w:rsid w:val="00F0072E"/>
    <w:pPr>
      <w:ind w:left="720"/>
      <w:contextualSpacing/>
    </w:pPr>
  </w:style>
  <w:style w:type="paragraph" w:styleId="Caption">
    <w:name w:val="caption"/>
    <w:basedOn w:val="Normal"/>
    <w:next w:val="BodyText"/>
    <w:uiPriority w:val="35"/>
    <w:rsid w:val="00F83203"/>
    <w:pPr>
      <w:keepNext/>
      <w:spacing w:before="360" w:after="240" w:line="200" w:lineRule="atLeast"/>
    </w:pPr>
    <w:rPr>
      <w:b/>
      <w:bCs/>
      <w:sz w:val="16"/>
    </w:rPr>
  </w:style>
  <w:style w:type="character" w:styleId="FootnoteReference">
    <w:name w:val="footnote reference"/>
    <w:basedOn w:val="DefaultParagraphFont"/>
    <w:uiPriority w:val="99"/>
    <w:rsid w:val="00810B9B"/>
    <w:rPr>
      <w:rFonts w:cs="Times New Roman"/>
      <w:color w:val="363534" w:themeColor="text1"/>
      <w:vertAlign w:val="superscript"/>
    </w:rPr>
  </w:style>
  <w:style w:type="paragraph" w:styleId="FootnoteText">
    <w:name w:val="footnote text"/>
    <w:basedOn w:val="Normal"/>
    <w:link w:val="FootnoteTextChar"/>
    <w:uiPriority w:val="99"/>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uiPriority w:val="99"/>
    <w:locked/>
    <w:rsid w:val="00F83203"/>
    <w:rPr>
      <w:rFonts w:cs="Times New Roman"/>
      <w:kern w:val="16"/>
      <w:sz w:val="14"/>
    </w:rPr>
  </w:style>
  <w:style w:type="paragraph" w:styleId="ListBullet">
    <w:name w:val="List Bullet"/>
    <w:basedOn w:val="Normal"/>
    <w:uiPriority w:val="99"/>
    <w:unhideWhenUsed/>
    <w:qFormat/>
    <w:rsid w:val="00001E86"/>
    <w:pPr>
      <w:numPr>
        <w:numId w:val="10"/>
      </w:numPr>
      <w:spacing w:before="120" w:after="120"/>
    </w:pPr>
  </w:style>
  <w:style w:type="paragraph" w:styleId="ListBullet2">
    <w:name w:val="List Bullet 2"/>
    <w:basedOn w:val="ListBullet"/>
    <w:uiPriority w:val="99"/>
    <w:unhideWhenUsed/>
    <w:qFormat/>
    <w:rsid w:val="004D4063"/>
    <w:pPr>
      <w:numPr>
        <w:ilvl w:val="1"/>
      </w:numPr>
      <w:tabs>
        <w:tab w:val="num" w:pos="1209"/>
      </w:tabs>
      <w:ind w:hanging="360"/>
    </w:pPr>
  </w:style>
  <w:style w:type="paragraph" w:styleId="ListBullet3">
    <w:name w:val="List Bullet 3"/>
    <w:basedOn w:val="Normal"/>
    <w:uiPriority w:val="99"/>
    <w:unhideWhenUsed/>
    <w:rsid w:val="004D4063"/>
    <w:pPr>
      <w:numPr>
        <w:ilvl w:val="2"/>
        <w:numId w:val="10"/>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imes New Roman"/>
      <w:iCs/>
      <w:color w:val="71C5E8" w:themeColor="text2"/>
      <w:spacing w:val="-2"/>
      <w:sz w:val="28"/>
      <w:szCs w:val="24"/>
    </w:rPr>
  </w:style>
  <w:style w:type="character" w:customStyle="1" w:styleId="SubtitleChar">
    <w:name w:val="Subtitle Char"/>
    <w:basedOn w:val="DefaultParagraphFont"/>
    <w:link w:val="Subtitle"/>
    <w:uiPriority w:val="99"/>
    <w:locked/>
    <w:rsid w:val="003F7759"/>
    <w:rPr>
      <w:rFonts w:asciiTheme="majorHAnsi" w:eastAsiaTheme="majorEastAsia" w:hAnsiTheme="majorHAnsi" w:cs="Times New Roman"/>
      <w:iCs/>
      <w:color w:val="71C5E8" w:themeColor="text2"/>
      <w:spacing w:val="-2"/>
      <w:sz w:val="24"/>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uiPriority w:val="99"/>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6" w:space="0" w:color="auto"/>
          <w:tr2bl w:val="none" w:sz="6" w:space="0" w:color="auto"/>
        </w:tcBorders>
        <w:shd w:val="solid" w:color="000080" w:fill="FFFFFF"/>
      </w:tcPr>
    </w:tblStylePr>
    <w:tblStylePr w:type="lastRow">
      <w:rPr>
        <w:rFonts w:cs="Times New Roman"/>
        <w:b w:val="0"/>
        <w:bCs w:val="0"/>
      </w:rPr>
      <w:tblPr/>
      <w:tcPr>
        <w:tcBorders>
          <w:top w:val="single" w:sz="6" w:space="0" w:color="000080"/>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6" w:space="0" w:color="auto"/>
          <w:tr2bl w:val="none" w:sz="6" w:space="0" w:color="auto"/>
        </w:tcBorders>
      </w:tcPr>
    </w:tblStylePr>
  </w:style>
  <w:style w:type="paragraph" w:customStyle="1" w:styleId="TableTextBullet">
    <w:name w:val="Table Text Bullet"/>
    <w:basedOn w:val="TableTextLeft"/>
    <w:rsid w:val="004D4063"/>
    <w:pPr>
      <w:numPr>
        <w:numId w:val="12"/>
      </w:numPr>
    </w:pPr>
  </w:style>
  <w:style w:type="paragraph" w:customStyle="1" w:styleId="TableTextNumbered">
    <w:name w:val="Table Text Numbered"/>
    <w:basedOn w:val="TableTextLeft"/>
    <w:qFormat/>
    <w:rsid w:val="00041903"/>
    <w:pPr>
      <w:numPr>
        <w:numId w:val="6"/>
      </w:numPr>
    </w:pPr>
  </w:style>
  <w:style w:type="paragraph" w:customStyle="1" w:styleId="TableTextNumbered2">
    <w:name w:val="Table Text Numbered 2"/>
    <w:basedOn w:val="TableTextNumbered"/>
    <w:qFormat/>
    <w:rsid w:val="003043D2"/>
    <w:pPr>
      <w:numPr>
        <w:ilvl w:val="1"/>
      </w:numPr>
      <w:tabs>
        <w:tab w:val="num" w:pos="643"/>
      </w:tabs>
    </w:pPr>
  </w:style>
  <w:style w:type="paragraph" w:customStyle="1" w:styleId="TableTextNumbered3">
    <w:name w:val="Table Text Numbered 3"/>
    <w:basedOn w:val="TableTextNumbered2"/>
    <w:qFormat/>
    <w:rsid w:val="00606818"/>
    <w:pPr>
      <w:numPr>
        <w:ilvl w:val="2"/>
      </w:numPr>
      <w:tabs>
        <w:tab w:val="num" w:pos="643"/>
      </w:tabs>
    </w:pPr>
  </w:style>
  <w:style w:type="character" w:styleId="PlaceholderText">
    <w:name w:val="Placeholder Text"/>
    <w:basedOn w:val="DefaultParagraphFont"/>
    <w:uiPriority w:val="99"/>
    <w:rsid w:val="0040102D"/>
    <w:rPr>
      <w:rFonts w:cs="Times New Roman"/>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imes New Roman"/>
      <w:b/>
      <w:color w:val="FFFFFF"/>
      <w:spacing w:val="-2"/>
      <w:sz w:val="40"/>
      <w:szCs w:val="52"/>
    </w:rPr>
  </w:style>
  <w:style w:type="character" w:customStyle="1" w:styleId="TitleChar">
    <w:name w:val="Title Char"/>
    <w:basedOn w:val="DefaultParagraphFont"/>
    <w:link w:val="Title"/>
    <w:uiPriority w:val="99"/>
    <w:locked/>
    <w:rsid w:val="00975ED3"/>
    <w:rPr>
      <w:rFonts w:asciiTheme="majorHAnsi" w:eastAsiaTheme="majorEastAsia" w:hAnsiTheme="majorHAnsi" w:cs="Times New Roman"/>
      <w:b/>
      <w:color w:val="FFFFFF"/>
      <w:spacing w:val="-2"/>
      <w:sz w:val="52"/>
      <w:szCs w:val="52"/>
    </w:rPr>
  </w:style>
  <w:style w:type="table" w:customStyle="1" w:styleId="TableAsPlaceholder">
    <w:name w:val="Table As Placeholder"/>
    <w:basedOn w:val="TableNormal"/>
    <w:uiPriority w:val="99"/>
    <w:qFormat/>
    <w:rsid w:val="001F4435"/>
    <w:rPr>
      <w:rFonts w:cs="Arial"/>
    </w:rPr>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71C5E8"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71C5E8"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imes New Roman"/>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uiPriority w:val="99"/>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71C5E8" w:themeColor="text2"/>
      <w:szCs w:val="32"/>
    </w:rPr>
  </w:style>
  <w:style w:type="paragraph" w:customStyle="1" w:styleId="BodyText12ptBefore">
    <w:name w:val="Body Text 12pt Before"/>
    <w:basedOn w:val="BodyText"/>
    <w:next w:val="BodyText"/>
    <w:qFormat/>
    <w:rsid w:val="00097538"/>
    <w:pPr>
      <w:spacing w:before="240"/>
    </w:p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71C5E8" w:themeColor="text2"/>
    </w:rPr>
  </w:style>
  <w:style w:type="paragraph" w:styleId="TOC6">
    <w:name w:val="toc 6"/>
    <w:basedOn w:val="Normal"/>
    <w:next w:val="Normal"/>
    <w:autoRedefine/>
    <w:uiPriority w:val="39"/>
    <w:semiHidden/>
    <w:rsid w:val="00DE27B9"/>
    <w:pPr>
      <w:spacing w:after="100"/>
      <w:ind w:left="1000"/>
    </w:pPr>
  </w:style>
  <w:style w:type="paragraph" w:styleId="TOC7">
    <w:name w:val="toc 7"/>
    <w:basedOn w:val="Normal"/>
    <w:next w:val="Normal"/>
    <w:autoRedefine/>
    <w:uiPriority w:val="39"/>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71C5E8"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paragraph" w:styleId="Quote">
    <w:name w:val="Quote"/>
    <w:basedOn w:val="Normal"/>
    <w:link w:val="QuoteChar"/>
    <w:uiPriority w:val="29"/>
    <w:qFormat/>
    <w:rsid w:val="004D4063"/>
    <w:pPr>
      <w:tabs>
        <w:tab w:val="left" w:pos="1134"/>
      </w:tabs>
      <w:spacing w:before="120" w:after="120"/>
      <w:ind w:left="284"/>
    </w:pPr>
    <w:rPr>
      <w:i/>
      <w:iCs/>
    </w:rPr>
  </w:style>
  <w:style w:type="character" w:customStyle="1" w:styleId="QuoteChar">
    <w:name w:val="Quote Char"/>
    <w:basedOn w:val="DefaultParagraphFont"/>
    <w:link w:val="Quote"/>
    <w:uiPriority w:val="29"/>
    <w:locked/>
    <w:rsid w:val="004D4063"/>
    <w:rPr>
      <w:rFonts w:cs="Times New Roman"/>
      <w:i/>
      <w:iCs/>
    </w:rPr>
  </w:style>
  <w:style w:type="character" w:styleId="IntenseEmphasis">
    <w:name w:val="Intense Emphasis"/>
    <w:basedOn w:val="DefaultParagraphFont"/>
    <w:uiPriority w:val="21"/>
    <w:semiHidden/>
    <w:rsid w:val="00644027"/>
    <w:rPr>
      <w:rFonts w:cs="Times New Roman"/>
      <w:b/>
      <w:i/>
      <w:color w:val="auto"/>
    </w:rPr>
  </w:style>
  <w:style w:type="paragraph" w:styleId="BlockText">
    <w:name w:val="Block Text"/>
    <w:basedOn w:val="Normal"/>
    <w:uiPriority w:val="99"/>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imes New Roman"/>
      <w:i/>
      <w:iCs/>
      <w:color w:val="71C5E8" w:themeColor="text2"/>
    </w:rPr>
  </w:style>
  <w:style w:type="paragraph" w:styleId="IntenseQuote">
    <w:name w:val="Intense Quote"/>
    <w:basedOn w:val="Normal"/>
    <w:next w:val="Normal"/>
    <w:link w:val="IntenseQuoteChar"/>
    <w:uiPriority w:val="30"/>
    <w:semiHidden/>
    <w:rsid w:val="00315585"/>
    <w:pPr>
      <w:pBdr>
        <w:bottom w:val="single" w:sz="4" w:space="4" w:color="00B2A9" w:themeColor="accent1"/>
      </w:pBdr>
      <w:spacing w:before="200" w:after="280"/>
      <w:ind w:left="936" w:right="936"/>
    </w:pPr>
    <w:rPr>
      <w:b/>
      <w:bCs/>
      <w:i/>
      <w:iCs/>
      <w:color w:val="F1F9FD" w:themeColor="background2"/>
    </w:rPr>
  </w:style>
  <w:style w:type="character" w:customStyle="1" w:styleId="IntenseQuoteChar">
    <w:name w:val="Intense Quote Char"/>
    <w:basedOn w:val="DefaultParagraphFont"/>
    <w:link w:val="IntenseQuote"/>
    <w:uiPriority w:val="30"/>
    <w:semiHidden/>
    <w:locked/>
    <w:rsid w:val="00F31C91"/>
    <w:rPr>
      <w:rFonts w:ascii="Arial" w:hAnsi="Arial" w:cs="Times New Roman"/>
      <w:b/>
      <w:bCs/>
      <w:i/>
      <w:iCs/>
      <w:color w:val="F1F9FD" w:themeColor="background2"/>
      <w:sz w:val="20"/>
      <w:szCs w:val="20"/>
      <w:lang w:val="x-none"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3"/>
      </w:numPr>
    </w:pPr>
  </w:style>
  <w:style w:type="paragraph" w:customStyle="1" w:styleId="PullOutBoxBullet2">
    <w:name w:val="Pull Out Box Bullet 2"/>
    <w:basedOn w:val="PullOutBoxBodyText"/>
    <w:qFormat/>
    <w:rsid w:val="004D4063"/>
    <w:pPr>
      <w:numPr>
        <w:ilvl w:val="1"/>
        <w:numId w:val="13"/>
      </w:numPr>
    </w:pPr>
  </w:style>
  <w:style w:type="paragraph" w:customStyle="1" w:styleId="PullOutBoxBullet3">
    <w:name w:val="Pull Out Box Bullet 3"/>
    <w:basedOn w:val="PullOutBoxBodyText"/>
    <w:qFormat/>
    <w:rsid w:val="004D4063"/>
    <w:pPr>
      <w:numPr>
        <w:ilvl w:val="2"/>
        <w:numId w:val="13"/>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71C5E8"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rPr>
      <w:rFonts w:cs="Arial"/>
    </w:rPr>
    <w:tblPr>
      <w:tblBorders>
        <w:top w:val="single" w:sz="4" w:space="0" w:color="71C5E8" w:themeColor="text2"/>
        <w:left w:val="single" w:sz="4" w:space="0" w:color="71C5E8" w:themeColor="text2"/>
        <w:bottom w:val="single" w:sz="4" w:space="0" w:color="71C5E8" w:themeColor="text2"/>
        <w:right w:val="single" w:sz="4" w:space="0" w:color="71C5E8" w:themeColor="text2"/>
      </w:tblBorders>
      <w:tblCellMar>
        <w:top w:w="85" w:type="dxa"/>
        <w:left w:w="0" w:type="dxa"/>
        <w:bottom w:w="85" w:type="dxa"/>
        <w:right w:w="0" w:type="dxa"/>
      </w:tblCellMar>
    </w:tblPr>
  </w:style>
  <w:style w:type="paragraph" w:styleId="NoSpacing">
    <w:name w:val="No Spacing"/>
    <w:next w:val="BodyText"/>
    <w:uiPriority w:val="1"/>
    <w:rsid w:val="00ED5179"/>
    <w:pPr>
      <w:spacing w:line="240" w:lineRule="auto"/>
    </w:pPr>
    <w:rPr>
      <w:rFonts w:cs="Arial"/>
    </w:rPr>
  </w:style>
  <w:style w:type="paragraph" w:styleId="Date">
    <w:name w:val="Date"/>
    <w:basedOn w:val="Normal"/>
    <w:next w:val="Normal"/>
    <w:link w:val="DateChar"/>
    <w:uiPriority w:val="99"/>
    <w:semiHidden/>
    <w:rsid w:val="003260D0"/>
    <w:rPr>
      <w:b/>
      <w:color w:val="FFFFFF"/>
      <w:sz w:val="36"/>
    </w:rPr>
  </w:style>
  <w:style w:type="character" w:customStyle="1" w:styleId="DateChar">
    <w:name w:val="Date Char"/>
    <w:basedOn w:val="DefaultParagraphFont"/>
    <w:link w:val="Date"/>
    <w:uiPriority w:val="99"/>
    <w:semiHidden/>
    <w:locked/>
    <w:rsid w:val="00C65140"/>
    <w:rPr>
      <w:rFonts w:cs="Times New Roman"/>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11"/>
      </w:numPr>
    </w:pPr>
  </w:style>
  <w:style w:type="paragraph" w:customStyle="1" w:styleId="QuoteBullet2">
    <w:name w:val="Quote Bullet 2"/>
    <w:basedOn w:val="Quote"/>
    <w:qFormat/>
    <w:rsid w:val="004D4063"/>
    <w:pPr>
      <w:numPr>
        <w:ilvl w:val="1"/>
        <w:numId w:val="11"/>
      </w:numPr>
      <w:tabs>
        <w:tab w:val="clear" w:pos="1134"/>
      </w:tabs>
    </w:pPr>
  </w:style>
  <w:style w:type="character" w:styleId="CommentReference">
    <w:name w:val="annotation reference"/>
    <w:basedOn w:val="DefaultParagraphFont"/>
    <w:uiPriority w:val="99"/>
    <w:semiHidden/>
    <w:rsid w:val="00732B4D"/>
    <w:rPr>
      <w:rFonts w:cs="Times New Roman"/>
      <w:sz w:val="16"/>
      <w:szCs w:val="16"/>
    </w:rPr>
  </w:style>
  <w:style w:type="paragraph" w:styleId="CommentText">
    <w:name w:val="annotation text"/>
    <w:basedOn w:val="Normal"/>
    <w:link w:val="CommentTextChar"/>
    <w:uiPriority w:val="99"/>
    <w:semiHidden/>
    <w:rsid w:val="00732B4D"/>
    <w:pPr>
      <w:spacing w:line="240" w:lineRule="auto"/>
    </w:pPr>
  </w:style>
  <w:style w:type="character" w:customStyle="1" w:styleId="CommentTextChar">
    <w:name w:val="Comment Text Char"/>
    <w:basedOn w:val="DefaultParagraphFont"/>
    <w:link w:val="CommentText"/>
    <w:uiPriority w:val="99"/>
    <w:semiHidden/>
    <w:locked/>
    <w:rsid w:val="000758E3"/>
    <w:rPr>
      <w:rFonts w:cs="Times New Roman"/>
    </w:rPr>
  </w:style>
  <w:style w:type="paragraph" w:styleId="CommentSubject">
    <w:name w:val="annotation subject"/>
    <w:basedOn w:val="CommentText"/>
    <w:next w:val="CommentText"/>
    <w:link w:val="CommentSubjectChar"/>
    <w:uiPriority w:val="99"/>
    <w:semiHidden/>
    <w:rsid w:val="00732B4D"/>
    <w:rPr>
      <w:b/>
      <w:bCs/>
    </w:rPr>
  </w:style>
  <w:style w:type="character" w:customStyle="1" w:styleId="CommentSubjectChar">
    <w:name w:val="Comment Subject Char"/>
    <w:basedOn w:val="CommentTextChar"/>
    <w:link w:val="CommentSubject"/>
    <w:uiPriority w:val="99"/>
    <w:semiHidden/>
    <w:locked/>
    <w:rsid w:val="000758E3"/>
    <w:rPr>
      <w:rFonts w:cs="Times New Roman"/>
      <w:b/>
      <w:bCs/>
    </w:rPr>
  </w:style>
  <w:style w:type="paragraph" w:customStyle="1" w:styleId="PullOutBoxNumbered">
    <w:name w:val="Pull Out Box Numbered"/>
    <w:basedOn w:val="PullOutBoxBodyText"/>
    <w:qFormat/>
    <w:rsid w:val="007879D1"/>
    <w:pPr>
      <w:numPr>
        <w:numId w:val="8"/>
      </w:numPr>
    </w:pPr>
  </w:style>
  <w:style w:type="paragraph" w:customStyle="1" w:styleId="PullOutBoxNumbered2">
    <w:name w:val="Pull Out Box Numbered 2"/>
    <w:basedOn w:val="PullOutBoxBodyText"/>
    <w:qFormat/>
    <w:rsid w:val="007A4BA3"/>
    <w:pPr>
      <w:numPr>
        <w:ilvl w:val="1"/>
        <w:numId w:val="8"/>
      </w:numPr>
    </w:pPr>
  </w:style>
  <w:style w:type="paragraph" w:customStyle="1" w:styleId="PullOutBoxNumbered3">
    <w:name w:val="Pull Out Box Numbered 3"/>
    <w:basedOn w:val="PullOutBoxBodyText"/>
    <w:qFormat/>
    <w:rsid w:val="007879D1"/>
    <w:pPr>
      <w:numPr>
        <w:ilvl w:val="2"/>
        <w:numId w:val="8"/>
      </w:numPr>
    </w:pPr>
  </w:style>
  <w:style w:type="table" w:styleId="TableGrid1">
    <w:name w:val="Table Grid 1"/>
    <w:basedOn w:val="TableNormal"/>
    <w:uiPriority w:val="99"/>
    <w:rsid w:val="00B97493"/>
    <w:rPr>
      <w:rFonts w:cs="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6" w:space="0" w:color="auto"/>
          <w:tr2bl w:val="none" w:sz="6" w:space="0" w:color="auto"/>
        </w:tcBorders>
      </w:tcPr>
    </w:tblStylePr>
    <w:tblStylePr w:type="lastCol">
      <w:rPr>
        <w:rFonts w:cs="Arial"/>
        <w:i/>
        <w:iCs/>
      </w:rPr>
      <w:tblPr/>
      <w:tcPr>
        <w:tcBorders>
          <w:tl2br w:val="none" w:sz="6" w:space="0" w:color="auto"/>
          <w:tr2bl w:val="none" w:sz="6" w:space="0" w:color="auto"/>
        </w:tcBorders>
      </w:tcPr>
    </w:tblStylePr>
  </w:style>
  <w:style w:type="table" w:styleId="TableClassic1">
    <w:name w:val="Table Classic 1"/>
    <w:basedOn w:val="TableNormal"/>
    <w:uiPriority w:val="99"/>
    <w:rsid w:val="00630767"/>
    <w:rPr>
      <w:rFonts w:cs="Arial"/>
      <w:sz w:val="16"/>
    </w:rPr>
    <w:tblPr>
      <w:tblBorders>
        <w:top w:val="single" w:sz="12" w:space="0" w:color="000000"/>
        <w:bottom w:val="single" w:sz="12" w:space="0" w:color="000000"/>
      </w:tblBorders>
    </w:tblPr>
    <w:tblStylePr w:type="firstRow">
      <w:rPr>
        <w:rFonts w:cs="Arial"/>
        <w:i/>
        <w:iCs/>
      </w:rPr>
      <w:tblPr/>
      <w:tcPr>
        <w:tcBorders>
          <w:bottom w:val="single" w:sz="6" w:space="0" w:color="000000"/>
          <w:tl2br w:val="none" w:sz="6" w:space="0" w:color="auto"/>
          <w:tr2bl w:val="none" w:sz="6" w:space="0" w:color="auto"/>
        </w:tcBorders>
      </w:tcPr>
    </w:tblStylePr>
    <w:tblStylePr w:type="lastRow">
      <w:rPr>
        <w:rFonts w:cs="Arial"/>
        <w:color w:val="auto"/>
      </w:rPr>
      <w:tblPr/>
      <w:tcPr>
        <w:tcBorders>
          <w:top w:val="single" w:sz="6" w:space="0" w:color="000000"/>
          <w:tl2br w:val="none" w:sz="6" w:space="0" w:color="auto"/>
          <w:tr2bl w:val="none" w:sz="6" w:space="0" w:color="auto"/>
        </w:tcBorders>
      </w:tcPr>
    </w:tblStylePr>
    <w:tblStylePr w:type="firstCol">
      <w:rPr>
        <w:rFonts w:cs="Arial"/>
      </w:rPr>
      <w:tblPr/>
      <w:tcPr>
        <w:tcBorders>
          <w:right w:val="single" w:sz="6" w:space="0" w:color="000000"/>
          <w:tl2br w:val="none" w:sz="6" w:space="0" w:color="auto"/>
          <w:tr2bl w:val="none" w:sz="6" w:space="0" w:color="auto"/>
        </w:tcBorders>
      </w:tcPr>
    </w:tblStylePr>
    <w:tblStylePr w:type="neCell">
      <w:rPr>
        <w:rFonts w:cs="Arial"/>
        <w:b/>
        <w:bCs/>
        <w:i w:val="0"/>
        <w:iCs w:val="0"/>
      </w:rPr>
      <w:tblPr/>
      <w:tcPr>
        <w:tcBorders>
          <w:tl2br w:val="none" w:sz="6" w:space="0" w:color="auto"/>
          <w:tr2bl w:val="none" w:sz="6" w:space="0" w:color="auto"/>
        </w:tcBorders>
      </w:tcPr>
    </w:tblStylePr>
    <w:tblStylePr w:type="swCell">
      <w:rPr>
        <w:rFonts w:cs="Arial"/>
        <w:b/>
        <w:bCs/>
      </w:rPr>
      <w:tblPr/>
      <w:tcPr>
        <w:tcBorders>
          <w:tl2br w:val="none" w:sz="6" w:space="0" w:color="auto"/>
          <w:tr2bl w:val="none" w:sz="6" w:space="0" w:color="auto"/>
        </w:tcBorders>
      </w:tcPr>
    </w:tblStylePr>
  </w:style>
  <w:style w:type="table" w:styleId="TableSimple2">
    <w:name w:val="Table Simple 2"/>
    <w:basedOn w:val="TableNormal"/>
    <w:uiPriority w:val="99"/>
    <w:rsid w:val="00630767"/>
    <w:rPr>
      <w:rFonts w:cs="Arial"/>
      <w:sz w:val="16"/>
    </w:rPr>
    <w:tblPr>
      <w:tblBorders>
        <w:top w:val="single" w:sz="4" w:space="0" w:color="auto"/>
        <w:bottom w:val="single" w:sz="4" w:space="0" w:color="auto"/>
        <w:insideH w:val="single" w:sz="4" w:space="0" w:color="auto"/>
        <w:insideV w:val="single" w:sz="4" w:space="0" w:color="auto"/>
      </w:tblBorders>
    </w:tblPr>
    <w:tblStylePr w:type="firstRow">
      <w:rPr>
        <w:rFonts w:cs="Arial"/>
        <w:b/>
        <w:bCs/>
      </w:rPr>
      <w:tblPr/>
      <w:tcPr>
        <w:tcBorders>
          <w:top w:val="nil"/>
          <w:left w:val="nil"/>
          <w:bottom w:val="single" w:sz="24" w:space="0" w:color="71C5E8" w:themeColor="text2"/>
          <w:right w:val="nil"/>
          <w:insideV w:val="single" w:sz="4" w:space="0" w:color="auto"/>
        </w:tcBorders>
      </w:tcPr>
    </w:tblStylePr>
    <w:tblStylePr w:type="lastRow">
      <w:rPr>
        <w:rFonts w:cs="Arial"/>
        <w:b/>
        <w:bCs/>
        <w:color w:val="auto"/>
      </w:rPr>
      <w:tblPr/>
      <w:tcPr>
        <w:tcBorders>
          <w:top w:val="single" w:sz="6" w:space="0" w:color="000000"/>
          <w:tl2br w:val="none" w:sz="6" w:space="0" w:color="auto"/>
          <w:tr2bl w:val="none" w:sz="6" w:space="0" w:color="auto"/>
        </w:tcBorders>
      </w:tcPr>
    </w:tblStylePr>
    <w:tblStylePr w:type="firstCol">
      <w:rPr>
        <w:rFonts w:cs="Arial"/>
        <w:b/>
        <w:bCs/>
      </w:rPr>
      <w:tblPr/>
      <w:tcPr>
        <w:tcBorders>
          <w:right w:val="single" w:sz="12" w:space="0" w:color="000000"/>
          <w:tl2br w:val="none" w:sz="6" w:space="0" w:color="auto"/>
          <w:tr2bl w:val="none" w:sz="6" w:space="0" w:color="auto"/>
        </w:tcBorders>
      </w:tcPr>
    </w:tblStylePr>
    <w:tblStylePr w:type="lastCol">
      <w:rPr>
        <w:rFonts w:cs="Arial"/>
        <w:b/>
        <w:bCs/>
      </w:rPr>
      <w:tblPr/>
      <w:tcPr>
        <w:tcBorders>
          <w:left w:val="single" w:sz="6" w:space="0" w:color="000000"/>
          <w:tl2br w:val="none" w:sz="6" w:space="0" w:color="auto"/>
          <w:tr2bl w:val="none" w:sz="6" w:space="0" w:color="auto"/>
        </w:tcBorders>
      </w:tcPr>
    </w:tblStylePr>
    <w:tblStylePr w:type="neCell">
      <w:rPr>
        <w:rFonts w:cs="Arial"/>
        <w:b/>
        <w:bCs/>
      </w:rPr>
      <w:tblPr/>
      <w:tcPr>
        <w:tcBorders>
          <w:left w:val="none" w:sz="6" w:space="0" w:color="auto"/>
          <w:tl2br w:val="none" w:sz="6" w:space="0" w:color="auto"/>
          <w:tr2bl w:val="none" w:sz="6" w:space="0" w:color="auto"/>
        </w:tcBorders>
      </w:tcPr>
    </w:tblStylePr>
    <w:tblStylePr w:type="swCell">
      <w:rPr>
        <w:rFonts w:cs="Arial"/>
        <w:b/>
        <w:bCs/>
      </w:rPr>
      <w:tblPr/>
      <w:tcPr>
        <w:tcBorders>
          <w:top w:val="none" w:sz="6" w:space="0" w:color="auto"/>
          <w:tl2br w:val="none" w:sz="6" w:space="0" w:color="auto"/>
          <w:tr2bl w:val="none" w:sz="6" w:space="0" w:color="auto"/>
        </w:tcBorders>
      </w:tcPr>
    </w:tblStylePr>
  </w:style>
  <w:style w:type="table" w:styleId="TableSubtle2">
    <w:name w:val="Table Subtle 2"/>
    <w:basedOn w:val="TableNormal"/>
    <w:uiPriority w:val="99"/>
    <w:rsid w:val="00630767"/>
    <w:rPr>
      <w:rFonts w:cs="Arial"/>
    </w:rPr>
    <w:tblPr>
      <w:tblBorders>
        <w:left w:val="single" w:sz="6" w:space="0" w:color="000000"/>
        <w:right w:val="single" w:sz="6" w:space="0" w:color="000000"/>
      </w:tblBorders>
    </w:tblPr>
    <w:tblStylePr w:type="firstRow">
      <w:rPr>
        <w:rFonts w:cs="Arial"/>
      </w:rPr>
      <w:tblPr/>
      <w:tcPr>
        <w:tcBorders>
          <w:bottom w:val="single" w:sz="12" w:space="0" w:color="000000"/>
          <w:tl2br w:val="none" w:sz="6" w:space="0" w:color="auto"/>
          <w:tr2bl w:val="none" w:sz="6" w:space="0" w:color="auto"/>
        </w:tcBorders>
      </w:tcPr>
    </w:tblStylePr>
    <w:tblStylePr w:type="lastRow">
      <w:rPr>
        <w:rFonts w:cs="Arial"/>
      </w:rPr>
      <w:tblPr/>
      <w:tcPr>
        <w:tcBorders>
          <w:top w:val="single" w:sz="12" w:space="0" w:color="000000"/>
          <w:tl2br w:val="none" w:sz="6" w:space="0" w:color="auto"/>
          <w:tr2bl w:val="none" w:sz="6" w:space="0" w:color="auto"/>
        </w:tcBorders>
      </w:tcPr>
    </w:tblStylePr>
    <w:tblStylePr w:type="firstCol">
      <w:rPr>
        <w:rFonts w:cs="Arial"/>
      </w:rPr>
      <w:tblPr/>
      <w:tcPr>
        <w:tcBorders>
          <w:right w:val="single" w:sz="12" w:space="0" w:color="000000"/>
          <w:tl2br w:val="none" w:sz="6" w:space="0" w:color="auto"/>
          <w:tr2bl w:val="none" w:sz="6" w:space="0" w:color="auto"/>
        </w:tcBorders>
        <w:shd w:val="pct25" w:color="008000" w:fill="FFFFFF"/>
      </w:tcPr>
    </w:tblStylePr>
    <w:tblStylePr w:type="lastCol">
      <w:rPr>
        <w:rFonts w:cs="Arial"/>
      </w:rPr>
      <w:tblPr/>
      <w:tcPr>
        <w:tcBorders>
          <w:left w:val="single" w:sz="12" w:space="0" w:color="000000"/>
          <w:tl2br w:val="none" w:sz="6" w:space="0" w:color="auto"/>
          <w:tr2bl w:val="none" w:sz="6" w:space="0" w:color="auto"/>
        </w:tcBorders>
        <w:shd w:val="pct25" w:color="808000" w:fill="FFFFFF"/>
      </w:tcPr>
    </w:tblStylePr>
    <w:tblStylePr w:type="neCell">
      <w:rPr>
        <w:rFonts w:cs="Arial"/>
        <w:b/>
        <w:bCs/>
      </w:rPr>
      <w:tblPr/>
      <w:tcPr>
        <w:tcBorders>
          <w:tl2br w:val="none" w:sz="6" w:space="0" w:color="auto"/>
          <w:tr2bl w:val="none" w:sz="6" w:space="0" w:color="auto"/>
        </w:tcBorders>
      </w:tcPr>
    </w:tblStylePr>
    <w:tblStylePr w:type="swCell">
      <w:rPr>
        <w:rFonts w:cs="Arial"/>
        <w:b/>
        <w:bCs/>
      </w:rPr>
      <w:tblPr/>
      <w:tcPr>
        <w:tcBorders>
          <w:tl2br w:val="none" w:sz="6" w:space="0" w:color="auto"/>
          <w:tr2bl w:val="none" w:sz="6"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71C5E8"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uiPriority w:val="99"/>
    <w:rsid w:val="00502E1D"/>
    <w:rPr>
      <w:rFonts w:cs="Times New Roman"/>
      <w:color w:val="800080" w:themeColor="followedHyperlink"/>
      <w:u w:val="single"/>
    </w:rPr>
  </w:style>
  <w:style w:type="table" w:customStyle="1" w:styleId="LogoPlaceholder">
    <w:name w:val="Logo Placeholder"/>
    <w:basedOn w:val="TableNormal"/>
    <w:uiPriority w:val="99"/>
    <w:rsid w:val="00802595"/>
    <w:pPr>
      <w:spacing w:line="240" w:lineRule="auto"/>
    </w:pPr>
    <w:rPr>
      <w:rFonts w:cs="Arial"/>
    </w:r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2"/>
      </w:numPr>
      <w:tabs>
        <w:tab w:val="clear" w:pos="926"/>
        <w:tab w:val="num" w:pos="567"/>
      </w:tabs>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rFonts w:cs="Arial"/>
      <w:color w:val="FFFFFF"/>
      <w:sz w:val="24"/>
    </w:rPr>
    <w:tblPr>
      <w:tblCellMar>
        <w:top w:w="227" w:type="dxa"/>
        <w:left w:w="0" w:type="dxa"/>
        <w:bottom w:w="227" w:type="dxa"/>
        <w:right w:w="0" w:type="dxa"/>
      </w:tblCellMar>
    </w:tblPr>
    <w:tcPr>
      <w:shd w:val="clear" w:color="auto" w:fill="71C5E8" w:themeFill="text2"/>
    </w:tcPr>
  </w:style>
  <w:style w:type="paragraph" w:customStyle="1" w:styleId="BodyText100ThemeColour">
    <w:name w:val="Body Text 100% Theme Colour"/>
    <w:basedOn w:val="BodyText"/>
    <w:qFormat/>
    <w:rsid w:val="00096B2D"/>
    <w:rPr>
      <w:color w:val="71C5E8"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4"/>
      </w:numPr>
      <w:tabs>
        <w:tab w:val="clear" w:pos="360"/>
      </w:tabs>
      <w:spacing w:before="120" w:after="120"/>
      <w:ind w:left="340" w:hanging="340"/>
    </w:pPr>
  </w:style>
  <w:style w:type="paragraph" w:customStyle="1" w:styleId="ListAlpha2">
    <w:name w:val="List Alpha 2"/>
    <w:basedOn w:val="Normal"/>
    <w:qFormat/>
    <w:rsid w:val="00893106"/>
    <w:pPr>
      <w:numPr>
        <w:ilvl w:val="1"/>
        <w:numId w:val="4"/>
      </w:numPr>
      <w:tabs>
        <w:tab w:val="clear" w:pos="360"/>
        <w:tab w:val="num" w:pos="680"/>
      </w:tabs>
      <w:spacing w:before="120" w:after="120"/>
      <w:ind w:left="709" w:hanging="369"/>
    </w:pPr>
  </w:style>
  <w:style w:type="paragraph" w:customStyle="1" w:styleId="ListAlpha3">
    <w:name w:val="List Alpha 3"/>
    <w:basedOn w:val="Normal"/>
    <w:qFormat/>
    <w:rsid w:val="00893106"/>
    <w:pPr>
      <w:numPr>
        <w:ilvl w:val="2"/>
        <w:numId w:val="4"/>
      </w:numPr>
      <w:tabs>
        <w:tab w:val="clear" w:pos="360"/>
        <w:tab w:val="num" w:pos="1049"/>
      </w:tabs>
      <w:spacing w:before="120" w:after="120"/>
      <w:ind w:left="1049" w:hanging="34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5"/>
      </w:numPr>
      <w:tabs>
        <w:tab w:val="left" w:pos="454"/>
      </w:tabs>
    </w:pPr>
  </w:style>
  <w:style w:type="character" w:customStyle="1" w:styleId="MyUnderline">
    <w:name w:val="MyUnderline"/>
    <w:uiPriority w:val="1"/>
    <w:semiHidden/>
    <w:rsid w:val="00F62FAC"/>
    <w:rPr>
      <w:u w:val="single"/>
      <w:lang w:val="x-none"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14"/>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rPr>
      <w:rFonts w:cs="Arial"/>
    </w:r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rFonts w:cs="Times New Roman"/>
      <w:color w:val="FF0000"/>
      <w:sz w:val="20"/>
      <w:u w:val="dotted"/>
    </w:rPr>
  </w:style>
  <w:style w:type="paragraph" w:customStyle="1" w:styleId="Pullout">
    <w:name w:val="_Pullout"/>
    <w:qFormat/>
    <w:rsid w:val="00BC4347"/>
    <w:pPr>
      <w:spacing w:before="85" w:after="170" w:line="300" w:lineRule="atLeast"/>
    </w:pPr>
    <w:rPr>
      <w:rFonts w:ascii="Calibri" w:hAnsi="Calibri" w:cs="Arial"/>
      <w:color w:val="228591"/>
      <w:sz w:val="24"/>
      <w:szCs w:val="24"/>
      <w:lang w:eastAsia="en-US"/>
    </w:rPr>
  </w:style>
  <w:style w:type="paragraph" w:styleId="Signature">
    <w:name w:val="Signature"/>
    <w:basedOn w:val="Normal"/>
    <w:link w:val="SignatureChar"/>
    <w:uiPriority w:val="99"/>
    <w:semiHidden/>
    <w:rsid w:val="00BC4347"/>
    <w:pPr>
      <w:spacing w:line="240" w:lineRule="auto"/>
      <w:ind w:left="4252"/>
    </w:pPr>
    <w:rPr>
      <w:rFonts w:ascii="Calibri" w:hAnsi="Calibri" w:cs="Times New Roman"/>
      <w:sz w:val="22"/>
      <w:szCs w:val="24"/>
      <w:lang w:eastAsia="en-US"/>
    </w:rPr>
  </w:style>
  <w:style w:type="character" w:customStyle="1" w:styleId="SignatureChar">
    <w:name w:val="Signature Char"/>
    <w:basedOn w:val="DefaultParagraphFont"/>
    <w:link w:val="Signature"/>
    <w:uiPriority w:val="99"/>
    <w:semiHidden/>
    <w:locked/>
    <w:rsid w:val="00BC4347"/>
    <w:rPr>
      <w:rFonts w:ascii="Calibri" w:hAnsi="Calibri" w:cs="Times New Roman"/>
      <w:color w:val="auto"/>
      <w:sz w:val="24"/>
      <w:szCs w:val="24"/>
      <w:lang w:val="x-none" w:eastAsia="en-US"/>
    </w:rPr>
  </w:style>
  <w:style w:type="paragraph" w:customStyle="1" w:styleId="Body">
    <w:name w:val="_Body"/>
    <w:qFormat/>
    <w:rsid w:val="00BC4347"/>
    <w:pPr>
      <w:spacing w:after="113"/>
    </w:pPr>
    <w:rPr>
      <w:rFonts w:ascii="Calibri" w:hAnsi="Calibri" w:cs="Arial"/>
      <w:sz w:val="22"/>
      <w:szCs w:val="24"/>
      <w:lang w:eastAsia="en-US"/>
    </w:rPr>
  </w:style>
  <w:style w:type="character" w:styleId="EndnoteReference">
    <w:name w:val="endnote reference"/>
    <w:basedOn w:val="DefaultParagraphFont"/>
    <w:uiPriority w:val="99"/>
    <w:semiHidden/>
    <w:rsid w:val="00BC4347"/>
    <w:rPr>
      <w:rFonts w:cs="Times New Roman"/>
      <w:vertAlign w:val="superscript"/>
    </w:rPr>
  </w:style>
  <w:style w:type="paragraph" w:customStyle="1" w:styleId="Caption0">
    <w:name w:val="_Caption"/>
    <w:qFormat/>
    <w:rsid w:val="00BC4347"/>
    <w:pPr>
      <w:spacing w:before="120" w:after="120" w:line="170" w:lineRule="atLeast"/>
    </w:pPr>
    <w:rPr>
      <w:rFonts w:ascii="Calibri" w:hAnsi="Calibri" w:cs="Arial"/>
      <w:b/>
      <w:color w:val="404040"/>
      <w:szCs w:val="14"/>
      <w:lang w:eastAsia="en-US"/>
    </w:rPr>
  </w:style>
  <w:style w:type="paragraph" w:styleId="EndnoteText">
    <w:name w:val="endnote text"/>
    <w:basedOn w:val="Normal"/>
    <w:link w:val="EndnoteTextChar"/>
    <w:uiPriority w:val="99"/>
    <w:semiHidden/>
    <w:rsid w:val="00BC4347"/>
    <w:pPr>
      <w:spacing w:line="240" w:lineRule="auto"/>
    </w:pPr>
    <w:rPr>
      <w:rFonts w:ascii="Calibri" w:hAnsi="Calibri" w:cs="Times New Roman"/>
      <w:lang w:eastAsia="en-US"/>
    </w:rPr>
  </w:style>
  <w:style w:type="character" w:customStyle="1" w:styleId="EndnoteTextChar">
    <w:name w:val="Endnote Text Char"/>
    <w:basedOn w:val="DefaultParagraphFont"/>
    <w:link w:val="EndnoteText"/>
    <w:uiPriority w:val="99"/>
    <w:semiHidden/>
    <w:locked/>
    <w:rsid w:val="00BC4347"/>
    <w:rPr>
      <w:rFonts w:ascii="Calibri" w:hAnsi="Calibri" w:cs="Times New Roman"/>
      <w:color w:val="auto"/>
      <w:lang w:val="x-none" w:eastAsia="en-US"/>
    </w:rPr>
  </w:style>
  <w:style w:type="paragraph" w:customStyle="1" w:styleId="TableTitle">
    <w:name w:val="_TableTitle"/>
    <w:qFormat/>
    <w:rsid w:val="009F23E8"/>
    <w:pPr>
      <w:spacing w:after="120" w:line="220" w:lineRule="atLeast"/>
    </w:pPr>
    <w:rPr>
      <w:rFonts w:ascii="Calibri" w:hAnsi="Calibri" w:cs="Arial"/>
      <w:b/>
      <w:color w:val="404040"/>
      <w:sz w:val="22"/>
      <w:szCs w:val="18"/>
      <w:lang w:eastAsia="en-US"/>
    </w:rPr>
  </w:style>
  <w:style w:type="paragraph" w:customStyle="1" w:styleId="ImprintText">
    <w:name w:val="_ImprintText"/>
    <w:uiPriority w:val="9"/>
    <w:rsid w:val="009F23E8"/>
    <w:pPr>
      <w:spacing w:after="85" w:line="170" w:lineRule="atLeast"/>
    </w:pPr>
    <w:rPr>
      <w:rFonts w:ascii="Calibri" w:hAnsi="Calibri" w:cs="Arial"/>
      <w:sz w:val="16"/>
      <w:szCs w:val="14"/>
      <w:lang w:eastAsia="en-US"/>
    </w:rPr>
  </w:style>
  <w:style w:type="paragraph" w:styleId="ListBullet5">
    <w:name w:val="List Bullet 5"/>
    <w:basedOn w:val="Normal"/>
    <w:uiPriority w:val="99"/>
    <w:semiHidden/>
    <w:rsid w:val="009F23E8"/>
    <w:pPr>
      <w:tabs>
        <w:tab w:val="num" w:pos="1492"/>
      </w:tabs>
      <w:spacing w:line="240" w:lineRule="auto"/>
      <w:ind w:left="1492" w:hanging="360"/>
    </w:pPr>
    <w:rPr>
      <w:rFonts w:ascii="Calibri" w:hAnsi="Calibri" w:cs="Times New Roman"/>
      <w:sz w:val="22"/>
      <w:szCs w:val="24"/>
      <w:lang w:eastAsia="en-US"/>
    </w:rPr>
  </w:style>
  <w:style w:type="paragraph" w:customStyle="1" w:styleId="HC">
    <w:name w:val="_HC"/>
    <w:next w:val="Body"/>
    <w:uiPriority w:val="2"/>
    <w:qFormat/>
    <w:rsid w:val="009F23E8"/>
    <w:pPr>
      <w:spacing w:before="140" w:after="57" w:line="220" w:lineRule="atLeast"/>
    </w:pPr>
    <w:rPr>
      <w:rFonts w:ascii="Calibri" w:hAnsi="Calibri" w:cs="Arial"/>
      <w:b/>
      <w:sz w:val="24"/>
      <w:szCs w:val="24"/>
      <w:lang w:eastAsia="en-US"/>
    </w:rPr>
  </w:style>
  <w:style w:type="paragraph" w:customStyle="1" w:styleId="HB">
    <w:name w:val="_HB"/>
    <w:next w:val="Body"/>
    <w:uiPriority w:val="2"/>
    <w:qFormat/>
    <w:rsid w:val="009F23E8"/>
    <w:pPr>
      <w:spacing w:before="180" w:after="113" w:line="300" w:lineRule="atLeast"/>
      <w:outlineLvl w:val="0"/>
    </w:pPr>
    <w:rPr>
      <w:rFonts w:ascii="Calibri" w:hAnsi="Calibri" w:cs="Arial"/>
      <w:b/>
      <w:color w:val="228591"/>
      <w:sz w:val="28"/>
      <w:szCs w:val="24"/>
      <w:lang w:eastAsia="en-US"/>
    </w:rPr>
  </w:style>
  <w:style w:type="paragraph" w:styleId="ListNumber4">
    <w:name w:val="List Number 4"/>
    <w:basedOn w:val="Normal"/>
    <w:uiPriority w:val="99"/>
    <w:semiHidden/>
    <w:rsid w:val="009F23E8"/>
    <w:pPr>
      <w:tabs>
        <w:tab w:val="num" w:pos="1209"/>
      </w:tabs>
      <w:spacing w:line="240" w:lineRule="auto"/>
      <w:ind w:left="1209" w:hanging="360"/>
    </w:pPr>
    <w:rPr>
      <w:rFonts w:ascii="Calibri" w:hAnsi="Calibri" w:cs="Times New Roman"/>
      <w:sz w:val="22"/>
      <w:szCs w:val="24"/>
      <w:lang w:eastAsia="en-US"/>
    </w:rPr>
  </w:style>
  <w:style w:type="numbering" w:styleId="1ai">
    <w:name w:val="Outline List 1"/>
    <w:basedOn w:val="NoList"/>
    <w:uiPriority w:val="99"/>
    <w:semiHidden/>
    <w:unhideWhenUsed/>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741659">
      <w:marLeft w:val="0"/>
      <w:marRight w:val="0"/>
      <w:marTop w:val="0"/>
      <w:marBottom w:val="0"/>
      <w:divBdr>
        <w:top w:val="none" w:sz="0" w:space="0" w:color="auto"/>
        <w:left w:val="none" w:sz="0" w:space="0" w:color="auto"/>
        <w:bottom w:val="none" w:sz="0" w:space="0" w:color="auto"/>
        <w:right w:val="none" w:sz="0" w:space="0" w:color="auto"/>
      </w:divBdr>
    </w:div>
    <w:div w:id="301741660">
      <w:marLeft w:val="0"/>
      <w:marRight w:val="0"/>
      <w:marTop w:val="0"/>
      <w:marBottom w:val="0"/>
      <w:divBdr>
        <w:top w:val="none" w:sz="0" w:space="0" w:color="auto"/>
        <w:left w:val="none" w:sz="0" w:space="0" w:color="auto"/>
        <w:bottom w:val="none" w:sz="0" w:space="0" w:color="auto"/>
        <w:right w:val="none" w:sz="0" w:space="0" w:color="auto"/>
      </w:divBdr>
    </w:div>
    <w:div w:id="301741661">
      <w:marLeft w:val="0"/>
      <w:marRight w:val="0"/>
      <w:marTop w:val="0"/>
      <w:marBottom w:val="0"/>
      <w:divBdr>
        <w:top w:val="none" w:sz="0" w:space="0" w:color="auto"/>
        <w:left w:val="none" w:sz="0" w:space="0" w:color="auto"/>
        <w:bottom w:val="none" w:sz="0" w:space="0" w:color="auto"/>
        <w:right w:val="none" w:sz="0" w:space="0" w:color="auto"/>
      </w:divBdr>
    </w:div>
    <w:div w:id="301741662">
      <w:marLeft w:val="0"/>
      <w:marRight w:val="0"/>
      <w:marTop w:val="0"/>
      <w:marBottom w:val="0"/>
      <w:divBdr>
        <w:top w:val="none" w:sz="0" w:space="0" w:color="auto"/>
        <w:left w:val="none" w:sz="0" w:space="0" w:color="auto"/>
        <w:bottom w:val="none" w:sz="0" w:space="0" w:color="auto"/>
        <w:right w:val="none" w:sz="0" w:space="0" w:color="auto"/>
      </w:divBdr>
    </w:div>
    <w:div w:id="301741663">
      <w:marLeft w:val="0"/>
      <w:marRight w:val="0"/>
      <w:marTop w:val="0"/>
      <w:marBottom w:val="0"/>
      <w:divBdr>
        <w:top w:val="none" w:sz="0" w:space="0" w:color="auto"/>
        <w:left w:val="none" w:sz="0" w:space="0" w:color="auto"/>
        <w:bottom w:val="none" w:sz="0" w:space="0" w:color="auto"/>
        <w:right w:val="none" w:sz="0" w:space="0" w:color="auto"/>
      </w:divBdr>
    </w:div>
    <w:div w:id="301741664">
      <w:marLeft w:val="0"/>
      <w:marRight w:val="0"/>
      <w:marTop w:val="0"/>
      <w:marBottom w:val="0"/>
      <w:divBdr>
        <w:top w:val="none" w:sz="0" w:space="0" w:color="auto"/>
        <w:left w:val="none" w:sz="0" w:space="0" w:color="auto"/>
        <w:bottom w:val="none" w:sz="0" w:space="0" w:color="auto"/>
        <w:right w:val="none" w:sz="0" w:space="0" w:color="auto"/>
      </w:divBdr>
    </w:div>
    <w:div w:id="301741665">
      <w:marLeft w:val="0"/>
      <w:marRight w:val="0"/>
      <w:marTop w:val="0"/>
      <w:marBottom w:val="0"/>
      <w:divBdr>
        <w:top w:val="none" w:sz="0" w:space="0" w:color="auto"/>
        <w:left w:val="none" w:sz="0" w:space="0" w:color="auto"/>
        <w:bottom w:val="none" w:sz="0" w:space="0" w:color="auto"/>
        <w:right w:val="none" w:sz="0" w:space="0" w:color="auto"/>
      </w:divBdr>
    </w:div>
    <w:div w:id="301741666">
      <w:marLeft w:val="0"/>
      <w:marRight w:val="0"/>
      <w:marTop w:val="0"/>
      <w:marBottom w:val="0"/>
      <w:divBdr>
        <w:top w:val="none" w:sz="0" w:space="0" w:color="auto"/>
        <w:left w:val="none" w:sz="0" w:space="0" w:color="auto"/>
        <w:bottom w:val="none" w:sz="0" w:space="0" w:color="auto"/>
        <w:right w:val="none" w:sz="0" w:space="0" w:color="auto"/>
      </w:divBdr>
    </w:div>
    <w:div w:id="301741667">
      <w:marLeft w:val="0"/>
      <w:marRight w:val="0"/>
      <w:marTop w:val="0"/>
      <w:marBottom w:val="0"/>
      <w:divBdr>
        <w:top w:val="none" w:sz="0" w:space="0" w:color="auto"/>
        <w:left w:val="none" w:sz="0" w:space="0" w:color="auto"/>
        <w:bottom w:val="none" w:sz="0" w:space="0" w:color="auto"/>
        <w:right w:val="none" w:sz="0" w:space="0" w:color="auto"/>
      </w:divBdr>
    </w:div>
    <w:div w:id="301741668">
      <w:marLeft w:val="0"/>
      <w:marRight w:val="0"/>
      <w:marTop w:val="0"/>
      <w:marBottom w:val="0"/>
      <w:divBdr>
        <w:top w:val="none" w:sz="0" w:space="0" w:color="auto"/>
        <w:left w:val="none" w:sz="0" w:space="0" w:color="auto"/>
        <w:bottom w:val="none" w:sz="0" w:space="0" w:color="auto"/>
        <w:right w:val="none" w:sz="0" w:space="0" w:color="auto"/>
      </w:divBdr>
    </w:div>
    <w:div w:id="301741669">
      <w:marLeft w:val="0"/>
      <w:marRight w:val="0"/>
      <w:marTop w:val="0"/>
      <w:marBottom w:val="0"/>
      <w:divBdr>
        <w:top w:val="none" w:sz="0" w:space="0" w:color="auto"/>
        <w:left w:val="none" w:sz="0" w:space="0" w:color="auto"/>
        <w:bottom w:val="none" w:sz="0" w:space="0" w:color="auto"/>
        <w:right w:val="none" w:sz="0" w:space="0" w:color="auto"/>
      </w:divBdr>
    </w:div>
    <w:div w:id="301741670">
      <w:marLeft w:val="0"/>
      <w:marRight w:val="0"/>
      <w:marTop w:val="0"/>
      <w:marBottom w:val="0"/>
      <w:divBdr>
        <w:top w:val="none" w:sz="0" w:space="0" w:color="auto"/>
        <w:left w:val="none" w:sz="0" w:space="0" w:color="auto"/>
        <w:bottom w:val="none" w:sz="0" w:space="0" w:color="auto"/>
        <w:right w:val="none" w:sz="0" w:space="0" w:color="auto"/>
      </w:divBdr>
    </w:div>
    <w:div w:id="301741671">
      <w:marLeft w:val="0"/>
      <w:marRight w:val="0"/>
      <w:marTop w:val="0"/>
      <w:marBottom w:val="0"/>
      <w:divBdr>
        <w:top w:val="none" w:sz="0" w:space="0" w:color="auto"/>
        <w:left w:val="none" w:sz="0" w:space="0" w:color="auto"/>
        <w:bottom w:val="none" w:sz="0" w:space="0" w:color="auto"/>
        <w:right w:val="none" w:sz="0" w:space="0" w:color="auto"/>
      </w:divBdr>
    </w:div>
    <w:div w:id="301741672">
      <w:marLeft w:val="0"/>
      <w:marRight w:val="0"/>
      <w:marTop w:val="0"/>
      <w:marBottom w:val="0"/>
      <w:divBdr>
        <w:top w:val="none" w:sz="0" w:space="0" w:color="auto"/>
        <w:left w:val="none" w:sz="0" w:space="0" w:color="auto"/>
        <w:bottom w:val="none" w:sz="0" w:space="0" w:color="auto"/>
        <w:right w:val="none" w:sz="0" w:space="0" w:color="auto"/>
      </w:divBdr>
    </w:div>
    <w:div w:id="301741673">
      <w:marLeft w:val="0"/>
      <w:marRight w:val="0"/>
      <w:marTop w:val="0"/>
      <w:marBottom w:val="0"/>
      <w:divBdr>
        <w:top w:val="none" w:sz="0" w:space="0" w:color="auto"/>
        <w:left w:val="none" w:sz="0" w:space="0" w:color="auto"/>
        <w:bottom w:val="none" w:sz="0" w:space="0" w:color="auto"/>
        <w:right w:val="none" w:sz="0" w:space="0" w:color="auto"/>
      </w:divBdr>
    </w:div>
    <w:div w:id="3017416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www.depi.vic.gov.au/__data/assets/pdf_file/0008/273581/Managing-Crown-frontages-for-better-farms-and-waterways-fact-sheet-2016-.pdf.pdf" TargetMode="External"/><Relationship Id="rId13" Type="http://schemas.openxmlformats.org/officeDocument/2006/relationships/hyperlink" Target="http://www.dpi.nsw.gov.au/agriculture/pastures/pastures-and-rangelands/management/sustainable-grazier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lwa.gov.au/products/pr061132"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s.who.int/iris/handle/10665/75700" TargetMode="External"/><Relationship Id="rId5" Type="http://schemas.openxmlformats.org/officeDocument/2006/relationships/webSettings" Target="webSettings.xml"/><Relationship Id="rId15" Type="http://schemas.openxmlformats.org/officeDocument/2006/relationships/hyperlink" Target="http://www.waterra.com.au/project-details/30" TargetMode="External"/><Relationship Id="rId23" Type="http://schemas.openxmlformats.org/officeDocument/2006/relationships/theme" Target="theme/theme1.xml"/><Relationship Id="rId10" Type="http://schemas.openxmlformats.org/officeDocument/2006/relationships/hyperlink" Target="https://www2.health.vic.gov.au/public-health/water/drinking-water-in-victoria/protecting-drinking-water-catchment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2.health.vic.gov.au/public-health/water/drinking-water-in-victoria/protecting-drinking-water-catchments" TargetMode="External"/><Relationship Id="rId14" Type="http://schemas.openxmlformats.org/officeDocument/2006/relationships/hyperlink" Target="http://ideas.health.vic.gov.au/bluebook.asp" TargetMode="Externa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relayservice.com.au" TargetMode="External"/><Relationship Id="rId3" Type="http://schemas.openxmlformats.org/officeDocument/2006/relationships/hyperlink" Target="http://naldc.nal.usda.gov/download/35323/PDF" TargetMode="External"/><Relationship Id="rId7" Type="http://schemas.openxmlformats.org/officeDocument/2006/relationships/hyperlink" Target="mailto:customer.service@delwp.vic.gov.au" TargetMode="External"/><Relationship Id="rId2" Type="http://schemas.openxmlformats.org/officeDocument/2006/relationships/hyperlink" Target="http://delwp.vic.gov.au/water/rivers,-estuaries-and-wetlands/regional-riparian-action-plan" TargetMode="External"/><Relationship Id="rId1" Type="http://schemas.openxmlformats.org/officeDocument/2006/relationships/hyperlink" Target="http://www.depi.vic.gov.au/water/rivers-estuaries-and-wetlands/strategy-and-planning" TargetMode="External"/><Relationship Id="rId6" Type="http://schemas.openxmlformats.org/officeDocument/2006/relationships/hyperlink" Target="https://www.nhmrc.gov.au/guidelines-publications/eh52" TargetMode="External"/><Relationship Id="rId5" Type="http://schemas.openxmlformats.org/officeDocument/2006/relationships/hyperlink" Target="http://apps.who.int/iris/handle/10665/75700" TargetMode="External"/><Relationship Id="rId4" Type="http://schemas.openxmlformats.org/officeDocument/2006/relationships/hyperlink" Target="http://docs.health.vic.gov.au/docs/doc/Public-health-issues-associated-with-stock-accessing-waterways-upstream-of-drinking-water-off-takes" TargetMode="External"/><Relationship Id="rId9" Type="http://schemas.openxmlformats.org/officeDocument/2006/relationships/hyperlink" Target="http://www.delwp.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d0a\DELWP%20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71C5E8"/>
      </a:dk2>
      <a:lt2>
        <a:srgbClr val="F1F9FD"/>
      </a:lt2>
      <a:accent1>
        <a:srgbClr val="00B2A9"/>
      </a:accent1>
      <a:accent2>
        <a:srgbClr val="71C5E8"/>
      </a:accent2>
      <a:accent3>
        <a:srgbClr val="201547"/>
      </a:accent3>
      <a:accent4>
        <a:srgbClr val="99E0DD"/>
      </a:accent4>
      <a:accent5>
        <a:srgbClr val="C6E8F6"/>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25B05-8BCF-4084-A38B-8AE5984DD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0</TotalTime>
  <Pages>5</Pages>
  <Words>1866</Words>
  <Characters>10641</Characters>
  <Application>Microsoft Office Word</Application>
  <DocSecurity>0</DocSecurity>
  <Lines>88</Lines>
  <Paragraphs>24</Paragraphs>
  <ScaleCrop>false</ScaleCrop>
  <Company/>
  <LinksUpToDate>false</LinksUpToDate>
  <CharactersWithSpaces>12483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Karen Dickinson</dc:creator>
  <cp:keywords/>
  <dc:description/>
  <cp:lastModifiedBy>Stan Hong (DEECA)</cp:lastModifiedBy>
  <cp:revision>3</cp:revision>
  <cp:lastPrinted>2016-10-26T23:24:00Z</cp:lastPrinted>
  <dcterms:created xsi:type="dcterms:W3CDTF">2023-08-02T06:03:00Z</dcterms:created>
  <dcterms:modified xsi:type="dcterms:W3CDTF">2023-08-02T06:03:00Z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MSIP_Label_4257e2ab-f512-40e2-9c9a-c64247360765_Enabled">
    <vt:lpwstr>true</vt:lpwstr>
  </property>
  <property fmtid="{D5CDD505-2E9C-101B-9397-08002B2CF9AE}" pid="19" name="MSIP_Label_4257e2ab-f512-40e2-9c9a-c64247360765_SetDate">
    <vt:lpwstr>2023-08-02T06:03:39Z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ee496c28-4663-4ff8-ac2c-cfda68a69fb6</vt:lpwstr>
  </property>
  <property fmtid="{D5CDD505-2E9C-101B-9397-08002B2CF9AE}" pid="24" name="MSIP_Label_4257e2ab-f512-40e2-9c9a-c64247360765_ContentBits">
    <vt:lpwstr>2</vt:lpwstr>
  </property>
</Properties>
</file>