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2C57" w:rsidRPr="000212B7" w:rsidRDefault="00A32C57" w:rsidP="003E51F7">
      <w:pPr>
        <w:spacing w:before="4" w:line="110" w:lineRule="exact"/>
        <w:rPr>
          <w:sz w:val="11"/>
          <w:szCs w:val="11"/>
        </w:rPr>
      </w:pPr>
    </w:p>
    <w:p w:rsidR="00A32C57" w:rsidRPr="000212B7" w:rsidRDefault="000212B7" w:rsidP="003E51F7">
      <w:pPr>
        <w:tabs>
          <w:tab w:val="left" w:pos="1638"/>
          <w:tab w:val="left" w:pos="2823"/>
          <w:tab w:val="left" w:pos="3090"/>
          <w:tab w:val="left" w:pos="4127"/>
          <w:tab w:val="left" w:pos="5831"/>
          <w:tab w:val="left" w:pos="6705"/>
        </w:tabs>
        <w:spacing w:line="860" w:lineRule="exact"/>
        <w:ind w:left="113" w:right="2274"/>
        <w:rPr>
          <w:rFonts w:ascii="Arial" w:eastAsia="Arial" w:hAnsi="Arial" w:cs="Arial"/>
          <w:spacing w:val="-16"/>
          <w:sz w:val="80"/>
          <w:szCs w:val="80"/>
        </w:rPr>
      </w:pPr>
      <w:r w:rsidRPr="000212B7">
        <w:rPr>
          <w:rFonts w:ascii="Arial" w:eastAsia="Arial" w:hAnsi="Arial" w:cs="Arial"/>
          <w:spacing w:val="-16"/>
          <w:sz w:val="80"/>
          <w:szCs w:val="80"/>
        </w:rPr>
        <w:t>Cutting</w:t>
      </w:r>
      <w:r w:rsidR="00501A17" w:rsidRPr="000212B7">
        <w:rPr>
          <w:rFonts w:ascii="Arial" w:eastAsia="Arial" w:hAnsi="Arial" w:cs="Arial"/>
          <w:spacing w:val="-16"/>
          <w:sz w:val="80"/>
          <w:szCs w:val="80"/>
        </w:rPr>
        <w:t xml:space="preserve"> </w:t>
      </w:r>
      <w:r w:rsidRPr="000212B7">
        <w:rPr>
          <w:rFonts w:ascii="Arial" w:eastAsia="Arial" w:hAnsi="Arial" w:cs="Arial"/>
          <w:spacing w:val="-16"/>
          <w:sz w:val="80"/>
          <w:szCs w:val="80"/>
        </w:rPr>
        <w:t>the</w:t>
      </w:r>
      <w:r w:rsidR="00501A17" w:rsidRPr="000212B7">
        <w:rPr>
          <w:rFonts w:ascii="Arial" w:eastAsia="Arial" w:hAnsi="Arial" w:cs="Arial"/>
          <w:spacing w:val="-16"/>
          <w:sz w:val="80"/>
          <w:szCs w:val="80"/>
        </w:rPr>
        <w:t xml:space="preserve"> </w:t>
      </w:r>
      <w:r w:rsidRPr="000212B7">
        <w:rPr>
          <w:rFonts w:ascii="Arial" w:eastAsia="Arial" w:hAnsi="Arial" w:cs="Arial"/>
          <w:spacing w:val="-16"/>
          <w:sz w:val="80"/>
          <w:szCs w:val="80"/>
        </w:rPr>
        <w:t>cost</w:t>
      </w:r>
      <w:r w:rsidR="00501A17" w:rsidRPr="000212B7">
        <w:rPr>
          <w:rFonts w:ascii="Arial" w:eastAsia="Arial" w:hAnsi="Arial" w:cs="Arial"/>
          <w:spacing w:val="-16"/>
          <w:sz w:val="80"/>
          <w:szCs w:val="80"/>
        </w:rPr>
        <w:t xml:space="preserve"> </w:t>
      </w:r>
      <w:r w:rsidRPr="000212B7">
        <w:rPr>
          <w:rFonts w:ascii="Arial" w:eastAsia="Arial" w:hAnsi="Arial" w:cs="Arial"/>
          <w:spacing w:val="-16"/>
          <w:sz w:val="80"/>
          <w:szCs w:val="80"/>
        </w:rPr>
        <w:t>of</w:t>
      </w:r>
      <w:r w:rsidR="00501A17" w:rsidRPr="000212B7">
        <w:rPr>
          <w:rFonts w:ascii="Arial" w:eastAsia="Arial" w:hAnsi="Arial" w:cs="Arial"/>
          <w:spacing w:val="-16"/>
          <w:sz w:val="80"/>
          <w:szCs w:val="80"/>
        </w:rPr>
        <w:t xml:space="preserve"> </w:t>
      </w:r>
      <w:r w:rsidRPr="000212B7">
        <w:rPr>
          <w:rFonts w:ascii="Arial" w:eastAsia="Arial" w:hAnsi="Arial" w:cs="Arial"/>
          <w:spacing w:val="-16"/>
          <w:sz w:val="80"/>
          <w:szCs w:val="80"/>
        </w:rPr>
        <w:t>take and</w:t>
      </w:r>
      <w:r w:rsidR="00501A17" w:rsidRPr="000212B7">
        <w:rPr>
          <w:rFonts w:ascii="Arial" w:eastAsia="Arial" w:hAnsi="Arial" w:cs="Arial"/>
          <w:spacing w:val="-16"/>
          <w:sz w:val="80"/>
          <w:szCs w:val="80"/>
        </w:rPr>
        <w:t xml:space="preserve"> </w:t>
      </w:r>
      <w:r w:rsidRPr="000212B7">
        <w:rPr>
          <w:rFonts w:ascii="Arial" w:eastAsia="Arial" w:hAnsi="Arial" w:cs="Arial"/>
          <w:spacing w:val="-16"/>
          <w:sz w:val="80"/>
          <w:szCs w:val="80"/>
        </w:rPr>
        <w:t>use</w:t>
      </w:r>
      <w:r w:rsidR="00501A17" w:rsidRPr="000212B7">
        <w:rPr>
          <w:rFonts w:ascii="Arial" w:eastAsia="Arial" w:hAnsi="Arial" w:cs="Arial"/>
          <w:spacing w:val="-16"/>
          <w:sz w:val="80"/>
          <w:szCs w:val="80"/>
        </w:rPr>
        <w:t xml:space="preserve"> </w:t>
      </w:r>
      <w:r w:rsidRPr="000212B7">
        <w:rPr>
          <w:rFonts w:ascii="Arial" w:eastAsia="Arial" w:hAnsi="Arial" w:cs="Arial"/>
          <w:spacing w:val="-16"/>
          <w:sz w:val="80"/>
          <w:szCs w:val="80"/>
        </w:rPr>
        <w:t>licences</w:t>
      </w:r>
    </w:p>
    <w:p w:rsidR="00A32C57" w:rsidRPr="000212B7" w:rsidRDefault="00A32C57" w:rsidP="003E51F7">
      <w:pPr>
        <w:spacing w:before="13" w:line="200" w:lineRule="exact"/>
        <w:rPr>
          <w:sz w:val="20"/>
          <w:szCs w:val="20"/>
        </w:rPr>
      </w:pPr>
    </w:p>
    <w:p w:rsidR="00A32C57" w:rsidRPr="003E51F7" w:rsidRDefault="000212B7" w:rsidP="003E51F7">
      <w:pPr>
        <w:spacing w:line="250" w:lineRule="auto"/>
        <w:ind w:left="111" w:right="3040"/>
        <w:rPr>
          <w:rFonts w:ascii="Arial" w:eastAsia="Arial" w:hAnsi="Arial" w:cs="Arial"/>
          <w:sz w:val="48"/>
          <w:szCs w:val="48"/>
        </w:rPr>
      </w:pPr>
      <w:r w:rsidRPr="003E51F7">
        <w:rPr>
          <w:rFonts w:ascii="Arial" w:eastAsia="Arial" w:hAnsi="Arial" w:cs="Arial"/>
          <w:w w:val="95"/>
          <w:sz w:val="48"/>
          <w:szCs w:val="48"/>
        </w:rPr>
        <w:t>New</w:t>
      </w:r>
      <w:r w:rsidR="00501A17" w:rsidRPr="003E51F7">
        <w:rPr>
          <w:rFonts w:ascii="Arial" w:eastAsia="Arial" w:hAnsi="Arial" w:cs="Arial"/>
          <w:spacing w:val="26"/>
          <w:w w:val="95"/>
          <w:sz w:val="48"/>
          <w:szCs w:val="48"/>
        </w:rPr>
        <w:t xml:space="preserve"> </w:t>
      </w:r>
      <w:r w:rsidRPr="003E51F7">
        <w:rPr>
          <w:rFonts w:ascii="Arial" w:eastAsia="Arial" w:hAnsi="Arial" w:cs="Arial"/>
          <w:w w:val="95"/>
          <w:sz w:val="48"/>
          <w:szCs w:val="48"/>
        </w:rPr>
        <w:t>arrangements</w:t>
      </w:r>
      <w:r w:rsidRPr="003E51F7">
        <w:rPr>
          <w:rFonts w:ascii="Arial" w:eastAsia="Arial" w:hAnsi="Arial" w:cs="Arial"/>
          <w:spacing w:val="26"/>
          <w:w w:val="95"/>
          <w:sz w:val="48"/>
          <w:szCs w:val="48"/>
        </w:rPr>
        <w:t xml:space="preserve"> </w:t>
      </w:r>
      <w:r w:rsidRPr="003E51F7">
        <w:rPr>
          <w:rFonts w:ascii="Arial" w:eastAsia="Arial" w:hAnsi="Arial" w:cs="Arial"/>
          <w:w w:val="95"/>
          <w:sz w:val="48"/>
          <w:szCs w:val="48"/>
        </w:rPr>
        <w:t>for</w:t>
      </w:r>
      <w:r w:rsidRPr="003E51F7">
        <w:rPr>
          <w:rFonts w:ascii="Arial" w:eastAsia="Arial" w:hAnsi="Arial" w:cs="Arial"/>
          <w:spacing w:val="27"/>
          <w:w w:val="95"/>
          <w:sz w:val="48"/>
          <w:szCs w:val="48"/>
        </w:rPr>
        <w:t xml:space="preserve"> </w:t>
      </w:r>
      <w:r w:rsidRPr="003E51F7">
        <w:rPr>
          <w:rFonts w:ascii="Arial" w:eastAsia="Arial" w:hAnsi="Arial" w:cs="Arial"/>
          <w:w w:val="95"/>
          <w:sz w:val="48"/>
          <w:szCs w:val="48"/>
        </w:rPr>
        <w:t>riparian</w:t>
      </w:r>
      <w:r w:rsidRPr="003E51F7">
        <w:rPr>
          <w:rFonts w:ascii="Arial" w:eastAsia="Arial" w:hAnsi="Arial" w:cs="Arial"/>
          <w:w w:val="94"/>
          <w:sz w:val="48"/>
          <w:szCs w:val="48"/>
        </w:rPr>
        <w:t xml:space="preserve"> </w:t>
      </w:r>
      <w:r w:rsidRPr="003E51F7">
        <w:rPr>
          <w:rFonts w:ascii="Arial" w:eastAsia="Arial" w:hAnsi="Arial" w:cs="Arial"/>
          <w:w w:val="95"/>
          <w:sz w:val="48"/>
          <w:szCs w:val="48"/>
        </w:rPr>
        <w:t>fencing</w:t>
      </w:r>
      <w:r w:rsidRPr="003E51F7">
        <w:rPr>
          <w:rFonts w:ascii="Arial" w:eastAsia="Arial" w:hAnsi="Arial" w:cs="Arial"/>
          <w:spacing w:val="50"/>
          <w:w w:val="95"/>
          <w:sz w:val="48"/>
          <w:szCs w:val="48"/>
        </w:rPr>
        <w:t xml:space="preserve"> </w:t>
      </w:r>
      <w:r w:rsidRPr="003E51F7">
        <w:rPr>
          <w:rFonts w:ascii="Arial" w:eastAsia="Arial" w:hAnsi="Arial" w:cs="Arial"/>
          <w:w w:val="95"/>
          <w:sz w:val="48"/>
          <w:szCs w:val="48"/>
        </w:rPr>
        <w:t>on</w:t>
      </w:r>
      <w:r w:rsidRPr="003E51F7">
        <w:rPr>
          <w:rFonts w:ascii="Arial" w:eastAsia="Arial" w:hAnsi="Arial" w:cs="Arial"/>
          <w:spacing w:val="50"/>
          <w:w w:val="95"/>
          <w:sz w:val="48"/>
          <w:szCs w:val="48"/>
        </w:rPr>
        <w:t xml:space="preserve"> </w:t>
      </w:r>
      <w:r w:rsidRPr="003E51F7">
        <w:rPr>
          <w:rFonts w:ascii="Arial" w:eastAsia="Arial" w:hAnsi="Arial" w:cs="Arial"/>
          <w:w w:val="95"/>
          <w:sz w:val="48"/>
          <w:szCs w:val="48"/>
        </w:rPr>
        <w:t>C</w:t>
      </w:r>
      <w:r w:rsidRPr="003E51F7">
        <w:rPr>
          <w:rFonts w:ascii="Arial" w:eastAsia="Arial" w:hAnsi="Arial" w:cs="Arial"/>
          <w:spacing w:val="-11"/>
          <w:w w:val="95"/>
          <w:sz w:val="48"/>
          <w:szCs w:val="48"/>
        </w:rPr>
        <w:t>r</w:t>
      </w:r>
      <w:r w:rsidRPr="003E51F7">
        <w:rPr>
          <w:rFonts w:ascii="Arial" w:eastAsia="Arial" w:hAnsi="Arial" w:cs="Arial"/>
          <w:w w:val="95"/>
          <w:sz w:val="48"/>
          <w:szCs w:val="48"/>
        </w:rPr>
        <w:t>own</w:t>
      </w:r>
      <w:r w:rsidRPr="003E51F7">
        <w:rPr>
          <w:rFonts w:ascii="Arial" w:eastAsia="Arial" w:hAnsi="Arial" w:cs="Arial"/>
          <w:spacing w:val="51"/>
          <w:w w:val="95"/>
          <w:sz w:val="48"/>
          <w:szCs w:val="48"/>
        </w:rPr>
        <w:t xml:space="preserve"> </w:t>
      </w:r>
      <w:r w:rsidRPr="003E51F7">
        <w:rPr>
          <w:rFonts w:ascii="Arial" w:eastAsia="Arial" w:hAnsi="Arial" w:cs="Arial"/>
          <w:w w:val="95"/>
          <w:sz w:val="48"/>
          <w:szCs w:val="48"/>
        </w:rPr>
        <w:t>f</w:t>
      </w:r>
      <w:r w:rsidRPr="003E51F7">
        <w:rPr>
          <w:rFonts w:ascii="Arial" w:eastAsia="Arial" w:hAnsi="Arial" w:cs="Arial"/>
          <w:spacing w:val="-12"/>
          <w:w w:val="95"/>
          <w:sz w:val="48"/>
          <w:szCs w:val="48"/>
        </w:rPr>
        <w:t>r</w:t>
      </w:r>
      <w:r w:rsidRPr="003E51F7">
        <w:rPr>
          <w:rFonts w:ascii="Arial" w:eastAsia="Arial" w:hAnsi="Arial" w:cs="Arial"/>
          <w:w w:val="95"/>
          <w:sz w:val="48"/>
          <w:szCs w:val="48"/>
        </w:rPr>
        <w:t>ontages</w:t>
      </w:r>
    </w:p>
    <w:p w:rsidR="00A32C57" w:rsidRPr="000212B7" w:rsidRDefault="00A32C57" w:rsidP="003E51F7">
      <w:pPr>
        <w:spacing w:before="4" w:line="130" w:lineRule="exact"/>
        <w:rPr>
          <w:sz w:val="13"/>
          <w:szCs w:val="13"/>
        </w:rPr>
      </w:pPr>
    </w:p>
    <w:p w:rsidR="00A32C57" w:rsidRPr="000212B7" w:rsidRDefault="00A32C57" w:rsidP="003E51F7">
      <w:pPr>
        <w:spacing w:line="200" w:lineRule="exact"/>
        <w:rPr>
          <w:sz w:val="20"/>
          <w:szCs w:val="20"/>
        </w:rPr>
      </w:pPr>
    </w:p>
    <w:p w:rsidR="00A32C57" w:rsidRPr="000212B7" w:rsidRDefault="00A32C57" w:rsidP="003E51F7">
      <w:pPr>
        <w:spacing w:line="200" w:lineRule="exact"/>
        <w:rPr>
          <w:sz w:val="20"/>
          <w:szCs w:val="20"/>
        </w:rPr>
        <w:sectPr w:rsidR="00A32C57" w:rsidRPr="000212B7">
          <w:type w:val="continuous"/>
          <w:pgSz w:w="11906" w:h="16840"/>
          <w:pgMar w:top="1500" w:right="440" w:bottom="280" w:left="1020" w:header="720" w:footer="720" w:gutter="0"/>
          <w:cols w:space="720"/>
        </w:sectPr>
      </w:pPr>
    </w:p>
    <w:p w:rsidR="00A32C57" w:rsidRPr="003E51F7" w:rsidRDefault="000212B7" w:rsidP="003E51F7">
      <w:pPr>
        <w:pStyle w:val="Heading1"/>
        <w:spacing w:before="69"/>
        <w:ind w:left="134"/>
      </w:pPr>
      <w:r w:rsidRPr="003E51F7">
        <w:lastRenderedPageBreak/>
        <w:t>What’s new?</w:t>
      </w:r>
    </w:p>
    <w:p w:rsidR="00A32C57" w:rsidRPr="003E51F7" w:rsidRDefault="00A32C57" w:rsidP="003E51F7">
      <w:pPr>
        <w:spacing w:before="4" w:line="110" w:lineRule="exact"/>
        <w:rPr>
          <w:sz w:val="11"/>
          <w:szCs w:val="11"/>
        </w:rPr>
      </w:pPr>
    </w:p>
    <w:p w:rsidR="00A32C57" w:rsidRPr="003E51F7" w:rsidRDefault="000212B7" w:rsidP="003E51F7">
      <w:pPr>
        <w:pStyle w:val="BodyText"/>
        <w:spacing w:line="255" w:lineRule="auto"/>
        <w:ind w:left="134"/>
      </w:pPr>
      <w:r w:rsidRPr="003E51F7">
        <w:t>Take and use licence (TUL) fees have been reduced for landholders who fence off Crown frontages on waterways to manage stock access as part of riparian management projects.</w:t>
      </w:r>
    </w:p>
    <w:p w:rsidR="00A32C57" w:rsidRPr="003E51F7" w:rsidRDefault="00A32C57" w:rsidP="003E51F7">
      <w:pPr>
        <w:spacing w:before="4" w:line="110" w:lineRule="exact"/>
        <w:rPr>
          <w:sz w:val="11"/>
          <w:szCs w:val="11"/>
        </w:rPr>
      </w:pPr>
    </w:p>
    <w:p w:rsidR="00A32C57" w:rsidRPr="003E51F7" w:rsidRDefault="000212B7" w:rsidP="003E51F7">
      <w:pPr>
        <w:pStyle w:val="BodyText"/>
        <w:spacing w:line="255" w:lineRule="auto"/>
        <w:ind w:left="134"/>
      </w:pPr>
      <w:r w:rsidRPr="003E51F7">
        <w:t>Landholders whose land abuts a ‘Crown frontage’ will not have to pay the application fee for the take and use licence which is required for the purposes of off-stream stock watering. They will have their annual fee waived for three years, as well as being given longer licence periods.</w:t>
      </w:r>
    </w:p>
    <w:p w:rsidR="00A32C57" w:rsidRPr="003E51F7" w:rsidRDefault="00A32C57" w:rsidP="003E51F7">
      <w:pPr>
        <w:spacing w:before="4" w:line="110" w:lineRule="exact"/>
        <w:rPr>
          <w:sz w:val="11"/>
          <w:szCs w:val="11"/>
        </w:rPr>
      </w:pPr>
    </w:p>
    <w:p w:rsidR="00A32C57" w:rsidRPr="003E51F7" w:rsidRDefault="000212B7" w:rsidP="003E51F7">
      <w:pPr>
        <w:pStyle w:val="BodyText"/>
        <w:ind w:left="134"/>
      </w:pPr>
      <w:r w:rsidRPr="003E51F7">
        <w:t>This will save landholders up to $2100 in total.</w:t>
      </w:r>
    </w:p>
    <w:p w:rsidR="00A32C57" w:rsidRPr="003E51F7" w:rsidRDefault="00A32C57" w:rsidP="003E51F7">
      <w:pPr>
        <w:spacing w:before="4" w:line="260" w:lineRule="exact"/>
        <w:rPr>
          <w:sz w:val="26"/>
          <w:szCs w:val="26"/>
        </w:rPr>
      </w:pPr>
    </w:p>
    <w:p w:rsidR="00A32C57" w:rsidRPr="003E51F7" w:rsidRDefault="000212B7" w:rsidP="003E51F7">
      <w:pPr>
        <w:pStyle w:val="Heading1"/>
        <w:ind w:left="134"/>
      </w:pPr>
      <w:r w:rsidRPr="003E51F7">
        <w:t>Why is it changing?</w:t>
      </w:r>
    </w:p>
    <w:p w:rsidR="00A32C57" w:rsidRPr="003E51F7" w:rsidRDefault="00A32C57" w:rsidP="003E51F7">
      <w:pPr>
        <w:spacing w:before="4" w:line="110" w:lineRule="exact"/>
        <w:rPr>
          <w:sz w:val="11"/>
          <w:szCs w:val="11"/>
        </w:rPr>
      </w:pPr>
    </w:p>
    <w:p w:rsidR="00A32C57" w:rsidRPr="003E51F7" w:rsidRDefault="000212B7" w:rsidP="00A14781">
      <w:pPr>
        <w:pStyle w:val="BodyText"/>
        <w:spacing w:line="255" w:lineRule="auto"/>
        <w:ind w:left="134" w:right="26"/>
      </w:pPr>
      <w:r w:rsidRPr="003E51F7">
        <w:t>Part of the State Government’s Waterway Management Program involves providing funding for catchment management authorities (CMAs) to partner with landholders to improve</w:t>
      </w:r>
      <w:r w:rsidR="00A14781">
        <w:t xml:space="preserve"> </w:t>
      </w:r>
      <w:r w:rsidRPr="003E51F7">
        <w:t>the health of waterways.</w:t>
      </w:r>
      <w:r w:rsidR="003E51F7" w:rsidRPr="003E51F7">
        <w:t xml:space="preserve"> </w:t>
      </w:r>
      <w:r w:rsidRPr="003E51F7">
        <w:t>One of the activities undertaken is encouraging landholders to install a fence to manage stock access to waterways.</w:t>
      </w:r>
    </w:p>
    <w:p w:rsidR="00A32C57" w:rsidRPr="003E51F7" w:rsidRDefault="00A32C57" w:rsidP="003E51F7">
      <w:pPr>
        <w:spacing w:before="4" w:line="110" w:lineRule="exact"/>
        <w:rPr>
          <w:sz w:val="11"/>
          <w:szCs w:val="11"/>
        </w:rPr>
      </w:pPr>
    </w:p>
    <w:p w:rsidR="00A32C57" w:rsidRPr="003E51F7" w:rsidRDefault="000212B7" w:rsidP="003E51F7">
      <w:pPr>
        <w:pStyle w:val="BodyText"/>
        <w:spacing w:line="255" w:lineRule="auto"/>
        <w:ind w:left="134"/>
      </w:pPr>
      <w:r w:rsidRPr="003E51F7">
        <w:t>However, this means landholders lose direct access to the waterways and the ability to water stock free of charge as well as without the need for a water licence. They may then need to obtain a domestic and stock take and use licence for alternative stock watering purposes. The fees attached to the licence were often a deterrent to landholders getting involved in the riparian projects.</w:t>
      </w:r>
    </w:p>
    <w:p w:rsidR="00A32C57" w:rsidRPr="003E51F7" w:rsidRDefault="00A32C57" w:rsidP="003E51F7">
      <w:pPr>
        <w:spacing w:before="11" w:line="240" w:lineRule="exact"/>
        <w:rPr>
          <w:sz w:val="24"/>
          <w:szCs w:val="24"/>
        </w:rPr>
      </w:pPr>
    </w:p>
    <w:p w:rsidR="00A32C57" w:rsidRPr="003E51F7" w:rsidRDefault="000212B7" w:rsidP="003E51F7">
      <w:pPr>
        <w:pStyle w:val="Heading1"/>
        <w:ind w:left="134"/>
      </w:pPr>
      <w:r w:rsidRPr="003E51F7">
        <w:t>Riparian  management</w:t>
      </w:r>
    </w:p>
    <w:p w:rsidR="00A32C57" w:rsidRPr="003E51F7" w:rsidRDefault="00A32C57" w:rsidP="003E51F7">
      <w:pPr>
        <w:spacing w:before="4" w:line="110" w:lineRule="exact"/>
        <w:rPr>
          <w:sz w:val="11"/>
          <w:szCs w:val="11"/>
        </w:rPr>
      </w:pPr>
    </w:p>
    <w:p w:rsidR="00A32C57" w:rsidRPr="003E51F7" w:rsidRDefault="000212B7" w:rsidP="006E6D5D">
      <w:pPr>
        <w:pStyle w:val="BodyText"/>
        <w:spacing w:line="255" w:lineRule="auto"/>
        <w:ind w:left="134" w:right="213"/>
      </w:pPr>
      <w:r w:rsidRPr="003E51F7">
        <w:t>Riparian land is land abutting waterways. Each year, the State Government’s Waterway Management Program invests in riparian protection and improvement projects, through catchment management authorities. Melbourne Water</w:t>
      </w:r>
      <w:r w:rsidR="006E6D5D">
        <w:t xml:space="preserve"> </w:t>
      </w:r>
      <w:bookmarkStart w:id="0" w:name="_GoBack"/>
      <w:bookmarkEnd w:id="0"/>
      <w:r w:rsidRPr="003E51F7">
        <w:t>also allocates several million dollars every year to riparian management</w:t>
      </w:r>
      <w:r w:rsidR="00501A17" w:rsidRPr="003E51F7">
        <w:t xml:space="preserve"> </w:t>
      </w:r>
      <w:r w:rsidRPr="003E51F7">
        <w:t>programs for the broader metropolitan area.</w:t>
      </w:r>
    </w:p>
    <w:p w:rsidR="00A32C57" w:rsidRPr="003E51F7" w:rsidRDefault="00A32C57" w:rsidP="003E51F7">
      <w:pPr>
        <w:spacing w:before="4" w:line="110" w:lineRule="exact"/>
        <w:rPr>
          <w:sz w:val="11"/>
          <w:szCs w:val="11"/>
        </w:rPr>
      </w:pPr>
    </w:p>
    <w:p w:rsidR="00A32C57" w:rsidRPr="003E51F7" w:rsidRDefault="000212B7" w:rsidP="003E51F7">
      <w:pPr>
        <w:pStyle w:val="BodyText"/>
        <w:spacing w:line="255" w:lineRule="auto"/>
        <w:ind w:left="134"/>
      </w:pPr>
      <w:r w:rsidRPr="003E51F7">
        <w:rPr>
          <w:noProof/>
          <w:lang w:val="en-AU" w:eastAsia="en-AU"/>
        </w:rPr>
        <w:drawing>
          <wp:anchor distT="0" distB="0" distL="114300" distR="114300" simplePos="0" relativeHeight="251656192" behindDoc="1" locked="0" layoutInCell="1" allowOverlap="1" wp14:anchorId="2623BD23" wp14:editId="441BB03F">
            <wp:simplePos x="0" y="0"/>
            <wp:positionH relativeFrom="page">
              <wp:posOffset>6459855</wp:posOffset>
            </wp:positionH>
            <wp:positionV relativeFrom="paragraph">
              <wp:posOffset>923925</wp:posOffset>
            </wp:positionV>
            <wp:extent cx="757555" cy="438150"/>
            <wp:effectExtent l="0" t="0" r="4445"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7555" cy="438150"/>
                    </a:xfrm>
                    <a:prstGeom prst="rect">
                      <a:avLst/>
                    </a:prstGeom>
                    <a:noFill/>
                  </pic:spPr>
                </pic:pic>
              </a:graphicData>
            </a:graphic>
            <wp14:sizeRelH relativeFrom="page">
              <wp14:pctWidth>0</wp14:pctWidth>
            </wp14:sizeRelH>
            <wp14:sizeRelV relativeFrom="page">
              <wp14:pctHeight>0</wp14:pctHeight>
            </wp14:sizeRelV>
          </wp:anchor>
        </w:drawing>
      </w:r>
      <w:r w:rsidRPr="003E51F7">
        <w:t>These projects involve CMAs and Melbourne Water working collaboratively with landowners to undertake works such as stock management, fencing, revegetation, weed management and infrastructure to support off-stream stock watering.</w:t>
      </w:r>
    </w:p>
    <w:p w:rsidR="00A32C57" w:rsidRPr="003E51F7" w:rsidRDefault="000212B7" w:rsidP="003E51F7">
      <w:pPr>
        <w:pStyle w:val="BodyText"/>
        <w:spacing w:before="82" w:line="255" w:lineRule="auto"/>
        <w:ind w:left="134" w:right="152"/>
      </w:pPr>
      <w:r w:rsidRPr="003E51F7">
        <w:br w:type="column"/>
      </w:r>
      <w:r w:rsidRPr="003E51F7">
        <w:lastRenderedPageBreak/>
        <w:t>Approximately 800km of fencing has been erected along Victoria’s rivers each year for the last decade through the program. This has many benefits to the community and landholders such as improved water quality, better stock management, improved vegetation corridors and improved river health.</w:t>
      </w:r>
    </w:p>
    <w:p w:rsidR="00A32C57" w:rsidRPr="003E51F7" w:rsidRDefault="00A32C57" w:rsidP="003E51F7">
      <w:pPr>
        <w:spacing w:before="4" w:line="110" w:lineRule="exact"/>
        <w:rPr>
          <w:sz w:val="11"/>
          <w:szCs w:val="11"/>
        </w:rPr>
      </w:pPr>
    </w:p>
    <w:p w:rsidR="00A32C57" w:rsidRPr="003E51F7" w:rsidRDefault="000212B7" w:rsidP="003E51F7">
      <w:pPr>
        <w:pStyle w:val="BodyText"/>
        <w:spacing w:line="255" w:lineRule="auto"/>
        <w:ind w:left="134" w:right="347"/>
      </w:pPr>
      <w:r w:rsidRPr="003E51F7">
        <w:t xml:space="preserve">Many of Victoria’s waterways have a ‘Crown frontage’, a strip of Crown land that runs alongside a waterway. About 30,000 </w:t>
      </w:r>
      <w:proofErr w:type="spellStart"/>
      <w:r w:rsidRPr="003E51F7">
        <w:t>kilometres</w:t>
      </w:r>
      <w:proofErr w:type="spellEnd"/>
      <w:r w:rsidRPr="003E51F7">
        <w:t xml:space="preserve"> of Victoria’s 170,000 </w:t>
      </w:r>
      <w:proofErr w:type="spellStart"/>
      <w:r w:rsidRPr="003E51F7">
        <w:t>kilometres</w:t>
      </w:r>
      <w:proofErr w:type="spellEnd"/>
      <w:r w:rsidRPr="003E51F7">
        <w:t xml:space="preserve"> of riparian land is Crown frontage.</w:t>
      </w:r>
    </w:p>
    <w:p w:rsidR="00A32C57" w:rsidRPr="003E51F7" w:rsidRDefault="00A32C57" w:rsidP="003E51F7">
      <w:pPr>
        <w:spacing w:before="4" w:line="110" w:lineRule="exact"/>
        <w:rPr>
          <w:sz w:val="11"/>
          <w:szCs w:val="11"/>
        </w:rPr>
      </w:pPr>
    </w:p>
    <w:p w:rsidR="00A32C57" w:rsidRPr="003E51F7" w:rsidRDefault="000212B7" w:rsidP="003E51F7">
      <w:pPr>
        <w:pStyle w:val="BodyText"/>
        <w:spacing w:line="255" w:lineRule="auto"/>
        <w:ind w:left="134" w:right="169"/>
      </w:pPr>
      <w:r w:rsidRPr="003E51F7">
        <w:t>There are almost 10,000 Crown water frontage licences in Victoria, where the land is licensed to the adjoining private landholder, usually for agricultural purposes such as grazing. But more and more of these licences are being converted to be for riparian management purposes to protect the waterway and riparian land.</w:t>
      </w:r>
    </w:p>
    <w:p w:rsidR="00A32C57" w:rsidRPr="003E51F7" w:rsidRDefault="00A32C57" w:rsidP="003E51F7">
      <w:pPr>
        <w:spacing w:before="12" w:line="240" w:lineRule="exact"/>
        <w:rPr>
          <w:sz w:val="24"/>
          <w:szCs w:val="24"/>
        </w:rPr>
      </w:pPr>
    </w:p>
    <w:p w:rsidR="00A32C57" w:rsidRPr="003E51F7" w:rsidRDefault="000212B7" w:rsidP="003E51F7">
      <w:pPr>
        <w:pStyle w:val="Heading1"/>
        <w:ind w:left="134"/>
      </w:pPr>
      <w:r w:rsidRPr="003E51F7">
        <w:t>More information about the reduced fees</w:t>
      </w:r>
    </w:p>
    <w:p w:rsidR="00A32C57" w:rsidRPr="003E51F7" w:rsidRDefault="00A32C57" w:rsidP="003E51F7">
      <w:pPr>
        <w:spacing w:before="4" w:line="110" w:lineRule="exact"/>
        <w:rPr>
          <w:sz w:val="11"/>
          <w:szCs w:val="11"/>
        </w:rPr>
      </w:pPr>
    </w:p>
    <w:p w:rsidR="00A32C57" w:rsidRPr="003E51F7" w:rsidRDefault="000212B7" w:rsidP="003E51F7">
      <w:pPr>
        <w:pStyle w:val="BodyText"/>
        <w:spacing w:line="255" w:lineRule="auto"/>
        <w:ind w:left="134" w:right="238"/>
      </w:pPr>
      <w:r w:rsidRPr="003E51F7">
        <w:t>To reduce the take and use licence costs and encourage more landholders with Crown frontages to manage stock access to waterways:</w:t>
      </w:r>
    </w:p>
    <w:p w:rsidR="00A32C57" w:rsidRPr="003E51F7" w:rsidRDefault="00A32C57" w:rsidP="003E51F7">
      <w:pPr>
        <w:spacing w:before="4" w:line="110" w:lineRule="exact"/>
        <w:rPr>
          <w:sz w:val="11"/>
          <w:szCs w:val="11"/>
        </w:rPr>
      </w:pPr>
    </w:p>
    <w:p w:rsidR="00A32C57" w:rsidRPr="003E51F7" w:rsidRDefault="000212B7" w:rsidP="003E51F7">
      <w:pPr>
        <w:pStyle w:val="BodyText"/>
        <w:numPr>
          <w:ilvl w:val="0"/>
          <w:numId w:val="1"/>
        </w:numPr>
        <w:tabs>
          <w:tab w:val="left" w:pos="304"/>
        </w:tabs>
        <w:spacing w:line="255" w:lineRule="auto"/>
        <w:ind w:left="304" w:right="439"/>
      </w:pPr>
      <w:r w:rsidRPr="003E51F7">
        <w:t>CMAs will pay the landholder’s application fee for the take and use licence as part of the riparian project cost</w:t>
      </w:r>
    </w:p>
    <w:p w:rsidR="00A32C57" w:rsidRPr="003E51F7" w:rsidRDefault="00A32C57" w:rsidP="003E51F7">
      <w:pPr>
        <w:spacing w:before="4" w:line="110" w:lineRule="exact"/>
        <w:rPr>
          <w:sz w:val="11"/>
          <w:szCs w:val="11"/>
        </w:rPr>
      </w:pPr>
    </w:p>
    <w:p w:rsidR="00A32C57" w:rsidRPr="003E51F7" w:rsidRDefault="000212B7" w:rsidP="003E51F7">
      <w:pPr>
        <w:pStyle w:val="BodyText"/>
        <w:numPr>
          <w:ilvl w:val="0"/>
          <w:numId w:val="1"/>
        </w:numPr>
        <w:tabs>
          <w:tab w:val="left" w:pos="304"/>
        </w:tabs>
        <w:spacing w:line="255" w:lineRule="auto"/>
        <w:ind w:left="304" w:right="404"/>
      </w:pPr>
      <w:r w:rsidRPr="003E51F7">
        <w:t>Rural water corporations (RWCs) will waive annual fees for the first three years</w:t>
      </w:r>
    </w:p>
    <w:p w:rsidR="00A32C57" w:rsidRPr="003E51F7" w:rsidRDefault="00A32C57" w:rsidP="003E51F7">
      <w:pPr>
        <w:spacing w:before="4" w:line="110" w:lineRule="exact"/>
        <w:rPr>
          <w:sz w:val="11"/>
          <w:szCs w:val="11"/>
        </w:rPr>
      </w:pPr>
    </w:p>
    <w:p w:rsidR="00A32C57" w:rsidRPr="003E51F7" w:rsidRDefault="000212B7" w:rsidP="003E51F7">
      <w:pPr>
        <w:pStyle w:val="BodyText"/>
        <w:numPr>
          <w:ilvl w:val="0"/>
          <w:numId w:val="1"/>
        </w:numPr>
        <w:tabs>
          <w:tab w:val="left" w:pos="304"/>
        </w:tabs>
        <w:spacing w:line="255" w:lineRule="auto"/>
        <w:ind w:left="304" w:right="176"/>
      </w:pPr>
      <w:r w:rsidRPr="003E51F7">
        <w:t>Rural water corporations will issue the licence for the current 15-year maximum. Landholders will meet the cost of licence renewal at the end of the 15-year term. This will avoid renewal costs that would apply if the licences were issued for shorter periods and more frequent renewal was needed</w:t>
      </w:r>
    </w:p>
    <w:p w:rsidR="00A32C57" w:rsidRPr="003E51F7" w:rsidRDefault="00A32C57" w:rsidP="003E51F7">
      <w:pPr>
        <w:spacing w:before="4" w:line="110" w:lineRule="exact"/>
        <w:rPr>
          <w:sz w:val="11"/>
          <w:szCs w:val="11"/>
        </w:rPr>
      </w:pPr>
    </w:p>
    <w:p w:rsidR="00A32C57" w:rsidRPr="003E51F7" w:rsidRDefault="000212B7" w:rsidP="003E51F7">
      <w:pPr>
        <w:pStyle w:val="BodyText"/>
        <w:numPr>
          <w:ilvl w:val="0"/>
          <w:numId w:val="1"/>
        </w:numPr>
        <w:tabs>
          <w:tab w:val="left" w:pos="304"/>
        </w:tabs>
        <w:spacing w:line="255" w:lineRule="auto"/>
        <w:ind w:left="304" w:right="209"/>
      </w:pPr>
      <w:r w:rsidRPr="003E51F7">
        <w:t>Metering will not be required, which is consistent with the existing policy for domestic and stock take and use licences.</w:t>
      </w:r>
    </w:p>
    <w:p w:rsidR="00A32C57" w:rsidRPr="003E51F7" w:rsidRDefault="00A32C57" w:rsidP="003E51F7">
      <w:pPr>
        <w:spacing w:before="4" w:line="110" w:lineRule="exact"/>
        <w:rPr>
          <w:sz w:val="11"/>
          <w:szCs w:val="11"/>
        </w:rPr>
      </w:pPr>
    </w:p>
    <w:p w:rsidR="00A32C57" w:rsidRPr="003E51F7" w:rsidRDefault="000212B7" w:rsidP="003E51F7">
      <w:pPr>
        <w:pStyle w:val="BodyText"/>
        <w:spacing w:line="255" w:lineRule="auto"/>
        <w:ind w:left="134" w:right="455"/>
      </w:pPr>
      <w:r w:rsidRPr="003E51F7">
        <w:t>This new approach comes into effect on 1 November 2013, and only applies to new riparian management projects.</w:t>
      </w:r>
    </w:p>
    <w:p w:rsidR="00A32C57" w:rsidRPr="003E51F7" w:rsidRDefault="00A32C57" w:rsidP="003E51F7">
      <w:pPr>
        <w:spacing w:line="255" w:lineRule="auto"/>
        <w:sectPr w:rsidR="00A32C57" w:rsidRPr="003E51F7">
          <w:type w:val="continuous"/>
          <w:pgSz w:w="11906" w:h="16840"/>
          <w:pgMar w:top="1500" w:right="440" w:bottom="280" w:left="1020" w:header="720" w:footer="720" w:gutter="0"/>
          <w:cols w:num="2" w:space="720" w:equalWidth="0">
            <w:col w:w="5066" w:space="177"/>
            <w:col w:w="5203"/>
          </w:cols>
        </w:sectPr>
      </w:pPr>
    </w:p>
    <w:p w:rsidR="00A32C57" w:rsidRPr="003E51F7" w:rsidRDefault="00A32C57" w:rsidP="003E51F7">
      <w:pPr>
        <w:spacing w:before="2" w:line="160" w:lineRule="exact"/>
        <w:rPr>
          <w:sz w:val="16"/>
          <w:szCs w:val="16"/>
        </w:rPr>
      </w:pPr>
    </w:p>
    <w:p w:rsidR="00A32C57" w:rsidRPr="003E51F7" w:rsidRDefault="00A32C57" w:rsidP="003E51F7">
      <w:pPr>
        <w:spacing w:line="200" w:lineRule="exact"/>
        <w:rPr>
          <w:sz w:val="20"/>
          <w:szCs w:val="20"/>
        </w:rPr>
      </w:pPr>
    </w:p>
    <w:p w:rsidR="00A32C57" w:rsidRPr="003E51F7" w:rsidRDefault="00A32C57" w:rsidP="003E51F7">
      <w:pPr>
        <w:spacing w:line="200" w:lineRule="exact"/>
        <w:rPr>
          <w:sz w:val="20"/>
          <w:szCs w:val="20"/>
        </w:rPr>
      </w:pPr>
    </w:p>
    <w:p w:rsidR="00A32C57" w:rsidRPr="003E51F7" w:rsidRDefault="000212B7" w:rsidP="003E51F7">
      <w:pPr>
        <w:ind w:left="7327"/>
        <w:rPr>
          <w:rFonts w:ascii="Times New Roman" w:eastAsia="Times New Roman" w:hAnsi="Times New Roman" w:cs="Times New Roman"/>
          <w:sz w:val="20"/>
          <w:szCs w:val="20"/>
        </w:rPr>
      </w:pPr>
      <w:r w:rsidRPr="003E51F7">
        <w:rPr>
          <w:noProof/>
          <w:lang w:val="en-AU" w:eastAsia="en-AU"/>
        </w:rPr>
        <w:drawing>
          <wp:inline distT="0" distB="0" distL="0" distR="0" wp14:anchorId="75453421" wp14:editId="7AEDCE9F">
            <wp:extent cx="1084580" cy="45720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84580" cy="457200"/>
                    </a:xfrm>
                    <a:prstGeom prst="rect">
                      <a:avLst/>
                    </a:prstGeom>
                    <a:noFill/>
                    <a:ln>
                      <a:noFill/>
                    </a:ln>
                  </pic:spPr>
                </pic:pic>
              </a:graphicData>
            </a:graphic>
          </wp:inline>
        </w:drawing>
      </w:r>
    </w:p>
    <w:p w:rsidR="00A32C57" w:rsidRPr="003E51F7" w:rsidRDefault="00A32C57" w:rsidP="003E51F7">
      <w:pPr>
        <w:rPr>
          <w:rFonts w:ascii="Times New Roman" w:eastAsia="Times New Roman" w:hAnsi="Times New Roman" w:cs="Times New Roman"/>
          <w:sz w:val="20"/>
          <w:szCs w:val="20"/>
        </w:rPr>
        <w:sectPr w:rsidR="00A32C57" w:rsidRPr="003E51F7">
          <w:type w:val="continuous"/>
          <w:pgSz w:w="11906" w:h="16840"/>
          <w:pgMar w:top="1500" w:right="440" w:bottom="280" w:left="1020" w:header="720" w:footer="720" w:gutter="0"/>
          <w:cols w:space="720"/>
        </w:sectPr>
      </w:pPr>
    </w:p>
    <w:p w:rsidR="00A32C57" w:rsidRPr="003E51F7" w:rsidRDefault="000212B7" w:rsidP="003E51F7">
      <w:pPr>
        <w:spacing w:before="66" w:line="400" w:lineRule="exact"/>
        <w:ind w:left="110" w:right="1212"/>
        <w:rPr>
          <w:rFonts w:ascii="Arial" w:eastAsia="Arial" w:hAnsi="Arial" w:cs="Arial"/>
          <w:sz w:val="36"/>
          <w:szCs w:val="36"/>
        </w:rPr>
      </w:pPr>
      <w:r w:rsidRPr="003E51F7">
        <w:rPr>
          <w:rFonts w:ascii="Arial" w:eastAsia="Arial" w:hAnsi="Arial" w:cs="Arial"/>
          <w:sz w:val="36"/>
          <w:szCs w:val="36"/>
        </w:rPr>
        <w:lastRenderedPageBreak/>
        <w:t>Cutting the cost of take and use licences: new arrangements for riparian fencing on Crown frontages</w:t>
      </w:r>
    </w:p>
    <w:p w:rsidR="00A32C57" w:rsidRPr="003E51F7" w:rsidRDefault="00A32C57" w:rsidP="003E51F7">
      <w:pPr>
        <w:spacing w:before="4" w:line="170" w:lineRule="exact"/>
        <w:rPr>
          <w:sz w:val="17"/>
          <w:szCs w:val="17"/>
        </w:rPr>
      </w:pPr>
    </w:p>
    <w:p w:rsidR="00A32C57" w:rsidRPr="003E51F7" w:rsidRDefault="00A32C57" w:rsidP="003E51F7">
      <w:pPr>
        <w:spacing w:line="200" w:lineRule="exact"/>
        <w:rPr>
          <w:sz w:val="20"/>
          <w:szCs w:val="20"/>
        </w:rPr>
      </w:pPr>
    </w:p>
    <w:p w:rsidR="00A32C57" w:rsidRPr="003E51F7" w:rsidRDefault="00A32C57" w:rsidP="003E51F7">
      <w:pPr>
        <w:spacing w:line="200" w:lineRule="exact"/>
        <w:rPr>
          <w:sz w:val="20"/>
          <w:szCs w:val="20"/>
        </w:rPr>
      </w:pPr>
    </w:p>
    <w:p w:rsidR="00A32C57" w:rsidRPr="003E51F7" w:rsidRDefault="00A32C57" w:rsidP="003E51F7">
      <w:pPr>
        <w:spacing w:line="200" w:lineRule="exact"/>
        <w:rPr>
          <w:sz w:val="20"/>
          <w:szCs w:val="20"/>
        </w:rPr>
        <w:sectPr w:rsidR="00A32C57" w:rsidRPr="003E51F7">
          <w:pgSz w:w="11906" w:h="16840"/>
          <w:pgMar w:top="700" w:right="440" w:bottom="280" w:left="740" w:header="720" w:footer="720" w:gutter="0"/>
          <w:cols w:space="720"/>
        </w:sectPr>
      </w:pPr>
    </w:p>
    <w:p w:rsidR="00A32C57" w:rsidRPr="003E51F7" w:rsidRDefault="000212B7" w:rsidP="003E51F7">
      <w:pPr>
        <w:pStyle w:val="Heading1"/>
        <w:spacing w:before="69"/>
      </w:pPr>
      <w:r w:rsidRPr="003E51F7">
        <w:lastRenderedPageBreak/>
        <w:t>Why is this good for landholders?</w:t>
      </w:r>
    </w:p>
    <w:p w:rsidR="00A32C57" w:rsidRPr="003E51F7" w:rsidRDefault="00A32C57" w:rsidP="003E51F7">
      <w:pPr>
        <w:spacing w:before="4" w:line="110" w:lineRule="exact"/>
        <w:rPr>
          <w:sz w:val="11"/>
          <w:szCs w:val="11"/>
        </w:rPr>
      </w:pPr>
    </w:p>
    <w:p w:rsidR="00A32C57" w:rsidRPr="003E51F7" w:rsidRDefault="000212B7" w:rsidP="003E51F7">
      <w:pPr>
        <w:pStyle w:val="BodyText"/>
        <w:spacing w:line="255" w:lineRule="auto"/>
        <w:ind w:right="259"/>
      </w:pPr>
      <w:r w:rsidRPr="003E51F7">
        <w:t>Landholders applying for take and use licences for off-stream stock watering will pay up to $2,100 less when fencing Crown frontages (depending on which rural water corporation issues their licence) by not paying the application fee or annual fee for three years. Landholders will also save more by paying the renewal fee less often.</w:t>
      </w:r>
    </w:p>
    <w:p w:rsidR="00A32C57" w:rsidRPr="003E51F7" w:rsidRDefault="00A32C57" w:rsidP="003E51F7">
      <w:pPr>
        <w:spacing w:before="4" w:line="110" w:lineRule="exact"/>
        <w:rPr>
          <w:sz w:val="11"/>
          <w:szCs w:val="11"/>
        </w:rPr>
      </w:pPr>
    </w:p>
    <w:p w:rsidR="00A32C57" w:rsidRPr="003E51F7" w:rsidRDefault="000212B7" w:rsidP="003E51F7">
      <w:pPr>
        <w:pStyle w:val="BodyText"/>
        <w:spacing w:line="255" w:lineRule="auto"/>
        <w:ind w:right="16"/>
      </w:pPr>
      <w:r w:rsidRPr="003E51F7">
        <w:t>Note: in Melbourne Water’s region, licences may remain as three- year terms but Melbourne Water does not charge renewal fees so there is no additional cost for landholders due to the renewal process.</w:t>
      </w:r>
    </w:p>
    <w:p w:rsidR="00A32C57" w:rsidRPr="003E51F7" w:rsidRDefault="00A32C57" w:rsidP="003E51F7">
      <w:pPr>
        <w:spacing w:before="11" w:line="240" w:lineRule="exact"/>
        <w:rPr>
          <w:sz w:val="24"/>
          <w:szCs w:val="24"/>
        </w:rPr>
      </w:pPr>
    </w:p>
    <w:p w:rsidR="00A32C57" w:rsidRPr="003E51F7" w:rsidRDefault="000212B7" w:rsidP="003E51F7">
      <w:pPr>
        <w:pStyle w:val="Heading1"/>
      </w:pPr>
      <w:r w:rsidRPr="003E51F7">
        <w:t>Who does this apply to?</w:t>
      </w:r>
    </w:p>
    <w:p w:rsidR="00A32C57" w:rsidRPr="003E51F7" w:rsidRDefault="00A32C57" w:rsidP="003E51F7">
      <w:pPr>
        <w:spacing w:before="4" w:line="110" w:lineRule="exact"/>
        <w:rPr>
          <w:sz w:val="11"/>
          <w:szCs w:val="11"/>
        </w:rPr>
      </w:pPr>
    </w:p>
    <w:p w:rsidR="00A32C57" w:rsidRPr="003E51F7" w:rsidRDefault="000212B7" w:rsidP="003E51F7">
      <w:pPr>
        <w:pStyle w:val="BodyText"/>
        <w:spacing w:line="255" w:lineRule="auto"/>
        <w:ind w:right="803"/>
      </w:pPr>
      <w:r w:rsidRPr="003E51F7">
        <w:t>This applies to landholders with Crown frontage. These landholders are eligible if:</w:t>
      </w:r>
    </w:p>
    <w:p w:rsidR="00A32C57" w:rsidRPr="003E51F7" w:rsidRDefault="00A32C57" w:rsidP="003E51F7">
      <w:pPr>
        <w:spacing w:before="4" w:line="110" w:lineRule="exact"/>
        <w:rPr>
          <w:sz w:val="11"/>
          <w:szCs w:val="11"/>
        </w:rPr>
      </w:pPr>
    </w:p>
    <w:p w:rsidR="00A32C57" w:rsidRPr="003E51F7" w:rsidRDefault="000212B7" w:rsidP="003E51F7">
      <w:pPr>
        <w:pStyle w:val="BodyText"/>
        <w:numPr>
          <w:ilvl w:val="0"/>
          <w:numId w:val="1"/>
        </w:numPr>
        <w:tabs>
          <w:tab w:val="left" w:pos="250"/>
        </w:tabs>
        <w:spacing w:line="255" w:lineRule="auto"/>
        <w:ind w:left="280" w:right="3"/>
      </w:pPr>
      <w:r w:rsidRPr="003E51F7">
        <w:t>they are undertaking riparian management works in conjunction with their CMA</w:t>
      </w:r>
    </w:p>
    <w:p w:rsidR="00A32C57" w:rsidRPr="003E51F7" w:rsidRDefault="00A32C57" w:rsidP="003E51F7">
      <w:pPr>
        <w:spacing w:before="4" w:line="110" w:lineRule="exact"/>
        <w:rPr>
          <w:sz w:val="11"/>
          <w:szCs w:val="11"/>
        </w:rPr>
      </w:pPr>
    </w:p>
    <w:p w:rsidR="00A32C57" w:rsidRPr="003E51F7" w:rsidRDefault="000212B7" w:rsidP="003E51F7">
      <w:pPr>
        <w:pStyle w:val="BodyText"/>
        <w:numPr>
          <w:ilvl w:val="0"/>
          <w:numId w:val="1"/>
        </w:numPr>
        <w:tabs>
          <w:tab w:val="left" w:pos="250"/>
        </w:tabs>
        <w:spacing w:line="255" w:lineRule="auto"/>
        <w:ind w:left="280" w:right="70"/>
      </w:pPr>
      <w:r w:rsidRPr="003E51F7">
        <w:t>they commit to long term management of the riparian land and the works</w:t>
      </w:r>
    </w:p>
    <w:p w:rsidR="00A32C57" w:rsidRPr="003E51F7" w:rsidRDefault="00A32C57" w:rsidP="003E51F7">
      <w:pPr>
        <w:spacing w:before="4" w:line="110" w:lineRule="exact"/>
        <w:rPr>
          <w:sz w:val="11"/>
          <w:szCs w:val="11"/>
        </w:rPr>
      </w:pPr>
    </w:p>
    <w:p w:rsidR="00A32C57" w:rsidRPr="003E51F7" w:rsidRDefault="000212B7" w:rsidP="003E51F7">
      <w:pPr>
        <w:pStyle w:val="BodyText"/>
        <w:numPr>
          <w:ilvl w:val="0"/>
          <w:numId w:val="1"/>
        </w:numPr>
        <w:tabs>
          <w:tab w:val="left" w:pos="250"/>
        </w:tabs>
        <w:spacing w:line="255" w:lineRule="auto"/>
        <w:ind w:left="280" w:right="56"/>
      </w:pPr>
      <w:r w:rsidRPr="003E51F7">
        <w:t>they require a take and use licence due to loss of stock access to the waterway due to the installation of a fence</w:t>
      </w:r>
    </w:p>
    <w:p w:rsidR="00A32C57" w:rsidRPr="003E51F7" w:rsidRDefault="00A32C57" w:rsidP="003E51F7">
      <w:pPr>
        <w:spacing w:before="4" w:line="110" w:lineRule="exact"/>
        <w:rPr>
          <w:sz w:val="11"/>
          <w:szCs w:val="11"/>
        </w:rPr>
      </w:pPr>
    </w:p>
    <w:p w:rsidR="00A32C57" w:rsidRPr="003E51F7" w:rsidRDefault="000212B7" w:rsidP="003E51F7">
      <w:pPr>
        <w:pStyle w:val="BodyText"/>
        <w:spacing w:line="255" w:lineRule="auto"/>
        <w:ind w:right="12"/>
      </w:pPr>
      <w:r w:rsidRPr="003E51F7">
        <w:t>Landholders with freehold frontage have a ‘private right’ to water and do not need a take and use licence for domestic and stock use.</w:t>
      </w:r>
    </w:p>
    <w:p w:rsidR="00A32C57" w:rsidRPr="003E51F7" w:rsidRDefault="00A32C57" w:rsidP="003E51F7">
      <w:pPr>
        <w:spacing w:before="4" w:line="110" w:lineRule="exact"/>
        <w:rPr>
          <w:sz w:val="11"/>
          <w:szCs w:val="11"/>
        </w:rPr>
      </w:pPr>
    </w:p>
    <w:p w:rsidR="00A32C57" w:rsidRPr="003E51F7" w:rsidRDefault="000212B7" w:rsidP="003E51F7">
      <w:pPr>
        <w:pStyle w:val="BodyText"/>
        <w:spacing w:line="255" w:lineRule="auto"/>
      </w:pPr>
      <w:r w:rsidRPr="003E51F7">
        <w:t>In many cases, landholders with Crown frontage will not need a new take and use licence as they may be able to supply water to that part of their property from existing water supplies such as a dam. Or they may be able to use an existing take and use licence which they hold to obtain water for other parts of the property.</w:t>
      </w:r>
    </w:p>
    <w:p w:rsidR="00A32C57" w:rsidRPr="003E51F7" w:rsidRDefault="00A32C57" w:rsidP="003E51F7">
      <w:pPr>
        <w:spacing w:before="4" w:line="110" w:lineRule="exact"/>
        <w:rPr>
          <w:sz w:val="11"/>
          <w:szCs w:val="11"/>
        </w:rPr>
      </w:pPr>
    </w:p>
    <w:p w:rsidR="00A32C57" w:rsidRPr="003E51F7" w:rsidRDefault="000212B7" w:rsidP="003E51F7">
      <w:pPr>
        <w:pStyle w:val="BodyText"/>
        <w:spacing w:line="255" w:lineRule="auto"/>
        <w:ind w:right="12"/>
      </w:pPr>
      <w:r w:rsidRPr="003E51F7">
        <w:t xml:space="preserve">To be eligible, landholders must be in regions covered by Southern Rural Water, Grampians </w:t>
      </w:r>
      <w:proofErr w:type="spellStart"/>
      <w:r w:rsidRPr="003E51F7">
        <w:t>Wimmera</w:t>
      </w:r>
      <w:proofErr w:type="spellEnd"/>
      <w:r w:rsidRPr="003E51F7">
        <w:t xml:space="preserve"> </w:t>
      </w:r>
      <w:proofErr w:type="spellStart"/>
      <w:r w:rsidRPr="003E51F7">
        <w:t>Mallee</w:t>
      </w:r>
      <w:proofErr w:type="spellEnd"/>
      <w:r w:rsidRPr="003E51F7">
        <w:t xml:space="preserve"> Water, </w:t>
      </w:r>
      <w:proofErr w:type="spellStart"/>
      <w:r w:rsidRPr="003E51F7">
        <w:t>Goulburn</w:t>
      </w:r>
      <w:proofErr w:type="spellEnd"/>
      <w:r w:rsidRPr="003E51F7">
        <w:t xml:space="preserve"> Murray Water or Melbourne Water corporations.</w:t>
      </w:r>
    </w:p>
    <w:p w:rsidR="00A32C57" w:rsidRPr="003E51F7" w:rsidRDefault="00A32C57" w:rsidP="003E51F7">
      <w:pPr>
        <w:spacing w:before="4" w:line="110" w:lineRule="exact"/>
        <w:rPr>
          <w:sz w:val="11"/>
          <w:szCs w:val="11"/>
        </w:rPr>
      </w:pPr>
    </w:p>
    <w:p w:rsidR="00A32C57" w:rsidRPr="003E51F7" w:rsidRDefault="000212B7" w:rsidP="003E51F7">
      <w:pPr>
        <w:pStyle w:val="BodyText"/>
        <w:spacing w:line="255" w:lineRule="auto"/>
        <w:ind w:right="70"/>
      </w:pPr>
      <w:r w:rsidRPr="003E51F7">
        <w:t>Lower Murray Water’s region uses a different approach to make sure water entitlements are available to landholders. Contact Mallee CMA for more information.</w:t>
      </w:r>
    </w:p>
    <w:p w:rsidR="00A32C57" w:rsidRPr="003E51F7" w:rsidRDefault="000212B7" w:rsidP="003E51F7">
      <w:pPr>
        <w:pStyle w:val="Heading1"/>
        <w:spacing w:before="69" w:line="260" w:lineRule="auto"/>
        <w:ind w:right="497"/>
      </w:pPr>
      <w:r w:rsidRPr="003E51F7">
        <w:br w:type="column"/>
      </w:r>
      <w:r w:rsidRPr="003E51F7">
        <w:lastRenderedPageBreak/>
        <w:t>How does a landholder obtain the reduced costs?</w:t>
      </w:r>
    </w:p>
    <w:p w:rsidR="00A32C57" w:rsidRPr="003E51F7" w:rsidRDefault="000212B7" w:rsidP="003E51F7">
      <w:pPr>
        <w:pStyle w:val="BodyText"/>
        <w:spacing w:before="90" w:line="255" w:lineRule="auto"/>
        <w:ind w:right="188"/>
      </w:pPr>
      <w:r w:rsidRPr="003E51F7">
        <w:t>If a landholder does require a new TUL, the normal application process through the RWC will apply. Typically, the landholder will pay the application fee to the RWC. However, the cost of that fee will be included in the reimbursement back to the landholder by the CMA as part of the riparian works (and clearly documented in the agreement the CMA has with the landholder for the works). However, regional variations in this process may apply.</w:t>
      </w:r>
    </w:p>
    <w:p w:rsidR="00A32C57" w:rsidRPr="003E51F7" w:rsidRDefault="00A32C57" w:rsidP="003E51F7">
      <w:pPr>
        <w:spacing w:before="4" w:line="110" w:lineRule="exact"/>
        <w:rPr>
          <w:sz w:val="11"/>
          <w:szCs w:val="11"/>
        </w:rPr>
      </w:pPr>
    </w:p>
    <w:p w:rsidR="00A32C57" w:rsidRPr="003E51F7" w:rsidRDefault="000212B7" w:rsidP="003E51F7">
      <w:pPr>
        <w:pStyle w:val="BodyText"/>
        <w:spacing w:line="255" w:lineRule="auto"/>
        <w:ind w:right="220"/>
      </w:pPr>
      <w:r w:rsidRPr="003E51F7">
        <w:t>Landholders should contact their CMA in the first instance to discuss their possible involvement in a riparian management project. The regional rural water corporation can help advise with the process for applying for a take and use licence.</w:t>
      </w:r>
    </w:p>
    <w:p w:rsidR="00A32C57" w:rsidRPr="003E51F7" w:rsidRDefault="00A32C57" w:rsidP="003E51F7">
      <w:pPr>
        <w:spacing w:before="4" w:line="110" w:lineRule="exact"/>
        <w:rPr>
          <w:sz w:val="11"/>
          <w:szCs w:val="11"/>
        </w:rPr>
      </w:pPr>
    </w:p>
    <w:p w:rsidR="00A32C57" w:rsidRPr="003E51F7" w:rsidRDefault="000212B7" w:rsidP="003E51F7">
      <w:pPr>
        <w:pStyle w:val="Heading2"/>
        <w:rPr>
          <w:b w:val="0"/>
          <w:bCs w:val="0"/>
        </w:rPr>
      </w:pPr>
      <w:r w:rsidRPr="003E51F7">
        <w:t>Catchment management authorities</w:t>
      </w:r>
    </w:p>
    <w:p w:rsidR="00A32C57" w:rsidRPr="003E51F7" w:rsidRDefault="00A32C57" w:rsidP="003E51F7">
      <w:pPr>
        <w:spacing w:before="8" w:line="40" w:lineRule="exact"/>
        <w:rPr>
          <w:sz w:val="4"/>
          <w:szCs w:val="4"/>
        </w:rPr>
      </w:pPr>
    </w:p>
    <w:p w:rsidR="003E51F7" w:rsidRPr="003E51F7" w:rsidRDefault="003E51F7" w:rsidP="003E51F7">
      <w:pPr>
        <w:pStyle w:val="TableParagraph"/>
        <w:tabs>
          <w:tab w:val="left" w:pos="2816"/>
        </w:tabs>
        <w:ind w:left="108"/>
        <w:rPr>
          <w:rFonts w:ascii="Arial" w:eastAsia="Arial" w:hAnsi="Arial" w:cs="Arial"/>
          <w:sz w:val="18"/>
          <w:szCs w:val="18"/>
        </w:rPr>
      </w:pPr>
      <w:r w:rsidRPr="003E51F7">
        <w:rPr>
          <w:rFonts w:ascii="Arial" w:eastAsia="Arial" w:hAnsi="Arial" w:cs="Arial"/>
          <w:sz w:val="18"/>
          <w:szCs w:val="18"/>
        </w:rPr>
        <w:t>East Gippsland CMA</w:t>
      </w:r>
      <w:r w:rsidRPr="003E51F7">
        <w:rPr>
          <w:rFonts w:ascii="Arial" w:eastAsia="Arial" w:hAnsi="Arial" w:cs="Arial"/>
          <w:sz w:val="18"/>
          <w:szCs w:val="18"/>
        </w:rPr>
        <w:tab/>
        <w:t>5152 0600</w:t>
      </w:r>
    </w:p>
    <w:p w:rsidR="003E51F7" w:rsidRPr="003E51F7" w:rsidRDefault="003E51F7" w:rsidP="003E51F7">
      <w:pPr>
        <w:pStyle w:val="TableParagraph"/>
        <w:tabs>
          <w:tab w:val="left" w:pos="2816"/>
        </w:tabs>
        <w:ind w:left="108"/>
        <w:rPr>
          <w:rFonts w:ascii="Arial" w:eastAsia="Arial" w:hAnsi="Arial" w:cs="Arial"/>
          <w:sz w:val="18"/>
          <w:szCs w:val="18"/>
        </w:rPr>
      </w:pPr>
      <w:r w:rsidRPr="003E51F7">
        <w:rPr>
          <w:rFonts w:ascii="Arial" w:eastAsia="Arial" w:hAnsi="Arial" w:cs="Arial"/>
          <w:sz w:val="18"/>
          <w:szCs w:val="18"/>
        </w:rPr>
        <w:t>West Gippsland CMA</w:t>
      </w:r>
      <w:r w:rsidRPr="003E51F7">
        <w:rPr>
          <w:rFonts w:ascii="Arial" w:eastAsia="Arial" w:hAnsi="Arial" w:cs="Arial"/>
          <w:sz w:val="18"/>
          <w:szCs w:val="18"/>
        </w:rPr>
        <w:tab/>
        <w:t>1300 094 262</w:t>
      </w:r>
    </w:p>
    <w:p w:rsidR="00A32C57" w:rsidRPr="003E51F7" w:rsidRDefault="000212B7" w:rsidP="003E51F7">
      <w:pPr>
        <w:pStyle w:val="BodyText"/>
        <w:tabs>
          <w:tab w:val="left" w:pos="2830"/>
        </w:tabs>
      </w:pPr>
      <w:proofErr w:type="spellStart"/>
      <w:r w:rsidRPr="003E51F7">
        <w:t>Corangamite</w:t>
      </w:r>
      <w:proofErr w:type="spellEnd"/>
      <w:r w:rsidRPr="003E51F7">
        <w:t xml:space="preserve"> CMA</w:t>
      </w:r>
      <w:r w:rsidRPr="003E51F7">
        <w:tab/>
        <w:t>5232 9100</w:t>
      </w:r>
    </w:p>
    <w:p w:rsidR="00A32C57" w:rsidRPr="003E51F7" w:rsidRDefault="000212B7" w:rsidP="003E51F7">
      <w:pPr>
        <w:pStyle w:val="BodyText"/>
        <w:tabs>
          <w:tab w:val="left" w:pos="2830"/>
        </w:tabs>
      </w:pPr>
      <w:proofErr w:type="spellStart"/>
      <w:r w:rsidRPr="003E51F7">
        <w:t>Glenelg</w:t>
      </w:r>
      <w:proofErr w:type="spellEnd"/>
      <w:r w:rsidRPr="003E51F7">
        <w:t xml:space="preserve"> Hopkins CMA</w:t>
      </w:r>
      <w:r w:rsidRPr="003E51F7">
        <w:tab/>
        <w:t>5571 2526</w:t>
      </w:r>
    </w:p>
    <w:p w:rsidR="00A32C57" w:rsidRPr="003E51F7" w:rsidRDefault="000212B7" w:rsidP="003E51F7">
      <w:pPr>
        <w:pStyle w:val="BodyText"/>
        <w:tabs>
          <w:tab w:val="left" w:pos="2830"/>
        </w:tabs>
      </w:pPr>
      <w:proofErr w:type="spellStart"/>
      <w:r w:rsidRPr="003E51F7">
        <w:t>Wimmera</w:t>
      </w:r>
      <w:proofErr w:type="spellEnd"/>
      <w:r w:rsidRPr="003E51F7">
        <w:t xml:space="preserve"> CMA</w:t>
      </w:r>
      <w:r w:rsidRPr="003E51F7">
        <w:tab/>
        <w:t>5382 1544</w:t>
      </w:r>
    </w:p>
    <w:p w:rsidR="00A32C57" w:rsidRPr="003E51F7" w:rsidRDefault="000212B7" w:rsidP="003E51F7">
      <w:pPr>
        <w:pStyle w:val="BodyText"/>
        <w:tabs>
          <w:tab w:val="left" w:pos="2830"/>
        </w:tabs>
      </w:pPr>
      <w:r w:rsidRPr="003E51F7">
        <w:t>Mallee CMA</w:t>
      </w:r>
      <w:r w:rsidRPr="003E51F7">
        <w:tab/>
        <w:t>5051 4377</w:t>
      </w:r>
    </w:p>
    <w:p w:rsidR="00A32C57" w:rsidRPr="003E51F7" w:rsidRDefault="000212B7" w:rsidP="003E51F7">
      <w:pPr>
        <w:pStyle w:val="BodyText"/>
        <w:tabs>
          <w:tab w:val="left" w:pos="2830"/>
        </w:tabs>
      </w:pPr>
      <w:r w:rsidRPr="003E51F7">
        <w:t>North Central CMA</w:t>
      </w:r>
      <w:r w:rsidRPr="003E51F7">
        <w:tab/>
        <w:t>5448 7124</w:t>
      </w:r>
    </w:p>
    <w:p w:rsidR="00A32C57" w:rsidRPr="003E51F7" w:rsidRDefault="000212B7" w:rsidP="003E51F7">
      <w:pPr>
        <w:pStyle w:val="BodyText"/>
        <w:tabs>
          <w:tab w:val="left" w:pos="2830"/>
        </w:tabs>
      </w:pPr>
      <w:proofErr w:type="spellStart"/>
      <w:r w:rsidRPr="003E51F7">
        <w:t>Goulburn</w:t>
      </w:r>
      <w:proofErr w:type="spellEnd"/>
      <w:r w:rsidRPr="003E51F7">
        <w:t xml:space="preserve"> Broken CMA</w:t>
      </w:r>
      <w:r w:rsidRPr="003E51F7">
        <w:tab/>
        <w:t>5820 1100</w:t>
      </w:r>
    </w:p>
    <w:p w:rsidR="00A32C57" w:rsidRPr="003E51F7" w:rsidRDefault="000212B7" w:rsidP="003E51F7">
      <w:pPr>
        <w:pStyle w:val="BodyText"/>
        <w:tabs>
          <w:tab w:val="left" w:pos="2830"/>
        </w:tabs>
      </w:pPr>
      <w:r w:rsidRPr="003E51F7">
        <w:t>North East CMA</w:t>
      </w:r>
      <w:r w:rsidRPr="003E51F7">
        <w:tab/>
        <w:t>(02) 6043 7600</w:t>
      </w:r>
    </w:p>
    <w:p w:rsidR="00A32C57" w:rsidRPr="003E51F7" w:rsidRDefault="000212B7" w:rsidP="003E51F7">
      <w:pPr>
        <w:pStyle w:val="BodyText"/>
        <w:tabs>
          <w:tab w:val="left" w:pos="2830"/>
        </w:tabs>
      </w:pPr>
      <w:r w:rsidRPr="003E51F7">
        <w:t>Melbourne Water*</w:t>
      </w:r>
      <w:r w:rsidRPr="003E51F7">
        <w:tab/>
        <w:t>131 722</w:t>
      </w:r>
    </w:p>
    <w:p w:rsidR="00A32C57" w:rsidRPr="003E51F7" w:rsidRDefault="00A32C57" w:rsidP="003E51F7">
      <w:pPr>
        <w:spacing w:before="3" w:line="180" w:lineRule="exact"/>
        <w:rPr>
          <w:sz w:val="18"/>
          <w:szCs w:val="18"/>
        </w:rPr>
      </w:pPr>
    </w:p>
    <w:p w:rsidR="00A32C57" w:rsidRPr="003E51F7" w:rsidRDefault="000212B7" w:rsidP="003E51F7">
      <w:pPr>
        <w:pStyle w:val="Heading2"/>
        <w:rPr>
          <w:b w:val="0"/>
          <w:bCs w:val="0"/>
        </w:rPr>
      </w:pPr>
      <w:r w:rsidRPr="003E51F7">
        <w:t>Rural water corporations</w:t>
      </w:r>
    </w:p>
    <w:p w:rsidR="00A32C57" w:rsidRPr="003E51F7" w:rsidRDefault="000212B7" w:rsidP="003E51F7">
      <w:pPr>
        <w:pStyle w:val="BodyText"/>
        <w:tabs>
          <w:tab w:val="left" w:pos="3050"/>
        </w:tabs>
        <w:spacing w:before="69"/>
      </w:pPr>
      <w:r w:rsidRPr="003E51F7">
        <w:t>Southern Rural Water</w:t>
      </w:r>
      <w:r w:rsidRPr="003E51F7">
        <w:tab/>
        <w:t>1300 139 510</w:t>
      </w:r>
    </w:p>
    <w:p w:rsidR="00A32C57" w:rsidRPr="003E51F7" w:rsidRDefault="000212B7" w:rsidP="003E51F7">
      <w:pPr>
        <w:pStyle w:val="BodyText"/>
        <w:tabs>
          <w:tab w:val="left" w:pos="3050"/>
        </w:tabs>
      </w:pPr>
      <w:r w:rsidRPr="003E51F7">
        <w:t xml:space="preserve">Grampians </w:t>
      </w:r>
      <w:proofErr w:type="spellStart"/>
      <w:r w:rsidRPr="003E51F7">
        <w:t>Wimmera</w:t>
      </w:r>
      <w:proofErr w:type="spellEnd"/>
      <w:r w:rsidRPr="003E51F7">
        <w:t xml:space="preserve"> </w:t>
      </w:r>
      <w:proofErr w:type="spellStart"/>
      <w:r w:rsidRPr="003E51F7">
        <w:t>Mallee</w:t>
      </w:r>
      <w:proofErr w:type="spellEnd"/>
      <w:r w:rsidRPr="003E51F7">
        <w:t xml:space="preserve"> Water</w:t>
      </w:r>
      <w:r w:rsidRPr="003E51F7">
        <w:tab/>
        <w:t>1300 659 961</w:t>
      </w:r>
    </w:p>
    <w:p w:rsidR="00A32C57" w:rsidRPr="003E51F7" w:rsidRDefault="000212B7" w:rsidP="003E51F7">
      <w:pPr>
        <w:pStyle w:val="BodyText"/>
        <w:tabs>
          <w:tab w:val="left" w:pos="3050"/>
        </w:tabs>
      </w:pPr>
      <w:r w:rsidRPr="003E51F7">
        <w:t>Lower Murray Water</w:t>
      </w:r>
      <w:r w:rsidRPr="003E51F7">
        <w:tab/>
        <w:t>5051 3400</w:t>
      </w:r>
    </w:p>
    <w:p w:rsidR="00A32C57" w:rsidRPr="003E51F7" w:rsidRDefault="000212B7" w:rsidP="003E51F7">
      <w:pPr>
        <w:pStyle w:val="BodyText"/>
        <w:tabs>
          <w:tab w:val="left" w:pos="3050"/>
        </w:tabs>
      </w:pPr>
      <w:proofErr w:type="spellStart"/>
      <w:r w:rsidRPr="003E51F7">
        <w:t>Goulburn</w:t>
      </w:r>
      <w:proofErr w:type="spellEnd"/>
      <w:r w:rsidRPr="003E51F7">
        <w:t xml:space="preserve"> Murray Water</w:t>
      </w:r>
      <w:r w:rsidRPr="003E51F7">
        <w:tab/>
        <w:t>1800 013 357</w:t>
      </w:r>
    </w:p>
    <w:p w:rsidR="00A32C57" w:rsidRPr="003E51F7" w:rsidRDefault="000212B7" w:rsidP="003E51F7">
      <w:pPr>
        <w:pStyle w:val="BodyText"/>
        <w:tabs>
          <w:tab w:val="left" w:pos="3050"/>
        </w:tabs>
      </w:pPr>
      <w:r w:rsidRPr="003E51F7">
        <w:t>Melbourne Water*</w:t>
      </w:r>
      <w:r w:rsidRPr="003E51F7">
        <w:tab/>
        <w:t>131 722</w:t>
      </w:r>
    </w:p>
    <w:p w:rsidR="00A32C57" w:rsidRPr="003E51F7" w:rsidRDefault="00A32C57" w:rsidP="003E51F7">
      <w:pPr>
        <w:spacing w:before="5" w:line="160" w:lineRule="exact"/>
        <w:rPr>
          <w:sz w:val="16"/>
          <w:szCs w:val="16"/>
        </w:rPr>
      </w:pPr>
    </w:p>
    <w:p w:rsidR="00A32C57" w:rsidRPr="003E51F7" w:rsidRDefault="000212B7" w:rsidP="003E51F7">
      <w:pPr>
        <w:spacing w:line="327" w:lineRule="auto"/>
        <w:ind w:left="110" w:right="528"/>
        <w:rPr>
          <w:rFonts w:ascii="Arial" w:eastAsia="Arial" w:hAnsi="Arial" w:cs="Arial"/>
          <w:sz w:val="14"/>
          <w:szCs w:val="14"/>
        </w:rPr>
      </w:pPr>
      <w:r w:rsidRPr="003E51F7">
        <w:rPr>
          <w:rFonts w:ascii="Arial" w:eastAsia="Arial" w:hAnsi="Arial" w:cs="Arial"/>
          <w:sz w:val="14"/>
          <w:szCs w:val="14"/>
        </w:rPr>
        <w:t xml:space="preserve">* Melbourne Water is both the waterway manager undertaking riparian management works and the corporation issuing TULs for the </w:t>
      </w:r>
      <w:proofErr w:type="spellStart"/>
      <w:r w:rsidRPr="003E51F7">
        <w:rPr>
          <w:rFonts w:ascii="Arial" w:eastAsia="Arial" w:hAnsi="Arial" w:cs="Arial"/>
          <w:sz w:val="14"/>
          <w:szCs w:val="14"/>
        </w:rPr>
        <w:t>Yarra</w:t>
      </w:r>
      <w:proofErr w:type="spellEnd"/>
      <w:r w:rsidRPr="003E51F7">
        <w:rPr>
          <w:rFonts w:ascii="Arial" w:eastAsia="Arial" w:hAnsi="Arial" w:cs="Arial"/>
          <w:sz w:val="14"/>
          <w:szCs w:val="14"/>
        </w:rPr>
        <w:t xml:space="preserve"> and lower </w:t>
      </w:r>
      <w:proofErr w:type="spellStart"/>
      <w:r w:rsidRPr="003E51F7">
        <w:rPr>
          <w:rFonts w:ascii="Arial" w:eastAsia="Arial" w:hAnsi="Arial" w:cs="Arial"/>
          <w:sz w:val="14"/>
          <w:szCs w:val="14"/>
        </w:rPr>
        <w:t>Maribyrnong</w:t>
      </w:r>
      <w:proofErr w:type="spellEnd"/>
      <w:r w:rsidRPr="003E51F7">
        <w:rPr>
          <w:rFonts w:ascii="Arial" w:eastAsia="Arial" w:hAnsi="Arial" w:cs="Arial"/>
          <w:sz w:val="14"/>
          <w:szCs w:val="14"/>
        </w:rPr>
        <w:t xml:space="preserve"> rivers. In the rest of the Port Phillip region Melbourne Water is the waterway manager while Southern Rural Water is the licensing authority.</w:t>
      </w:r>
    </w:p>
    <w:p w:rsidR="00A32C57" w:rsidRPr="000212B7" w:rsidRDefault="00A32C57" w:rsidP="003E51F7">
      <w:pPr>
        <w:spacing w:line="327" w:lineRule="auto"/>
        <w:rPr>
          <w:rFonts w:ascii="Arial" w:eastAsia="Arial" w:hAnsi="Arial" w:cs="Arial"/>
          <w:sz w:val="14"/>
          <w:szCs w:val="14"/>
        </w:rPr>
        <w:sectPr w:rsidR="00A32C57" w:rsidRPr="000212B7">
          <w:type w:val="continuous"/>
          <w:pgSz w:w="11906" w:h="16840"/>
          <w:pgMar w:top="1500" w:right="440" w:bottom="280" w:left="740" w:header="720" w:footer="720" w:gutter="0"/>
          <w:cols w:num="2" w:space="720" w:equalWidth="0">
            <w:col w:w="5162" w:space="233"/>
            <w:col w:w="5331"/>
          </w:cols>
        </w:sectPr>
      </w:pPr>
    </w:p>
    <w:p w:rsidR="00A32C57" w:rsidRPr="000212B7" w:rsidRDefault="003E51F7" w:rsidP="003E51F7">
      <w:pPr>
        <w:spacing w:before="12" w:line="280" w:lineRule="exact"/>
        <w:rPr>
          <w:sz w:val="28"/>
          <w:szCs w:val="28"/>
        </w:rPr>
      </w:pPr>
      <w:r w:rsidRPr="003E51F7">
        <w:rPr>
          <w:noProof/>
          <w:lang w:val="en-AU" w:eastAsia="en-AU"/>
        </w:rPr>
        <w:lastRenderedPageBreak/>
        <mc:AlternateContent>
          <mc:Choice Requires="wpg">
            <w:drawing>
              <wp:anchor distT="0" distB="0" distL="114300" distR="114300" simplePos="0" relativeHeight="251658240" behindDoc="1" locked="0" layoutInCell="1" allowOverlap="1" wp14:anchorId="264FC662" wp14:editId="5D7A5A5E">
                <wp:simplePos x="0" y="0"/>
                <wp:positionH relativeFrom="page">
                  <wp:posOffset>528955</wp:posOffset>
                </wp:positionH>
                <wp:positionV relativeFrom="paragraph">
                  <wp:posOffset>84293</wp:posOffset>
                </wp:positionV>
                <wp:extent cx="6659880" cy="12700"/>
                <wp:effectExtent l="0" t="0" r="0" b="6350"/>
                <wp:wrapNone/>
                <wp:docPr id="4"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59880" cy="12700"/>
                          <a:chOff x="850" y="1067"/>
                          <a:chExt cx="10488" cy="20"/>
                        </a:xfrm>
                      </wpg:grpSpPr>
                      <wpg:grpSp>
                        <wpg:cNvPr id="5" name="Group 14"/>
                        <wpg:cNvGrpSpPr>
                          <a:grpSpLocks/>
                        </wpg:cNvGrpSpPr>
                        <wpg:grpSpPr bwMode="auto">
                          <a:xfrm>
                            <a:off x="921" y="1077"/>
                            <a:ext cx="10378" cy="2"/>
                            <a:chOff x="921" y="1077"/>
                            <a:chExt cx="10378" cy="2"/>
                          </a:xfrm>
                        </wpg:grpSpPr>
                        <wps:wsp>
                          <wps:cNvPr id="6" name="Freeform 15"/>
                          <wps:cNvSpPr>
                            <a:spLocks/>
                          </wps:cNvSpPr>
                          <wps:spPr bwMode="auto">
                            <a:xfrm>
                              <a:off x="921" y="1077"/>
                              <a:ext cx="10378" cy="2"/>
                            </a:xfrm>
                            <a:custGeom>
                              <a:avLst/>
                              <a:gdLst>
                                <a:gd name="T0" fmla="+- 0 921 921"/>
                                <a:gd name="T1" fmla="*/ T0 w 10378"/>
                                <a:gd name="T2" fmla="+- 0 11298 921"/>
                                <a:gd name="T3" fmla="*/ T2 w 10378"/>
                              </a:gdLst>
                              <a:ahLst/>
                              <a:cxnLst>
                                <a:cxn ang="0">
                                  <a:pos x="T1" y="0"/>
                                </a:cxn>
                                <a:cxn ang="0">
                                  <a:pos x="T3" y="0"/>
                                </a:cxn>
                              </a:cxnLst>
                              <a:rect l="0" t="0" r="r" b="b"/>
                              <a:pathLst>
                                <a:path w="10378">
                                  <a:moveTo>
                                    <a:pt x="0" y="0"/>
                                  </a:moveTo>
                                  <a:lnTo>
                                    <a:pt x="10377" y="0"/>
                                  </a:lnTo>
                                </a:path>
                              </a:pathLst>
                            </a:custGeom>
                            <a:noFill/>
                            <a:ln w="12700">
                              <a:solidFill>
                                <a:srgbClr val="636466"/>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 name="Group 12"/>
                        <wpg:cNvGrpSpPr>
                          <a:grpSpLocks/>
                        </wpg:cNvGrpSpPr>
                        <wpg:grpSpPr bwMode="auto">
                          <a:xfrm>
                            <a:off x="860" y="1077"/>
                            <a:ext cx="2" cy="2"/>
                            <a:chOff x="860" y="1077"/>
                            <a:chExt cx="2" cy="2"/>
                          </a:xfrm>
                        </wpg:grpSpPr>
                        <wps:wsp>
                          <wps:cNvPr id="8" name="Freeform 13"/>
                          <wps:cNvSpPr>
                            <a:spLocks/>
                          </wps:cNvSpPr>
                          <wps:spPr bwMode="auto">
                            <a:xfrm>
                              <a:off x="860" y="1077"/>
                              <a:ext cx="2" cy="2"/>
                            </a:xfrm>
                            <a:custGeom>
                              <a:avLst/>
                              <a:gdLst/>
                              <a:ahLst/>
                              <a:cxnLst>
                                <a:cxn ang="0">
                                  <a:pos x="0" y="0"/>
                                </a:cxn>
                                <a:cxn ang="0">
                                  <a:pos x="0" y="0"/>
                                </a:cxn>
                              </a:cxnLst>
                              <a:rect l="0" t="0" r="r" b="b"/>
                              <a:pathLst>
                                <a:path>
                                  <a:moveTo>
                                    <a:pt x="0" y="0"/>
                                  </a:moveTo>
                                  <a:lnTo>
                                    <a:pt x="0" y="0"/>
                                  </a:lnTo>
                                </a:path>
                              </a:pathLst>
                            </a:custGeom>
                            <a:noFill/>
                            <a:ln w="12700">
                              <a:solidFill>
                                <a:srgbClr val="6364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 name="Group 10"/>
                        <wpg:cNvGrpSpPr>
                          <a:grpSpLocks/>
                        </wpg:cNvGrpSpPr>
                        <wpg:grpSpPr bwMode="auto">
                          <a:xfrm>
                            <a:off x="11329" y="1077"/>
                            <a:ext cx="2" cy="2"/>
                            <a:chOff x="11329" y="1077"/>
                            <a:chExt cx="2" cy="2"/>
                          </a:xfrm>
                        </wpg:grpSpPr>
                        <wps:wsp>
                          <wps:cNvPr id="10" name="Freeform 11"/>
                          <wps:cNvSpPr>
                            <a:spLocks/>
                          </wps:cNvSpPr>
                          <wps:spPr bwMode="auto">
                            <a:xfrm>
                              <a:off x="11329" y="1077"/>
                              <a:ext cx="2" cy="2"/>
                            </a:xfrm>
                            <a:custGeom>
                              <a:avLst/>
                              <a:gdLst/>
                              <a:ahLst/>
                              <a:cxnLst>
                                <a:cxn ang="0">
                                  <a:pos x="0" y="0"/>
                                </a:cxn>
                                <a:cxn ang="0">
                                  <a:pos x="0" y="0"/>
                                </a:cxn>
                              </a:cxnLst>
                              <a:rect l="0" t="0" r="r" b="b"/>
                              <a:pathLst>
                                <a:path>
                                  <a:moveTo>
                                    <a:pt x="0" y="0"/>
                                  </a:moveTo>
                                  <a:lnTo>
                                    <a:pt x="0" y="0"/>
                                  </a:lnTo>
                                </a:path>
                              </a:pathLst>
                            </a:custGeom>
                            <a:noFill/>
                            <a:ln w="12700">
                              <a:solidFill>
                                <a:srgbClr val="6364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9" o:spid="_x0000_s1026" style="position:absolute;margin-left:41.65pt;margin-top:6.65pt;width:524.4pt;height:1pt;z-index:-251658240;mso-position-horizontal-relative:page" coordorigin="850,1067" coordsize="1048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">
                <v:group id="Group 14" o:spid="_x0000_s1027" style="position:absolute;left:921;top:1077;width:10378;height:2" coordorigin="921,1077" coordsize="1037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Freeform 15" o:spid="_x0000_s1028" style="position:absolute;left:921;top:1077;width:10378;height:2;visibility:visible;mso-wrap-style:square;v-text-anchor:top" coordsize="103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1Z/fcIA&#10;AADaAAAADwAAAGRycy9kb3ducmV2LnhtbESPT2sCMRTE70K/Q3hCb5q1FJGtUUQo9GAV/xx6fCSv&#10;u6Gbl5Ck6/bbN4LgcZiZ3zDL9eA60VNM1rOC2bQCQay9sdwouJzfJwsQKSMb7DyTgj9KsF49jZZY&#10;G3/lI/Wn3IgC4VSjgjbnUEuZdEsO09QH4uJ9++gwFxkbaSJeC9x18qWq5tKh5bLQYqBtS/rn9OsU&#10;HGzefn7ZEPe7Xg+X19kuLYJW6nk8bN5AZBryI3xvfxgFc7hdKTdAr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Vn99wgAAANoAAAAPAAAAAAAAAAAAAAAAAJgCAABkcnMvZG93&#10;bnJldi54bWxQSwUGAAAAAAQABAD1AAAAhwMAAAAA&#10;" path="m,l10377,e" filled="f" strokecolor="#636466" strokeweight="1pt">
                    <v:stroke dashstyle="dash"/>
                    <v:path arrowok="t" o:connecttype="custom" o:connectlocs="0,0;10377,0" o:connectangles="0,0"/>
                  </v:shape>
                </v:group>
                <v:group id="Group 12" o:spid="_x0000_s1029" style="position:absolute;left:860;top:1077;width:2;height:2" coordorigin="860,1077" coordsize="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Freeform 13" o:spid="_x0000_s1030" style="position:absolute;left:860;top:1077;width:2;height:2;visibility:visible;mso-wrap-style:square;v-text-anchor:top" coordsize="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" path="m,l,e" filled="f" strokecolor="#636466" strokeweight="1pt">
                    <v:path arrowok="t" o:connecttype="custom" o:connectlocs="0,0;0,0" o:connectangles="0,0"/>
                  </v:shape>
                </v:group>
                <v:group id="Group 10" o:spid="_x0000_s1031" style="position:absolute;left:11329;top:1077;width:2;height:2" coordorigin="11329,1077" coordsize="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Freeform 11" o:spid="_x0000_s1032" style="position:absolute;left:11329;top:1077;width:2;height:2;visibility:visible;mso-wrap-style:square;v-text-anchor:top" coordsize="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erMLsQA&#10;AADbAAAADwAAAGRycy9kb3ducmV2LnhtbESPzW7CQAyE75V4h5WReisbOFAUWBAgKuVWNVSc3axJ&#10;0ma9UXabnz59fajUm60Zz3zeHUbXqJ66UHs2sFwkoIgLb2suDbxfX542oEJEtth4JgMTBTjsZw87&#10;TK0f+I36PJZKQjikaKCKsU21DkVFDsPCt8Si3X3nMMraldp2OEi4a/QqSdbaYc3SUGFL54qKr/zb&#10;Gchum8vU337seX364LGw18vr86cxj/PxuAUVaYz/5r/rzAq+0MsvMoD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qzC7EAAAA2wAAAA8AAAAAAAAAAAAAAAAAmAIAAGRycy9k&#10;b3ducmV2LnhtbFBLBQYAAAAABAAEAPUAAACJAwAAAAA=&#10;" path="m,l,e" filled="f" strokecolor="#636466" strokeweight="1pt">
                    <v:path arrowok="t" o:connecttype="custom" o:connectlocs="0,0;0,0" o:connectangles="0,0"/>
                  </v:shape>
                </v:group>
                <w10:wrap anchorx="page"/>
              </v:group>
            </w:pict>
          </mc:Fallback>
        </mc:AlternateContent>
      </w:r>
    </w:p>
    <w:p w:rsidR="00A32C57" w:rsidRPr="000212B7" w:rsidRDefault="00A32C57" w:rsidP="003E51F7">
      <w:pPr>
        <w:spacing w:line="280" w:lineRule="exact"/>
        <w:rPr>
          <w:sz w:val="28"/>
          <w:szCs w:val="28"/>
        </w:rPr>
        <w:sectPr w:rsidR="00A32C57" w:rsidRPr="000212B7">
          <w:type w:val="continuous"/>
          <w:pgSz w:w="11906" w:h="16840"/>
          <w:pgMar w:top="1500" w:right="440" w:bottom="280" w:left="740" w:header="720" w:footer="720" w:gutter="0"/>
          <w:cols w:space="720"/>
        </w:sectPr>
      </w:pPr>
    </w:p>
    <w:p w:rsidR="00A32C57" w:rsidRPr="003E51F7" w:rsidRDefault="000212B7" w:rsidP="003E51F7">
      <w:pPr>
        <w:ind w:left="110" w:right="1735"/>
        <w:rPr>
          <w:rFonts w:ascii="Arial" w:eastAsia="Arial" w:hAnsi="Arial" w:cs="Arial"/>
          <w:sz w:val="15"/>
          <w:szCs w:val="15"/>
        </w:rPr>
      </w:pPr>
      <w:r w:rsidRPr="003E51F7">
        <w:rPr>
          <w:rFonts w:ascii="Arial" w:eastAsia="Arial" w:hAnsi="Arial" w:cs="Arial"/>
          <w:sz w:val="15"/>
          <w:szCs w:val="15"/>
        </w:rPr>
        <w:lastRenderedPageBreak/>
        <w:t>Published by the Victorian Government Department of Environment and Primary Industries Melbourne October 2013.</w:t>
      </w:r>
    </w:p>
    <w:p w:rsidR="00A32C57" w:rsidRPr="003E51F7" w:rsidRDefault="000212B7" w:rsidP="003E51F7">
      <w:pPr>
        <w:ind w:left="108"/>
        <w:rPr>
          <w:rFonts w:ascii="Arial" w:eastAsia="Arial" w:hAnsi="Arial" w:cs="Arial"/>
          <w:sz w:val="15"/>
          <w:szCs w:val="15"/>
        </w:rPr>
      </w:pPr>
      <w:r w:rsidRPr="003E51F7">
        <w:rPr>
          <w:rFonts w:ascii="Arial" w:eastAsia="Arial" w:hAnsi="Arial" w:cs="Arial"/>
          <w:sz w:val="15"/>
          <w:szCs w:val="15"/>
        </w:rPr>
        <w:t>© The State of Victoria Department Environment and Primary Industries 2013 This publication is copyright. No part may be reproduced by any process</w:t>
      </w:r>
      <w:r w:rsidR="003E51F7">
        <w:rPr>
          <w:rFonts w:ascii="Arial" w:eastAsia="Arial" w:hAnsi="Arial" w:cs="Arial"/>
          <w:sz w:val="15"/>
          <w:szCs w:val="15"/>
        </w:rPr>
        <w:t xml:space="preserve"> </w:t>
      </w:r>
      <w:r w:rsidRPr="003E51F7">
        <w:rPr>
          <w:rFonts w:ascii="Arial" w:eastAsia="Arial" w:hAnsi="Arial" w:cs="Arial"/>
          <w:sz w:val="15"/>
          <w:szCs w:val="15"/>
        </w:rPr>
        <w:t xml:space="preserve">except in accordance with the provisions of the </w:t>
      </w:r>
      <w:r w:rsidRPr="003E51F7">
        <w:rPr>
          <w:rFonts w:ascii="Arial" w:eastAsia="Arial" w:hAnsi="Arial" w:cs="Arial"/>
          <w:i/>
          <w:sz w:val="15"/>
          <w:szCs w:val="15"/>
        </w:rPr>
        <w:t>Copyright Act 1968</w:t>
      </w:r>
      <w:r w:rsidRPr="003E51F7">
        <w:rPr>
          <w:rFonts w:ascii="Arial" w:eastAsia="Arial" w:hAnsi="Arial" w:cs="Arial"/>
          <w:sz w:val="15"/>
          <w:szCs w:val="15"/>
        </w:rPr>
        <w:t>.</w:t>
      </w:r>
    </w:p>
    <w:p w:rsidR="00A32C57" w:rsidRPr="003E51F7" w:rsidRDefault="00A32C57" w:rsidP="003E51F7">
      <w:pPr>
        <w:rPr>
          <w:sz w:val="14"/>
          <w:szCs w:val="14"/>
        </w:rPr>
      </w:pPr>
    </w:p>
    <w:p w:rsidR="00A32C57" w:rsidRPr="003E51F7" w:rsidRDefault="000212B7" w:rsidP="003E51F7">
      <w:pPr>
        <w:ind w:left="110"/>
        <w:rPr>
          <w:rFonts w:ascii="Arial" w:eastAsia="Arial" w:hAnsi="Arial" w:cs="Arial"/>
          <w:sz w:val="15"/>
          <w:szCs w:val="15"/>
        </w:rPr>
      </w:pPr>
      <w:proofErr w:type="spellStart"/>
      <w:r w:rsidRPr="003E51F7">
        <w:rPr>
          <w:rFonts w:ascii="Arial" w:eastAsia="Arial" w:hAnsi="Arial" w:cs="Arial"/>
          <w:sz w:val="15"/>
          <w:szCs w:val="15"/>
        </w:rPr>
        <w:t>Authorised</w:t>
      </w:r>
      <w:proofErr w:type="spellEnd"/>
      <w:r w:rsidRPr="003E51F7">
        <w:rPr>
          <w:rFonts w:ascii="Arial" w:eastAsia="Arial" w:hAnsi="Arial" w:cs="Arial"/>
          <w:sz w:val="15"/>
          <w:szCs w:val="15"/>
        </w:rPr>
        <w:t xml:space="preserve"> by the Victorian Government, 8 Nicholson Street, East Melbourne.</w:t>
      </w:r>
    </w:p>
    <w:p w:rsidR="00A32C57" w:rsidRPr="003E51F7" w:rsidRDefault="00A32C57" w:rsidP="003E51F7">
      <w:pPr>
        <w:rPr>
          <w:sz w:val="14"/>
          <w:szCs w:val="14"/>
        </w:rPr>
      </w:pPr>
    </w:p>
    <w:p w:rsidR="00A32C57" w:rsidRPr="003E51F7" w:rsidRDefault="000212B7" w:rsidP="003E51F7">
      <w:pPr>
        <w:ind w:left="110"/>
        <w:rPr>
          <w:rFonts w:ascii="Arial" w:eastAsia="Arial" w:hAnsi="Arial" w:cs="Arial"/>
          <w:sz w:val="15"/>
          <w:szCs w:val="15"/>
        </w:rPr>
      </w:pPr>
      <w:r w:rsidRPr="003E51F7">
        <w:rPr>
          <w:rFonts w:ascii="Arial" w:eastAsia="Arial" w:hAnsi="Arial" w:cs="Arial"/>
          <w:sz w:val="15"/>
          <w:szCs w:val="15"/>
        </w:rPr>
        <w:t>For more information contact the DEPI Customer Service Centre 136 186</w:t>
      </w:r>
    </w:p>
    <w:p w:rsidR="00A32C57" w:rsidRPr="000212B7" w:rsidRDefault="00A32C57" w:rsidP="003E51F7">
      <w:pPr>
        <w:spacing w:before="8" w:line="190" w:lineRule="exact"/>
        <w:rPr>
          <w:sz w:val="19"/>
          <w:szCs w:val="19"/>
        </w:rPr>
      </w:pPr>
    </w:p>
    <w:p w:rsidR="00A32C57" w:rsidRPr="000212B7" w:rsidRDefault="00A32C57" w:rsidP="003E51F7">
      <w:pPr>
        <w:spacing w:line="200" w:lineRule="exact"/>
        <w:rPr>
          <w:sz w:val="20"/>
          <w:szCs w:val="20"/>
        </w:rPr>
      </w:pPr>
    </w:p>
    <w:p w:rsidR="00A32C57" w:rsidRPr="000212B7" w:rsidRDefault="00A32C57" w:rsidP="003E51F7">
      <w:pPr>
        <w:spacing w:line="200" w:lineRule="exact"/>
        <w:rPr>
          <w:sz w:val="20"/>
          <w:szCs w:val="20"/>
        </w:rPr>
      </w:pPr>
    </w:p>
    <w:p w:rsidR="00A32C57" w:rsidRDefault="00A32C57" w:rsidP="003E51F7">
      <w:pPr>
        <w:spacing w:line="200" w:lineRule="exact"/>
        <w:rPr>
          <w:sz w:val="20"/>
          <w:szCs w:val="20"/>
        </w:rPr>
      </w:pPr>
    </w:p>
    <w:p w:rsidR="003E51F7" w:rsidRDefault="003E51F7" w:rsidP="003E51F7">
      <w:pPr>
        <w:spacing w:line="200" w:lineRule="exact"/>
        <w:rPr>
          <w:sz w:val="20"/>
          <w:szCs w:val="20"/>
        </w:rPr>
      </w:pPr>
    </w:p>
    <w:p w:rsidR="003E51F7" w:rsidRDefault="003E51F7" w:rsidP="003E51F7">
      <w:pPr>
        <w:spacing w:line="200" w:lineRule="exact"/>
        <w:rPr>
          <w:sz w:val="20"/>
          <w:szCs w:val="20"/>
        </w:rPr>
      </w:pPr>
    </w:p>
    <w:p w:rsidR="003E51F7" w:rsidRDefault="003E51F7" w:rsidP="003E51F7">
      <w:pPr>
        <w:spacing w:line="200" w:lineRule="exact"/>
        <w:rPr>
          <w:sz w:val="20"/>
          <w:szCs w:val="20"/>
        </w:rPr>
      </w:pPr>
    </w:p>
    <w:p w:rsidR="003E51F7" w:rsidRDefault="003E51F7" w:rsidP="003E51F7">
      <w:pPr>
        <w:spacing w:line="200" w:lineRule="exact"/>
        <w:rPr>
          <w:sz w:val="20"/>
          <w:szCs w:val="20"/>
        </w:rPr>
      </w:pPr>
    </w:p>
    <w:p w:rsidR="003E51F7" w:rsidRDefault="003E51F7" w:rsidP="003E51F7">
      <w:pPr>
        <w:spacing w:line="200" w:lineRule="exact"/>
        <w:rPr>
          <w:sz w:val="20"/>
          <w:szCs w:val="20"/>
        </w:rPr>
      </w:pPr>
    </w:p>
    <w:p w:rsidR="003E51F7" w:rsidRPr="000212B7" w:rsidRDefault="003E51F7" w:rsidP="003E51F7">
      <w:pPr>
        <w:spacing w:line="200" w:lineRule="exact"/>
        <w:rPr>
          <w:sz w:val="20"/>
          <w:szCs w:val="20"/>
        </w:rPr>
      </w:pPr>
    </w:p>
    <w:p w:rsidR="00A32C57" w:rsidRPr="000212B7" w:rsidRDefault="00A32C57" w:rsidP="003E51F7">
      <w:pPr>
        <w:spacing w:line="200" w:lineRule="exact"/>
        <w:rPr>
          <w:sz w:val="20"/>
          <w:szCs w:val="20"/>
        </w:rPr>
      </w:pPr>
    </w:p>
    <w:p w:rsidR="00A32C57" w:rsidRPr="000212B7" w:rsidRDefault="006E6D5D" w:rsidP="003E51F7">
      <w:pPr>
        <w:pStyle w:val="Heading1"/>
        <w:ind w:left="142"/>
        <w:rPr>
          <w:rFonts w:cs="Arial"/>
        </w:rPr>
      </w:pPr>
      <w:hyperlink r:id="rId8">
        <w:r w:rsidR="000212B7" w:rsidRPr="000212B7">
          <w:rPr>
            <w:rFonts w:cs="Arial"/>
            <w:w w:val="105"/>
          </w:rPr>
          <w:t>ww</w:t>
        </w:r>
        <w:r w:rsidR="000212B7" w:rsidRPr="000212B7">
          <w:rPr>
            <w:rFonts w:cs="Arial"/>
            <w:spacing w:val="-14"/>
            <w:w w:val="105"/>
          </w:rPr>
          <w:t>w</w:t>
        </w:r>
        <w:r w:rsidR="000212B7" w:rsidRPr="000212B7">
          <w:rPr>
            <w:rFonts w:cs="Arial"/>
            <w:w w:val="105"/>
          </w:rPr>
          <w:t>.depi.vic.go</w:t>
        </w:r>
        <w:r w:rsidR="000212B7" w:rsidRPr="000212B7">
          <w:rPr>
            <w:rFonts w:cs="Arial"/>
            <w:spacing w:val="-18"/>
            <w:w w:val="105"/>
          </w:rPr>
          <w:t>v</w:t>
        </w:r>
        <w:r w:rsidR="000212B7" w:rsidRPr="000212B7">
          <w:rPr>
            <w:rFonts w:cs="Arial"/>
            <w:w w:val="105"/>
          </w:rPr>
          <w:t>.au</w:t>
        </w:r>
      </w:hyperlink>
    </w:p>
    <w:p w:rsidR="00A32C57" w:rsidRPr="003E51F7" w:rsidRDefault="000212B7" w:rsidP="003E51F7">
      <w:pPr>
        <w:spacing w:before="82"/>
        <w:ind w:left="110" w:right="215"/>
        <w:rPr>
          <w:rFonts w:ascii="Arial" w:eastAsia="Arial" w:hAnsi="Arial" w:cs="Arial"/>
          <w:sz w:val="15"/>
          <w:szCs w:val="15"/>
        </w:rPr>
      </w:pPr>
      <w:r w:rsidRPr="000212B7">
        <w:br w:type="column"/>
      </w:r>
      <w:r w:rsidRPr="003E51F7">
        <w:rPr>
          <w:rFonts w:ascii="Arial" w:eastAsia="Arial" w:hAnsi="Arial" w:cs="Arial"/>
          <w:b/>
          <w:bCs/>
          <w:sz w:val="15"/>
          <w:szCs w:val="15"/>
        </w:rPr>
        <w:lastRenderedPageBreak/>
        <w:t>Disclaimer</w:t>
      </w:r>
    </w:p>
    <w:p w:rsidR="00A32C57" w:rsidRPr="003E51F7" w:rsidRDefault="00A32C57" w:rsidP="003E51F7">
      <w:pPr>
        <w:spacing w:before="1" w:line="140" w:lineRule="exact"/>
        <w:rPr>
          <w:sz w:val="14"/>
          <w:szCs w:val="14"/>
        </w:rPr>
      </w:pPr>
    </w:p>
    <w:p w:rsidR="00A32C57" w:rsidRPr="003E51F7" w:rsidRDefault="000212B7" w:rsidP="003E51F7">
      <w:pPr>
        <w:spacing w:line="278" w:lineRule="auto"/>
        <w:ind w:left="110" w:right="215"/>
        <w:rPr>
          <w:rFonts w:ascii="Arial" w:eastAsia="Arial" w:hAnsi="Arial" w:cs="Arial"/>
          <w:sz w:val="15"/>
          <w:szCs w:val="15"/>
        </w:rPr>
      </w:pPr>
      <w:r w:rsidRPr="003E51F7">
        <w:rPr>
          <w:rFonts w:ascii="Arial" w:eastAsia="Arial" w:hAnsi="Arial" w:cs="Arial"/>
          <w:sz w:val="15"/>
          <w:szCs w:val="15"/>
        </w:rPr>
        <w:t>This publication may be of assistance to you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p w:rsidR="00A32C57" w:rsidRPr="003E51F7" w:rsidRDefault="00A32C57" w:rsidP="003E51F7">
      <w:pPr>
        <w:spacing w:before="4" w:line="110" w:lineRule="exact"/>
        <w:rPr>
          <w:sz w:val="11"/>
          <w:szCs w:val="11"/>
        </w:rPr>
      </w:pPr>
    </w:p>
    <w:p w:rsidR="00A32C57" w:rsidRPr="003E51F7" w:rsidRDefault="000212B7" w:rsidP="003E51F7">
      <w:pPr>
        <w:ind w:left="110" w:right="215"/>
        <w:rPr>
          <w:rFonts w:ascii="Arial" w:eastAsia="Arial" w:hAnsi="Arial" w:cs="Arial"/>
          <w:sz w:val="15"/>
          <w:szCs w:val="15"/>
        </w:rPr>
      </w:pPr>
      <w:r w:rsidRPr="003E51F7">
        <w:rPr>
          <w:rFonts w:ascii="Arial" w:eastAsia="Arial" w:hAnsi="Arial" w:cs="Arial"/>
          <w:b/>
          <w:bCs/>
          <w:sz w:val="15"/>
          <w:szCs w:val="15"/>
        </w:rPr>
        <w:t>Accessibility</w:t>
      </w:r>
    </w:p>
    <w:p w:rsidR="00A32C57" w:rsidRPr="003E51F7" w:rsidRDefault="00A32C57" w:rsidP="003E51F7">
      <w:pPr>
        <w:spacing w:before="1" w:line="140" w:lineRule="exact"/>
        <w:rPr>
          <w:sz w:val="14"/>
          <w:szCs w:val="14"/>
        </w:rPr>
      </w:pPr>
    </w:p>
    <w:p w:rsidR="00A32C57" w:rsidRPr="003E51F7" w:rsidRDefault="000212B7" w:rsidP="003E51F7">
      <w:pPr>
        <w:spacing w:line="278" w:lineRule="auto"/>
        <w:ind w:left="110" w:right="848"/>
        <w:rPr>
          <w:rFonts w:ascii="Arial" w:eastAsia="Arial" w:hAnsi="Arial" w:cs="Arial"/>
          <w:sz w:val="15"/>
          <w:szCs w:val="15"/>
        </w:rPr>
      </w:pPr>
      <w:r w:rsidRPr="003E51F7">
        <w:rPr>
          <w:rFonts w:ascii="Arial" w:eastAsia="Arial" w:hAnsi="Arial" w:cs="Arial"/>
          <w:sz w:val="15"/>
          <w:szCs w:val="15"/>
        </w:rPr>
        <w:t>If you would like to receive this publication in an accessible format, such as large print or audio, please telephone 136 186,</w:t>
      </w:r>
    </w:p>
    <w:p w:rsidR="00A32C57" w:rsidRPr="003E51F7" w:rsidRDefault="000212B7" w:rsidP="003E51F7">
      <w:pPr>
        <w:spacing w:before="1"/>
        <w:ind w:left="110" w:right="215"/>
        <w:rPr>
          <w:rFonts w:ascii="Arial" w:eastAsia="Arial" w:hAnsi="Arial" w:cs="Arial"/>
          <w:sz w:val="15"/>
          <w:szCs w:val="15"/>
        </w:rPr>
      </w:pPr>
      <w:r w:rsidRPr="003E51F7">
        <w:rPr>
          <w:rFonts w:ascii="Arial" w:eastAsia="Arial" w:hAnsi="Arial" w:cs="Arial"/>
          <w:sz w:val="15"/>
          <w:szCs w:val="15"/>
        </w:rPr>
        <w:t xml:space="preserve">or email </w:t>
      </w:r>
      <w:hyperlink r:id="rId9">
        <w:r w:rsidRPr="003E51F7">
          <w:rPr>
            <w:rFonts w:ascii="Arial" w:eastAsia="Arial" w:hAnsi="Arial" w:cs="Arial"/>
            <w:sz w:val="15"/>
            <w:szCs w:val="15"/>
          </w:rPr>
          <w:t>customer.service@depi.vic.gov.au</w:t>
        </w:r>
      </w:hyperlink>
    </w:p>
    <w:p w:rsidR="00A32C57" w:rsidRPr="000212B7" w:rsidRDefault="00A32C57" w:rsidP="003E51F7">
      <w:pPr>
        <w:spacing w:before="1" w:line="140" w:lineRule="exact"/>
        <w:rPr>
          <w:sz w:val="14"/>
          <w:szCs w:val="14"/>
        </w:rPr>
      </w:pPr>
    </w:p>
    <w:p w:rsidR="00A32C57" w:rsidRPr="003E51F7" w:rsidRDefault="003E51F7" w:rsidP="003E51F7">
      <w:pPr>
        <w:spacing w:line="278" w:lineRule="auto"/>
        <w:ind w:left="110" w:right="800"/>
        <w:rPr>
          <w:rFonts w:ascii="Arial" w:eastAsia="Arial" w:hAnsi="Arial" w:cs="Arial"/>
          <w:sz w:val="15"/>
          <w:szCs w:val="15"/>
        </w:rPr>
      </w:pPr>
      <w:r w:rsidRPr="003E51F7">
        <w:rPr>
          <w:noProof/>
          <w:lang w:val="en-AU" w:eastAsia="en-AU"/>
        </w:rPr>
        <w:drawing>
          <wp:anchor distT="0" distB="0" distL="114300" distR="114300" simplePos="0" relativeHeight="251660288" behindDoc="1" locked="0" layoutInCell="1" allowOverlap="1" wp14:anchorId="0112B846" wp14:editId="4634059C">
            <wp:simplePos x="0" y="0"/>
            <wp:positionH relativeFrom="page">
              <wp:posOffset>5300345</wp:posOffset>
            </wp:positionH>
            <wp:positionV relativeFrom="paragraph">
              <wp:posOffset>811530</wp:posOffset>
            </wp:positionV>
            <wp:extent cx="1079500" cy="452755"/>
            <wp:effectExtent l="0" t="0" r="635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9500" cy="452755"/>
                    </a:xfrm>
                    <a:prstGeom prst="rect">
                      <a:avLst/>
                    </a:prstGeom>
                    <a:noFill/>
                  </pic:spPr>
                </pic:pic>
              </a:graphicData>
            </a:graphic>
            <wp14:sizeRelH relativeFrom="page">
              <wp14:pctWidth>0</wp14:pctWidth>
            </wp14:sizeRelH>
            <wp14:sizeRelV relativeFrom="page">
              <wp14:pctHeight>0</wp14:pctHeight>
            </wp14:sizeRelV>
          </wp:anchor>
        </w:drawing>
      </w:r>
      <w:r w:rsidR="000212B7" w:rsidRPr="003E51F7">
        <w:rPr>
          <w:noProof/>
          <w:lang w:val="en-AU" w:eastAsia="en-AU"/>
        </w:rPr>
        <w:drawing>
          <wp:anchor distT="0" distB="0" distL="114300" distR="114300" simplePos="0" relativeHeight="251659264" behindDoc="1" locked="0" layoutInCell="1" allowOverlap="1" wp14:anchorId="3ECFF501" wp14:editId="4AF701F4">
            <wp:simplePos x="0" y="0"/>
            <wp:positionH relativeFrom="page">
              <wp:posOffset>6459855</wp:posOffset>
            </wp:positionH>
            <wp:positionV relativeFrom="paragraph">
              <wp:posOffset>820302</wp:posOffset>
            </wp:positionV>
            <wp:extent cx="755650" cy="436880"/>
            <wp:effectExtent l="0" t="0" r="6350"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5650" cy="436880"/>
                    </a:xfrm>
                    <a:prstGeom prst="rect">
                      <a:avLst/>
                    </a:prstGeom>
                    <a:noFill/>
                  </pic:spPr>
                </pic:pic>
              </a:graphicData>
            </a:graphic>
            <wp14:sizeRelH relativeFrom="page">
              <wp14:pctWidth>0</wp14:pctWidth>
            </wp14:sizeRelH>
            <wp14:sizeRelV relativeFrom="page">
              <wp14:pctHeight>0</wp14:pctHeight>
            </wp14:sizeRelV>
          </wp:anchor>
        </w:drawing>
      </w:r>
      <w:r w:rsidR="000212B7" w:rsidRPr="003E51F7">
        <w:rPr>
          <w:rFonts w:ascii="Arial" w:eastAsia="Arial" w:hAnsi="Arial" w:cs="Arial"/>
          <w:sz w:val="15"/>
          <w:szCs w:val="15"/>
        </w:rPr>
        <w:t xml:space="preserve">Deaf, hearing impaired or speech impaired? Call us via the National Relay Service on 133 677 or visit </w:t>
      </w:r>
      <w:hyperlink r:id="rId10" w:history="1">
        <w:r w:rsidRPr="00AB7B1B">
          <w:rPr>
            <w:rStyle w:val="Hyperlink"/>
            <w:rFonts w:ascii="Arial" w:eastAsia="Arial" w:hAnsi="Arial" w:cs="Arial"/>
            <w:sz w:val="15"/>
            <w:szCs w:val="15"/>
          </w:rPr>
          <w:t>www.relayservice.com.au</w:t>
        </w:r>
      </w:hyperlink>
    </w:p>
    <w:sectPr w:rsidR="00A32C57" w:rsidRPr="003E51F7">
      <w:type w:val="continuous"/>
      <w:pgSz w:w="11906" w:h="16840"/>
      <w:pgMar w:top="1500" w:right="440" w:bottom="280" w:left="740" w:header="720" w:footer="720" w:gutter="0"/>
      <w:cols w:num="2" w:space="720" w:equalWidth="0">
        <w:col w:w="5099" w:space="400"/>
        <w:col w:w="5227"/>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45256D"/>
    <w:multiLevelType w:val="hybridMultilevel"/>
    <w:tmpl w:val="1B5AACEE"/>
    <w:lvl w:ilvl="0" w:tplc="C226DD36">
      <w:start w:val="1"/>
      <w:numFmt w:val="bullet"/>
      <w:lvlText w:val="•"/>
      <w:lvlJc w:val="left"/>
      <w:pPr>
        <w:ind w:hanging="171"/>
      </w:pPr>
      <w:rPr>
        <w:rFonts w:ascii="Arial" w:eastAsia="Arial" w:hAnsi="Arial" w:hint="default"/>
        <w:w w:val="142"/>
        <w:sz w:val="18"/>
        <w:szCs w:val="18"/>
      </w:rPr>
    </w:lvl>
    <w:lvl w:ilvl="1" w:tplc="2468F63C">
      <w:start w:val="1"/>
      <w:numFmt w:val="bullet"/>
      <w:lvlText w:val="•"/>
      <w:lvlJc w:val="left"/>
      <w:rPr>
        <w:rFonts w:hint="default"/>
      </w:rPr>
    </w:lvl>
    <w:lvl w:ilvl="2" w:tplc="F83A5E2A">
      <w:start w:val="1"/>
      <w:numFmt w:val="bullet"/>
      <w:lvlText w:val="•"/>
      <w:lvlJc w:val="left"/>
      <w:rPr>
        <w:rFonts w:hint="default"/>
      </w:rPr>
    </w:lvl>
    <w:lvl w:ilvl="3" w:tplc="F5369A42">
      <w:start w:val="1"/>
      <w:numFmt w:val="bullet"/>
      <w:lvlText w:val="•"/>
      <w:lvlJc w:val="left"/>
      <w:rPr>
        <w:rFonts w:hint="default"/>
      </w:rPr>
    </w:lvl>
    <w:lvl w:ilvl="4" w:tplc="75304688">
      <w:start w:val="1"/>
      <w:numFmt w:val="bullet"/>
      <w:lvlText w:val="•"/>
      <w:lvlJc w:val="left"/>
      <w:rPr>
        <w:rFonts w:hint="default"/>
      </w:rPr>
    </w:lvl>
    <w:lvl w:ilvl="5" w:tplc="289AF84C">
      <w:start w:val="1"/>
      <w:numFmt w:val="bullet"/>
      <w:lvlText w:val="•"/>
      <w:lvlJc w:val="left"/>
      <w:rPr>
        <w:rFonts w:hint="default"/>
      </w:rPr>
    </w:lvl>
    <w:lvl w:ilvl="6" w:tplc="3E34C886">
      <w:start w:val="1"/>
      <w:numFmt w:val="bullet"/>
      <w:lvlText w:val="•"/>
      <w:lvlJc w:val="left"/>
      <w:rPr>
        <w:rFonts w:hint="default"/>
      </w:rPr>
    </w:lvl>
    <w:lvl w:ilvl="7" w:tplc="6ADA9DD4">
      <w:start w:val="1"/>
      <w:numFmt w:val="bullet"/>
      <w:lvlText w:val="•"/>
      <w:lvlJc w:val="left"/>
      <w:rPr>
        <w:rFonts w:hint="default"/>
      </w:rPr>
    </w:lvl>
    <w:lvl w:ilvl="8" w:tplc="7ECA8A14">
      <w:start w:val="1"/>
      <w:numFmt w:val="bullet"/>
      <w:lvlText w:val="•"/>
      <w:lvlJc w:val="left"/>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2C57"/>
    <w:rsid w:val="000212B7"/>
    <w:rsid w:val="003E51F7"/>
    <w:rsid w:val="00501A17"/>
    <w:rsid w:val="006E6D5D"/>
    <w:rsid w:val="00916078"/>
    <w:rsid w:val="00A14781"/>
    <w:rsid w:val="00A32C57"/>
    <w:rsid w:val="00BE0B6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110"/>
      <w:outlineLvl w:val="0"/>
    </w:pPr>
    <w:rPr>
      <w:rFonts w:ascii="Arial" w:eastAsia="Arial" w:hAnsi="Arial"/>
      <w:sz w:val="24"/>
      <w:szCs w:val="24"/>
    </w:rPr>
  </w:style>
  <w:style w:type="paragraph" w:styleId="Heading2">
    <w:name w:val="heading 2"/>
    <w:basedOn w:val="Normal"/>
    <w:uiPriority w:val="1"/>
    <w:qFormat/>
    <w:pPr>
      <w:ind w:left="110"/>
      <w:outlineLvl w:val="1"/>
    </w:pPr>
    <w:rPr>
      <w:rFonts w:ascii="Arial" w:eastAsia="Arial" w:hAnsi="Arial"/>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0"/>
    </w:pPr>
    <w:rPr>
      <w:rFonts w:ascii="Arial" w:eastAsia="Arial" w:hAnsi="Arial"/>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E51F7"/>
    <w:rPr>
      <w:rFonts w:ascii="Tahoma" w:hAnsi="Tahoma" w:cs="Tahoma"/>
      <w:sz w:val="16"/>
      <w:szCs w:val="16"/>
    </w:rPr>
  </w:style>
  <w:style w:type="character" w:customStyle="1" w:styleId="BalloonTextChar">
    <w:name w:val="Balloon Text Char"/>
    <w:basedOn w:val="DefaultParagraphFont"/>
    <w:link w:val="BalloonText"/>
    <w:uiPriority w:val="99"/>
    <w:semiHidden/>
    <w:rsid w:val="003E51F7"/>
    <w:rPr>
      <w:rFonts w:ascii="Tahoma" w:hAnsi="Tahoma" w:cs="Tahoma"/>
      <w:sz w:val="16"/>
      <w:szCs w:val="16"/>
    </w:rPr>
  </w:style>
  <w:style w:type="character" w:styleId="Hyperlink">
    <w:name w:val="Hyperlink"/>
    <w:basedOn w:val="DefaultParagraphFont"/>
    <w:uiPriority w:val="99"/>
    <w:unhideWhenUsed/>
    <w:rsid w:val="003E51F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110"/>
      <w:outlineLvl w:val="0"/>
    </w:pPr>
    <w:rPr>
      <w:rFonts w:ascii="Arial" w:eastAsia="Arial" w:hAnsi="Arial"/>
      <w:sz w:val="24"/>
      <w:szCs w:val="24"/>
    </w:rPr>
  </w:style>
  <w:style w:type="paragraph" w:styleId="Heading2">
    <w:name w:val="heading 2"/>
    <w:basedOn w:val="Normal"/>
    <w:uiPriority w:val="1"/>
    <w:qFormat/>
    <w:pPr>
      <w:ind w:left="110"/>
      <w:outlineLvl w:val="1"/>
    </w:pPr>
    <w:rPr>
      <w:rFonts w:ascii="Arial" w:eastAsia="Arial" w:hAnsi="Arial"/>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0"/>
    </w:pPr>
    <w:rPr>
      <w:rFonts w:ascii="Arial" w:eastAsia="Arial" w:hAnsi="Arial"/>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E51F7"/>
    <w:rPr>
      <w:rFonts w:ascii="Tahoma" w:hAnsi="Tahoma" w:cs="Tahoma"/>
      <w:sz w:val="16"/>
      <w:szCs w:val="16"/>
    </w:rPr>
  </w:style>
  <w:style w:type="character" w:customStyle="1" w:styleId="BalloonTextChar">
    <w:name w:val="Balloon Text Char"/>
    <w:basedOn w:val="DefaultParagraphFont"/>
    <w:link w:val="BalloonText"/>
    <w:uiPriority w:val="99"/>
    <w:semiHidden/>
    <w:rsid w:val="003E51F7"/>
    <w:rPr>
      <w:rFonts w:ascii="Tahoma" w:hAnsi="Tahoma" w:cs="Tahoma"/>
      <w:sz w:val="16"/>
      <w:szCs w:val="16"/>
    </w:rPr>
  </w:style>
  <w:style w:type="character" w:styleId="Hyperlink">
    <w:name w:val="Hyperlink"/>
    <w:basedOn w:val="DefaultParagraphFont"/>
    <w:uiPriority w:val="99"/>
    <w:unhideWhenUsed/>
    <w:rsid w:val="003E51F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depi.vic.gov.au/" TargetMode="Externa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relayservice.com.au" TargetMode="External"/><Relationship Id="rId4" Type="http://schemas.openxmlformats.org/officeDocument/2006/relationships/settings" Target="settings.xml"/><Relationship Id="rId9" Type="http://schemas.openxmlformats.org/officeDocument/2006/relationships/hyperlink" Target="mailto:customer.service@depi.vic.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1250</Words>
  <Characters>7130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CenITex</Company>
  <LinksUpToDate>false</LinksUpToDate>
  <CharactersWithSpaces>8364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Williams</dc:creator>
  <cp:lastModifiedBy>Ross Campbell</cp:lastModifiedBy>
  <cp:revision>4</cp:revision>
  <dcterms:created xsi:type="dcterms:W3CDTF">2013-10-29T06:27:00Z</dcterms:created>
  <dcterms:modified xsi:type="dcterms:W3CDTF">2013-11-04T02:54:00Z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2013-10-29T00:00:00Z</vt:filetime>
  </property>
  <property fmtid="{D5CDD505-2E9C-101B-9397-08002B2CF9AE}" pid="3" name="LastSaved">
    <vt:filetime>2013-10-28T00:00:00Z</vt:filetime>
  </property>
</Properties>
</file>