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13C7D" w14:textId="77777777" w:rsidR="00712DED" w:rsidRDefault="00712DED" w:rsidP="00712DED">
      <w:pPr>
        <w:pStyle w:val="Heading2"/>
        <w:numPr>
          <w:ilvl w:val="1"/>
          <w:numId w:val="50"/>
        </w:numPr>
      </w:pPr>
      <w:r>
        <w:t>Managing vegetation and large wood in and around waterways</w:t>
      </w:r>
    </w:p>
    <w:p w14:paraId="47F0920A" w14:textId="77777777" w:rsidR="00C45678" w:rsidRDefault="00C45678" w:rsidP="009A65F1">
      <w:pPr>
        <w:pStyle w:val="Header"/>
      </w:pPr>
      <w:r>
        <w:t>Large wood (snags) and flooding</w:t>
      </w:r>
    </w:p>
    <w:p w14:paraId="70C752A3" w14:textId="77777777" w:rsidR="00C45678" w:rsidRDefault="00C45678" w:rsidP="009A65F1">
      <w:pPr>
        <w:pStyle w:val="BodyText"/>
      </w:pPr>
      <w:r>
        <w:t>In the past, large wood – including fallen native trees, logs and branches, sometimes called ‘snags’ – was removed from Victorian waterways to increase the flow of flood water and because of a concern that the large wood caused erosion and damage to infrastructure.</w:t>
      </w:r>
    </w:p>
    <w:p w14:paraId="29BA3A91" w14:textId="77777777" w:rsidR="00C45678" w:rsidRDefault="00C45678" w:rsidP="009A65F1">
      <w:pPr>
        <w:pStyle w:val="BodyText"/>
      </w:pPr>
      <w:r>
        <w:t>However, it is now well recognised that there are significant benefits to keeping wood in waterways, and we have a better understanding of the relationship between large wood, flooding, erosion and infrastructure.</w:t>
      </w:r>
    </w:p>
    <w:p w14:paraId="6865902F" w14:textId="77777777" w:rsidR="00C45678" w:rsidRDefault="00C45678" w:rsidP="009A65F1">
      <w:pPr>
        <w:pStyle w:val="Heading2"/>
      </w:pPr>
      <w:r>
        <w:t>Large wood and flood risk</w:t>
      </w:r>
    </w:p>
    <w:p w14:paraId="1B594E2B" w14:textId="77777777" w:rsidR="00C45678" w:rsidRDefault="00C45678" w:rsidP="009A65F1">
      <w:pPr>
        <w:pStyle w:val="Heading3"/>
      </w:pPr>
      <w:r>
        <w:t>The concern</w:t>
      </w:r>
    </w:p>
    <w:p w14:paraId="4C187B19" w14:textId="77777777" w:rsidR="00C45678" w:rsidRDefault="00C45678" w:rsidP="009A65F1">
      <w:pPr>
        <w:pStyle w:val="BodyText"/>
      </w:pPr>
      <w:r>
        <w:t>Snags, particularly large tree trunks, can impede river flows and lead to increased flooding.</w:t>
      </w:r>
    </w:p>
    <w:p w14:paraId="62373FC1" w14:textId="77777777" w:rsidR="00C45678" w:rsidRDefault="00C45678" w:rsidP="00C45678">
      <w:r>
        <w:t>What we know</w:t>
      </w:r>
    </w:p>
    <w:p w14:paraId="7C95A880" w14:textId="77777777" w:rsidR="00C45678" w:rsidRDefault="00C45678" w:rsidP="009A65F1">
      <w:pPr>
        <w:pStyle w:val="BodyText"/>
      </w:pPr>
      <w:r>
        <w:t>A channel needs to be substantially blocked by wood (&gt;10% of the cross-sectional area of the channel) before there is any measurable effect on flood levels. It is unusual to find anything like that amount of wood in river channels today.</w:t>
      </w:r>
    </w:p>
    <w:p w14:paraId="146E2B17" w14:textId="77777777" w:rsidR="00C45678" w:rsidRDefault="00C45678" w:rsidP="009A65F1">
      <w:pPr>
        <w:pStyle w:val="BodyText"/>
      </w:pPr>
      <w:r>
        <w:t>Also, when flood waters reach the top of the river bank and move onto the floodplain, the wood within the channel has very little impact on the distribution of floodwaters. In fact, a good distribution of wood along streams and rivers helps slow floodwaters and reduce the height of downstream flood peaks.</w:t>
      </w:r>
    </w:p>
    <w:p w14:paraId="6177DD1B" w14:textId="77777777" w:rsidR="00C45678" w:rsidRDefault="00C45678" w:rsidP="009A65F1">
      <w:pPr>
        <w:pStyle w:val="Heading2"/>
      </w:pPr>
      <w:r>
        <w:t>Large wood and bank erosion</w:t>
      </w:r>
    </w:p>
    <w:p w14:paraId="4E6A4726" w14:textId="77777777" w:rsidR="00C45678" w:rsidRDefault="00C45678" w:rsidP="009A65F1">
      <w:pPr>
        <w:pStyle w:val="Heading3"/>
      </w:pPr>
      <w:r>
        <w:t>The concern</w:t>
      </w:r>
    </w:p>
    <w:p w14:paraId="5E385DAF" w14:textId="77777777" w:rsidR="00C45678" w:rsidRDefault="00C45678" w:rsidP="009A65F1">
      <w:pPr>
        <w:pStyle w:val="BodyText"/>
      </w:pPr>
      <w:r>
        <w:t>Snags deflect flows and cause river banks to erode.</w:t>
      </w:r>
    </w:p>
    <w:p w14:paraId="336EFD75" w14:textId="77777777" w:rsidR="00C45678" w:rsidRDefault="00C45678" w:rsidP="009A65F1">
      <w:pPr>
        <w:pStyle w:val="Heading3"/>
      </w:pPr>
      <w:r>
        <w:t>What we know</w:t>
      </w:r>
    </w:p>
    <w:p w14:paraId="43FE4726" w14:textId="77777777" w:rsidR="00C45678" w:rsidRDefault="00C45678" w:rsidP="009A65F1">
      <w:pPr>
        <w:pStyle w:val="BodyText"/>
      </w:pPr>
      <w:r>
        <w:t xml:space="preserve">Erosion is a natural process, and when it occurs around large wood it forms pools and undercuts banks – places that fish, platypus, crayfish and many other plants and animals call home. Not only does large wood provide habitat, it also helps stabilise river beds and banks by </w:t>
      </w:r>
      <w:r w:rsidRPr="00350DF0">
        <w:t>resisting</w:t>
      </w:r>
      <w:r>
        <w:t xml:space="preserve"> and deflecting flows.</w:t>
      </w:r>
    </w:p>
    <w:p w14:paraId="0CFC47E3" w14:textId="77777777" w:rsidR="00C45678" w:rsidRDefault="00C45678" w:rsidP="009A65F1">
      <w:pPr>
        <w:pStyle w:val="BodyText"/>
      </w:pPr>
      <w:r>
        <w:t xml:space="preserve">In fact, wood in the river channel can be an important control of bed and bank erosion by resisting and deflecting flows. Past de-snagging has contributed to the degradation of many Australian rivers. In some cases, de-snagging, especially when combined with </w:t>
      </w:r>
      <w:proofErr w:type="spellStart"/>
      <w:r>
        <w:t>channelisation</w:t>
      </w:r>
      <w:proofErr w:type="spellEnd"/>
      <w:r>
        <w:t xml:space="preserve">, has caused increases in current velocity. This can increase bank and bed erosion, especially in sandy-bed rivers. De-snagging and </w:t>
      </w:r>
      <w:proofErr w:type="spellStart"/>
      <w:r>
        <w:t>channelisation</w:t>
      </w:r>
      <w:proofErr w:type="spellEnd"/>
      <w:r>
        <w:t xml:space="preserve"> have also contributed to increased sedimentation and more severe flooding of downstream reaches.</w:t>
      </w:r>
    </w:p>
    <w:p w14:paraId="455E8317" w14:textId="77777777" w:rsidR="00C45678" w:rsidRDefault="00C45678" w:rsidP="009A65F1">
      <w:pPr>
        <w:pStyle w:val="Heading2"/>
      </w:pPr>
      <w:r>
        <w:t>Large wood and infrastructure</w:t>
      </w:r>
    </w:p>
    <w:p w14:paraId="55D7E8F7" w14:textId="77777777" w:rsidR="00C45678" w:rsidRDefault="00C45678" w:rsidP="009A65F1">
      <w:pPr>
        <w:pStyle w:val="Heading3"/>
      </w:pPr>
      <w:r>
        <w:t>The concern</w:t>
      </w:r>
    </w:p>
    <w:p w14:paraId="57111CE0" w14:textId="77777777" w:rsidR="00C45678" w:rsidRDefault="00C45678" w:rsidP="009A65F1">
      <w:pPr>
        <w:pStyle w:val="BodyText"/>
      </w:pPr>
      <w:r>
        <w:t>Snags can move during floods and damage or destroy structures such as bridges.</w:t>
      </w:r>
    </w:p>
    <w:p w14:paraId="468DB2B6" w14:textId="77777777" w:rsidR="00C45678" w:rsidRDefault="00C45678" w:rsidP="009A65F1">
      <w:pPr>
        <w:pStyle w:val="Heading3"/>
      </w:pPr>
      <w:r>
        <w:t>What we know</w:t>
      </w:r>
    </w:p>
    <w:p w14:paraId="450DDB31" w14:textId="77777777" w:rsidR="00C45678" w:rsidRDefault="00C45678" w:rsidP="009A65F1">
      <w:pPr>
        <w:pStyle w:val="BodyText"/>
      </w:pPr>
      <w:r>
        <w:t>It is relatively difficult for even major flood events to roll large pieces of wood (&gt;2m long) along a river. This is because our native hardwoods, particularly eucalypts, are very heavy and have complex branching structures which enable them to self-anchor in the bed and banks of the river channel.</w:t>
      </w:r>
    </w:p>
    <w:p w14:paraId="3F9EAFEE" w14:textId="77777777" w:rsidR="00C45678" w:rsidRDefault="00C45678" w:rsidP="009A65F1">
      <w:pPr>
        <w:pStyle w:val="BodyText"/>
      </w:pPr>
      <w:r>
        <w:t xml:space="preserve">Damage to infrastructure during floods is generally caused by the accumulation of small pieces of wood (which are more readily mobilised with flow), large native trees that have just fallen (where the </w:t>
      </w:r>
      <w:r>
        <w:lastRenderedPageBreak/>
        <w:t>high energy of the flow keeps them afloat) or wood from introduced trees such as willows (which are much lighter and always float).</w:t>
      </w:r>
    </w:p>
    <w:p w14:paraId="45D02217" w14:textId="77777777" w:rsidR="00C45678" w:rsidRDefault="00C45678" w:rsidP="009A65F1">
      <w:pPr>
        <w:pStyle w:val="Heading2"/>
      </w:pPr>
      <w:r>
        <w:t xml:space="preserve">Managing large wood </w:t>
      </w:r>
    </w:p>
    <w:p w14:paraId="5CB8A405" w14:textId="77777777" w:rsidR="00C45678" w:rsidRDefault="00C45678" w:rsidP="009A65F1">
      <w:pPr>
        <w:pStyle w:val="BodyText"/>
      </w:pPr>
      <w:r>
        <w:t>Large wood creates important habitat in rivers. It provides shelter, food sources and breeding sites for a variety of instream animals, including many fish. Anglers know that for some types of fish, the best place to catch them is around large wood.</w:t>
      </w:r>
    </w:p>
    <w:p w14:paraId="32794196" w14:textId="77777777" w:rsidR="00C45678" w:rsidRDefault="00C45678" w:rsidP="009A65F1">
      <w:pPr>
        <w:pStyle w:val="BodyText"/>
      </w:pPr>
      <w:r>
        <w:t xml:space="preserve">Large wood also stabilises the river channel by slowing the flow. In large lowland rivers, it may be the only stable material in the bed. </w:t>
      </w:r>
    </w:p>
    <w:p w14:paraId="70D5F54D" w14:textId="77777777" w:rsidR="00C45678" w:rsidRDefault="00C45678" w:rsidP="009A65F1">
      <w:pPr>
        <w:pStyle w:val="BodyText"/>
      </w:pPr>
      <w:r>
        <w:t>Large wood also improves water quality by aerating the water that flows over it.</w:t>
      </w:r>
    </w:p>
    <w:p w14:paraId="5B3074B2" w14:textId="77777777" w:rsidR="00C45678" w:rsidRDefault="00C45678" w:rsidP="009A65F1">
      <w:pPr>
        <w:pStyle w:val="BodyText"/>
      </w:pPr>
      <w:r>
        <w:t xml:space="preserve">For these reasons, today’s best practice is to ‘let sleeping </w:t>
      </w:r>
      <w:proofErr w:type="spellStart"/>
      <w:r>
        <w:t>logs</w:t>
      </w:r>
      <w:proofErr w:type="spellEnd"/>
      <w:r>
        <w:t xml:space="preserve"> lie’. However, where recently fallen trees are causing excessive bank erosion or pose a serious risk to public safety, infrastructure or recreational access, intervention may be justified. </w:t>
      </w:r>
    </w:p>
    <w:p w14:paraId="6CF9B5E4" w14:textId="77777777" w:rsidR="00C45678" w:rsidRDefault="00C45678" w:rsidP="009A65F1">
      <w:pPr>
        <w:pStyle w:val="BodyText"/>
      </w:pPr>
      <w:r>
        <w:t>There are several options for managing large wood in river channels, including trimming, realigning, anchoring and selective removal. The first three options should be explored before considering removal.</w:t>
      </w:r>
    </w:p>
    <w:p w14:paraId="42C3D4E1" w14:textId="77777777" w:rsidR="00C45678" w:rsidRDefault="00C45678" w:rsidP="009A65F1">
      <w:pPr>
        <w:pStyle w:val="Heading3"/>
      </w:pPr>
      <w:r>
        <w:t>Trimming</w:t>
      </w:r>
    </w:p>
    <w:p w14:paraId="6DCA888A" w14:textId="77777777" w:rsidR="00C45678" w:rsidRDefault="00C45678" w:rsidP="009A65F1">
      <w:pPr>
        <w:pStyle w:val="BodyText"/>
      </w:pPr>
      <w:r>
        <w:t xml:space="preserve">Trimming generally involves taking off a branch that is directing flow into an asset on a bank or is trapping smaller pieces that then form large accumulations against a bridge, culvert or other infrastructure. </w:t>
      </w:r>
    </w:p>
    <w:p w14:paraId="0DE4F6F2" w14:textId="77777777" w:rsidR="00C45678" w:rsidRDefault="00C45678" w:rsidP="009A65F1">
      <w:pPr>
        <w:pStyle w:val="BodyText"/>
      </w:pPr>
      <w:r>
        <w:t>Trimming may also be appropriate to enable recreational access in some waterways.</w:t>
      </w:r>
    </w:p>
    <w:p w14:paraId="23E2491B" w14:textId="77777777" w:rsidR="00C45678" w:rsidRDefault="00C45678" w:rsidP="009A65F1">
      <w:pPr>
        <w:pStyle w:val="Heading3"/>
      </w:pPr>
      <w:r>
        <w:t>Realigning</w:t>
      </w:r>
    </w:p>
    <w:p w14:paraId="3B1B4436" w14:textId="34C25D35" w:rsidR="00C45678" w:rsidRDefault="00C45678" w:rsidP="009A65F1">
      <w:pPr>
        <w:pStyle w:val="BodyText"/>
      </w:pPr>
      <w:r>
        <w:t>Large wood can be realigned to modify its influence on flow and water levels. Where large wood spans the entire channel, moving large trunks from an orientation perpendicular to the flow so they are at an angle of 20–40º to the stream bank, might assist in improving the flow or recreational access. However, wood realignment can be detrimental to the health of the waterway. Many native fish species require log jams or deep holes which don’t tend to form if the log is realigned against the banks.</w:t>
      </w:r>
    </w:p>
    <w:p w14:paraId="20149653" w14:textId="77777777" w:rsidR="00C45678" w:rsidRDefault="00C45678" w:rsidP="009A65F1">
      <w:pPr>
        <w:pStyle w:val="Heading3"/>
      </w:pPr>
      <w:r>
        <w:t>Anchoring</w:t>
      </w:r>
    </w:p>
    <w:p w14:paraId="50D7A54D" w14:textId="77777777" w:rsidR="00C45678" w:rsidRDefault="00C45678" w:rsidP="009A65F1">
      <w:pPr>
        <w:pStyle w:val="BodyText"/>
      </w:pPr>
      <w:r>
        <w:t>Partial burial of a log and fixing of logs together to form structures may be an effective option where there is concern about the movement of instream wood (natural or reinstated). The photos below show wood being anchored into the bank, and a piece of wood with a complex root structure that will be buried into the bed to stop it from moving.</w:t>
      </w:r>
    </w:p>
    <w:p w14:paraId="7BED48D2" w14:textId="77777777" w:rsidR="00C45678" w:rsidRDefault="00C45678" w:rsidP="009A65F1">
      <w:pPr>
        <w:pStyle w:val="BodyText"/>
      </w:pPr>
      <w:r>
        <w:t>Pinning logs in place with hardwood piles is essential in high energy environments to allow the timber to become saturated and/or collect sufficient sediment (“bond with the bed”) and so prevent them becoming re-mobilised. Partial burial is not sufficient alone as the weakness within the bed will allow the large wood to be readily gouged out by high flows.</w:t>
      </w:r>
    </w:p>
    <w:p w14:paraId="590F95ED" w14:textId="77777777" w:rsidR="00C45678" w:rsidRDefault="00C45678" w:rsidP="009A65F1">
      <w:pPr>
        <w:pStyle w:val="Heading3"/>
      </w:pPr>
      <w:r>
        <w:t xml:space="preserve">Removing </w:t>
      </w:r>
    </w:p>
    <w:p w14:paraId="45F785AE" w14:textId="77777777" w:rsidR="00C45678" w:rsidRDefault="00C45678" w:rsidP="009A65F1">
      <w:pPr>
        <w:pStyle w:val="BodyText"/>
      </w:pPr>
      <w:r>
        <w:t xml:space="preserve">Best practice is to only remove large wood from waterways in extreme circumstances. Realignment or anchoring, rather than removal, is recommended. </w:t>
      </w:r>
    </w:p>
    <w:p w14:paraId="43D04338" w14:textId="77777777" w:rsidR="00C45678" w:rsidRDefault="00C45678" w:rsidP="009A65F1">
      <w:pPr>
        <w:pStyle w:val="BodyText"/>
      </w:pPr>
      <w:r>
        <w:t>Generally, the only situations where large wood should be removed are where a valuable asset is threatened or where safety is a consideration for waterway users, such as water-skiers and canoeists.</w:t>
      </w:r>
    </w:p>
    <w:p w14:paraId="27AFA179" w14:textId="77777777" w:rsidR="00C45678" w:rsidRDefault="00C45678" w:rsidP="009A65F1">
      <w:pPr>
        <w:pStyle w:val="BodyText"/>
      </w:pPr>
      <w:r>
        <w:t>In some cases, removed large wood may be able to be reintroduced into other waterways.</w:t>
      </w:r>
    </w:p>
    <w:p w14:paraId="17D2688A" w14:textId="77777777" w:rsidR="00C45678" w:rsidRDefault="00C45678" w:rsidP="009A65F1">
      <w:pPr>
        <w:pStyle w:val="Heading2"/>
      </w:pPr>
      <w:r>
        <w:t>Approvals</w:t>
      </w:r>
    </w:p>
    <w:p w14:paraId="7E0137D7" w14:textId="77777777" w:rsidR="00C45678" w:rsidRDefault="00C45678" w:rsidP="009A65F1">
      <w:pPr>
        <w:pStyle w:val="BodyText"/>
      </w:pPr>
      <w:r>
        <w:t>Several authorities are responsible for administering legislation and regulations for the management of vegetation in and around waterways.</w:t>
      </w:r>
    </w:p>
    <w:p w14:paraId="0FC83EC6" w14:textId="77777777" w:rsidR="00C45678" w:rsidRDefault="00C45678" w:rsidP="009A65F1">
      <w:pPr>
        <w:pStyle w:val="BodyText"/>
      </w:pPr>
      <w:r>
        <w:lastRenderedPageBreak/>
        <w:t xml:space="preserve">Before undertaking any action, talk with your local catchment management authority (CMA) about your concern and what you are proposing to do. </w:t>
      </w:r>
    </w:p>
    <w:p w14:paraId="101CFB96" w14:textId="77777777" w:rsidR="00C45678" w:rsidRDefault="00C45678" w:rsidP="009A65F1">
      <w:pPr>
        <w:pStyle w:val="Heading3"/>
      </w:pPr>
      <w:r>
        <w:t>Works on waterways permits</w:t>
      </w:r>
    </w:p>
    <w:p w14:paraId="42EC722C" w14:textId="77777777" w:rsidR="00C45678" w:rsidRDefault="00C45678" w:rsidP="009A65F1">
      <w:pPr>
        <w:pStyle w:val="BodyText"/>
      </w:pPr>
      <w:r>
        <w:t>CMAs have a regulatory role in authorising individuals and organisations to carry out works and activities in and affecting waterways</w:t>
      </w:r>
      <w:r>
        <w:rPr>
          <w:sz w:val="15"/>
          <w:szCs w:val="15"/>
          <w:vertAlign w:val="superscript"/>
        </w:rPr>
        <w:footnoteReference w:id="2"/>
      </w:r>
      <w:r>
        <w:t>. Works and activities such as large wood removal will generally need a CMA works on waterways permit</w:t>
      </w:r>
      <w:r>
        <w:rPr>
          <w:sz w:val="15"/>
          <w:szCs w:val="15"/>
          <w:vertAlign w:val="superscript"/>
        </w:rPr>
        <w:footnoteReference w:id="3"/>
      </w:r>
      <w:r>
        <w:t xml:space="preserve"> </w:t>
      </w:r>
      <w:r>
        <w:rPr>
          <w:sz w:val="15"/>
          <w:szCs w:val="15"/>
          <w:vertAlign w:val="superscript"/>
        </w:rPr>
        <w:footnoteReference w:id="4"/>
      </w:r>
      <w:r>
        <w:t xml:space="preserve">. </w:t>
      </w:r>
    </w:p>
    <w:p w14:paraId="03E4E32C" w14:textId="77777777" w:rsidR="00C45678" w:rsidRDefault="00C45678" w:rsidP="009A65F1">
      <w:pPr>
        <w:pStyle w:val="BodyText"/>
      </w:pPr>
      <w:r>
        <w:t>If flood risk is the primary reason for wanting to remove large wood, the CMA may also require you to commission a flood study that will make a hydraulic assessment of the wood. You would need to demonstrate that the benefits associated with removing the wood (i.e. in terms of reduced damage) are greater than any costs to waterway health. As a general principle, the onus of proof in removing large wood to mitigate flood risk lies with those wanting to make the change.</w:t>
      </w:r>
    </w:p>
    <w:p w14:paraId="7EEBB2A6" w14:textId="529D3593" w:rsidR="00C45678" w:rsidRDefault="00C45678" w:rsidP="009A65F1">
      <w:pPr>
        <w:pStyle w:val="BodyText"/>
      </w:pPr>
      <w:r>
        <w:t>If you would like further information on how to obtain a works on waterways permit, please contact your local CMA.</w:t>
      </w:r>
    </w:p>
    <w:p w14:paraId="79A4CF30" w14:textId="77777777" w:rsidR="00C45678" w:rsidRDefault="00C45678" w:rsidP="009A65F1">
      <w:pPr>
        <w:pStyle w:val="Heading3"/>
      </w:pPr>
      <w:r>
        <w:t>Other permits and approvals</w:t>
      </w:r>
    </w:p>
    <w:p w14:paraId="42AD5C8C" w14:textId="4D675F56" w:rsidR="00C45678" w:rsidRDefault="00C45678" w:rsidP="009A65F1">
      <w:pPr>
        <w:pStyle w:val="BodyText"/>
      </w:pPr>
      <w:r>
        <w:t xml:space="preserve">The granting of a works on waterways permit does not exempt an applicant from the need to comply with other legislation, e.g. to comply with Aboriginal cultural heritage legislation. Further information about Aboriginal cultural heritage requirements can be found on the </w:t>
      </w:r>
      <w:hyperlink r:id="rId11" w:history="1">
        <w:r w:rsidRPr="00712DED">
          <w:rPr>
            <w:rStyle w:val="Hyperlink"/>
          </w:rPr>
          <w:t>Aboriginal Victoria</w:t>
        </w:r>
      </w:hyperlink>
      <w:r>
        <w:t xml:space="preserve"> website. </w:t>
      </w:r>
    </w:p>
    <w:p w14:paraId="0FC4474C" w14:textId="18139F34" w:rsidR="00C45678" w:rsidRDefault="00C45678" w:rsidP="009A65F1">
      <w:pPr>
        <w:pStyle w:val="BodyText"/>
      </w:pPr>
      <w:r>
        <w:t xml:space="preserve">The Department of Environment, Land, Water and Planning </w:t>
      </w:r>
      <w:r w:rsidR="003B78BF">
        <w:t xml:space="preserve">(DELWP) </w:t>
      </w:r>
      <w:r>
        <w:t>will also need to give approval if the proposed works and activities occur on Crown land. Most beds and banks of Victorian waterways and nearly 30,000 kilometres of riparian land are Crown land. If you are uncertain whether the riparian land is your private property or Crown land, you can contact DELWP, which can advise you if Crown land abuts your property.</w:t>
      </w:r>
    </w:p>
    <w:p w14:paraId="30E52801" w14:textId="77777777" w:rsidR="00C45678" w:rsidRDefault="00C45678" w:rsidP="009A65F1">
      <w:pPr>
        <w:pStyle w:val="BodyText"/>
      </w:pPr>
      <w:r>
        <w:t xml:space="preserve">The requirement to obtain other approvals is ultimately the responsibility of the applicant. </w:t>
      </w:r>
    </w:p>
    <w:p w14:paraId="00443F3A" w14:textId="58C6A54B" w:rsidR="0034739E" w:rsidRDefault="0034739E" w:rsidP="003D76B4">
      <w:pPr>
        <w:pStyle w:val="Heading2"/>
      </w:pPr>
      <w:r>
        <w:t>Further information</w:t>
      </w:r>
    </w:p>
    <w:p w14:paraId="553A3CE8" w14:textId="77777777" w:rsidR="0034739E" w:rsidRDefault="0034739E" w:rsidP="003D76B4">
      <w:pPr>
        <w:pStyle w:val="BodyText"/>
      </w:pPr>
      <w:r>
        <w:t>This is one of four fact sheets available to provide information about the relationship between waterway vegetation and flooding. The series includes information about managing the vegetation and approvals that may be required for its management:</w:t>
      </w:r>
    </w:p>
    <w:p w14:paraId="363F69E6" w14:textId="77777777" w:rsidR="0034739E" w:rsidRDefault="0034739E" w:rsidP="00BD234F">
      <w:pPr>
        <w:pStyle w:val="BodyText"/>
        <w:ind w:firstLine="567"/>
      </w:pPr>
      <w:bookmarkStart w:id="0" w:name="_GoBack"/>
      <w:bookmarkEnd w:id="0"/>
      <w:r>
        <w:t>Managing vegetation and large wood in and around waterways</w:t>
      </w:r>
    </w:p>
    <w:p w14:paraId="39CE67B5" w14:textId="77777777" w:rsidR="0034739E" w:rsidRDefault="0034739E" w:rsidP="003D76B4">
      <w:pPr>
        <w:pStyle w:val="BodyText"/>
      </w:pPr>
      <w:r>
        <w:tab/>
        <w:t>Large wood (snags) and flooding</w:t>
      </w:r>
    </w:p>
    <w:p w14:paraId="3E6D6BB6" w14:textId="77777777" w:rsidR="0034739E" w:rsidRDefault="0034739E" w:rsidP="003D76B4">
      <w:pPr>
        <w:pStyle w:val="BodyText"/>
      </w:pPr>
      <w:r>
        <w:tab/>
        <w:t>Instream vegetation and flooding</w:t>
      </w:r>
    </w:p>
    <w:p w14:paraId="06CA009C" w14:textId="77777777" w:rsidR="0034739E" w:rsidRDefault="0034739E" w:rsidP="003D76B4">
      <w:pPr>
        <w:pStyle w:val="BodyText"/>
      </w:pPr>
      <w:r>
        <w:tab/>
        <w:t>Riparian (streamside) vegetation and flooding.</w:t>
      </w:r>
    </w:p>
    <w:p w14:paraId="0E860BD5" w14:textId="77777777" w:rsidR="0034739E" w:rsidRDefault="0034739E" w:rsidP="003D76B4">
      <w:pPr>
        <w:pStyle w:val="BodyText"/>
      </w:pPr>
      <w:r>
        <w:t>CMAs and Melbourne Water, as the floodplain and waterway manager for their regions, are the key point of contact to assist with information in this fact sheet and to provide advice and information in relation to local waterways and floodplains.</w:t>
      </w:r>
    </w:p>
    <w:p w14:paraId="4780B5D5" w14:textId="77777777" w:rsidR="0034739E" w:rsidRDefault="0034739E" w:rsidP="003D76B4">
      <w:pPr>
        <w:pStyle w:val="BodyText"/>
      </w:pPr>
      <w:r>
        <w:t xml:space="preserve">East Gippsland CMA </w:t>
      </w:r>
      <w:r>
        <w:tab/>
        <w:t>5152 0600</w:t>
      </w:r>
    </w:p>
    <w:p w14:paraId="2FCC82D9" w14:textId="77777777" w:rsidR="0034739E" w:rsidRDefault="0034739E" w:rsidP="003D76B4">
      <w:pPr>
        <w:pStyle w:val="BodyText"/>
      </w:pPr>
      <w:r>
        <w:t xml:space="preserve">West Gippsland CMA </w:t>
      </w:r>
      <w:r>
        <w:tab/>
        <w:t>1300 094 262</w:t>
      </w:r>
    </w:p>
    <w:p w14:paraId="53C489D6" w14:textId="77777777" w:rsidR="0034739E" w:rsidRDefault="0034739E" w:rsidP="003D76B4">
      <w:pPr>
        <w:pStyle w:val="BodyText"/>
      </w:pPr>
      <w:r>
        <w:t xml:space="preserve">Corangamite CMA </w:t>
      </w:r>
      <w:r>
        <w:tab/>
        <w:t>5232 9100</w:t>
      </w:r>
    </w:p>
    <w:p w14:paraId="35E8A9C4" w14:textId="77777777" w:rsidR="0034739E" w:rsidRDefault="0034739E" w:rsidP="003D76B4">
      <w:pPr>
        <w:pStyle w:val="BodyText"/>
      </w:pPr>
      <w:r>
        <w:t xml:space="preserve">Glenelg Hopkins CMA </w:t>
      </w:r>
      <w:r>
        <w:tab/>
        <w:t>5571 2526</w:t>
      </w:r>
    </w:p>
    <w:p w14:paraId="39C58192" w14:textId="77777777" w:rsidR="0034739E" w:rsidRDefault="0034739E" w:rsidP="003D76B4">
      <w:pPr>
        <w:pStyle w:val="BodyText"/>
      </w:pPr>
      <w:r>
        <w:lastRenderedPageBreak/>
        <w:t xml:space="preserve">Wimmera CMA </w:t>
      </w:r>
      <w:r>
        <w:tab/>
        <w:t>5382 1544</w:t>
      </w:r>
    </w:p>
    <w:p w14:paraId="69088ECF" w14:textId="77777777" w:rsidR="0034739E" w:rsidRDefault="0034739E" w:rsidP="003D76B4">
      <w:pPr>
        <w:pStyle w:val="BodyText"/>
      </w:pPr>
      <w:r>
        <w:t xml:space="preserve">Mallee CMA </w:t>
      </w:r>
      <w:r>
        <w:tab/>
        <w:t>5051 4377</w:t>
      </w:r>
    </w:p>
    <w:p w14:paraId="085B9410" w14:textId="77777777" w:rsidR="0034739E" w:rsidRDefault="0034739E" w:rsidP="003D76B4">
      <w:pPr>
        <w:pStyle w:val="BodyText"/>
      </w:pPr>
      <w:r>
        <w:t>Melbourne Water</w:t>
      </w:r>
      <w:r>
        <w:tab/>
        <w:t>131 722</w:t>
      </w:r>
    </w:p>
    <w:p w14:paraId="3C4BDCC4" w14:textId="77777777" w:rsidR="0034739E" w:rsidRDefault="0034739E" w:rsidP="003D76B4">
      <w:pPr>
        <w:pStyle w:val="BodyText"/>
      </w:pPr>
      <w:r>
        <w:t xml:space="preserve">North Central CMA </w:t>
      </w:r>
      <w:r>
        <w:tab/>
        <w:t>5448 7124</w:t>
      </w:r>
    </w:p>
    <w:p w14:paraId="45611276" w14:textId="77777777" w:rsidR="0034739E" w:rsidRDefault="0034739E" w:rsidP="003D76B4">
      <w:pPr>
        <w:pStyle w:val="BodyText"/>
      </w:pPr>
      <w:r>
        <w:t xml:space="preserve">Goulburn Broken CMA </w:t>
      </w:r>
      <w:r>
        <w:tab/>
        <w:t>5822 7700</w:t>
      </w:r>
    </w:p>
    <w:p w14:paraId="380E08BE" w14:textId="77777777" w:rsidR="0034739E" w:rsidRDefault="0034739E" w:rsidP="003D76B4">
      <w:pPr>
        <w:pStyle w:val="BodyText"/>
      </w:pPr>
      <w:r>
        <w:t xml:space="preserve">North East CMA </w:t>
      </w:r>
      <w:r>
        <w:tab/>
        <w:t>1300 216 513</w:t>
      </w:r>
    </w:p>
    <w:tbl>
      <w:tblPr>
        <w:tblpPr w:leftFromText="181" w:rightFromText="181" w:topFromText="113" w:vertAnchor="page" w:horzAnchor="page" w:tblpX="852" w:tblpY="13269"/>
        <w:tblOverlap w:val="never"/>
        <w:tblW w:w="10205"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16"/>
        <w:gridCol w:w="4989"/>
      </w:tblGrid>
      <w:tr w:rsidR="009A65F1" w14:paraId="007414CD" w14:textId="77777777" w:rsidTr="009408E6">
        <w:trPr>
          <w:trHeight w:val="2608"/>
        </w:trPr>
        <w:tc>
          <w:tcPr>
            <w:tcW w:w="5216" w:type="dxa"/>
            <w:shd w:val="clear" w:color="auto" w:fill="auto"/>
          </w:tcPr>
          <w:p w14:paraId="3E0F0DFE" w14:textId="01C40134" w:rsidR="009A65F1" w:rsidRDefault="009A65F1" w:rsidP="009408E6">
            <w:pPr>
              <w:pStyle w:val="xDisclaimerText"/>
            </w:pP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BD234F">
              <w:rPr>
                <w:noProof/>
              </w:rPr>
              <w:t>2019</w:t>
            </w:r>
            <w:r>
              <w:fldChar w:fldCharType="end"/>
            </w:r>
          </w:p>
          <w:p w14:paraId="6298AFC6" w14:textId="77777777" w:rsidR="009A65F1" w:rsidRDefault="009A65F1" w:rsidP="009408E6">
            <w:pPr>
              <w:pStyle w:val="xDisclaimerText"/>
            </w:pPr>
            <w:r>
              <w:rPr>
                <w:noProof/>
              </w:rPr>
              <w:drawing>
                <wp:anchor distT="0" distB="0" distL="114300" distR="36195" simplePos="0" relativeHeight="251659264" behindDoc="0" locked="1" layoutInCell="1" allowOverlap="1" wp14:anchorId="004EAC82" wp14:editId="653C94E6">
                  <wp:simplePos x="0" y="0"/>
                  <wp:positionH relativeFrom="column">
                    <wp:posOffset>0</wp:posOffset>
                  </wp:positionH>
                  <wp:positionV relativeFrom="paragraph">
                    <wp:posOffset>28575</wp:posOffset>
                  </wp:positionV>
                  <wp:extent cx="658800" cy="237600"/>
                  <wp:effectExtent l="0" t="0" r="8255" b="0"/>
                  <wp:wrapSquare wrapText="bothSides"/>
                  <wp:docPr id="9" name="Picture 9"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12">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This work is licensed under a Creative Commons Attribution 4.0 International licence. You are free to re-use the work under that licence, on the condition that you credit the State of Victoria as aut</w:t>
            </w:r>
            <w:r>
              <w:t>3</w:t>
            </w:r>
            <w:r w:rsidRPr="00405DE3">
              <w:t xml:space="preserve">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169C2B5B" w14:textId="77777777" w:rsidR="009A65F1" w:rsidRDefault="009A65F1" w:rsidP="009408E6">
            <w:pPr>
              <w:pStyle w:val="xDisclaimerText"/>
            </w:pPr>
            <w:r w:rsidRPr="001152E1">
              <w:t>ISBN 978-1-76077-467-7 (pdf/online/MS word)</w:t>
            </w:r>
          </w:p>
          <w:p w14:paraId="0037EF2B" w14:textId="77777777" w:rsidR="009A65F1" w:rsidRPr="008F559C" w:rsidRDefault="009A65F1" w:rsidP="009408E6">
            <w:pPr>
              <w:pStyle w:val="xDisclaimerHeading"/>
            </w:pPr>
            <w:r w:rsidRPr="00C255C2">
              <w:t>Disclaimer</w:t>
            </w:r>
          </w:p>
          <w:p w14:paraId="7CDF056E" w14:textId="77777777" w:rsidR="009A65F1" w:rsidRDefault="009A65F1" w:rsidP="009408E6">
            <w:pPr>
              <w:pStyle w:val="xDisclaimerText"/>
            </w:pPr>
            <w:r w:rsidRPr="00405DE3">
              <w:t xml:space="preserve">This publication may be of assistance to you but the State of Victoria and its </w:t>
            </w:r>
            <w:r>
              <w:br/>
            </w:r>
            <w:r w:rsidRPr="00405DE3">
              <w:t xml:space="preserve">employees do not guarantee that </w:t>
            </w:r>
            <w:r w:rsidRPr="00C255C2">
              <w:t>the</w:t>
            </w:r>
            <w:r w:rsidRPr="00405DE3">
              <w:t xml:space="preserve"> publication is without flaw of any kind or is </w:t>
            </w:r>
            <w:r>
              <w:br/>
            </w:r>
            <w:r w:rsidRPr="00405DE3">
              <w:t xml:space="preserve">wholly appropriate for your particular purposes and therefore disclaims all </w:t>
            </w:r>
            <w:r w:rsidRPr="00C255C2">
              <w:t>liability</w:t>
            </w:r>
            <w:r w:rsidRPr="00405DE3">
              <w:t xml:space="preserve"> </w:t>
            </w:r>
            <w:r>
              <w:br/>
            </w:r>
            <w:r w:rsidRPr="00405DE3">
              <w:t xml:space="preserve">for </w:t>
            </w:r>
            <w:r w:rsidRPr="00C255C2">
              <w:t>any</w:t>
            </w:r>
            <w:r w:rsidRPr="00405DE3">
              <w:t xml:space="preserve"> error, loss or other consequence which may arise from you relying on any information in this publication.</w:t>
            </w:r>
          </w:p>
        </w:tc>
        <w:tc>
          <w:tcPr>
            <w:tcW w:w="4989" w:type="dxa"/>
            <w:shd w:val="clear" w:color="auto" w:fill="auto"/>
          </w:tcPr>
          <w:p w14:paraId="12E051BD" w14:textId="77777777" w:rsidR="009A65F1" w:rsidRPr="00E97294" w:rsidRDefault="009A65F1" w:rsidP="009408E6">
            <w:pPr>
              <w:pStyle w:val="xAccessibilityHeading"/>
            </w:pPr>
            <w:r w:rsidRPr="00E97294">
              <w:t>Accessibility</w:t>
            </w:r>
          </w:p>
          <w:p w14:paraId="42AC7C6D" w14:textId="77777777" w:rsidR="009A65F1" w:rsidRDefault="009A65F1" w:rsidP="009408E6">
            <w:pPr>
              <w:pStyle w:val="xAccessibilityText"/>
            </w:pPr>
            <w:r>
              <w:t xml:space="preserve">If you would like to receive this publication in an alternative format, please telephone the DELWP Customer Service Centre on 136186, email </w:t>
            </w:r>
            <w:hyperlink r:id="rId13" w:history="1">
              <w:r w:rsidRPr="00712DED">
                <w:rPr>
                  <w:u w:val="single"/>
                </w:rPr>
                <w:t>customer.service@delwp.vic.gov.au</w:t>
              </w:r>
            </w:hyperlink>
            <w:r>
              <w:t xml:space="preserve">, or via the National Relay Service on 133 677 </w:t>
            </w:r>
            <w:hyperlink r:id="rId14" w:history="1">
              <w:r w:rsidRPr="00712DED">
                <w:rPr>
                  <w:u w:val="single"/>
                </w:rPr>
                <w:t>www.relayservice.com.au</w:t>
              </w:r>
            </w:hyperlink>
            <w:r>
              <w:t xml:space="preserve">. This document is also available on the internet at </w:t>
            </w:r>
            <w:hyperlink r:id="rId15" w:history="1">
              <w:r w:rsidRPr="00712DED">
                <w:rPr>
                  <w:u w:val="single"/>
                </w:rPr>
                <w:t>www.delwp.vic.gov.au</w:t>
              </w:r>
            </w:hyperlink>
            <w:r>
              <w:t xml:space="preserve">. </w:t>
            </w:r>
          </w:p>
          <w:p w14:paraId="6E2E4759" w14:textId="77777777" w:rsidR="009A65F1" w:rsidRDefault="009A65F1" w:rsidP="009408E6">
            <w:pPr>
              <w:pStyle w:val="xDisclaimerText"/>
            </w:pPr>
          </w:p>
        </w:tc>
      </w:tr>
    </w:tbl>
    <w:p w14:paraId="18A88783" w14:textId="77777777" w:rsidR="00FA3AD9" w:rsidRPr="00806AB6" w:rsidRDefault="00FA3AD9" w:rsidP="0034739E">
      <w:pPr>
        <w:pStyle w:val="BodyText"/>
      </w:pPr>
    </w:p>
    <w:sectPr w:rsidR="00FA3AD9" w:rsidRPr="00806AB6" w:rsidSect="00315E3D">
      <w:headerReference w:type="default" r:id="rId16"/>
      <w:headerReference w:type="first" r:id="rId17"/>
      <w:footerReference w:type="first" r:id="rId18"/>
      <w:type w:val="continuous"/>
      <w:pgSz w:w="11907" w:h="16840" w:code="9"/>
      <w:pgMar w:top="1440" w:right="1440" w:bottom="1440" w:left="1440"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D3B890" w14:textId="77777777" w:rsidR="008D5983" w:rsidRDefault="008D5983">
      <w:r>
        <w:separator/>
      </w:r>
    </w:p>
    <w:p w14:paraId="4F5C56DC" w14:textId="77777777" w:rsidR="008D5983" w:rsidRDefault="008D5983"/>
    <w:p w14:paraId="247D1B01" w14:textId="77777777" w:rsidR="008D5983" w:rsidRDefault="008D5983"/>
  </w:endnote>
  <w:endnote w:type="continuationSeparator" w:id="0">
    <w:p w14:paraId="7F67EF93" w14:textId="77777777" w:rsidR="008D5983" w:rsidRDefault="008D5983">
      <w:r>
        <w:continuationSeparator/>
      </w:r>
    </w:p>
    <w:p w14:paraId="515EE0E6" w14:textId="77777777" w:rsidR="008D5983" w:rsidRDefault="008D5983"/>
    <w:p w14:paraId="3FE6B331" w14:textId="77777777" w:rsidR="008D5983" w:rsidRDefault="008D59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notTrueType/>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6ADB00" w14:textId="77777777" w:rsidR="00D326DF" w:rsidRDefault="00D326DF" w:rsidP="00BF3066">
    <w:pPr>
      <w:pStyle w:val="Footer"/>
      <w:spacing w:before="1600"/>
    </w:pPr>
    <w:r>
      <w:rPr>
        <w:noProof/>
        <w:sz w:val="18"/>
      </w:rPr>
      <mc:AlternateContent>
        <mc:Choice Requires="wps">
          <w:drawing>
            <wp:anchor distT="0" distB="0" distL="114300" distR="114300" simplePos="0" relativeHeight="251662336" behindDoc="0" locked="1" layoutInCell="1" allowOverlap="1" wp14:anchorId="66B68432" wp14:editId="02FA6E66">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1B5612E" w14:textId="77777777" w:rsidR="00D326DF" w:rsidRPr="009F69FA" w:rsidRDefault="00D326DF" w:rsidP="00213C82">
                          <w:bookmarkStart w:id="1" w:name="Here"/>
                          <w:r w:rsidRPr="009F69FA">
                            <w:t>de</w:t>
                          </w:r>
                          <w:r>
                            <w:t>lwp</w:t>
                          </w:r>
                          <w:r w:rsidRPr="009F69FA">
                            <w:t>.vic.gov.au</w:t>
                          </w:r>
                          <w:bookmarkEnd w:id="1"/>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B68432" id="_x0000_t202" coordsize="21600,21600" o:spt="202" path="m,l,21600r21600,l21600,xe">
              <v:stroke joinstyle="miter"/>
              <v:path gradientshapeok="t" o:connecttype="rect"/>
            </v:shapetype>
            <v:shape id="WebAddress" o:spid="_x0000_s1026" type="#_x0000_t202" style="position:absolute;margin-left:0;margin-top:0;width:303pt;height:56.7pt;z-index:251662336;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" filled="f" stroked="f" strokeweight=".5pt">
              <v:textbox inset="15mm">
                <w:txbxContent>
                  <w:p w14:paraId="41B5612E" w14:textId="77777777" w:rsidR="00D326DF" w:rsidRPr="009F69FA" w:rsidRDefault="00D326DF" w:rsidP="00213C82">
                    <w:bookmarkStart w:id="2" w:name="Here"/>
                    <w:r w:rsidRPr="009F69FA">
                      <w:t>de</w:t>
                    </w:r>
                    <w:r>
                      <w:t>lwp</w:t>
                    </w:r>
                    <w:r w:rsidRPr="009F69FA">
                      <w:t>.vic.gov.au</w:t>
                    </w:r>
                    <w:bookmarkEnd w:id="2"/>
                  </w:p>
                </w:txbxContent>
              </v:textbox>
              <w10:wrap anchorx="page" anchory="page"/>
              <w10:anchorlock/>
            </v:shape>
          </w:pict>
        </mc:Fallback>
      </mc:AlternateContent>
    </w:r>
    <w:r>
      <w:rPr>
        <w:noProof/>
        <w:sz w:val="18"/>
      </w:rPr>
      <w:drawing>
        <wp:anchor distT="0" distB="0" distL="114300" distR="114300" simplePos="0" relativeHeight="251660288" behindDoc="1" locked="1" layoutInCell="1" allowOverlap="1" wp14:anchorId="5C69F8AC" wp14:editId="6875D279">
          <wp:simplePos x="0" y="0"/>
          <wp:positionH relativeFrom="page">
            <wp:align>right</wp:align>
          </wp:positionH>
          <wp:positionV relativeFrom="page">
            <wp:align>bottom</wp:align>
          </wp:positionV>
          <wp:extent cx="2422800" cy="1083600"/>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1">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F69714" w14:textId="77777777" w:rsidR="008D5983" w:rsidRPr="00E365EF" w:rsidRDefault="008D5983" w:rsidP="00E365EF">
      <w:pPr>
        <w:pStyle w:val="FootnoteSeparator"/>
        <w:rPr>
          <w:szCs w:val="12"/>
        </w:rPr>
      </w:pPr>
    </w:p>
  </w:footnote>
  <w:footnote w:type="continuationSeparator" w:id="0">
    <w:p w14:paraId="7F34B797" w14:textId="77777777" w:rsidR="008D5983" w:rsidRDefault="008D5983" w:rsidP="008F5280">
      <w:pPr>
        <w:pStyle w:val="FootnoteSeparator"/>
      </w:pPr>
    </w:p>
    <w:p w14:paraId="247429C6" w14:textId="77777777" w:rsidR="008D5983" w:rsidRDefault="008D5983"/>
    <w:p w14:paraId="17734575" w14:textId="77777777" w:rsidR="008D5983" w:rsidRDefault="008D5983"/>
  </w:footnote>
  <w:footnote w:type="continuationNotice" w:id="1">
    <w:p w14:paraId="7247D4FF" w14:textId="77777777" w:rsidR="008D5983" w:rsidRDefault="008D5983" w:rsidP="00D55628"/>
    <w:p w14:paraId="48C33478" w14:textId="77777777" w:rsidR="008D5983" w:rsidRDefault="008D5983"/>
    <w:p w14:paraId="03C0C6C6" w14:textId="77777777" w:rsidR="008D5983" w:rsidRDefault="008D5983"/>
  </w:footnote>
  <w:footnote w:id="2">
    <w:p w14:paraId="5152E904" w14:textId="1FCDF2A2" w:rsidR="00C45678" w:rsidRDefault="00C45678" w:rsidP="00350DF0">
      <w:pPr>
        <w:pStyle w:val="FootnoteText"/>
      </w:pPr>
      <w:r>
        <w:rPr>
          <w:vertAlign w:val="superscript"/>
        </w:rPr>
        <w:footnoteRef/>
      </w:r>
      <w:r>
        <w:tab/>
        <w:t xml:space="preserve"> Melbourne Water is the manager of designated waterways for the Port Phillip region so should be contacted for advice about waterway and riparian management matters in that region. References to CMAs in this fact sheet mean Melbourne Water for the Port Phillip and Westernport region.</w:t>
      </w:r>
    </w:p>
  </w:footnote>
  <w:footnote w:id="3">
    <w:p w14:paraId="53A6B860" w14:textId="620F75F9" w:rsidR="00C45678" w:rsidRDefault="00C45678" w:rsidP="00350DF0">
      <w:pPr>
        <w:pStyle w:val="FootnoteText"/>
      </w:pPr>
      <w:r>
        <w:rPr>
          <w:vertAlign w:val="superscript"/>
        </w:rPr>
        <w:footnoteRef/>
      </w:r>
      <w:r>
        <w:tab/>
        <w:t>The Glenelg Hopkins CMA (GHCMA) does not issue works on waterways permits. It authorises works through issuing a licence under the Water Act. The types of works or activities that can be authorised by the GHCMA and the authorisation process differ from other CMAs.</w:t>
      </w:r>
    </w:p>
  </w:footnote>
  <w:footnote w:id="4">
    <w:p w14:paraId="0D87E191" w14:textId="68B1F9AD" w:rsidR="00C45678" w:rsidRDefault="00C45678" w:rsidP="00350DF0">
      <w:pPr>
        <w:pStyle w:val="FootnoteText"/>
      </w:pPr>
      <w:r>
        <w:rPr>
          <w:vertAlign w:val="superscript"/>
        </w:rPr>
        <w:footnoteRef/>
      </w:r>
      <w:r>
        <w:tab/>
        <w:t xml:space="preserve"> Works on waterways permits are only required for ‘designated’ waterways. These are most waterways in a CMA’s region, but your local CMA will be able to advise whether your waterway is designated.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5A2F6" w14:textId="1D711BAF" w:rsidR="001D0EEF" w:rsidRDefault="001D0EEF" w:rsidP="0034739E">
    <w:pPr>
      <w:pStyle w:val="Heading3"/>
    </w:pPr>
  </w:p>
  <w:p w14:paraId="63A5D2C5" w14:textId="173FDB13" w:rsidR="00D326DF" w:rsidRPr="00E97294" w:rsidRDefault="00D326DF" w:rsidP="0034739E">
    <w:pPr>
      <w:pStyle w:val="Heading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051C1" w14:textId="77777777" w:rsidR="00D326DF" w:rsidRPr="00E97294" w:rsidRDefault="00D326DF" w:rsidP="0034739E">
    <w:pPr>
      <w:pStyle w:val="Heading3"/>
    </w:pPr>
    <w:r w:rsidRPr="00806AB6">
      <w:rPr>
        <w:noProof/>
      </w:rPr>
      <mc:AlternateContent>
        <mc:Choice Requires="wps">
          <w:drawing>
            <wp:anchor distT="0" distB="0" distL="114300" distR="114300" simplePos="0" relativeHeight="251656192" behindDoc="1" locked="0" layoutInCell="1" allowOverlap="1" wp14:anchorId="6FB430E0" wp14:editId="6EC3EBC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30B434" id="TriangleRight" o:spid="_x0000_s1026" style="position:absolute;margin-left:56.7pt;margin-top:22.7pt;width:68.05pt;height:70.8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8240" behindDoc="1" locked="0" layoutInCell="1" allowOverlap="1" wp14:anchorId="6D38E212" wp14:editId="3A45AFF8">
              <wp:simplePos x="0" y="0"/>
              <wp:positionH relativeFrom="page">
                <wp:posOffset>720090</wp:posOffset>
              </wp:positionH>
              <wp:positionV relativeFrom="page">
                <wp:posOffset>1188085</wp:posOffset>
              </wp:positionV>
              <wp:extent cx="864000" cy="900000"/>
              <wp:effectExtent l="0" t="0" r="0" b="0"/>
              <wp:wrapNone/>
              <wp:docPr id="39" name="TriangleBottom"/>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E115940" id="TriangleBottom" o:spid="_x0000_s1026" style="position:absolute;margin-left:56.7pt;margin-top:93.55pt;width:68.05pt;height:70.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563W1wIAANgGAAAOAAAAZHJzL2Uyb0RvYy54bWysVV1v0zAUfUfiP1h+RGJJ2q5bq6UTbBpC&#10;GjBp5Qe4jtNEOL7GdpuOX79rO+nSsi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" path="m,l669,1415,1339,,,xe" fillcolor="#c6e8f6 [3208]" stroked="f">
              <v:path arrowok="t" o:connecttype="custom" o:connectlocs="0,0;431677,900000;864000,0;0,0" o:connectangles="0,0,0,0"/>
              <w10:wrap anchorx="page" anchory="page"/>
            </v:shape>
          </w:pict>
        </mc:Fallback>
      </mc:AlternateContent>
    </w:r>
    <w:r w:rsidRPr="00806AB6">
      <w:rPr>
        <w:noProof/>
      </w:rPr>
      <mc:AlternateContent>
        <mc:Choice Requires="wps">
          <w:drawing>
            <wp:anchor distT="0" distB="0" distL="114300" distR="114300" simplePos="0" relativeHeight="251654144" behindDoc="1" locked="0" layoutInCell="1" allowOverlap="1" wp14:anchorId="1E7C986F" wp14:editId="2CF09DE9">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555A0AD" id="TriangleLeft" o:spid="_x0000_s1026" style="position:absolute;margin-left:22.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71c5e8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3120" behindDoc="1" locked="0" layoutInCell="1" allowOverlap="1" wp14:anchorId="25E6C757" wp14:editId="217A2A5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C317204" id="Rectangle" o:spid="_x0000_s1026" style="position:absolute;margin-left:22.7pt;margin-top:22.7pt;width:552.75pt;height:70.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1248C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DA2E97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75E67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692474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27A2F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FF819D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980F4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87E9AA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60A89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CBAA9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1" w15:restartNumberingAfterBreak="0">
    <w:nsid w:val="081956F9"/>
    <w:multiLevelType w:val="hybridMultilevel"/>
    <w:tmpl w:val="EE8272A6"/>
    <w:lvl w:ilvl="0" w:tplc="E244F3CE">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09757B7A"/>
    <w:multiLevelType w:val="hybridMultilevel"/>
    <w:tmpl w:val="7284B6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C351215"/>
    <w:multiLevelType w:val="multilevel"/>
    <w:tmpl w:val="69E4DCAE"/>
    <w:name w:val="DELWPHeadings"/>
    <w:lvl w:ilvl="0">
      <w:start w:val="1"/>
      <w:numFmt w:val="none"/>
      <w:lvlRestart w:val="0"/>
      <w:suff w:val="nothing"/>
      <w:lvlText w:val=""/>
      <w:lvlJc w:val="left"/>
      <w:pPr>
        <w:ind w:left="0" w:firstLine="0"/>
      </w:pPr>
      <w:rPr>
        <w:rFonts w:hint="default"/>
        <w:color w:val="71C5E8"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14" w15:restartNumberingAfterBreak="0">
    <w:nsid w:val="0FB2573F"/>
    <w:multiLevelType w:val="multilevel"/>
    <w:tmpl w:val="D18EE714"/>
    <w:name w:val="TableFootnotes"/>
    <w:lvl w:ilvl="0">
      <w:start w:val="1"/>
      <w:numFmt w:val="lowerLetter"/>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15"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16" w15:restartNumberingAfterBreak="0">
    <w:nsid w:val="1A7B1B71"/>
    <w:multiLevelType w:val="hybridMultilevel"/>
    <w:tmpl w:val="D9704CB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F275C51"/>
    <w:multiLevelType w:val="multilevel"/>
    <w:tmpl w:val="14E88F38"/>
    <w:name w:val="DEPIListAlpha"/>
    <w:lvl w:ilvl="0">
      <w:start w:val="1"/>
      <w:numFmt w:val="lowerLetter"/>
      <w:lvlText w:val="%1."/>
      <w:lvlJc w:val="left"/>
      <w:pPr>
        <w:ind w:left="340" w:hanging="340"/>
      </w:pPr>
      <w:rPr>
        <w:rFonts w:hint="default"/>
      </w:rPr>
    </w:lvl>
    <w:lvl w:ilvl="1">
      <w:start w:val="1"/>
      <w:numFmt w:val="lowerRoman"/>
      <w:lvlText w:val="%2."/>
      <w:lvlJc w:val="left"/>
      <w:pPr>
        <w:ind w:left="709" w:hanging="369"/>
      </w:pPr>
      <w:rPr>
        <w:rFonts w:hint="default"/>
      </w:rPr>
    </w:lvl>
    <w:lvl w:ilvl="2">
      <w:start w:val="1"/>
      <w:numFmt w:val="bullet"/>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18" w15:restartNumberingAfterBreak="0">
    <w:nsid w:val="2C72580B"/>
    <w:multiLevelType w:val="multilevel"/>
    <w:tmpl w:val="151AC338"/>
    <w:name w:val="PullOutBoxNumbering"/>
    <w:lvl w:ilvl="0">
      <w:start w:val="1"/>
      <w:numFmt w:val="decimal"/>
      <w:lvlText w:val="%1."/>
      <w:lvlJc w:val="left"/>
      <w:pPr>
        <w:tabs>
          <w:tab w:val="num" w:pos="482"/>
        </w:tabs>
        <w:ind w:left="482" w:hanging="340"/>
      </w:pPr>
      <w:rPr>
        <w:rFonts w:hint="default"/>
      </w:rPr>
    </w:lvl>
    <w:lvl w:ilvl="1">
      <w:start w:val="1"/>
      <w:numFmt w:val="lowerLetter"/>
      <w:lvlText w:val="%2."/>
      <w:lvlJc w:val="left"/>
      <w:pPr>
        <w:tabs>
          <w:tab w:val="num" w:pos="822"/>
        </w:tabs>
        <w:ind w:left="822" w:hanging="340"/>
      </w:pPr>
      <w:rPr>
        <w:rFonts w:hint="default"/>
        <w:color w:val="363534" w:themeColor="text1"/>
      </w:rPr>
    </w:lvl>
    <w:lvl w:ilvl="2">
      <w:start w:val="1"/>
      <w:numFmt w:val="lowerRoman"/>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38723AD4"/>
    <w:multiLevelType w:val="multilevel"/>
    <w:tmpl w:val="C3FC21F4"/>
    <w:name w:val="DEPIPullOutBoxBullets"/>
    <w:lvl w:ilvl="0">
      <w:start w:val="1"/>
      <w:numFmt w:val="bullet"/>
      <w:lvlText w:val="•"/>
      <w:lvlJc w:val="left"/>
      <w:pPr>
        <w:tabs>
          <w:tab w:val="num" w:pos="567"/>
        </w:tabs>
        <w:ind w:left="312" w:hanging="170"/>
      </w:pPr>
      <w:rPr>
        <w:rFonts w:ascii="Calibri" w:hAnsi="Calibri" w:hint="default"/>
        <w:color w:val="363534" w:themeColor="text1"/>
        <w:sz w:val="20"/>
      </w:rPr>
    </w:lvl>
    <w:lvl w:ilvl="1">
      <w:start w:val="1"/>
      <w:numFmt w:val="bullet"/>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2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1F21788"/>
    <w:multiLevelType w:val="multilevel"/>
    <w:tmpl w:val="AEEC30DE"/>
    <w:lvl w:ilvl="0">
      <w:start w:val="1"/>
      <w:numFmt w:va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4D545EC4"/>
    <w:multiLevelType w:val="multilevel"/>
    <w:tmpl w:val="F5322460"/>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2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2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26" w15:restartNumberingAfterBreak="0">
    <w:nsid w:val="53650E12"/>
    <w:multiLevelType w:val="hybridMultilevel"/>
    <w:tmpl w:val="47944B7A"/>
    <w:lvl w:ilvl="0" w:tplc="10222A8A">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28"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29" w15:restartNumberingAfterBreak="0">
    <w:nsid w:val="67962A4D"/>
    <w:multiLevelType w:val="multilevel"/>
    <w:tmpl w:val="D58626A6"/>
    <w:lvl w:ilvl="0">
      <w:start w:val="1"/>
      <w:numFmt w:val="bullet"/>
      <w:lvlText w:val="•"/>
      <w:lvlJc w:val="left"/>
      <w:pPr>
        <w:tabs>
          <w:tab w:val="num" w:pos="567"/>
        </w:tabs>
        <w:ind w:left="312" w:hanging="170"/>
      </w:pPr>
      <w:rPr>
        <w:rFonts w:ascii="Calibri" w:hAnsi="Calibri" w:hint="default"/>
        <w:color w:val="auto"/>
        <w:sz w:val="20"/>
      </w:rPr>
    </w:lvl>
    <w:lvl w:ilvl="1">
      <w:start w:val="1"/>
      <w:numFmt w:val="bullet"/>
      <w:lvlText w:val="–"/>
      <w:lvlJc w:val="left"/>
      <w:pPr>
        <w:tabs>
          <w:tab w:val="num" w:pos="851"/>
        </w:tabs>
        <w:ind w:left="482" w:hanging="170"/>
      </w:pPr>
      <w:rPr>
        <w:rFonts w:ascii="Calibri" w:hAnsi="Calibri" w:cs="Times New Roman" w:hint="default"/>
        <w:b w:val="0"/>
        <w:i w:val="0"/>
        <w:color w:val="auto"/>
        <w:position w:val="2"/>
        <w:sz w:val="20"/>
      </w:rPr>
    </w:lvl>
    <w:lvl w:ilvl="2">
      <w:start w:val="1"/>
      <w:numFmt w:val="bullet"/>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30" w15:restartNumberingAfterBreak="0">
    <w:nsid w:val="6D1D40AC"/>
    <w:multiLevelType w:val="multilevel"/>
    <w:tmpl w:val="4A4219B0"/>
    <w:name w:val="TableNumbering"/>
    <w:lvl w:ilvl="0">
      <w:start w:val="1"/>
      <w:numFmt w:val="decimal"/>
      <w:lvlText w:val="%1."/>
      <w:lvlJc w:val="left"/>
      <w:pPr>
        <w:tabs>
          <w:tab w:val="num" w:pos="482"/>
        </w:tabs>
        <w:ind w:left="482" w:hanging="369"/>
      </w:pPr>
      <w:rPr>
        <w:rFonts w:hint="default"/>
      </w:rPr>
    </w:lvl>
    <w:lvl w:ilvl="1">
      <w:start w:val="1"/>
      <w:numFmt w:val="lowerLetter"/>
      <w:lvlText w:val="%2."/>
      <w:lvlJc w:val="left"/>
      <w:pPr>
        <w:tabs>
          <w:tab w:val="num" w:pos="822"/>
        </w:tabs>
        <w:ind w:left="822" w:hanging="340"/>
      </w:pPr>
      <w:rPr>
        <w:rFonts w:hint="default"/>
      </w:rPr>
    </w:lvl>
    <w:lvl w:ilvl="2">
      <w:start w:val="1"/>
      <w:numFmt w:val="lowerRoman"/>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31"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32" w15:restartNumberingAfterBreak="0">
    <w:nsid w:val="727F4964"/>
    <w:multiLevelType w:val="multilevel"/>
    <w:tmpl w:val="B0509158"/>
    <w:lvl w:ilvl="0">
      <w:start w:val="1"/>
      <w:numFmt w:val="decimal"/>
      <w:lvlText w:val="%1."/>
      <w:lvlJc w:val="left"/>
      <w:pPr>
        <w:tabs>
          <w:tab w:val="num" w:pos="340"/>
        </w:tabs>
        <w:ind w:left="340" w:hanging="340"/>
      </w:pPr>
      <w:rPr>
        <w:rFonts w:hint="default"/>
        <w:color w:val="363534" w:themeColor="text1"/>
        <w:spacing w:val="0"/>
        <w:sz w:val="22"/>
      </w:rPr>
    </w:lvl>
    <w:lvl w:ilvl="1">
      <w:start w:val="1"/>
      <w:numFmt w:val="lowerLetter"/>
      <w:lvlText w:val="%2."/>
      <w:lvlJc w:val="left"/>
      <w:pPr>
        <w:tabs>
          <w:tab w:val="num" w:pos="680"/>
        </w:tabs>
        <w:ind w:left="680" w:hanging="340"/>
      </w:pPr>
      <w:rPr>
        <w:rFonts w:hint="default"/>
        <w:color w:val="363534" w:themeColor="text1"/>
        <w:spacing w:val="0"/>
        <w:sz w:val="22"/>
      </w:rPr>
    </w:lvl>
    <w:lvl w:ilvl="2">
      <w:start w:val="1"/>
      <w:numFmt w:val="lowerRoman"/>
      <w:lvlText w:val="%3."/>
      <w:lvlJc w:val="left"/>
      <w:pPr>
        <w:tabs>
          <w:tab w:val="num" w:pos="1049"/>
        </w:tabs>
        <w:ind w:left="1049" w:hanging="369"/>
      </w:pPr>
      <w:rPr>
        <w:rFonts w:hint="default"/>
        <w:color w:val="363534" w:themeColor="text1"/>
        <w:spacing w:val="0"/>
        <w:position w:val="0"/>
        <w:sz w:val="22"/>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3" w15:restartNumberingAfterBreak="0">
    <w:nsid w:val="73F12C63"/>
    <w:multiLevelType w:val="hybridMultilevel"/>
    <w:tmpl w:val="C1FEAE22"/>
    <w:lvl w:ilvl="0" w:tplc="07362070">
      <w:start w:val="1"/>
      <w:numFmt w:val="bullet"/>
      <w:lvlText w:val="•"/>
      <w:lvlJc w:val="left"/>
      <w:pPr>
        <w:ind w:left="587" w:hanging="360"/>
      </w:pPr>
      <w:rPr>
        <w:rFonts w:ascii="Arial" w:hAnsi="Arial" w:hint="default"/>
        <w:color w:val="FFFFFF"/>
        <w:sz w:val="22"/>
        <w:szCs w:val="18"/>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34"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35" w15:restartNumberingAfterBreak="0">
    <w:nsid w:val="7943545C"/>
    <w:multiLevelType w:val="hybridMultilevel"/>
    <w:tmpl w:val="4406ED5E"/>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21"/>
  </w:num>
  <w:num w:numId="2">
    <w:abstractNumId w:val="30"/>
  </w:num>
  <w:num w:numId="3">
    <w:abstractNumId w:val="27"/>
  </w:num>
  <w:num w:numId="4">
    <w:abstractNumId w:val="34"/>
  </w:num>
  <w:num w:numId="5">
    <w:abstractNumId w:val="18"/>
  </w:num>
  <w:num w:numId="6">
    <w:abstractNumId w:val="14"/>
  </w:num>
  <w:num w:numId="7">
    <w:abstractNumId w:val="13"/>
  </w:num>
  <w:num w:numId="8">
    <w:abstractNumId w:val="10"/>
  </w:num>
  <w:num w:numId="9">
    <w:abstractNumId w:val="31"/>
  </w:num>
  <w:num w:numId="10">
    <w:abstractNumId w:val="15"/>
  </w:num>
  <w:num w:numId="11">
    <w:abstractNumId w:val="19"/>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6"/>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3"/>
  </w:num>
  <w:num w:numId="28">
    <w:abstractNumId w:val="33"/>
    <w:lvlOverride w:ilvl="0">
      <w:startOverride w:val="1"/>
    </w:lvlOverride>
  </w:num>
  <w:num w:numId="29">
    <w:abstractNumId w:val="22"/>
  </w:num>
  <w:num w:numId="30">
    <w:abstractNumId w:val="32"/>
  </w:num>
  <w:num w:numId="31">
    <w:abstractNumId w:val="8"/>
  </w:num>
  <w:num w:numId="32">
    <w:abstractNumId w:val="29"/>
  </w:num>
  <w:num w:numId="33">
    <w:abstractNumId w:val="23"/>
  </w:num>
  <w:num w:numId="34">
    <w:abstractNumId w:val="9"/>
  </w:num>
  <w:num w:numId="35">
    <w:abstractNumId w:val="7"/>
  </w:num>
  <w:num w:numId="36">
    <w:abstractNumId w:val="6"/>
  </w:num>
  <w:num w:numId="37">
    <w:abstractNumId w:val="5"/>
  </w:num>
  <w:num w:numId="38">
    <w:abstractNumId w:val="4"/>
  </w:num>
  <w:num w:numId="39">
    <w:abstractNumId w:val="1"/>
  </w:num>
  <w:num w:numId="40">
    <w:abstractNumId w:val="0"/>
  </w:num>
  <w:num w:numId="41">
    <w:abstractNumId w:val="3"/>
  </w:num>
  <w:num w:numId="42">
    <w:abstractNumId w:val="2"/>
  </w:num>
  <w:num w:numId="43">
    <w:abstractNumId w:val="11"/>
  </w:num>
  <w:num w:numId="44">
    <w:abstractNumId w:val="12"/>
  </w:num>
  <w:num w:numId="45">
    <w:abstractNumId w:val="11"/>
  </w:num>
  <w:num w:numId="46">
    <w:abstractNumId w:val="35"/>
  </w:num>
  <w:num w:numId="47">
    <w:abstractNumId w:val="16"/>
  </w:num>
  <w:num w:numId="48">
    <w:abstractNumId w:val="13"/>
  </w:num>
  <w:num w:numId="49">
    <w:abstractNumId w:val="13"/>
  </w:num>
  <w:num w:numId="5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US" w:vendorID="64" w:dllVersion="0" w:nlCheck="1" w:checkStyle="1"/>
  <w:activeWritingStyle w:appName="MSWord" w:lang="en-AU" w:vendorID="64" w:dllVersion="0" w:nlCheck="1" w:checkStyle="1"/>
  <w:activeWritingStyle w:appName="MSWord" w:lang="en-AU" w:vendorID="64" w:dllVersion="6" w:nlCheck="1" w:checkStyle="1"/>
  <w:activeWritingStyle w:appName="MSWord" w:lang="en-GB" w:vendorID="64" w:dllVersion="6" w:nlCheck="1"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4097"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5C7701"/>
    <w:rsid w:val="0000017F"/>
    <w:rsid w:val="00000279"/>
    <w:rsid w:val="000004BD"/>
    <w:rsid w:val="00000B7A"/>
    <w:rsid w:val="00000C89"/>
    <w:rsid w:val="00000FEB"/>
    <w:rsid w:val="000012BE"/>
    <w:rsid w:val="00001E86"/>
    <w:rsid w:val="00001F76"/>
    <w:rsid w:val="000024EB"/>
    <w:rsid w:val="0000279C"/>
    <w:rsid w:val="000028B4"/>
    <w:rsid w:val="00002DE1"/>
    <w:rsid w:val="000038F7"/>
    <w:rsid w:val="00003960"/>
    <w:rsid w:val="00004237"/>
    <w:rsid w:val="0000456E"/>
    <w:rsid w:val="00004641"/>
    <w:rsid w:val="0000491E"/>
    <w:rsid w:val="00004CA4"/>
    <w:rsid w:val="00005261"/>
    <w:rsid w:val="00005647"/>
    <w:rsid w:val="0000591C"/>
    <w:rsid w:val="00005CD1"/>
    <w:rsid w:val="00006000"/>
    <w:rsid w:val="00006769"/>
    <w:rsid w:val="000068D4"/>
    <w:rsid w:val="00006A2C"/>
    <w:rsid w:val="00006F08"/>
    <w:rsid w:val="000079BC"/>
    <w:rsid w:val="00010A57"/>
    <w:rsid w:val="00010AAD"/>
    <w:rsid w:val="00010E3F"/>
    <w:rsid w:val="00010FAD"/>
    <w:rsid w:val="0001107C"/>
    <w:rsid w:val="000114BD"/>
    <w:rsid w:val="000118FD"/>
    <w:rsid w:val="00011926"/>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1A4"/>
    <w:rsid w:val="0004263E"/>
    <w:rsid w:val="000430CC"/>
    <w:rsid w:val="000430E6"/>
    <w:rsid w:val="00043650"/>
    <w:rsid w:val="00043BC5"/>
    <w:rsid w:val="00043E65"/>
    <w:rsid w:val="000441FC"/>
    <w:rsid w:val="00044882"/>
    <w:rsid w:val="00044BDC"/>
    <w:rsid w:val="000455E1"/>
    <w:rsid w:val="00045AA1"/>
    <w:rsid w:val="0004622F"/>
    <w:rsid w:val="00046864"/>
    <w:rsid w:val="00046EBE"/>
    <w:rsid w:val="00046EE3"/>
    <w:rsid w:val="0004719E"/>
    <w:rsid w:val="000473A1"/>
    <w:rsid w:val="0004761D"/>
    <w:rsid w:val="00047C72"/>
    <w:rsid w:val="00047CE9"/>
    <w:rsid w:val="000501F1"/>
    <w:rsid w:val="00050257"/>
    <w:rsid w:val="00050487"/>
    <w:rsid w:val="000504A5"/>
    <w:rsid w:val="000507C3"/>
    <w:rsid w:val="00052234"/>
    <w:rsid w:val="00052463"/>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283"/>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252"/>
    <w:rsid w:val="000838A2"/>
    <w:rsid w:val="00083917"/>
    <w:rsid w:val="00083CD6"/>
    <w:rsid w:val="00084187"/>
    <w:rsid w:val="00084CB1"/>
    <w:rsid w:val="00085689"/>
    <w:rsid w:val="0008568F"/>
    <w:rsid w:val="0008745F"/>
    <w:rsid w:val="000908D6"/>
    <w:rsid w:val="0009125C"/>
    <w:rsid w:val="000913AD"/>
    <w:rsid w:val="00091F49"/>
    <w:rsid w:val="0009214D"/>
    <w:rsid w:val="00092500"/>
    <w:rsid w:val="00093051"/>
    <w:rsid w:val="000935F8"/>
    <w:rsid w:val="000938C5"/>
    <w:rsid w:val="00093B9C"/>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97EEE"/>
    <w:rsid w:val="000A0179"/>
    <w:rsid w:val="000A04B4"/>
    <w:rsid w:val="000A055B"/>
    <w:rsid w:val="000A059B"/>
    <w:rsid w:val="000A05D6"/>
    <w:rsid w:val="000A09AD"/>
    <w:rsid w:val="000A0D74"/>
    <w:rsid w:val="000A143B"/>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3A0"/>
    <w:rsid w:val="000B0536"/>
    <w:rsid w:val="000B06A6"/>
    <w:rsid w:val="000B0959"/>
    <w:rsid w:val="000B0A6B"/>
    <w:rsid w:val="000B11F1"/>
    <w:rsid w:val="000B167B"/>
    <w:rsid w:val="000B1B52"/>
    <w:rsid w:val="000B1D81"/>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955"/>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0A7"/>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709"/>
    <w:rsid w:val="000E4B54"/>
    <w:rsid w:val="000E53BD"/>
    <w:rsid w:val="000E55A2"/>
    <w:rsid w:val="000E57F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2D9C"/>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BE6"/>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352"/>
    <w:rsid w:val="001137CE"/>
    <w:rsid w:val="00113C4C"/>
    <w:rsid w:val="00113CDC"/>
    <w:rsid w:val="00113DD9"/>
    <w:rsid w:val="0011467A"/>
    <w:rsid w:val="00114751"/>
    <w:rsid w:val="0011484F"/>
    <w:rsid w:val="001148DA"/>
    <w:rsid w:val="00114F21"/>
    <w:rsid w:val="00114F4E"/>
    <w:rsid w:val="001152E1"/>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51"/>
    <w:rsid w:val="00127385"/>
    <w:rsid w:val="00127410"/>
    <w:rsid w:val="0012741A"/>
    <w:rsid w:val="00127532"/>
    <w:rsid w:val="00127F2F"/>
    <w:rsid w:val="001300CB"/>
    <w:rsid w:val="001306D2"/>
    <w:rsid w:val="001307D9"/>
    <w:rsid w:val="00131311"/>
    <w:rsid w:val="001314EF"/>
    <w:rsid w:val="001315CE"/>
    <w:rsid w:val="0013248A"/>
    <w:rsid w:val="001325D7"/>
    <w:rsid w:val="00132744"/>
    <w:rsid w:val="00132777"/>
    <w:rsid w:val="00133770"/>
    <w:rsid w:val="00133A4B"/>
    <w:rsid w:val="00133A9C"/>
    <w:rsid w:val="00133BB0"/>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B74"/>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CB0"/>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0DF0"/>
    <w:rsid w:val="001811ED"/>
    <w:rsid w:val="0018138B"/>
    <w:rsid w:val="0018157F"/>
    <w:rsid w:val="00182759"/>
    <w:rsid w:val="0018296A"/>
    <w:rsid w:val="00182986"/>
    <w:rsid w:val="00183265"/>
    <w:rsid w:val="00183DC3"/>
    <w:rsid w:val="00183F0D"/>
    <w:rsid w:val="0018400C"/>
    <w:rsid w:val="00184CAB"/>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09B9"/>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19DE"/>
    <w:rsid w:val="001A1F45"/>
    <w:rsid w:val="001A245B"/>
    <w:rsid w:val="001A25AC"/>
    <w:rsid w:val="001A37A6"/>
    <w:rsid w:val="001A4197"/>
    <w:rsid w:val="001A45A0"/>
    <w:rsid w:val="001A4BB8"/>
    <w:rsid w:val="001A50A5"/>
    <w:rsid w:val="001A548E"/>
    <w:rsid w:val="001A5625"/>
    <w:rsid w:val="001A5802"/>
    <w:rsid w:val="001A677B"/>
    <w:rsid w:val="001A7616"/>
    <w:rsid w:val="001A788D"/>
    <w:rsid w:val="001A7B61"/>
    <w:rsid w:val="001A7F0C"/>
    <w:rsid w:val="001B025E"/>
    <w:rsid w:val="001B0562"/>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3872"/>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0EEF"/>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970"/>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B41"/>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CE"/>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91"/>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6F4"/>
    <w:rsid w:val="00244B6B"/>
    <w:rsid w:val="002454C8"/>
    <w:rsid w:val="00245790"/>
    <w:rsid w:val="00245971"/>
    <w:rsid w:val="00245CE9"/>
    <w:rsid w:val="00245E00"/>
    <w:rsid w:val="00246012"/>
    <w:rsid w:val="00246CFF"/>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6F3"/>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A7B"/>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B4A"/>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A29"/>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0E8"/>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1F1"/>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1D4D"/>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E3D"/>
    <w:rsid w:val="00315F65"/>
    <w:rsid w:val="00316EE5"/>
    <w:rsid w:val="003177C7"/>
    <w:rsid w:val="00317B03"/>
    <w:rsid w:val="00317B60"/>
    <w:rsid w:val="00320164"/>
    <w:rsid w:val="00320D1D"/>
    <w:rsid w:val="00320E0A"/>
    <w:rsid w:val="00320EC0"/>
    <w:rsid w:val="00321110"/>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B2E"/>
    <w:rsid w:val="00336F65"/>
    <w:rsid w:val="003370FB"/>
    <w:rsid w:val="00337980"/>
    <w:rsid w:val="00337989"/>
    <w:rsid w:val="00340C4D"/>
    <w:rsid w:val="00341DE0"/>
    <w:rsid w:val="003420E0"/>
    <w:rsid w:val="00342173"/>
    <w:rsid w:val="00342444"/>
    <w:rsid w:val="003428F3"/>
    <w:rsid w:val="00342C49"/>
    <w:rsid w:val="00342D06"/>
    <w:rsid w:val="0034383E"/>
    <w:rsid w:val="00343B7B"/>
    <w:rsid w:val="00344071"/>
    <w:rsid w:val="003440FE"/>
    <w:rsid w:val="003446A9"/>
    <w:rsid w:val="00344C80"/>
    <w:rsid w:val="00344D5B"/>
    <w:rsid w:val="00344FFD"/>
    <w:rsid w:val="0034574D"/>
    <w:rsid w:val="00345B5F"/>
    <w:rsid w:val="003468F1"/>
    <w:rsid w:val="00346B3F"/>
    <w:rsid w:val="00346F16"/>
    <w:rsid w:val="00346F99"/>
    <w:rsid w:val="0034739E"/>
    <w:rsid w:val="0034750A"/>
    <w:rsid w:val="00347BA8"/>
    <w:rsid w:val="00350C48"/>
    <w:rsid w:val="00350DF0"/>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3A7"/>
    <w:rsid w:val="0036145D"/>
    <w:rsid w:val="00361F2F"/>
    <w:rsid w:val="00361FBC"/>
    <w:rsid w:val="003628F9"/>
    <w:rsid w:val="00362C62"/>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6D03"/>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1EDF"/>
    <w:rsid w:val="00382150"/>
    <w:rsid w:val="00382225"/>
    <w:rsid w:val="003823DC"/>
    <w:rsid w:val="0038300B"/>
    <w:rsid w:val="003832A8"/>
    <w:rsid w:val="003833EC"/>
    <w:rsid w:val="00383499"/>
    <w:rsid w:val="00383B33"/>
    <w:rsid w:val="00383D60"/>
    <w:rsid w:val="00383DD4"/>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2DF"/>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D9"/>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B11"/>
    <w:rsid w:val="003B6F54"/>
    <w:rsid w:val="003B712E"/>
    <w:rsid w:val="003B735C"/>
    <w:rsid w:val="003B7430"/>
    <w:rsid w:val="003B78BF"/>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B4"/>
    <w:rsid w:val="003D76D7"/>
    <w:rsid w:val="003D7ECF"/>
    <w:rsid w:val="003D7EE9"/>
    <w:rsid w:val="003E0B36"/>
    <w:rsid w:val="003E0E29"/>
    <w:rsid w:val="003E106A"/>
    <w:rsid w:val="003E13A8"/>
    <w:rsid w:val="003E1E9A"/>
    <w:rsid w:val="003E22D4"/>
    <w:rsid w:val="003E24BD"/>
    <w:rsid w:val="003E257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AF6"/>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403"/>
    <w:rsid w:val="00400760"/>
    <w:rsid w:val="00400A90"/>
    <w:rsid w:val="00400C59"/>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5BD3"/>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CFB"/>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D3E"/>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58"/>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2A6"/>
    <w:rsid w:val="004575A6"/>
    <w:rsid w:val="004576B7"/>
    <w:rsid w:val="004578A8"/>
    <w:rsid w:val="00457E4C"/>
    <w:rsid w:val="004606CB"/>
    <w:rsid w:val="00460C92"/>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DA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CC5"/>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C6C"/>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191"/>
    <w:rsid w:val="004A45E4"/>
    <w:rsid w:val="004A4A85"/>
    <w:rsid w:val="004A4FC8"/>
    <w:rsid w:val="004A5164"/>
    <w:rsid w:val="004A5391"/>
    <w:rsid w:val="004A5619"/>
    <w:rsid w:val="004A5897"/>
    <w:rsid w:val="004A593E"/>
    <w:rsid w:val="004A5D61"/>
    <w:rsid w:val="004A650C"/>
    <w:rsid w:val="004A69C8"/>
    <w:rsid w:val="004A6C97"/>
    <w:rsid w:val="004A7AA8"/>
    <w:rsid w:val="004A7F29"/>
    <w:rsid w:val="004B0796"/>
    <w:rsid w:val="004B0999"/>
    <w:rsid w:val="004B09F7"/>
    <w:rsid w:val="004B0E07"/>
    <w:rsid w:val="004B0E1F"/>
    <w:rsid w:val="004B10EC"/>
    <w:rsid w:val="004B141F"/>
    <w:rsid w:val="004B1491"/>
    <w:rsid w:val="004B16BA"/>
    <w:rsid w:val="004B1E8C"/>
    <w:rsid w:val="004B26F6"/>
    <w:rsid w:val="004B3987"/>
    <w:rsid w:val="004B3A9B"/>
    <w:rsid w:val="004B3C6B"/>
    <w:rsid w:val="004B441C"/>
    <w:rsid w:val="004B44C5"/>
    <w:rsid w:val="004B4A6E"/>
    <w:rsid w:val="004B4B80"/>
    <w:rsid w:val="004B55DC"/>
    <w:rsid w:val="004B62C2"/>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072"/>
    <w:rsid w:val="004D6506"/>
    <w:rsid w:val="004D6C28"/>
    <w:rsid w:val="004D6FAF"/>
    <w:rsid w:val="004D70A6"/>
    <w:rsid w:val="004D7FA5"/>
    <w:rsid w:val="004E0044"/>
    <w:rsid w:val="004E033D"/>
    <w:rsid w:val="004E0B41"/>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0E91"/>
    <w:rsid w:val="004F1002"/>
    <w:rsid w:val="004F11A9"/>
    <w:rsid w:val="004F1382"/>
    <w:rsid w:val="004F1B1E"/>
    <w:rsid w:val="004F240B"/>
    <w:rsid w:val="004F35E0"/>
    <w:rsid w:val="004F3A0E"/>
    <w:rsid w:val="004F3A12"/>
    <w:rsid w:val="004F3D42"/>
    <w:rsid w:val="004F43A1"/>
    <w:rsid w:val="004F45BD"/>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028"/>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CE1"/>
    <w:rsid w:val="00506058"/>
    <w:rsid w:val="00506259"/>
    <w:rsid w:val="005062DD"/>
    <w:rsid w:val="00506A1F"/>
    <w:rsid w:val="005071A3"/>
    <w:rsid w:val="005077C6"/>
    <w:rsid w:val="00507CFB"/>
    <w:rsid w:val="005100E6"/>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429"/>
    <w:rsid w:val="005135E4"/>
    <w:rsid w:val="00513EDA"/>
    <w:rsid w:val="00513F6B"/>
    <w:rsid w:val="005142A8"/>
    <w:rsid w:val="00514425"/>
    <w:rsid w:val="00514D17"/>
    <w:rsid w:val="00514E2D"/>
    <w:rsid w:val="00514ECF"/>
    <w:rsid w:val="00515B23"/>
    <w:rsid w:val="00515C39"/>
    <w:rsid w:val="00516381"/>
    <w:rsid w:val="00516487"/>
    <w:rsid w:val="00516C58"/>
    <w:rsid w:val="005173C0"/>
    <w:rsid w:val="00517471"/>
    <w:rsid w:val="00520415"/>
    <w:rsid w:val="005204AE"/>
    <w:rsid w:val="00520A59"/>
    <w:rsid w:val="00520CFB"/>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438E"/>
    <w:rsid w:val="00524D0C"/>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1BD7"/>
    <w:rsid w:val="00552423"/>
    <w:rsid w:val="005534BB"/>
    <w:rsid w:val="00553651"/>
    <w:rsid w:val="0055365C"/>
    <w:rsid w:val="00553668"/>
    <w:rsid w:val="00553ADF"/>
    <w:rsid w:val="005541D4"/>
    <w:rsid w:val="00554A10"/>
    <w:rsid w:val="005550AC"/>
    <w:rsid w:val="005565AB"/>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48"/>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6F8"/>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2DD"/>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1FF1"/>
    <w:rsid w:val="005922AA"/>
    <w:rsid w:val="00592827"/>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43"/>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17F"/>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701"/>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791"/>
    <w:rsid w:val="005D48A2"/>
    <w:rsid w:val="005D497A"/>
    <w:rsid w:val="005D4AA8"/>
    <w:rsid w:val="005D62B3"/>
    <w:rsid w:val="005D6CC9"/>
    <w:rsid w:val="005D764B"/>
    <w:rsid w:val="005D773B"/>
    <w:rsid w:val="005D7E76"/>
    <w:rsid w:val="005E0160"/>
    <w:rsid w:val="005E03CB"/>
    <w:rsid w:val="005E0790"/>
    <w:rsid w:val="005E0821"/>
    <w:rsid w:val="005E0A98"/>
    <w:rsid w:val="005E109D"/>
    <w:rsid w:val="005E16C9"/>
    <w:rsid w:val="005E1961"/>
    <w:rsid w:val="005E1CC2"/>
    <w:rsid w:val="005E2204"/>
    <w:rsid w:val="005E25C1"/>
    <w:rsid w:val="005E2661"/>
    <w:rsid w:val="005E3167"/>
    <w:rsid w:val="005E36CC"/>
    <w:rsid w:val="005E3CB4"/>
    <w:rsid w:val="005E3E05"/>
    <w:rsid w:val="005E43AE"/>
    <w:rsid w:val="005E45A1"/>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EDB"/>
    <w:rsid w:val="005F6F53"/>
    <w:rsid w:val="005F73D0"/>
    <w:rsid w:val="005F7770"/>
    <w:rsid w:val="005F7C8F"/>
    <w:rsid w:val="0060043D"/>
    <w:rsid w:val="0060058E"/>
    <w:rsid w:val="006008D1"/>
    <w:rsid w:val="006009A8"/>
    <w:rsid w:val="00600A7A"/>
    <w:rsid w:val="0060128F"/>
    <w:rsid w:val="00601907"/>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3F"/>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511"/>
    <w:rsid w:val="00631925"/>
    <w:rsid w:val="00631D9A"/>
    <w:rsid w:val="006326EA"/>
    <w:rsid w:val="006330C8"/>
    <w:rsid w:val="006331BD"/>
    <w:rsid w:val="00633361"/>
    <w:rsid w:val="00633D4A"/>
    <w:rsid w:val="00634481"/>
    <w:rsid w:val="00634813"/>
    <w:rsid w:val="006348BD"/>
    <w:rsid w:val="00634E22"/>
    <w:rsid w:val="00635285"/>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1E1"/>
    <w:rsid w:val="006545A2"/>
    <w:rsid w:val="0065474D"/>
    <w:rsid w:val="00654C98"/>
    <w:rsid w:val="00654F06"/>
    <w:rsid w:val="00655501"/>
    <w:rsid w:val="006556BA"/>
    <w:rsid w:val="00655BFD"/>
    <w:rsid w:val="00655E3E"/>
    <w:rsid w:val="00655F1F"/>
    <w:rsid w:val="00655F4D"/>
    <w:rsid w:val="00656718"/>
    <w:rsid w:val="00656BAC"/>
    <w:rsid w:val="00657A05"/>
    <w:rsid w:val="00657EBE"/>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1B4"/>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3B3"/>
    <w:rsid w:val="00673B0F"/>
    <w:rsid w:val="00673B43"/>
    <w:rsid w:val="00673F70"/>
    <w:rsid w:val="00674720"/>
    <w:rsid w:val="00674C30"/>
    <w:rsid w:val="00675203"/>
    <w:rsid w:val="00675E8D"/>
    <w:rsid w:val="006760A1"/>
    <w:rsid w:val="00676A93"/>
    <w:rsid w:val="00676B02"/>
    <w:rsid w:val="006770D4"/>
    <w:rsid w:val="006773B8"/>
    <w:rsid w:val="006773E8"/>
    <w:rsid w:val="00677A2C"/>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4C"/>
    <w:rsid w:val="0069186E"/>
    <w:rsid w:val="00691BD2"/>
    <w:rsid w:val="0069210E"/>
    <w:rsid w:val="00692877"/>
    <w:rsid w:val="00692D91"/>
    <w:rsid w:val="006930DF"/>
    <w:rsid w:val="00693285"/>
    <w:rsid w:val="006934CF"/>
    <w:rsid w:val="00693777"/>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72E"/>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B28"/>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B8B"/>
    <w:rsid w:val="006C1C93"/>
    <w:rsid w:val="006C2524"/>
    <w:rsid w:val="006C2583"/>
    <w:rsid w:val="006C26A7"/>
    <w:rsid w:val="006C2AA5"/>
    <w:rsid w:val="006C2CEA"/>
    <w:rsid w:val="006C2D08"/>
    <w:rsid w:val="006C30E6"/>
    <w:rsid w:val="006C3273"/>
    <w:rsid w:val="006C3B7C"/>
    <w:rsid w:val="006C3D2F"/>
    <w:rsid w:val="006C457A"/>
    <w:rsid w:val="006C45E9"/>
    <w:rsid w:val="006C4824"/>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2216"/>
    <w:rsid w:val="006D27E6"/>
    <w:rsid w:val="006D2A33"/>
    <w:rsid w:val="006D2EB2"/>
    <w:rsid w:val="006D31B5"/>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7"/>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A9B"/>
    <w:rsid w:val="006F5EBE"/>
    <w:rsid w:val="006F64D1"/>
    <w:rsid w:val="006F650B"/>
    <w:rsid w:val="006F650C"/>
    <w:rsid w:val="006F65F8"/>
    <w:rsid w:val="006F6977"/>
    <w:rsid w:val="006F6A09"/>
    <w:rsid w:val="006F747F"/>
    <w:rsid w:val="0070005F"/>
    <w:rsid w:val="00700C18"/>
    <w:rsid w:val="007010C5"/>
    <w:rsid w:val="007011AB"/>
    <w:rsid w:val="0070126D"/>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06B2"/>
    <w:rsid w:val="0071108E"/>
    <w:rsid w:val="007112FA"/>
    <w:rsid w:val="007114A6"/>
    <w:rsid w:val="0071172A"/>
    <w:rsid w:val="0071198A"/>
    <w:rsid w:val="00711F73"/>
    <w:rsid w:val="007120C9"/>
    <w:rsid w:val="0071253A"/>
    <w:rsid w:val="00712DED"/>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598"/>
    <w:rsid w:val="0072260B"/>
    <w:rsid w:val="00722A0A"/>
    <w:rsid w:val="007230EC"/>
    <w:rsid w:val="00723379"/>
    <w:rsid w:val="007239D7"/>
    <w:rsid w:val="00723CAA"/>
    <w:rsid w:val="007244C5"/>
    <w:rsid w:val="00724536"/>
    <w:rsid w:val="00724EDD"/>
    <w:rsid w:val="007253F3"/>
    <w:rsid w:val="00725BC7"/>
    <w:rsid w:val="007261D2"/>
    <w:rsid w:val="00726A4B"/>
    <w:rsid w:val="00726B50"/>
    <w:rsid w:val="00726E5A"/>
    <w:rsid w:val="00727294"/>
    <w:rsid w:val="00727346"/>
    <w:rsid w:val="0072771D"/>
    <w:rsid w:val="00727BF4"/>
    <w:rsid w:val="00727D59"/>
    <w:rsid w:val="00727F4E"/>
    <w:rsid w:val="00730C38"/>
    <w:rsid w:val="0073109F"/>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6D3"/>
    <w:rsid w:val="007347E0"/>
    <w:rsid w:val="00734AD1"/>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0A1A"/>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6A55"/>
    <w:rsid w:val="007474E3"/>
    <w:rsid w:val="007477CB"/>
    <w:rsid w:val="007503BE"/>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1B53"/>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2E6"/>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16"/>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396"/>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1BE"/>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8BA"/>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0F25"/>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4CF"/>
    <w:rsid w:val="007F65A4"/>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060"/>
    <w:rsid w:val="008332B4"/>
    <w:rsid w:val="008334B7"/>
    <w:rsid w:val="008336FF"/>
    <w:rsid w:val="00833DD1"/>
    <w:rsid w:val="00834526"/>
    <w:rsid w:val="00834719"/>
    <w:rsid w:val="008352BE"/>
    <w:rsid w:val="0083594F"/>
    <w:rsid w:val="0083644E"/>
    <w:rsid w:val="00836702"/>
    <w:rsid w:val="00836A4F"/>
    <w:rsid w:val="00836C2F"/>
    <w:rsid w:val="00836DDA"/>
    <w:rsid w:val="00836EF0"/>
    <w:rsid w:val="0083775B"/>
    <w:rsid w:val="00840CB0"/>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5A31"/>
    <w:rsid w:val="0084645D"/>
    <w:rsid w:val="0084654E"/>
    <w:rsid w:val="00846560"/>
    <w:rsid w:val="00846CDC"/>
    <w:rsid w:val="00846F12"/>
    <w:rsid w:val="00846F26"/>
    <w:rsid w:val="00847067"/>
    <w:rsid w:val="00847A28"/>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237F"/>
    <w:rsid w:val="00863054"/>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52C"/>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628"/>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AFE"/>
    <w:rsid w:val="00887CC1"/>
    <w:rsid w:val="00887D0A"/>
    <w:rsid w:val="0089049E"/>
    <w:rsid w:val="00890838"/>
    <w:rsid w:val="0089091A"/>
    <w:rsid w:val="00891463"/>
    <w:rsid w:val="0089198A"/>
    <w:rsid w:val="00891CB9"/>
    <w:rsid w:val="00891CBC"/>
    <w:rsid w:val="00891FB0"/>
    <w:rsid w:val="0089215E"/>
    <w:rsid w:val="00892411"/>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04F"/>
    <w:rsid w:val="008A2952"/>
    <w:rsid w:val="008A300B"/>
    <w:rsid w:val="008A3042"/>
    <w:rsid w:val="008A31E8"/>
    <w:rsid w:val="008A31F7"/>
    <w:rsid w:val="008A3450"/>
    <w:rsid w:val="008A3545"/>
    <w:rsid w:val="008A38F2"/>
    <w:rsid w:val="008A3B88"/>
    <w:rsid w:val="008A4229"/>
    <w:rsid w:val="008A431B"/>
    <w:rsid w:val="008A43D8"/>
    <w:rsid w:val="008A44B6"/>
    <w:rsid w:val="008A4612"/>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866"/>
    <w:rsid w:val="008B7EEF"/>
    <w:rsid w:val="008C0175"/>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5983"/>
    <w:rsid w:val="008D6084"/>
    <w:rsid w:val="008D6611"/>
    <w:rsid w:val="008D6740"/>
    <w:rsid w:val="008D6D9B"/>
    <w:rsid w:val="008D6E00"/>
    <w:rsid w:val="008D72E6"/>
    <w:rsid w:val="008D72F7"/>
    <w:rsid w:val="008D7C5A"/>
    <w:rsid w:val="008D7E01"/>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164"/>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45B"/>
    <w:rsid w:val="008F759F"/>
    <w:rsid w:val="008F7FF9"/>
    <w:rsid w:val="009001F7"/>
    <w:rsid w:val="0090044F"/>
    <w:rsid w:val="00900D1F"/>
    <w:rsid w:val="00901348"/>
    <w:rsid w:val="0090177D"/>
    <w:rsid w:val="00901A42"/>
    <w:rsid w:val="00901CD1"/>
    <w:rsid w:val="00901D90"/>
    <w:rsid w:val="009026C9"/>
    <w:rsid w:val="00902DB3"/>
    <w:rsid w:val="00902E1C"/>
    <w:rsid w:val="009031E8"/>
    <w:rsid w:val="00903B1A"/>
    <w:rsid w:val="009040AA"/>
    <w:rsid w:val="00904F14"/>
    <w:rsid w:val="00905031"/>
    <w:rsid w:val="009052C0"/>
    <w:rsid w:val="0090567B"/>
    <w:rsid w:val="00905730"/>
    <w:rsid w:val="00905BEE"/>
    <w:rsid w:val="0090692F"/>
    <w:rsid w:val="00906C3D"/>
    <w:rsid w:val="00906C62"/>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6AA"/>
    <w:rsid w:val="00913AD8"/>
    <w:rsid w:val="00913D3F"/>
    <w:rsid w:val="009145E6"/>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19C"/>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AD"/>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620"/>
    <w:rsid w:val="0096287B"/>
    <w:rsid w:val="009628F7"/>
    <w:rsid w:val="009637FD"/>
    <w:rsid w:val="00963DD1"/>
    <w:rsid w:val="0096411E"/>
    <w:rsid w:val="0096416C"/>
    <w:rsid w:val="0096501A"/>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460"/>
    <w:rsid w:val="00972956"/>
    <w:rsid w:val="00972B1E"/>
    <w:rsid w:val="00972B93"/>
    <w:rsid w:val="00972C5B"/>
    <w:rsid w:val="00972F49"/>
    <w:rsid w:val="00973700"/>
    <w:rsid w:val="00973960"/>
    <w:rsid w:val="00973C50"/>
    <w:rsid w:val="0097539B"/>
    <w:rsid w:val="00975C91"/>
    <w:rsid w:val="00975D72"/>
    <w:rsid w:val="00975ED3"/>
    <w:rsid w:val="00976B89"/>
    <w:rsid w:val="009772E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615"/>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751"/>
    <w:rsid w:val="009A5D79"/>
    <w:rsid w:val="009A608A"/>
    <w:rsid w:val="009A62E0"/>
    <w:rsid w:val="009A6354"/>
    <w:rsid w:val="009A64BF"/>
    <w:rsid w:val="009A65F1"/>
    <w:rsid w:val="009A69D0"/>
    <w:rsid w:val="009A6BD5"/>
    <w:rsid w:val="009A6DE2"/>
    <w:rsid w:val="009A6E4C"/>
    <w:rsid w:val="009A74C3"/>
    <w:rsid w:val="009A7D1C"/>
    <w:rsid w:val="009B0580"/>
    <w:rsid w:val="009B0714"/>
    <w:rsid w:val="009B09B3"/>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AFE"/>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C5"/>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1E79"/>
    <w:rsid w:val="009F20AA"/>
    <w:rsid w:val="009F2463"/>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F55"/>
    <w:rsid w:val="009F71DE"/>
    <w:rsid w:val="009F7316"/>
    <w:rsid w:val="009F7423"/>
    <w:rsid w:val="009F7B97"/>
    <w:rsid w:val="00A00531"/>
    <w:rsid w:val="00A014C6"/>
    <w:rsid w:val="00A025B3"/>
    <w:rsid w:val="00A0276E"/>
    <w:rsid w:val="00A028C3"/>
    <w:rsid w:val="00A030F6"/>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0C3"/>
    <w:rsid w:val="00A152AD"/>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3A27"/>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054"/>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34"/>
    <w:rsid w:val="00A40257"/>
    <w:rsid w:val="00A4067F"/>
    <w:rsid w:val="00A407DC"/>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277"/>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274E"/>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1A55"/>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16"/>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3F4B"/>
    <w:rsid w:val="00B245CF"/>
    <w:rsid w:val="00B24765"/>
    <w:rsid w:val="00B24A1E"/>
    <w:rsid w:val="00B24FBC"/>
    <w:rsid w:val="00B25AB2"/>
    <w:rsid w:val="00B26305"/>
    <w:rsid w:val="00B26A62"/>
    <w:rsid w:val="00B26AD4"/>
    <w:rsid w:val="00B26E98"/>
    <w:rsid w:val="00B26F77"/>
    <w:rsid w:val="00B27011"/>
    <w:rsid w:val="00B270F6"/>
    <w:rsid w:val="00B27582"/>
    <w:rsid w:val="00B2767E"/>
    <w:rsid w:val="00B27922"/>
    <w:rsid w:val="00B27ACE"/>
    <w:rsid w:val="00B30101"/>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8F2"/>
    <w:rsid w:val="00B66B90"/>
    <w:rsid w:val="00B670BF"/>
    <w:rsid w:val="00B670E1"/>
    <w:rsid w:val="00B67271"/>
    <w:rsid w:val="00B674B6"/>
    <w:rsid w:val="00B67A58"/>
    <w:rsid w:val="00B7023B"/>
    <w:rsid w:val="00B702FF"/>
    <w:rsid w:val="00B70436"/>
    <w:rsid w:val="00B70562"/>
    <w:rsid w:val="00B70D3B"/>
    <w:rsid w:val="00B71320"/>
    <w:rsid w:val="00B71B3E"/>
    <w:rsid w:val="00B71BB3"/>
    <w:rsid w:val="00B7210F"/>
    <w:rsid w:val="00B72791"/>
    <w:rsid w:val="00B731FD"/>
    <w:rsid w:val="00B73397"/>
    <w:rsid w:val="00B7377D"/>
    <w:rsid w:val="00B739CC"/>
    <w:rsid w:val="00B73EA7"/>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50AE"/>
    <w:rsid w:val="00B862EF"/>
    <w:rsid w:val="00B86500"/>
    <w:rsid w:val="00B8691D"/>
    <w:rsid w:val="00B870F1"/>
    <w:rsid w:val="00B8751C"/>
    <w:rsid w:val="00B876CB"/>
    <w:rsid w:val="00B8775E"/>
    <w:rsid w:val="00B87A12"/>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A3A"/>
    <w:rsid w:val="00B97BAB"/>
    <w:rsid w:val="00B97C5F"/>
    <w:rsid w:val="00BA0307"/>
    <w:rsid w:val="00BA0612"/>
    <w:rsid w:val="00BA0760"/>
    <w:rsid w:val="00BA0E6D"/>
    <w:rsid w:val="00BA1061"/>
    <w:rsid w:val="00BA12BF"/>
    <w:rsid w:val="00BA1490"/>
    <w:rsid w:val="00BA156B"/>
    <w:rsid w:val="00BA1605"/>
    <w:rsid w:val="00BA1A86"/>
    <w:rsid w:val="00BA287A"/>
    <w:rsid w:val="00BA2A44"/>
    <w:rsid w:val="00BA2DDF"/>
    <w:rsid w:val="00BA3616"/>
    <w:rsid w:val="00BA3AA5"/>
    <w:rsid w:val="00BA3B7E"/>
    <w:rsid w:val="00BA4241"/>
    <w:rsid w:val="00BA4391"/>
    <w:rsid w:val="00BA43C5"/>
    <w:rsid w:val="00BA4C42"/>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305"/>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4BFA"/>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CA4"/>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4F"/>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0F5"/>
    <w:rsid w:val="00BE426A"/>
    <w:rsid w:val="00BE4301"/>
    <w:rsid w:val="00BE520A"/>
    <w:rsid w:val="00BE5406"/>
    <w:rsid w:val="00BE5BF2"/>
    <w:rsid w:val="00BE64AA"/>
    <w:rsid w:val="00BE6801"/>
    <w:rsid w:val="00BE69BB"/>
    <w:rsid w:val="00BE6DFC"/>
    <w:rsid w:val="00BE7094"/>
    <w:rsid w:val="00BE7160"/>
    <w:rsid w:val="00BE7455"/>
    <w:rsid w:val="00BE780B"/>
    <w:rsid w:val="00BE7E21"/>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25C"/>
    <w:rsid w:val="00C03B90"/>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4CD"/>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01"/>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678"/>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213"/>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1AC"/>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492"/>
    <w:rsid w:val="00C845B7"/>
    <w:rsid w:val="00C858A1"/>
    <w:rsid w:val="00C8600E"/>
    <w:rsid w:val="00C862C0"/>
    <w:rsid w:val="00C86505"/>
    <w:rsid w:val="00C86F92"/>
    <w:rsid w:val="00C8705B"/>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AFD"/>
    <w:rsid w:val="00C96D6C"/>
    <w:rsid w:val="00C96EE5"/>
    <w:rsid w:val="00C97601"/>
    <w:rsid w:val="00C97657"/>
    <w:rsid w:val="00C9785C"/>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893"/>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8D7"/>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B2C"/>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516"/>
    <w:rsid w:val="00D039FC"/>
    <w:rsid w:val="00D03D23"/>
    <w:rsid w:val="00D0452E"/>
    <w:rsid w:val="00D0467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D9"/>
    <w:rsid w:val="00D124E5"/>
    <w:rsid w:val="00D12ACC"/>
    <w:rsid w:val="00D13044"/>
    <w:rsid w:val="00D13526"/>
    <w:rsid w:val="00D13655"/>
    <w:rsid w:val="00D13749"/>
    <w:rsid w:val="00D138F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0D8"/>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27D70"/>
    <w:rsid w:val="00D30DFC"/>
    <w:rsid w:val="00D31D2C"/>
    <w:rsid w:val="00D3264A"/>
    <w:rsid w:val="00D326DF"/>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779"/>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C5D"/>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401"/>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7A"/>
    <w:rsid w:val="00DA1F8E"/>
    <w:rsid w:val="00DA2A2F"/>
    <w:rsid w:val="00DA2BA1"/>
    <w:rsid w:val="00DA2F3E"/>
    <w:rsid w:val="00DA3DD8"/>
    <w:rsid w:val="00DA41DF"/>
    <w:rsid w:val="00DA42A8"/>
    <w:rsid w:val="00DA49C5"/>
    <w:rsid w:val="00DA4A20"/>
    <w:rsid w:val="00DA4B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6FA2"/>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AB7"/>
    <w:rsid w:val="00DE4C6A"/>
    <w:rsid w:val="00DE4F04"/>
    <w:rsid w:val="00DE522B"/>
    <w:rsid w:val="00DE5ADD"/>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3729"/>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512"/>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0ED9"/>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44C"/>
    <w:rsid w:val="00E34CB6"/>
    <w:rsid w:val="00E34D35"/>
    <w:rsid w:val="00E3515A"/>
    <w:rsid w:val="00E3585C"/>
    <w:rsid w:val="00E35F9D"/>
    <w:rsid w:val="00E3606E"/>
    <w:rsid w:val="00E365EF"/>
    <w:rsid w:val="00E368B6"/>
    <w:rsid w:val="00E36E2C"/>
    <w:rsid w:val="00E36ECB"/>
    <w:rsid w:val="00E3707E"/>
    <w:rsid w:val="00E37291"/>
    <w:rsid w:val="00E37602"/>
    <w:rsid w:val="00E37C0C"/>
    <w:rsid w:val="00E401F3"/>
    <w:rsid w:val="00E4061B"/>
    <w:rsid w:val="00E40C05"/>
    <w:rsid w:val="00E40C6C"/>
    <w:rsid w:val="00E410D6"/>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1FFB"/>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6B2E"/>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B7C"/>
    <w:rsid w:val="00E66F17"/>
    <w:rsid w:val="00E672F0"/>
    <w:rsid w:val="00E67381"/>
    <w:rsid w:val="00E67BA4"/>
    <w:rsid w:val="00E7087C"/>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21"/>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B9C"/>
    <w:rsid w:val="00E86D91"/>
    <w:rsid w:val="00E86F02"/>
    <w:rsid w:val="00E87202"/>
    <w:rsid w:val="00E87347"/>
    <w:rsid w:val="00E87B3F"/>
    <w:rsid w:val="00E90086"/>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0A8"/>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54C"/>
    <w:rsid w:val="00EB1712"/>
    <w:rsid w:val="00EB1CAA"/>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503"/>
    <w:rsid w:val="00EC77BC"/>
    <w:rsid w:val="00EC7833"/>
    <w:rsid w:val="00EC7A43"/>
    <w:rsid w:val="00EC7AAB"/>
    <w:rsid w:val="00ED00CE"/>
    <w:rsid w:val="00ED00F9"/>
    <w:rsid w:val="00ED09D9"/>
    <w:rsid w:val="00ED0C6B"/>
    <w:rsid w:val="00ED0EAE"/>
    <w:rsid w:val="00ED0F86"/>
    <w:rsid w:val="00ED1197"/>
    <w:rsid w:val="00ED12C1"/>
    <w:rsid w:val="00ED1FE7"/>
    <w:rsid w:val="00ED23BA"/>
    <w:rsid w:val="00ED2657"/>
    <w:rsid w:val="00ED2A41"/>
    <w:rsid w:val="00ED2EB8"/>
    <w:rsid w:val="00ED32BF"/>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31F"/>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543"/>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A58"/>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0D4B"/>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521"/>
    <w:rsid w:val="00F50C6C"/>
    <w:rsid w:val="00F50F92"/>
    <w:rsid w:val="00F51056"/>
    <w:rsid w:val="00F51676"/>
    <w:rsid w:val="00F5211D"/>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6F1"/>
    <w:rsid w:val="00F77896"/>
    <w:rsid w:val="00F77BB3"/>
    <w:rsid w:val="00F800B0"/>
    <w:rsid w:val="00F80204"/>
    <w:rsid w:val="00F80770"/>
    <w:rsid w:val="00F8097E"/>
    <w:rsid w:val="00F81142"/>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5D70"/>
    <w:rsid w:val="00F97540"/>
    <w:rsid w:val="00F9777B"/>
    <w:rsid w:val="00F979B0"/>
    <w:rsid w:val="00F97FB0"/>
    <w:rsid w:val="00FA0BCC"/>
    <w:rsid w:val="00FA1070"/>
    <w:rsid w:val="00FA164F"/>
    <w:rsid w:val="00FA165E"/>
    <w:rsid w:val="00FA16BF"/>
    <w:rsid w:val="00FA1ACB"/>
    <w:rsid w:val="00FA1BB5"/>
    <w:rsid w:val="00FA1FDF"/>
    <w:rsid w:val="00FA21F4"/>
    <w:rsid w:val="00FA2F3A"/>
    <w:rsid w:val="00FA304B"/>
    <w:rsid w:val="00FA3214"/>
    <w:rsid w:val="00FA397C"/>
    <w:rsid w:val="00FA3AD9"/>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6CC"/>
    <w:rsid w:val="00FB26EB"/>
    <w:rsid w:val="00FB2830"/>
    <w:rsid w:val="00FB2E14"/>
    <w:rsid w:val="00FB312F"/>
    <w:rsid w:val="00FB35C3"/>
    <w:rsid w:val="00FB39E6"/>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7A3"/>
    <w:rsid w:val="00FD3BEE"/>
    <w:rsid w:val="00FD3D3D"/>
    <w:rsid w:val="00FD40A8"/>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19E"/>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style="mso-position-horizontal-relative:page;mso-position-vertical-relative:page" stroke="f">
      <v:stroke on="f"/>
      <o:colormru v:ext="edit" colors="white"/>
    </o:shapedefaults>
    <o:shapelayout v:ext="edit">
      <o:idmap v:ext="edit" data="1"/>
    </o:shapelayout>
  </w:shapeDefaults>
  <w:decimalSymbol w:val="."/>
  <w:listSeparator w:val=","/>
  <w14:docId w14:val="11910B96"/>
  <w15:docId w15:val="{AA82B5CE-5C17-45C7-A0FC-316797FB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56B2E"/>
  </w:style>
  <w:style w:type="paragraph" w:styleId="Heading1">
    <w:name w:val="heading 1"/>
    <w:basedOn w:val="Normal"/>
    <w:next w:val="BodyText"/>
    <w:link w:val="Heading1Char"/>
    <w:qFormat/>
    <w:rsid w:val="00350DF0"/>
    <w:pPr>
      <w:pageBreakBefore/>
      <w:framePr w:hSpace="5670" w:wrap="around" w:vAnchor="page" w:hAnchor="page" w:x="3403" w:y="455"/>
      <w:spacing w:before="100" w:beforeAutospacing="1" w:after="100" w:afterAutospacing="1"/>
      <w:ind w:left="1134" w:right="1134"/>
      <w:suppressOverlap/>
      <w:jc w:val="right"/>
      <w:outlineLvl w:val="0"/>
    </w:pPr>
    <w:rPr>
      <w:b/>
      <w:bCs/>
      <w:color w:val="FFFFFF" w:themeColor="background1"/>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71C5E8"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71C5E8"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Heading3"/>
    <w:link w:val="HeaderChar"/>
    <w:rsid w:val="0034739E"/>
    <w:pPr>
      <w:spacing w:line="276" w:lineRule="auto"/>
    </w:pPr>
    <w:rPr>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71C5E8" w:themeFill="text2"/>
      </w:tcPr>
    </w:tblStylePr>
    <w:tblStylePr w:type="lastRow">
      <w:rPr>
        <w:b w:val="0"/>
      </w:rPr>
    </w:tblStylePr>
    <w:tblStylePr w:type="lastCol">
      <w:pPr>
        <w:jc w:val="left"/>
      </w:pPr>
    </w:tblStylePr>
    <w:tblStylePr w:type="band1Vert">
      <w:tblPr/>
      <w:tcPr>
        <w:shd w:val="clear" w:color="auto" w:fill="F1F9FD"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E365EF"/>
    <w:pPr>
      <w:pBdr>
        <w:top w:val="dotted" w:sz="8" w:space="0" w:color="363534" w:themeColor="text1"/>
      </w:pBdr>
      <w:spacing w:line="120" w:lineRule="exact"/>
    </w:pPr>
    <w:rPr>
      <w:sz w:val="12"/>
      <w:szCs w:val="16"/>
    </w:rPr>
  </w:style>
  <w:style w:type="paragraph" w:customStyle="1" w:styleId="Emailaddress">
    <w:name w:val="Email address"/>
    <w:basedOn w:val="Normal"/>
    <w:semiHidden/>
    <w:rsid w:val="00606818"/>
    <w:rPr>
      <w:sz w:val="16"/>
      <w:szCs w:val="16"/>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34739E"/>
    <w:rPr>
      <w:b/>
      <w:color w:val="494847"/>
      <w:sz w:val="40"/>
    </w:rPr>
  </w:style>
  <w:style w:type="paragraph" w:customStyle="1" w:styleId="TableTextBullet2">
    <w:name w:val="Table Text Bullet 2"/>
    <w:basedOn w:val="TableTextBullet"/>
    <w:qFormat/>
    <w:rsid w:val="004D4063"/>
    <w:pPr>
      <w:numPr>
        <w:ilvl w:val="1"/>
      </w:numPr>
    </w:pPr>
    <w:rPr>
      <w:bCs/>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635285"/>
    <w:pPr>
      <w:keepLines/>
      <w:spacing w:before="60" w:after="40" w:line="180" w:lineRule="exact"/>
      <w:ind w:left="142" w:hanging="142"/>
    </w:pPr>
    <w:rPr>
      <w:rFonts w:cstheme="minorHAnsi"/>
      <w:sz w:val="14"/>
      <w:szCs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nhideWhenUsed/>
    <w:rsid w:val="00502E1D"/>
    <w:rPr>
      <w:color w:val="auto"/>
      <w:u w:val="single"/>
    </w:rPr>
  </w:style>
  <w:style w:type="paragraph" w:styleId="ListParagraph">
    <w:name w:val="List Paragraph"/>
    <w:basedOn w:val="Normal"/>
    <w:uiPriority w:val="34"/>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F40D4B"/>
    <w:pPr>
      <w:numPr>
        <w:ilvl w:val="1"/>
      </w:numPr>
      <w:spacing w:before="40"/>
    </w:p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rsid w:val="004D4063"/>
    <w:pPr>
      <w:numPr>
        <w:numId w:val="10"/>
      </w:numPr>
    </w:pPr>
  </w:style>
  <w:style w:type="paragraph" w:customStyle="1" w:styleId="TableTextLeftBold">
    <w:name w:val="Table Text Left Bold"/>
    <w:basedOn w:val="TableTextLeft"/>
    <w:qFormat/>
    <w:rsid w:val="001F668A"/>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71C5E8"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71C5E8"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71C5E8"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71C5E8"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1F9FD" w:themeColor="background2"/>
      <w:sz w:val="20"/>
      <w:szCs w:val="20"/>
      <w:lang w:eastAsia="en-US"/>
    </w:r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table" w:customStyle="1" w:styleId="PullOutBoxTable">
    <w:name w:val="Pull Out Box Table"/>
    <w:basedOn w:val="TableNormal"/>
    <w:uiPriority w:val="99"/>
    <w:rsid w:val="00443176"/>
    <w:pPr>
      <w:spacing w:line="240" w:lineRule="auto"/>
    </w:p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tcPr>
      <w:shd w:val="clear" w:color="auto" w:fill="auto"/>
    </w:tc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semiHidden/>
    <w:rsid w:val="00732B4D"/>
    <w:rPr>
      <w:sz w:val="16"/>
      <w:szCs w:val="16"/>
    </w:rPr>
  </w:style>
  <w:style w:type="paragraph" w:styleId="CommentText">
    <w:name w:val="annotation text"/>
    <w:basedOn w:val="Normal"/>
    <w:link w:val="CommentTextChar"/>
    <w:semiHidden/>
    <w:rsid w:val="00732B4D"/>
    <w:pPr>
      <w:spacing w:line="240" w:lineRule="auto"/>
    </w:pPr>
  </w:style>
  <w:style w:type="character" w:customStyle="1" w:styleId="CommentTextChar">
    <w:name w:val="Comment Text Char"/>
    <w:basedOn w:val="DefaultParagraphFont"/>
    <w:link w:val="CommentText"/>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71C5E8"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xCoverStatus">
    <w:name w:val="xCoverStatus"/>
    <w:basedOn w:val="Normal"/>
    <w:semiHidden/>
    <w:rsid w:val="00F77596"/>
    <w:rPr>
      <w:b/>
      <w:caps/>
      <w:color w:val="FF0000"/>
      <w:sz w:val="48"/>
      <w:szCs w:val="52"/>
    </w:r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color w:val="FFFFFF"/>
      <w:sz w:val="24"/>
    </w:rPr>
    <w:tblPr>
      <w:tblCellMar>
        <w:top w:w="227" w:type="dxa"/>
        <w:left w:w="0" w:type="dxa"/>
        <w:bottom w:w="227" w:type="dxa"/>
        <w:right w:w="0" w:type="dxa"/>
      </w:tblCellMar>
    </w:tblPr>
    <w:tcPr>
      <w:shd w:val="clear" w:color="auto" w:fill="71C5E8" w:themeFill="text2"/>
    </w:tc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33"/>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eading1Char">
    <w:name w:val="Heading 1 Char"/>
    <w:basedOn w:val="DefaultParagraphFont"/>
    <w:link w:val="Heading1"/>
    <w:rsid w:val="001D0EEF"/>
    <w:rPr>
      <w:b/>
      <w:bCs/>
      <w:color w:val="FFFFFF" w:themeColor="background1"/>
      <w:kern w:val="32"/>
      <w:sz w:val="40"/>
      <w:szCs w:val="32"/>
    </w:rPr>
  </w:style>
  <w:style w:type="character" w:customStyle="1" w:styleId="Heading2Char">
    <w:name w:val="Heading 2 Char"/>
    <w:basedOn w:val="DefaultParagraphFont"/>
    <w:link w:val="Heading2"/>
    <w:rsid w:val="001306D2"/>
    <w:rPr>
      <w:b/>
      <w:bCs/>
      <w:iCs/>
      <w:color w:val="71C5E8"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styleId="ListNumber4">
    <w:name w:val="List Number 4"/>
    <w:basedOn w:val="Normal"/>
    <w:semiHidden/>
    <w:rsid w:val="00E56B2E"/>
    <w:pPr>
      <w:tabs>
        <w:tab w:val="num" w:pos="1209"/>
      </w:tabs>
      <w:spacing w:line="240" w:lineRule="auto"/>
      <w:ind w:left="1209" w:hanging="360"/>
    </w:pPr>
    <w:rPr>
      <w:rFonts w:ascii="Calibri" w:hAnsi="Calibri" w:cs="Times New Roman"/>
      <w:color w:val="auto"/>
      <w:sz w:val="22"/>
      <w:szCs w:val="24"/>
      <w:lang w:eastAsia="en-US"/>
    </w:rPr>
  </w:style>
  <w:style w:type="character" w:customStyle="1" w:styleId="UnresolvedMention1">
    <w:name w:val="Unresolved Mention1"/>
    <w:basedOn w:val="DefaultParagraphFont"/>
    <w:uiPriority w:val="99"/>
    <w:semiHidden/>
    <w:unhideWhenUsed/>
    <w:rsid w:val="00524D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335836618">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532836779">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1981033261">
      <w:bodyDiv w:val="1"/>
      <w:marLeft w:val="0"/>
      <w:marRight w:val="0"/>
      <w:marTop w:val="0"/>
      <w:marBottom w:val="0"/>
      <w:divBdr>
        <w:top w:val="none" w:sz="0" w:space="0" w:color="auto"/>
        <w:left w:val="none" w:sz="0" w:space="0" w:color="auto"/>
        <w:bottom w:val="none" w:sz="0" w:space="0" w:color="auto"/>
        <w:right w:val="none" w:sz="0" w:space="0" w:color="auto"/>
      </w:divBdr>
    </w:div>
    <w:div w:id="2011790384">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ustomer.service@delwp.vic.gov.au"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emf"/><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vic.gov.au/aboriginalvictoria/heritage/planning-and-heritage-management-processes/planning-and-development-of-land.html" TargetMode="External"/><Relationship Id="rId5" Type="http://schemas.openxmlformats.org/officeDocument/2006/relationships/numbering" Target="numbering.xml"/><Relationship Id="rId15" Type="http://schemas.openxmlformats.org/officeDocument/2006/relationships/hyperlink" Target="http://www.delwp.vic.gov.au"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relayservice.com.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Data\2016-GG\active\DELWP\Visual%20style\word%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29E6917F7A968488F403948F69D61BB" ma:contentTypeVersion="12" ma:contentTypeDescription="Create a new document." ma:contentTypeScope="" ma:versionID="379c39cdd11cb1d603a9000e4829af9a">
  <xsd:schema xmlns:xsd="http://www.w3.org/2001/XMLSchema" xmlns:xs="http://www.w3.org/2001/XMLSchema" xmlns:p="http://schemas.microsoft.com/office/2006/metadata/properties" xmlns:ns2="c174623d-eec0-4dda-b096-1f3027f04dcf" xmlns:ns3="48146f30-4033-4884-88a8-b807cccbd616" targetNamespace="http://schemas.microsoft.com/office/2006/metadata/properties" ma:root="true" ma:fieldsID="6f6473e67f6ba82d5308a7a9d37ba4bb" ns2:_="" ns3:_="">
    <xsd:import namespace="c174623d-eec0-4dda-b096-1f3027f04dcf"/>
    <xsd:import namespace="48146f30-4033-4884-88a8-b807cccbd61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Description0" minOccurs="0"/>
                <xsd:element ref="ns2:file_x0020_type0" minOccurs="0"/>
                <xsd:element ref="ns2:MediaServiceOCR" minOccurs="0"/>
                <xsd:element ref="ns3:SharedWithUsers" minOccurs="0"/>
                <xsd:element ref="ns3:SharedWithDetails" minOccurs="0"/>
                <xsd:element ref="ns2:MediaServiceLocation"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74623d-eec0-4dda-b096-1f3027f04dc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Description0" ma:index="12" nillable="true" ma:displayName="Description" ma:internalName="Description0">
      <xsd:simpleType>
        <xsd:restriction base="dms:Text">
          <xsd:maxLength value="255"/>
        </xsd:restriction>
      </xsd:simpleType>
    </xsd:element>
    <xsd:element name="file_x0020_type0" ma:index="13" nillable="true" ma:displayName="file type" ma:internalName="file_x0020_type0">
      <xsd:simpleType>
        <xsd:restriction base="dms:Text">
          <xsd:maxLength value="255"/>
        </xsd:restriction>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7"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146f30-4033-4884-88a8-b807cccbd616"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scription0 xmlns="c174623d-eec0-4dda-b096-1f3027f04dcf" xsi:nil="true"/>
    <file_x0020_type0 xmlns="c174623d-eec0-4dda-b096-1f3027f04dcf"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7E26F-0630-46D8-976E-32E10EA95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74623d-eec0-4dda-b096-1f3027f04dcf"/>
    <ds:schemaRef ds:uri="48146f30-4033-4884-88a8-b807cccbd6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929FEA6-BB2C-4662-8340-798BB5A4A3D5}">
  <ds:schemaRefs>
    <ds:schemaRef ds:uri="http://schemas.microsoft.com/sharepoint/v3/contenttype/forms"/>
  </ds:schemaRefs>
</ds:datastoreItem>
</file>

<file path=customXml/itemProps3.xml><?xml version="1.0" encoding="utf-8"?>
<ds:datastoreItem xmlns:ds="http://schemas.openxmlformats.org/officeDocument/2006/customXml" ds:itemID="{C6C3BA4F-3F72-44AB-9CD1-04C1301DBB33}">
  <ds:schemaRefs>
    <ds:schemaRef ds:uri="http://purl.org/dc/elements/1.1/"/>
    <ds:schemaRef ds:uri="http://schemas.microsoft.com/office/2006/metadata/properties"/>
    <ds:schemaRef ds:uri="48146f30-4033-4884-88a8-b807cccbd616"/>
    <ds:schemaRef ds:uri="http://schemas.openxmlformats.org/package/2006/metadata/core-properties"/>
    <ds:schemaRef ds:uri="http://purl.org/dc/terms/"/>
    <ds:schemaRef ds:uri="http://schemas.microsoft.com/office/infopath/2007/PartnerControls"/>
    <ds:schemaRef ds:uri="c174623d-eec0-4dda-b096-1f3027f04dcf"/>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5E9224AE-3107-43BD-B3BB-F36812987A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4</Pages>
  <Words>1568</Words>
  <Characters>8942</Characters>
  <Application>Microsoft Office Word</Application>
  <DocSecurity>4</DocSecurity>
  <Lines>74</Lines>
  <Paragraphs>20</Paragraphs>
  <ScaleCrop>false</ScaleCrop>
  <HeadingPairs>
    <vt:vector size="2" baseType="variant">
      <vt:variant>
        <vt:lpstr>Title</vt:lpstr>
      </vt:variant>
      <vt:variant>
        <vt:i4>1</vt:i4>
      </vt:variant>
    </vt:vector>
  </HeadingPairs>
  <TitlesOfParts>
    <vt:vector size="1" baseType="lpstr">
      <vt:lpstr>Title</vt:lpstr>
    </vt:vector>
  </TitlesOfParts>
  <Company>Hewlett-Packard Company</Company>
  <LinksUpToDate>false</LinksUpToDate>
  <CharactersWithSpaces>10490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creator>Victoria</dc:creator>
  <cp:lastModifiedBy>Peter J Vollebergh (DELWP)</cp:lastModifiedBy>
  <cp:revision>2</cp:revision>
  <cp:lastPrinted>2019-02-07T04:03:00Z</cp:lastPrinted>
  <dcterms:created xsi:type="dcterms:W3CDTF">2019-05-26T23:02:00Z</dcterms:created>
  <dcterms:modified xsi:type="dcterms:W3CDTF">2019-05-26T23:02:00Z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ContentTypeId">
    <vt:lpwstr>0x010100D29E6917F7A968488F403948F69D61BB</vt:lpwstr>
  </property>
</Properties>
</file>