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1.xml" ContentType="application/vnd.openxmlformats-officedocument.drawingml.chartshapes+xml"/>
  <Override PartName="/word/charts/chart30.xml" ContentType="application/vnd.openxmlformats-officedocument.drawingml.chart+xml"/>
  <Override PartName="/word/drawings/drawing2.xml" ContentType="application/vnd.openxmlformats-officedocument.drawingml.chartshapes+xml"/>
  <Override PartName="/word/charts/chart31.xml" ContentType="application/vnd.openxmlformats-officedocument.drawingml.chart+xml"/>
  <Override PartName="/word/drawings/drawing3.xml" ContentType="application/vnd.openxmlformats-officedocument.drawingml.chartshapes+xml"/>
  <Override PartName="/word/charts/chart32.xml" ContentType="application/vnd.openxmlformats-officedocument.drawingml.chart+xml"/>
  <Override PartName="/word/drawings/drawing4.xml" ContentType="application/vnd.openxmlformats-officedocument.drawingml.chartshapes+xml"/>
  <Override PartName="/word/charts/chart33.xml" ContentType="application/vnd.openxmlformats-officedocument.drawingml.chart+xml"/>
  <Override PartName="/word/drawings/drawing5.xml" ContentType="application/vnd.openxmlformats-officedocument.drawingml.chartshapes+xml"/>
  <Override PartName="/word/charts/chart34.xml" ContentType="application/vnd.openxmlformats-officedocument.drawingml.chart+xml"/>
  <Override PartName="/word/drawings/drawing6.xml" ContentType="application/vnd.openxmlformats-officedocument.drawingml.chartshapes+xml"/>
  <Override PartName="/word/charts/chart35.xml" ContentType="application/vnd.openxmlformats-officedocument.drawingml.chart+xml"/>
  <Override PartName="/word/drawings/drawing7.xml" ContentType="application/vnd.openxmlformats-officedocument.drawingml.chartshapes+xml"/>
  <Override PartName="/word/charts/chart36.xml" ContentType="application/vnd.openxmlformats-officedocument.drawingml.chart+xml"/>
  <Override PartName="/word/drawings/drawing8.xml" ContentType="application/vnd.openxmlformats-officedocument.drawingml.chartshapes+xml"/>
  <Override PartName="/word/charts/chart37.xml" ContentType="application/vnd.openxmlformats-officedocument.drawingml.chart+xml"/>
  <Override PartName="/word/drawings/drawing9.xml" ContentType="application/vnd.openxmlformats-officedocument.drawingml.chartshapes+xml"/>
  <Override PartName="/word/charts/chart38.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C335A" w14:textId="77777777" w:rsidR="000C7B15" w:rsidRDefault="000C7B15" w:rsidP="000C7B15">
      <w:pPr>
        <w:rPr>
          <w:sz w:val="72"/>
          <w:szCs w:val="72"/>
        </w:rPr>
      </w:pPr>
    </w:p>
    <w:p w14:paraId="21EACBDA" w14:textId="77777777" w:rsidR="00085DC2" w:rsidRDefault="00085DC2" w:rsidP="000C7B15">
      <w:pPr>
        <w:rPr>
          <w:sz w:val="72"/>
          <w:szCs w:val="72"/>
        </w:rPr>
      </w:pPr>
    </w:p>
    <w:p w14:paraId="479B40F6" w14:textId="77777777" w:rsidR="000C7B15" w:rsidRDefault="000C7B15" w:rsidP="000C7B15">
      <w:pPr>
        <w:tabs>
          <w:tab w:val="right" w:pos="8647"/>
        </w:tabs>
        <w:rPr>
          <w:sz w:val="72"/>
          <w:szCs w:val="72"/>
        </w:rPr>
      </w:pPr>
      <w:r w:rsidRPr="000C7B15">
        <w:rPr>
          <w:rFonts w:ascii="Britannic Bold" w:hAnsi="Britannic Bold"/>
          <w:color w:val="2E74B5"/>
          <w:sz w:val="144"/>
          <w:szCs w:val="144"/>
        </w:rPr>
        <w:t>TC&amp;A</w:t>
      </w:r>
      <w:r w:rsidR="004C400C">
        <w:rPr>
          <w:sz w:val="72"/>
          <w:szCs w:val="72"/>
        </w:rPr>
        <w:t xml:space="preserve"> </w:t>
      </w:r>
      <w:r>
        <w:rPr>
          <w:sz w:val="72"/>
          <w:szCs w:val="72"/>
        </w:rPr>
        <w:tab/>
      </w:r>
      <w:r w:rsidR="00317F08">
        <w:rPr>
          <w:noProof/>
          <w:lang w:val="en-AU" w:eastAsia="en-AU" w:bidi="ar-SA"/>
        </w:rPr>
        <w:drawing>
          <wp:inline distT="0" distB="0" distL="0" distR="0" wp14:anchorId="1A6073BF" wp14:editId="01452495">
            <wp:extent cx="1744345" cy="694055"/>
            <wp:effectExtent l="0" t="0" r="8255" b="0"/>
            <wp:docPr id="1" name="Picture 1" descr="FE_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Logo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4345" cy="694055"/>
                    </a:xfrm>
                    <a:prstGeom prst="rect">
                      <a:avLst/>
                    </a:prstGeom>
                    <a:noFill/>
                    <a:ln>
                      <a:noFill/>
                    </a:ln>
                  </pic:spPr>
                </pic:pic>
              </a:graphicData>
            </a:graphic>
          </wp:inline>
        </w:drawing>
      </w:r>
    </w:p>
    <w:p w14:paraId="2A18043F" w14:textId="77777777" w:rsidR="000C7B15" w:rsidRDefault="00625D0E" w:rsidP="000C7B15">
      <w:pPr>
        <w:rPr>
          <w:sz w:val="72"/>
          <w:szCs w:val="72"/>
        </w:rPr>
      </w:pPr>
      <w:r>
        <w:rPr>
          <w:noProof/>
          <w:lang w:val="en-AU" w:eastAsia="en-AU" w:bidi="ar-SA"/>
        </w:rPr>
        <mc:AlternateContent>
          <mc:Choice Requires="wps">
            <w:drawing>
              <wp:anchor distT="0" distB="0" distL="114300" distR="114300" simplePos="0" relativeHeight="251632128" behindDoc="0" locked="0" layoutInCell="0" allowOverlap="1" wp14:anchorId="54991276" wp14:editId="0F662AC3">
                <wp:simplePos x="0" y="0"/>
                <wp:positionH relativeFrom="page">
                  <wp:posOffset>7408545</wp:posOffset>
                </wp:positionH>
                <wp:positionV relativeFrom="page">
                  <wp:posOffset>-283845</wp:posOffset>
                </wp:positionV>
                <wp:extent cx="90805" cy="11210290"/>
                <wp:effectExtent l="0" t="0" r="36195" b="25400"/>
                <wp:wrapNone/>
                <wp:docPr id="8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FDAF7B9" id="Rectangle 8" o:spid="_x0000_s1026" style="position:absolute;margin-left:583.35pt;margin-top:-22.35pt;width:7.15pt;height:882.7pt;z-index:2516321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" o:allowincell="f" strokecolor="#0070c0">
                <w10:wrap anchorx="page" anchory="page"/>
              </v:rect>
            </w:pict>
          </mc:Fallback>
        </mc:AlternateContent>
      </w:r>
      <w:r>
        <w:rPr>
          <w:noProof/>
          <w:lang w:val="en-AU" w:eastAsia="en-AU" w:bidi="ar-SA"/>
        </w:rPr>
        <mc:AlternateContent>
          <mc:Choice Requires="wps">
            <w:drawing>
              <wp:anchor distT="0" distB="0" distL="114300" distR="114300" simplePos="0" relativeHeight="251630080" behindDoc="0" locked="0" layoutInCell="0" allowOverlap="1" wp14:anchorId="5D833D60" wp14:editId="0ED6711B">
                <wp:simplePos x="0" y="0"/>
                <wp:positionH relativeFrom="page">
                  <wp:align>center</wp:align>
                </wp:positionH>
                <wp:positionV relativeFrom="page">
                  <wp:align>bottom</wp:align>
                </wp:positionV>
                <wp:extent cx="7720330" cy="594360"/>
                <wp:effectExtent l="76200" t="76200" r="113665" b="116840"/>
                <wp:wrapNone/>
                <wp:docPr id="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0330" cy="594360"/>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E560BA6" id="Rectangle 6" o:spid="_x0000_s1026" style="position:absolute;margin-left:0;margin-top:0;width:607.9pt;height:46.8pt;z-index:2516300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" o:allowincell="f" fillcolor="#4f81bd" strokecolor="#f2f2f2" strokeweight="3pt">
                <v:shadow on="t" color="#243f60" opacity=".5" offset="1pt,.74833mm"/>
                <w10:wrap anchorx="page" anchory="page"/>
              </v:rect>
            </w:pict>
          </mc:Fallback>
        </mc:AlternateContent>
      </w:r>
      <w:r>
        <w:rPr>
          <w:noProof/>
          <w:lang w:val="en-AU" w:eastAsia="en-AU" w:bidi="ar-SA"/>
        </w:rPr>
        <mc:AlternateContent>
          <mc:Choice Requires="wps">
            <w:drawing>
              <wp:anchor distT="0" distB="0" distL="114300" distR="114300" simplePos="0" relativeHeight="251631104" behindDoc="0" locked="0" layoutInCell="0" allowOverlap="1" wp14:anchorId="53BDDB7E" wp14:editId="359A63F0">
                <wp:simplePos x="0" y="0"/>
                <wp:positionH relativeFrom="page">
                  <wp:posOffset>189865</wp:posOffset>
                </wp:positionH>
                <wp:positionV relativeFrom="page">
                  <wp:posOffset>-16510</wp:posOffset>
                </wp:positionV>
                <wp:extent cx="7720330" cy="594360"/>
                <wp:effectExtent l="76200" t="76200" r="113665" b="116840"/>
                <wp:wrapNone/>
                <wp:docPr id="8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0330" cy="594360"/>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520C0AD" id="Rectangle 7" o:spid="_x0000_s1026" style="position:absolute;margin-left:14.95pt;margin-top:-1.3pt;width:607.9pt;height:46.8pt;z-index:25163110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" o:allowincell="f" fillcolor="#4f81bd" strokecolor="#f2f2f2" strokeweight="3pt">
                <v:shadow on="t" color="#243f60" opacity=".5" offset="1pt,.74833mm"/>
                <w10:wrap anchorx="page" anchory="page"/>
              </v:rect>
            </w:pict>
          </mc:Fallback>
        </mc:AlternateContent>
      </w:r>
      <w:r>
        <w:rPr>
          <w:noProof/>
          <w:lang w:val="en-AU" w:eastAsia="en-AU" w:bidi="ar-SA"/>
        </w:rPr>
        <mc:AlternateContent>
          <mc:Choice Requires="wps">
            <w:drawing>
              <wp:anchor distT="0" distB="0" distL="114300" distR="114300" simplePos="0" relativeHeight="251633152" behindDoc="0" locked="0" layoutInCell="0" allowOverlap="1" wp14:anchorId="7EF8CEFE" wp14:editId="2A29DA30">
                <wp:simplePos x="0" y="0"/>
                <wp:positionH relativeFrom="page">
                  <wp:posOffset>762635</wp:posOffset>
                </wp:positionH>
                <wp:positionV relativeFrom="page">
                  <wp:posOffset>-283845</wp:posOffset>
                </wp:positionV>
                <wp:extent cx="90805" cy="11210290"/>
                <wp:effectExtent l="0" t="0" r="36195" b="25400"/>
                <wp:wrapNone/>
                <wp:docPr id="8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B9E0E13" id="Rectangle 9" o:spid="_x0000_s1026" style="position:absolute;margin-left:60.05pt;margin-top:-22.35pt;width:7.15pt;height:882.7pt;z-index:25163315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" o:allowincell="f" strokecolor="#0070c0">
                <w10:wrap anchorx="page" anchory="page"/>
              </v:rect>
            </w:pict>
          </mc:Fallback>
        </mc:AlternateContent>
      </w:r>
    </w:p>
    <w:p w14:paraId="7667A76C" w14:textId="77777777" w:rsidR="002E2276" w:rsidRPr="00FD0855" w:rsidRDefault="00625D0E">
      <w:pPr>
        <w:pStyle w:val="MediumGrid2-Accent11"/>
        <w:rPr>
          <w:sz w:val="72"/>
          <w:szCs w:val="72"/>
        </w:rPr>
      </w:pPr>
      <w:r>
        <w:rPr>
          <w:noProof/>
          <w:lang w:val="en-AU" w:eastAsia="en-AU"/>
        </w:rPr>
        <mc:AlternateContent>
          <mc:Choice Requires="wps">
            <w:drawing>
              <wp:anchor distT="0" distB="0" distL="114300" distR="114300" simplePos="0" relativeHeight="251625984" behindDoc="0" locked="0" layoutInCell="0" allowOverlap="1" wp14:anchorId="22A43D47" wp14:editId="11CF9E78">
                <wp:simplePos x="0" y="0"/>
                <wp:positionH relativeFrom="page">
                  <wp:align>center</wp:align>
                </wp:positionH>
                <wp:positionV relativeFrom="page">
                  <wp:align>bottom</wp:align>
                </wp:positionV>
                <wp:extent cx="7722870" cy="594995"/>
                <wp:effectExtent l="76200" t="76200" r="113665" b="116840"/>
                <wp:wrapNone/>
                <wp:docPr id="8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870" cy="59499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1232794" id="Rectangle 2" o:spid="_x0000_s1026" style="position:absolute;margin-left:0;margin-top:0;width:608.1pt;height:46.85pt;z-index:2516259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" o:allowincell="f" fillcolor="#4f81bd" strokecolor="#f2f2f2" strokeweight="3pt">
                <v:shadow on="t" color="#243f60" opacity=".5" offset="1pt,.74833mm"/>
                <w10:wrap anchorx="page" anchory="page"/>
              </v:rect>
            </w:pict>
          </mc:Fallback>
        </mc:AlternateContent>
      </w:r>
      <w:r>
        <w:rPr>
          <w:noProof/>
          <w:lang w:val="en-AU" w:eastAsia="en-AU"/>
        </w:rPr>
        <mc:AlternateContent>
          <mc:Choice Requires="wps">
            <w:drawing>
              <wp:anchor distT="0" distB="0" distL="114300" distR="114300" simplePos="0" relativeHeight="251629056" behindDoc="0" locked="0" layoutInCell="0" allowOverlap="1" wp14:anchorId="64FF149E" wp14:editId="28C6E5FD">
                <wp:simplePos x="0" y="0"/>
                <wp:positionH relativeFrom="page">
                  <wp:posOffset>412115</wp:posOffset>
                </wp:positionH>
                <wp:positionV relativeFrom="page">
                  <wp:posOffset>-260985</wp:posOffset>
                </wp:positionV>
                <wp:extent cx="90805" cy="11214100"/>
                <wp:effectExtent l="0" t="0" r="36195" b="25400"/>
                <wp:wrapNone/>
                <wp:docPr id="8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4100"/>
                        </a:xfrm>
                        <a:prstGeom prst="rect">
                          <a:avLst/>
                        </a:prstGeom>
                        <a:solidFill>
                          <a:srgbClr val="FFFFFF"/>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7023C19" id="Rectangle 5" o:spid="_x0000_s1026" style="position:absolute;margin-left:32.45pt;margin-top:-20.55pt;width:7.15pt;height:883pt;z-index:2516290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" o:allowincell="f" strokecolor="#0070c0">
                <w10:wrap anchorx="page" anchory="page"/>
              </v:rect>
            </w:pict>
          </mc:Fallback>
        </mc:AlternateContent>
      </w:r>
      <w:r>
        <w:rPr>
          <w:noProof/>
          <w:lang w:val="en-AU" w:eastAsia="en-AU"/>
        </w:rPr>
        <mc:AlternateContent>
          <mc:Choice Requires="wps">
            <w:drawing>
              <wp:anchor distT="0" distB="0" distL="114300" distR="114300" simplePos="0" relativeHeight="251628032" behindDoc="0" locked="0" layoutInCell="0" allowOverlap="1" wp14:anchorId="7171E6A9" wp14:editId="39AAD3BC">
                <wp:simplePos x="0" y="0"/>
                <wp:positionH relativeFrom="page">
                  <wp:posOffset>7058025</wp:posOffset>
                </wp:positionH>
                <wp:positionV relativeFrom="page">
                  <wp:posOffset>-260985</wp:posOffset>
                </wp:positionV>
                <wp:extent cx="90805" cy="11214100"/>
                <wp:effectExtent l="0" t="0" r="36195" b="25400"/>
                <wp:wrapNone/>
                <wp:docPr id="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4100"/>
                        </a:xfrm>
                        <a:prstGeom prst="rect">
                          <a:avLst/>
                        </a:prstGeom>
                        <a:solidFill>
                          <a:srgbClr val="FFFFFF"/>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85FC6B" id="Rectangle 4" o:spid="_x0000_s1026" style="position:absolute;margin-left:555.75pt;margin-top:-20.55pt;width:7.15pt;height:883pt;z-index:2516280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" o:allowincell="f" strokecolor="#0070c0">
                <w10:wrap anchorx="page" anchory="page"/>
              </v:rect>
            </w:pict>
          </mc:Fallback>
        </mc:AlternateContent>
      </w:r>
      <w:r>
        <w:rPr>
          <w:noProof/>
          <w:lang w:val="en-AU" w:eastAsia="en-AU"/>
        </w:rPr>
        <mc:AlternateContent>
          <mc:Choice Requires="wps">
            <w:drawing>
              <wp:anchor distT="0" distB="0" distL="114300" distR="114300" simplePos="0" relativeHeight="251627008" behindDoc="0" locked="0" layoutInCell="0" allowOverlap="1" wp14:anchorId="6989B454" wp14:editId="62D7DCF8">
                <wp:simplePos x="0" y="0"/>
                <wp:positionH relativeFrom="page">
                  <wp:posOffset>-182245</wp:posOffset>
                </wp:positionH>
                <wp:positionV relativeFrom="page">
                  <wp:posOffset>5080</wp:posOffset>
                </wp:positionV>
                <wp:extent cx="7722870" cy="588645"/>
                <wp:effectExtent l="76200" t="76200" r="113665" b="116840"/>
                <wp:wrapNone/>
                <wp:docPr id="8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870" cy="58864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DECD8B5" id="Rectangle 3" o:spid="_x0000_s1026" style="position:absolute;margin-left:-14.35pt;margin-top:.4pt;width:608.1pt;height:46.35pt;z-index:25162700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" o:allowincell="f" fillcolor="#4f81bd" strokecolor="#f2f2f2" strokeweight="3pt">
                <v:shadow on="t" color="#243f60" opacity=".5" offset="1pt,.74833mm"/>
                <w10:wrap anchorx="page" anchory="page"/>
              </v:rect>
            </w:pict>
          </mc:Fallback>
        </mc:AlternateContent>
      </w:r>
    </w:p>
    <w:p w14:paraId="018EBF77" w14:textId="77777777" w:rsidR="003B1DA3" w:rsidRDefault="00C12256">
      <w:pPr>
        <w:pStyle w:val="MediumGrid2-Accent11"/>
        <w:rPr>
          <w:sz w:val="72"/>
          <w:szCs w:val="72"/>
        </w:rPr>
      </w:pPr>
      <w:r w:rsidRPr="00C12256">
        <w:rPr>
          <w:sz w:val="72"/>
          <w:szCs w:val="72"/>
          <w:lang w:val="en-AU"/>
        </w:rPr>
        <w:t xml:space="preserve">Social and economic impacts of </w:t>
      </w:r>
      <w:r>
        <w:rPr>
          <w:sz w:val="72"/>
          <w:szCs w:val="72"/>
          <w:lang w:val="en-AU"/>
        </w:rPr>
        <w:t xml:space="preserve">the </w:t>
      </w:r>
      <w:r w:rsidRPr="00C12256">
        <w:rPr>
          <w:sz w:val="72"/>
          <w:szCs w:val="72"/>
          <w:lang w:val="en-AU"/>
        </w:rPr>
        <w:t>Basin Plan in Victoria</w:t>
      </w:r>
      <w:r w:rsidR="002E2276" w:rsidRPr="00FD0855">
        <w:rPr>
          <w:sz w:val="72"/>
          <w:szCs w:val="72"/>
        </w:rPr>
        <w:br/>
      </w:r>
    </w:p>
    <w:p w14:paraId="5C53FAFD" w14:textId="77777777" w:rsidR="002E2276" w:rsidRPr="00FD0855" w:rsidRDefault="002E2276">
      <w:pPr>
        <w:pStyle w:val="MediumGrid2-Accent11"/>
        <w:rPr>
          <w:sz w:val="72"/>
          <w:szCs w:val="72"/>
        </w:rPr>
      </w:pPr>
    </w:p>
    <w:p w14:paraId="1CD0B60C" w14:textId="46642E65" w:rsidR="003B1DA3" w:rsidRDefault="001A448C">
      <w:pPr>
        <w:pStyle w:val="MediumGrid2-Accent11"/>
      </w:pPr>
      <w:r>
        <w:t>February</w:t>
      </w:r>
      <w:r w:rsidR="004A6455">
        <w:t xml:space="preserve"> </w:t>
      </w:r>
      <w:r w:rsidR="00B2735A">
        <w:t>2017</w:t>
      </w:r>
    </w:p>
    <w:p w14:paraId="0DE4AC26" w14:textId="77777777" w:rsidR="003B1DA3" w:rsidRDefault="002E2276" w:rsidP="002E2276">
      <w:r w:rsidRPr="00FD0855">
        <w:br w:type="page"/>
      </w:r>
    </w:p>
    <w:p w14:paraId="18ACF3B7" w14:textId="77777777" w:rsidR="003B1DA3" w:rsidRDefault="003B1DA3" w:rsidP="002E2276"/>
    <w:p w14:paraId="3E0E7904" w14:textId="77777777" w:rsidR="003B1DA3" w:rsidRDefault="003B1DA3" w:rsidP="002E2276"/>
    <w:p w14:paraId="4C455782" w14:textId="77777777" w:rsidR="003B1DA3" w:rsidRDefault="003B1DA3" w:rsidP="002E2276"/>
    <w:p w14:paraId="1B3AF3E4" w14:textId="77777777" w:rsidR="003B1DA3" w:rsidRDefault="003B1DA3" w:rsidP="002E2276"/>
    <w:p w14:paraId="3FAB2741" w14:textId="77777777" w:rsidR="003B1DA3" w:rsidRDefault="003B1DA3" w:rsidP="002E2276"/>
    <w:p w14:paraId="240DAFA6" w14:textId="77777777" w:rsidR="003B1DA3" w:rsidRDefault="003B1DA3" w:rsidP="002E2276"/>
    <w:p w14:paraId="3C182E46" w14:textId="77777777" w:rsidR="00634AF4" w:rsidRDefault="00634AF4" w:rsidP="002E2276"/>
    <w:p w14:paraId="06B40B66" w14:textId="77777777" w:rsidR="00634AF4" w:rsidRDefault="00634AF4" w:rsidP="002E2276"/>
    <w:p w14:paraId="442604F9" w14:textId="77777777" w:rsidR="00634AF4" w:rsidRDefault="00634AF4" w:rsidP="002E2276"/>
    <w:p w14:paraId="019991CA" w14:textId="77777777" w:rsidR="00634AF4" w:rsidRDefault="00634AF4" w:rsidP="002E2276"/>
    <w:p w14:paraId="7B7A90E0" w14:textId="77777777" w:rsidR="00634AF4" w:rsidRDefault="00DF5A6B" w:rsidP="002E2276">
      <w:r>
        <w:t>Contact details:</w:t>
      </w:r>
    </w:p>
    <w:p w14:paraId="2814DECF" w14:textId="77777777" w:rsidR="003B1DA3" w:rsidRDefault="00DF5A6B" w:rsidP="00302BD9">
      <w:pPr>
        <w:pStyle w:val="ListParagraph"/>
        <w:numPr>
          <w:ilvl w:val="0"/>
          <w:numId w:val="51"/>
        </w:numPr>
        <w:jc w:val="left"/>
      </w:pPr>
      <w:r>
        <w:t>TC&amp;A (Tim Cummins &amp; Associates): 207/85 Rathdowne St, Carlton VIC 3053</w:t>
      </w:r>
      <w:r>
        <w:tab/>
      </w:r>
      <w:r>
        <w:br/>
      </w:r>
      <w:hyperlink r:id="rId14" w:history="1">
        <w:r w:rsidRPr="005B6523">
          <w:rPr>
            <w:rStyle w:val="Hyperlink"/>
          </w:rPr>
          <w:t>Tim.Cummins@bigpond.com</w:t>
        </w:r>
      </w:hyperlink>
      <w:r>
        <w:t xml:space="preserve">  /  0414 629 117</w:t>
      </w:r>
    </w:p>
    <w:p w14:paraId="43B46CC3" w14:textId="77777777" w:rsidR="00DF5A6B" w:rsidRDefault="00DF5A6B" w:rsidP="00302BD9">
      <w:pPr>
        <w:pStyle w:val="ListParagraph"/>
        <w:numPr>
          <w:ilvl w:val="0"/>
          <w:numId w:val="51"/>
        </w:numPr>
        <w:jc w:val="left"/>
      </w:pPr>
      <w:r>
        <w:t>Frontier Economics: Ground Floor, 395 Collins St, Melbourne VIC 3000</w:t>
      </w:r>
      <w:r>
        <w:tab/>
      </w:r>
      <w:r>
        <w:br/>
      </w:r>
      <w:hyperlink r:id="rId15" w:history="1">
        <w:r w:rsidRPr="005B6523">
          <w:rPr>
            <w:rStyle w:val="Hyperlink"/>
          </w:rPr>
          <w:t>dave.appels@frontier-economics.com.au</w:t>
        </w:r>
      </w:hyperlink>
      <w:r>
        <w:t xml:space="preserve">  /  03 </w:t>
      </w:r>
      <w:r w:rsidRPr="00DF5A6B">
        <w:t>9620 4488</w:t>
      </w:r>
    </w:p>
    <w:p w14:paraId="7BBD4C34" w14:textId="77777777" w:rsidR="003B1DA3" w:rsidRDefault="003B1DA3" w:rsidP="002E2276"/>
    <w:p w14:paraId="28215F27" w14:textId="77777777" w:rsidR="003B1DA3" w:rsidRDefault="003B1DA3" w:rsidP="002E2276"/>
    <w:p w14:paraId="234C232D" w14:textId="77777777" w:rsidR="00DF5A6B" w:rsidRDefault="00DF5A6B" w:rsidP="002E2276"/>
    <w:p w14:paraId="3AEE3E2E" w14:textId="77777777" w:rsidR="00DF5A6B" w:rsidRDefault="00DF5A6B" w:rsidP="002E2276"/>
    <w:p w14:paraId="60D43377" w14:textId="77777777" w:rsidR="003B1DA3" w:rsidRDefault="003B1DA3" w:rsidP="002E2276"/>
    <w:p w14:paraId="47C74461" w14:textId="77777777" w:rsidR="003B1DA3" w:rsidRDefault="003B1DA3" w:rsidP="002E2276"/>
    <w:p w14:paraId="42972983" w14:textId="77777777" w:rsidR="002E2276" w:rsidRPr="00FD0855" w:rsidRDefault="002E2276" w:rsidP="002E2276">
      <w:pPr>
        <w:rPr>
          <w:b/>
          <w:caps/>
          <w:sz w:val="18"/>
        </w:rPr>
      </w:pPr>
      <w:r w:rsidRPr="00FD0855">
        <w:rPr>
          <w:b/>
          <w:caps/>
          <w:sz w:val="18"/>
        </w:rPr>
        <w:t>Disclaimer</w:t>
      </w:r>
    </w:p>
    <w:p w14:paraId="3C204C20" w14:textId="77777777" w:rsidR="002E2276" w:rsidRDefault="002E2276" w:rsidP="002E2276">
      <w:pPr>
        <w:rPr>
          <w:sz w:val="18"/>
        </w:rPr>
      </w:pPr>
      <w:bookmarkStart w:id="0" w:name="_Toc515684569"/>
      <w:bookmarkStart w:id="1" w:name="_Toc515684748"/>
      <w:bookmarkStart w:id="2" w:name="_Toc515687061"/>
      <w:bookmarkStart w:id="3" w:name="_Toc516039239"/>
      <w:bookmarkStart w:id="4" w:name="_Toc516039287"/>
      <w:bookmarkStart w:id="5" w:name="_Toc516905195"/>
      <w:bookmarkStart w:id="6" w:name="_Toc516906475"/>
      <w:bookmarkStart w:id="7" w:name="_Toc517840309"/>
      <w:bookmarkStart w:id="8" w:name="_Toc518458389"/>
      <w:bookmarkStart w:id="9" w:name="_Toc518458476"/>
      <w:bookmarkStart w:id="10" w:name="_Toc518460261"/>
      <w:r w:rsidRPr="00FD0855">
        <w:rPr>
          <w:sz w:val="18"/>
        </w:rPr>
        <w:t>The information contained in this publication is intended for general use, to assist public knowledge and discussion and to help improve the development of sustainable water use. The information should not be relied upon for the purpose of a particular matter. Legal advice should be obtained before any action or decision is taken on the basis of any material in this document. Tim Cummins &amp; Associates Pty Ltd, the author or contributors do not assume liability of any kind whatsoever resulting from any person’s use or reliance upon the content of this document.</w:t>
      </w:r>
      <w:bookmarkEnd w:id="0"/>
      <w:bookmarkEnd w:id="1"/>
      <w:bookmarkEnd w:id="2"/>
      <w:bookmarkEnd w:id="3"/>
      <w:bookmarkEnd w:id="4"/>
      <w:bookmarkEnd w:id="5"/>
      <w:bookmarkEnd w:id="6"/>
      <w:bookmarkEnd w:id="7"/>
      <w:bookmarkEnd w:id="8"/>
      <w:bookmarkEnd w:id="9"/>
      <w:bookmarkEnd w:id="10"/>
    </w:p>
    <w:p w14:paraId="3E1530AE" w14:textId="77777777" w:rsidR="0082080C" w:rsidRDefault="0082080C" w:rsidP="002E2276">
      <w:pPr>
        <w:rPr>
          <w:sz w:val="18"/>
        </w:rPr>
      </w:pPr>
    </w:p>
    <w:p w14:paraId="4DF960DF" w14:textId="77777777" w:rsidR="00113949" w:rsidRDefault="00113949" w:rsidP="002E2276">
      <w:pPr>
        <w:rPr>
          <w:sz w:val="18"/>
        </w:rPr>
        <w:sectPr w:rsidR="0011394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fmt="lowerRoman" w:start="1"/>
          <w:cols w:space="708"/>
          <w:titlePg/>
          <w:docGrid w:linePitch="360"/>
        </w:sectPr>
      </w:pPr>
    </w:p>
    <w:p w14:paraId="730626CC" w14:textId="77777777" w:rsidR="002E2276" w:rsidRPr="00FD0855" w:rsidRDefault="002E2276" w:rsidP="00C955F7">
      <w:pPr>
        <w:pStyle w:val="GridTable31"/>
        <w:numPr>
          <w:ilvl w:val="0"/>
          <w:numId w:val="0"/>
        </w:numPr>
        <w:ind w:left="432" w:hanging="432"/>
      </w:pPr>
      <w:r w:rsidRPr="00FD0855">
        <w:lastRenderedPageBreak/>
        <w:t>Table of Contents</w:t>
      </w:r>
    </w:p>
    <w:p w14:paraId="733338BE" w14:textId="77777777" w:rsidR="001560F0" w:rsidRDefault="00B256DC">
      <w:pPr>
        <w:pStyle w:val="TOC1"/>
        <w:rPr>
          <w:rFonts w:asciiTheme="minorHAnsi" w:eastAsiaTheme="minorEastAsia" w:hAnsiTheme="minorHAnsi" w:cstheme="minorBidi"/>
          <w:b w:val="0"/>
          <w:noProof/>
          <w:lang w:val="en-AU" w:eastAsia="ja-JP" w:bidi="ar-SA"/>
        </w:rPr>
      </w:pPr>
      <w:r>
        <w:rPr>
          <w:b w:val="0"/>
        </w:rPr>
        <w:fldChar w:fldCharType="begin"/>
      </w:r>
      <w:r w:rsidR="0021529A">
        <w:rPr>
          <w:b w:val="0"/>
        </w:rPr>
        <w:instrText xml:space="preserve"> TOC \o "1-2" </w:instrText>
      </w:r>
      <w:r>
        <w:rPr>
          <w:b w:val="0"/>
        </w:rPr>
        <w:fldChar w:fldCharType="separate"/>
      </w:r>
      <w:r w:rsidR="001560F0" w:rsidRPr="004A5A99">
        <w:rPr>
          <w:noProof/>
          <w:lang w:val="en-AU"/>
        </w:rPr>
        <w:t>Acronyms</w:t>
      </w:r>
      <w:r w:rsidR="001560F0">
        <w:rPr>
          <w:noProof/>
        </w:rPr>
        <w:tab/>
      </w:r>
      <w:r w:rsidR="001560F0">
        <w:rPr>
          <w:noProof/>
        </w:rPr>
        <w:fldChar w:fldCharType="begin"/>
      </w:r>
      <w:r w:rsidR="001560F0">
        <w:rPr>
          <w:noProof/>
        </w:rPr>
        <w:instrText xml:space="preserve"> PAGEREF _Toc347747776 \h </w:instrText>
      </w:r>
      <w:r w:rsidR="001560F0">
        <w:rPr>
          <w:noProof/>
        </w:rPr>
      </w:r>
      <w:r w:rsidR="001560F0">
        <w:rPr>
          <w:noProof/>
        </w:rPr>
        <w:fldChar w:fldCharType="separate"/>
      </w:r>
      <w:r w:rsidR="008E5D7A">
        <w:rPr>
          <w:noProof/>
        </w:rPr>
        <w:t>i</w:t>
      </w:r>
      <w:r w:rsidR="001560F0">
        <w:rPr>
          <w:noProof/>
        </w:rPr>
        <w:fldChar w:fldCharType="end"/>
      </w:r>
    </w:p>
    <w:p w14:paraId="0F14C0D2" w14:textId="77777777" w:rsidR="001560F0" w:rsidRDefault="001560F0">
      <w:pPr>
        <w:pStyle w:val="TOC1"/>
        <w:rPr>
          <w:rFonts w:asciiTheme="minorHAnsi" w:eastAsiaTheme="minorEastAsia" w:hAnsiTheme="minorHAnsi" w:cstheme="minorBidi"/>
          <w:b w:val="0"/>
          <w:noProof/>
          <w:lang w:val="en-AU" w:eastAsia="ja-JP" w:bidi="ar-SA"/>
        </w:rPr>
      </w:pPr>
      <w:r>
        <w:rPr>
          <w:noProof/>
        </w:rPr>
        <w:t>Glossary</w:t>
      </w:r>
      <w:r>
        <w:rPr>
          <w:noProof/>
        </w:rPr>
        <w:tab/>
      </w:r>
      <w:r>
        <w:rPr>
          <w:noProof/>
        </w:rPr>
        <w:fldChar w:fldCharType="begin"/>
      </w:r>
      <w:r>
        <w:rPr>
          <w:noProof/>
        </w:rPr>
        <w:instrText xml:space="preserve"> PAGEREF _Toc347747777 \h </w:instrText>
      </w:r>
      <w:r>
        <w:rPr>
          <w:noProof/>
        </w:rPr>
      </w:r>
      <w:r>
        <w:rPr>
          <w:noProof/>
        </w:rPr>
        <w:fldChar w:fldCharType="separate"/>
      </w:r>
      <w:r w:rsidR="008E5D7A">
        <w:rPr>
          <w:noProof/>
        </w:rPr>
        <w:t>ii</w:t>
      </w:r>
      <w:r>
        <w:rPr>
          <w:noProof/>
        </w:rPr>
        <w:fldChar w:fldCharType="end"/>
      </w:r>
    </w:p>
    <w:p w14:paraId="2A360325" w14:textId="77777777" w:rsidR="001560F0" w:rsidRDefault="001560F0">
      <w:pPr>
        <w:pStyle w:val="TOC1"/>
        <w:rPr>
          <w:rFonts w:asciiTheme="minorHAnsi" w:eastAsiaTheme="minorEastAsia" w:hAnsiTheme="minorHAnsi" w:cstheme="minorBidi"/>
          <w:b w:val="0"/>
          <w:noProof/>
          <w:lang w:val="en-AU" w:eastAsia="ja-JP" w:bidi="ar-SA"/>
        </w:rPr>
      </w:pPr>
      <w:r w:rsidRPr="004A5A99">
        <w:rPr>
          <w:noProof/>
          <w:lang w:val="en-AU"/>
        </w:rPr>
        <w:t>Executive Summary</w:t>
      </w:r>
      <w:r>
        <w:rPr>
          <w:noProof/>
        </w:rPr>
        <w:tab/>
      </w:r>
      <w:r>
        <w:rPr>
          <w:noProof/>
        </w:rPr>
        <w:fldChar w:fldCharType="begin"/>
      </w:r>
      <w:r>
        <w:rPr>
          <w:noProof/>
        </w:rPr>
        <w:instrText xml:space="preserve"> PAGEREF _Toc347747778 \h </w:instrText>
      </w:r>
      <w:r>
        <w:rPr>
          <w:noProof/>
        </w:rPr>
      </w:r>
      <w:r>
        <w:rPr>
          <w:noProof/>
        </w:rPr>
        <w:fldChar w:fldCharType="separate"/>
      </w:r>
      <w:r w:rsidR="008E5D7A">
        <w:rPr>
          <w:noProof/>
        </w:rPr>
        <w:t>1</w:t>
      </w:r>
      <w:r>
        <w:rPr>
          <w:noProof/>
        </w:rPr>
        <w:fldChar w:fldCharType="end"/>
      </w:r>
    </w:p>
    <w:p w14:paraId="75236786"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Pr>
          <w:noProof/>
        </w:rPr>
        <w:t>Understanding the southern-connected Basin as a whole</w:t>
      </w:r>
      <w:r>
        <w:rPr>
          <w:noProof/>
        </w:rPr>
        <w:tab/>
      </w:r>
      <w:r>
        <w:rPr>
          <w:noProof/>
        </w:rPr>
        <w:fldChar w:fldCharType="begin"/>
      </w:r>
      <w:r>
        <w:rPr>
          <w:noProof/>
        </w:rPr>
        <w:instrText xml:space="preserve"> PAGEREF _Toc347747779 \h </w:instrText>
      </w:r>
      <w:r>
        <w:rPr>
          <w:noProof/>
        </w:rPr>
      </w:r>
      <w:r>
        <w:rPr>
          <w:noProof/>
        </w:rPr>
        <w:fldChar w:fldCharType="separate"/>
      </w:r>
      <w:r w:rsidR="008E5D7A">
        <w:rPr>
          <w:noProof/>
        </w:rPr>
        <w:t>1</w:t>
      </w:r>
      <w:r>
        <w:rPr>
          <w:noProof/>
        </w:rPr>
        <w:fldChar w:fldCharType="end"/>
      </w:r>
    </w:p>
    <w:p w14:paraId="6A476BA6"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Pr>
          <w:noProof/>
        </w:rPr>
        <w:t>Impacts at the farm scale</w:t>
      </w:r>
      <w:r>
        <w:rPr>
          <w:noProof/>
        </w:rPr>
        <w:tab/>
      </w:r>
      <w:r>
        <w:rPr>
          <w:noProof/>
        </w:rPr>
        <w:fldChar w:fldCharType="begin"/>
      </w:r>
      <w:r>
        <w:rPr>
          <w:noProof/>
        </w:rPr>
        <w:instrText xml:space="preserve"> PAGEREF _Toc347747780 \h </w:instrText>
      </w:r>
      <w:r>
        <w:rPr>
          <w:noProof/>
        </w:rPr>
      </w:r>
      <w:r>
        <w:rPr>
          <w:noProof/>
        </w:rPr>
        <w:fldChar w:fldCharType="separate"/>
      </w:r>
      <w:r w:rsidR="008E5D7A">
        <w:rPr>
          <w:noProof/>
        </w:rPr>
        <w:t>3</w:t>
      </w:r>
      <w:r>
        <w:rPr>
          <w:noProof/>
        </w:rPr>
        <w:fldChar w:fldCharType="end"/>
      </w:r>
    </w:p>
    <w:p w14:paraId="50F9B5C4"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Impacts for horticultural industries</w:t>
      </w:r>
      <w:r>
        <w:rPr>
          <w:noProof/>
        </w:rPr>
        <w:tab/>
      </w:r>
      <w:r>
        <w:rPr>
          <w:noProof/>
        </w:rPr>
        <w:fldChar w:fldCharType="begin"/>
      </w:r>
      <w:r>
        <w:rPr>
          <w:noProof/>
        </w:rPr>
        <w:instrText xml:space="preserve"> PAGEREF _Toc347747781 \h </w:instrText>
      </w:r>
      <w:r>
        <w:rPr>
          <w:noProof/>
        </w:rPr>
      </w:r>
      <w:r>
        <w:rPr>
          <w:noProof/>
        </w:rPr>
        <w:fldChar w:fldCharType="separate"/>
      </w:r>
      <w:r w:rsidR="008E5D7A">
        <w:rPr>
          <w:noProof/>
        </w:rPr>
        <w:t>6</w:t>
      </w:r>
      <w:r>
        <w:rPr>
          <w:noProof/>
        </w:rPr>
        <w:fldChar w:fldCharType="end"/>
      </w:r>
    </w:p>
    <w:p w14:paraId="16BF00B7"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Pr>
          <w:noProof/>
        </w:rPr>
        <w:t>Impacts on the dairy industry</w:t>
      </w:r>
      <w:r>
        <w:rPr>
          <w:noProof/>
        </w:rPr>
        <w:tab/>
      </w:r>
      <w:r>
        <w:rPr>
          <w:noProof/>
        </w:rPr>
        <w:fldChar w:fldCharType="begin"/>
      </w:r>
      <w:r>
        <w:rPr>
          <w:noProof/>
        </w:rPr>
        <w:instrText xml:space="preserve"> PAGEREF _Toc347747782 \h </w:instrText>
      </w:r>
      <w:r>
        <w:rPr>
          <w:noProof/>
        </w:rPr>
      </w:r>
      <w:r>
        <w:rPr>
          <w:noProof/>
        </w:rPr>
        <w:fldChar w:fldCharType="separate"/>
      </w:r>
      <w:r w:rsidR="008E5D7A">
        <w:rPr>
          <w:noProof/>
        </w:rPr>
        <w:t>8</w:t>
      </w:r>
      <w:r>
        <w:rPr>
          <w:noProof/>
        </w:rPr>
        <w:fldChar w:fldCharType="end"/>
      </w:r>
    </w:p>
    <w:p w14:paraId="388B1E29"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Pr>
          <w:noProof/>
        </w:rPr>
        <w:t>Impacts in the GMID</w:t>
      </w:r>
      <w:r>
        <w:rPr>
          <w:noProof/>
        </w:rPr>
        <w:tab/>
      </w:r>
      <w:r>
        <w:rPr>
          <w:noProof/>
        </w:rPr>
        <w:fldChar w:fldCharType="begin"/>
      </w:r>
      <w:r>
        <w:rPr>
          <w:noProof/>
        </w:rPr>
        <w:instrText xml:space="preserve"> PAGEREF _Toc347747783 \h </w:instrText>
      </w:r>
      <w:r>
        <w:rPr>
          <w:noProof/>
        </w:rPr>
      </w:r>
      <w:r>
        <w:rPr>
          <w:noProof/>
        </w:rPr>
        <w:fldChar w:fldCharType="separate"/>
      </w:r>
      <w:r w:rsidR="008E5D7A">
        <w:rPr>
          <w:noProof/>
        </w:rPr>
        <w:t>10</w:t>
      </w:r>
      <w:r>
        <w:rPr>
          <w:noProof/>
        </w:rPr>
        <w:fldChar w:fldCharType="end"/>
      </w:r>
    </w:p>
    <w:p w14:paraId="4C10CEC7"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Pr>
          <w:noProof/>
        </w:rPr>
        <w:t>Impacts in NSW</w:t>
      </w:r>
      <w:r>
        <w:rPr>
          <w:noProof/>
        </w:rPr>
        <w:tab/>
      </w:r>
      <w:r>
        <w:rPr>
          <w:noProof/>
        </w:rPr>
        <w:fldChar w:fldCharType="begin"/>
      </w:r>
      <w:r>
        <w:rPr>
          <w:noProof/>
        </w:rPr>
        <w:instrText xml:space="preserve"> PAGEREF _Toc347747784 \h </w:instrText>
      </w:r>
      <w:r>
        <w:rPr>
          <w:noProof/>
        </w:rPr>
      </w:r>
      <w:r>
        <w:rPr>
          <w:noProof/>
        </w:rPr>
        <w:fldChar w:fldCharType="separate"/>
      </w:r>
      <w:r w:rsidR="008E5D7A">
        <w:rPr>
          <w:noProof/>
        </w:rPr>
        <w:t>11</w:t>
      </w:r>
      <w:r>
        <w:rPr>
          <w:noProof/>
        </w:rPr>
        <w:fldChar w:fldCharType="end"/>
      </w:r>
    </w:p>
    <w:p w14:paraId="3BD997DD"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Pr>
          <w:noProof/>
        </w:rPr>
        <w:t>Impacts in South Australia</w:t>
      </w:r>
      <w:r>
        <w:rPr>
          <w:noProof/>
        </w:rPr>
        <w:tab/>
      </w:r>
      <w:r>
        <w:rPr>
          <w:noProof/>
        </w:rPr>
        <w:fldChar w:fldCharType="begin"/>
      </w:r>
      <w:r>
        <w:rPr>
          <w:noProof/>
        </w:rPr>
        <w:instrText xml:space="preserve"> PAGEREF _Toc347747785 \h </w:instrText>
      </w:r>
      <w:r>
        <w:rPr>
          <w:noProof/>
        </w:rPr>
      </w:r>
      <w:r>
        <w:rPr>
          <w:noProof/>
        </w:rPr>
        <w:fldChar w:fldCharType="separate"/>
      </w:r>
      <w:r w:rsidR="008E5D7A">
        <w:rPr>
          <w:noProof/>
        </w:rPr>
        <w:t>12</w:t>
      </w:r>
      <w:r>
        <w:rPr>
          <w:noProof/>
        </w:rPr>
        <w:fldChar w:fldCharType="end"/>
      </w:r>
    </w:p>
    <w:p w14:paraId="25A3BE85"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Pr>
          <w:noProof/>
        </w:rPr>
        <w:t>Socio-economic impacts</w:t>
      </w:r>
      <w:r>
        <w:rPr>
          <w:noProof/>
        </w:rPr>
        <w:tab/>
      </w:r>
      <w:r>
        <w:rPr>
          <w:noProof/>
        </w:rPr>
        <w:fldChar w:fldCharType="begin"/>
      </w:r>
      <w:r>
        <w:rPr>
          <w:noProof/>
        </w:rPr>
        <w:instrText xml:space="preserve"> PAGEREF _Toc347747786 \h </w:instrText>
      </w:r>
      <w:r>
        <w:rPr>
          <w:noProof/>
        </w:rPr>
      </w:r>
      <w:r>
        <w:rPr>
          <w:noProof/>
        </w:rPr>
        <w:fldChar w:fldCharType="separate"/>
      </w:r>
      <w:r w:rsidR="008E5D7A">
        <w:rPr>
          <w:noProof/>
        </w:rPr>
        <w:t>12</w:t>
      </w:r>
      <w:r>
        <w:rPr>
          <w:noProof/>
        </w:rPr>
        <w:fldChar w:fldCharType="end"/>
      </w:r>
    </w:p>
    <w:p w14:paraId="15D0C7DD"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Environmental benefits</w:t>
      </w:r>
      <w:r>
        <w:rPr>
          <w:noProof/>
        </w:rPr>
        <w:tab/>
      </w:r>
      <w:r>
        <w:rPr>
          <w:noProof/>
        </w:rPr>
        <w:fldChar w:fldCharType="begin"/>
      </w:r>
      <w:r>
        <w:rPr>
          <w:noProof/>
        </w:rPr>
        <w:instrText xml:space="preserve"> PAGEREF _Toc347747787 \h </w:instrText>
      </w:r>
      <w:r>
        <w:rPr>
          <w:noProof/>
        </w:rPr>
      </w:r>
      <w:r>
        <w:rPr>
          <w:noProof/>
        </w:rPr>
        <w:fldChar w:fldCharType="separate"/>
      </w:r>
      <w:r w:rsidR="008E5D7A">
        <w:rPr>
          <w:noProof/>
        </w:rPr>
        <w:t>13</w:t>
      </w:r>
      <w:r>
        <w:rPr>
          <w:noProof/>
        </w:rPr>
        <w:fldChar w:fldCharType="end"/>
      </w:r>
    </w:p>
    <w:p w14:paraId="05903112" w14:textId="77777777" w:rsidR="001560F0" w:rsidRDefault="001560F0">
      <w:pPr>
        <w:pStyle w:val="TOC2"/>
        <w:tabs>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Conclusions</w:t>
      </w:r>
      <w:r>
        <w:rPr>
          <w:noProof/>
        </w:rPr>
        <w:tab/>
      </w:r>
      <w:r>
        <w:rPr>
          <w:noProof/>
        </w:rPr>
        <w:fldChar w:fldCharType="begin"/>
      </w:r>
      <w:r>
        <w:rPr>
          <w:noProof/>
        </w:rPr>
        <w:instrText xml:space="preserve"> PAGEREF _Toc347747788 \h </w:instrText>
      </w:r>
      <w:r>
        <w:rPr>
          <w:noProof/>
        </w:rPr>
      </w:r>
      <w:r>
        <w:rPr>
          <w:noProof/>
        </w:rPr>
        <w:fldChar w:fldCharType="separate"/>
      </w:r>
      <w:r w:rsidR="008E5D7A">
        <w:rPr>
          <w:noProof/>
        </w:rPr>
        <w:t>13</w:t>
      </w:r>
      <w:r>
        <w:rPr>
          <w:noProof/>
        </w:rPr>
        <w:fldChar w:fldCharType="end"/>
      </w:r>
    </w:p>
    <w:p w14:paraId="07B73378"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Pr>
          <w:noProof/>
        </w:rPr>
        <w:t>1</w:t>
      </w:r>
      <w:r>
        <w:rPr>
          <w:rFonts w:asciiTheme="minorHAnsi" w:eastAsiaTheme="minorEastAsia" w:hAnsiTheme="minorHAnsi" w:cstheme="minorBidi"/>
          <w:b w:val="0"/>
          <w:noProof/>
          <w:lang w:val="en-AU" w:eastAsia="ja-JP" w:bidi="ar-SA"/>
        </w:rPr>
        <w:tab/>
      </w:r>
      <w:r>
        <w:rPr>
          <w:noProof/>
        </w:rPr>
        <w:t>Introduction</w:t>
      </w:r>
      <w:r>
        <w:rPr>
          <w:noProof/>
        </w:rPr>
        <w:tab/>
      </w:r>
      <w:r>
        <w:rPr>
          <w:noProof/>
        </w:rPr>
        <w:fldChar w:fldCharType="begin"/>
      </w:r>
      <w:r>
        <w:rPr>
          <w:noProof/>
        </w:rPr>
        <w:instrText xml:space="preserve"> PAGEREF _Toc347747789 \h </w:instrText>
      </w:r>
      <w:r>
        <w:rPr>
          <w:noProof/>
        </w:rPr>
      </w:r>
      <w:r>
        <w:rPr>
          <w:noProof/>
        </w:rPr>
        <w:fldChar w:fldCharType="separate"/>
      </w:r>
      <w:r w:rsidR="008E5D7A">
        <w:rPr>
          <w:noProof/>
        </w:rPr>
        <w:t>15</w:t>
      </w:r>
      <w:r>
        <w:rPr>
          <w:noProof/>
        </w:rPr>
        <w:fldChar w:fldCharType="end"/>
      </w:r>
    </w:p>
    <w:p w14:paraId="1A3E315A"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1.1</w:t>
      </w:r>
      <w:r>
        <w:rPr>
          <w:rFonts w:asciiTheme="minorHAnsi" w:eastAsiaTheme="minorEastAsia" w:hAnsiTheme="minorHAnsi" w:cstheme="minorBidi"/>
          <w:b w:val="0"/>
          <w:noProof/>
          <w:sz w:val="24"/>
          <w:szCs w:val="24"/>
          <w:lang w:val="en-AU" w:eastAsia="ja-JP" w:bidi="ar-SA"/>
        </w:rPr>
        <w:tab/>
      </w:r>
      <w:r w:rsidRPr="004A5A99">
        <w:rPr>
          <w:noProof/>
          <w:lang w:val="en-AU"/>
        </w:rPr>
        <w:t>About the Basin Plan</w:t>
      </w:r>
      <w:r>
        <w:rPr>
          <w:noProof/>
        </w:rPr>
        <w:tab/>
      </w:r>
      <w:r>
        <w:rPr>
          <w:noProof/>
        </w:rPr>
        <w:fldChar w:fldCharType="begin"/>
      </w:r>
      <w:r>
        <w:rPr>
          <w:noProof/>
        </w:rPr>
        <w:instrText xml:space="preserve"> PAGEREF _Toc347747790 \h </w:instrText>
      </w:r>
      <w:r>
        <w:rPr>
          <w:noProof/>
        </w:rPr>
      </w:r>
      <w:r>
        <w:rPr>
          <w:noProof/>
        </w:rPr>
        <w:fldChar w:fldCharType="separate"/>
      </w:r>
      <w:r w:rsidR="008E5D7A">
        <w:rPr>
          <w:noProof/>
        </w:rPr>
        <w:t>15</w:t>
      </w:r>
      <w:r>
        <w:rPr>
          <w:noProof/>
        </w:rPr>
        <w:fldChar w:fldCharType="end"/>
      </w:r>
    </w:p>
    <w:p w14:paraId="5EF80A5B"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1.2</w:t>
      </w:r>
      <w:r>
        <w:rPr>
          <w:rFonts w:asciiTheme="minorHAnsi" w:eastAsiaTheme="minorEastAsia" w:hAnsiTheme="minorHAnsi" w:cstheme="minorBidi"/>
          <w:b w:val="0"/>
          <w:noProof/>
          <w:sz w:val="24"/>
          <w:szCs w:val="24"/>
          <w:lang w:val="en-AU" w:eastAsia="ja-JP" w:bidi="ar-SA"/>
        </w:rPr>
        <w:tab/>
      </w:r>
      <w:r w:rsidRPr="004A5A99">
        <w:rPr>
          <w:noProof/>
          <w:lang w:val="en-AU"/>
        </w:rPr>
        <w:t>Purpose of this report</w:t>
      </w:r>
      <w:r>
        <w:rPr>
          <w:noProof/>
        </w:rPr>
        <w:tab/>
      </w:r>
      <w:r>
        <w:rPr>
          <w:noProof/>
        </w:rPr>
        <w:fldChar w:fldCharType="begin"/>
      </w:r>
      <w:r>
        <w:rPr>
          <w:noProof/>
        </w:rPr>
        <w:instrText xml:space="preserve"> PAGEREF _Toc347747791 \h </w:instrText>
      </w:r>
      <w:r>
        <w:rPr>
          <w:noProof/>
        </w:rPr>
      </w:r>
      <w:r>
        <w:rPr>
          <w:noProof/>
        </w:rPr>
        <w:fldChar w:fldCharType="separate"/>
      </w:r>
      <w:r w:rsidR="008E5D7A">
        <w:rPr>
          <w:noProof/>
        </w:rPr>
        <w:t>16</w:t>
      </w:r>
      <w:r>
        <w:rPr>
          <w:noProof/>
        </w:rPr>
        <w:fldChar w:fldCharType="end"/>
      </w:r>
    </w:p>
    <w:p w14:paraId="6CB23BE4"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1.3</w:t>
      </w:r>
      <w:r>
        <w:rPr>
          <w:rFonts w:asciiTheme="minorHAnsi" w:eastAsiaTheme="minorEastAsia" w:hAnsiTheme="minorHAnsi" w:cstheme="minorBidi"/>
          <w:b w:val="0"/>
          <w:noProof/>
          <w:sz w:val="24"/>
          <w:szCs w:val="24"/>
          <w:lang w:val="en-AU" w:eastAsia="ja-JP" w:bidi="ar-SA"/>
        </w:rPr>
        <w:tab/>
      </w:r>
      <w:r w:rsidRPr="004A5A99">
        <w:rPr>
          <w:noProof/>
          <w:lang w:val="en-AU"/>
        </w:rPr>
        <w:t>Structure of this report</w:t>
      </w:r>
      <w:r>
        <w:rPr>
          <w:noProof/>
        </w:rPr>
        <w:tab/>
      </w:r>
      <w:r>
        <w:rPr>
          <w:noProof/>
        </w:rPr>
        <w:fldChar w:fldCharType="begin"/>
      </w:r>
      <w:r>
        <w:rPr>
          <w:noProof/>
        </w:rPr>
        <w:instrText xml:space="preserve"> PAGEREF _Toc347747792 \h </w:instrText>
      </w:r>
      <w:r>
        <w:rPr>
          <w:noProof/>
        </w:rPr>
      </w:r>
      <w:r>
        <w:rPr>
          <w:noProof/>
        </w:rPr>
        <w:fldChar w:fldCharType="separate"/>
      </w:r>
      <w:r w:rsidR="008E5D7A">
        <w:rPr>
          <w:noProof/>
        </w:rPr>
        <w:t>16</w:t>
      </w:r>
      <w:r>
        <w:rPr>
          <w:noProof/>
        </w:rPr>
        <w:fldChar w:fldCharType="end"/>
      </w:r>
    </w:p>
    <w:p w14:paraId="0CB09D2E"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1.4</w:t>
      </w:r>
      <w:r>
        <w:rPr>
          <w:rFonts w:asciiTheme="minorHAnsi" w:eastAsiaTheme="minorEastAsia" w:hAnsiTheme="minorHAnsi" w:cstheme="minorBidi"/>
          <w:b w:val="0"/>
          <w:noProof/>
          <w:sz w:val="24"/>
          <w:szCs w:val="24"/>
          <w:lang w:val="en-AU" w:eastAsia="ja-JP" w:bidi="ar-SA"/>
        </w:rPr>
        <w:tab/>
      </w:r>
      <w:r w:rsidRPr="004A5A99">
        <w:rPr>
          <w:noProof/>
          <w:lang w:val="en-AU"/>
        </w:rPr>
        <w:t>Methodology</w:t>
      </w:r>
      <w:r>
        <w:rPr>
          <w:noProof/>
        </w:rPr>
        <w:tab/>
      </w:r>
      <w:r>
        <w:rPr>
          <w:noProof/>
        </w:rPr>
        <w:fldChar w:fldCharType="begin"/>
      </w:r>
      <w:r>
        <w:rPr>
          <w:noProof/>
        </w:rPr>
        <w:instrText xml:space="preserve"> PAGEREF _Toc347747793 \h </w:instrText>
      </w:r>
      <w:r>
        <w:rPr>
          <w:noProof/>
        </w:rPr>
      </w:r>
      <w:r>
        <w:rPr>
          <w:noProof/>
        </w:rPr>
        <w:fldChar w:fldCharType="separate"/>
      </w:r>
      <w:r w:rsidR="008E5D7A">
        <w:rPr>
          <w:noProof/>
        </w:rPr>
        <w:t>16</w:t>
      </w:r>
      <w:r>
        <w:rPr>
          <w:noProof/>
        </w:rPr>
        <w:fldChar w:fldCharType="end"/>
      </w:r>
    </w:p>
    <w:p w14:paraId="6E8AB138"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2</w:t>
      </w:r>
      <w:r>
        <w:rPr>
          <w:rFonts w:asciiTheme="minorHAnsi" w:eastAsiaTheme="minorEastAsia" w:hAnsiTheme="minorHAnsi" w:cstheme="minorBidi"/>
          <w:b w:val="0"/>
          <w:noProof/>
          <w:lang w:val="en-AU" w:eastAsia="ja-JP" w:bidi="ar-SA"/>
        </w:rPr>
        <w:tab/>
      </w:r>
      <w:r w:rsidRPr="004A5A99">
        <w:rPr>
          <w:noProof/>
          <w:lang w:val="en-AU"/>
        </w:rPr>
        <w:t>An overview of irrigation in the southern-connected Murray-Darling Basin</w:t>
      </w:r>
      <w:r>
        <w:rPr>
          <w:noProof/>
        </w:rPr>
        <w:tab/>
      </w:r>
      <w:r>
        <w:rPr>
          <w:noProof/>
        </w:rPr>
        <w:fldChar w:fldCharType="begin"/>
      </w:r>
      <w:r>
        <w:rPr>
          <w:noProof/>
        </w:rPr>
        <w:instrText xml:space="preserve"> PAGEREF _Toc347747794 \h </w:instrText>
      </w:r>
      <w:r>
        <w:rPr>
          <w:noProof/>
        </w:rPr>
      </w:r>
      <w:r>
        <w:rPr>
          <w:noProof/>
        </w:rPr>
        <w:fldChar w:fldCharType="separate"/>
      </w:r>
      <w:r w:rsidR="008E5D7A">
        <w:rPr>
          <w:noProof/>
        </w:rPr>
        <w:t>19</w:t>
      </w:r>
      <w:r>
        <w:rPr>
          <w:noProof/>
        </w:rPr>
        <w:fldChar w:fldCharType="end"/>
      </w:r>
    </w:p>
    <w:p w14:paraId="59BDA46F"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2.1</w:t>
      </w:r>
      <w:r>
        <w:rPr>
          <w:rFonts w:asciiTheme="minorHAnsi" w:eastAsiaTheme="minorEastAsia" w:hAnsiTheme="minorHAnsi" w:cstheme="minorBidi"/>
          <w:b w:val="0"/>
          <w:noProof/>
          <w:sz w:val="24"/>
          <w:szCs w:val="24"/>
          <w:lang w:val="en-AU" w:eastAsia="ja-JP" w:bidi="ar-SA"/>
        </w:rPr>
        <w:tab/>
      </w:r>
      <w:r>
        <w:rPr>
          <w:noProof/>
        </w:rPr>
        <w:t>Overview</w:t>
      </w:r>
      <w:r>
        <w:rPr>
          <w:noProof/>
        </w:rPr>
        <w:tab/>
      </w:r>
      <w:r>
        <w:rPr>
          <w:noProof/>
        </w:rPr>
        <w:fldChar w:fldCharType="begin"/>
      </w:r>
      <w:r>
        <w:rPr>
          <w:noProof/>
        </w:rPr>
        <w:instrText xml:space="preserve"> PAGEREF _Toc347747795 \h </w:instrText>
      </w:r>
      <w:r>
        <w:rPr>
          <w:noProof/>
        </w:rPr>
      </w:r>
      <w:r>
        <w:rPr>
          <w:noProof/>
        </w:rPr>
        <w:fldChar w:fldCharType="separate"/>
      </w:r>
      <w:r w:rsidR="008E5D7A">
        <w:rPr>
          <w:noProof/>
        </w:rPr>
        <w:t>19</w:t>
      </w:r>
      <w:r>
        <w:rPr>
          <w:noProof/>
        </w:rPr>
        <w:fldChar w:fldCharType="end"/>
      </w:r>
    </w:p>
    <w:p w14:paraId="5B5A1029"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2.2</w:t>
      </w:r>
      <w:r>
        <w:rPr>
          <w:rFonts w:asciiTheme="minorHAnsi" w:eastAsiaTheme="minorEastAsia" w:hAnsiTheme="minorHAnsi" w:cstheme="minorBidi"/>
          <w:b w:val="0"/>
          <w:noProof/>
          <w:sz w:val="24"/>
          <w:szCs w:val="24"/>
          <w:lang w:val="en-AU" w:eastAsia="ja-JP" w:bidi="ar-SA"/>
        </w:rPr>
        <w:tab/>
      </w:r>
      <w:r w:rsidRPr="004A5A99">
        <w:rPr>
          <w:noProof/>
          <w:lang w:val="en-AU"/>
        </w:rPr>
        <w:t>Understanding the southern-connected Basin as a system</w:t>
      </w:r>
      <w:r>
        <w:rPr>
          <w:noProof/>
        </w:rPr>
        <w:tab/>
      </w:r>
      <w:r>
        <w:rPr>
          <w:noProof/>
        </w:rPr>
        <w:fldChar w:fldCharType="begin"/>
      </w:r>
      <w:r>
        <w:rPr>
          <w:noProof/>
        </w:rPr>
        <w:instrText xml:space="preserve"> PAGEREF _Toc347747796 \h </w:instrText>
      </w:r>
      <w:r>
        <w:rPr>
          <w:noProof/>
        </w:rPr>
      </w:r>
      <w:r>
        <w:rPr>
          <w:noProof/>
        </w:rPr>
        <w:fldChar w:fldCharType="separate"/>
      </w:r>
      <w:r w:rsidR="008E5D7A">
        <w:rPr>
          <w:noProof/>
        </w:rPr>
        <w:t>19</w:t>
      </w:r>
      <w:r>
        <w:rPr>
          <w:noProof/>
        </w:rPr>
        <w:fldChar w:fldCharType="end"/>
      </w:r>
    </w:p>
    <w:p w14:paraId="292AECEE"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2.3</w:t>
      </w:r>
      <w:r>
        <w:rPr>
          <w:rFonts w:asciiTheme="minorHAnsi" w:eastAsiaTheme="minorEastAsia" w:hAnsiTheme="minorHAnsi" w:cstheme="minorBidi"/>
          <w:b w:val="0"/>
          <w:noProof/>
          <w:sz w:val="24"/>
          <w:szCs w:val="24"/>
          <w:lang w:val="en-AU" w:eastAsia="ja-JP" w:bidi="ar-SA"/>
        </w:rPr>
        <w:tab/>
      </w:r>
      <w:r w:rsidRPr="004A5A99">
        <w:rPr>
          <w:noProof/>
          <w:lang w:val="en-AU"/>
        </w:rPr>
        <w:t>The main irrigated industries and their geographic centres</w:t>
      </w:r>
      <w:r>
        <w:rPr>
          <w:noProof/>
        </w:rPr>
        <w:tab/>
      </w:r>
      <w:r>
        <w:rPr>
          <w:noProof/>
        </w:rPr>
        <w:fldChar w:fldCharType="begin"/>
      </w:r>
      <w:r>
        <w:rPr>
          <w:noProof/>
        </w:rPr>
        <w:instrText xml:space="preserve"> PAGEREF _Toc347747797 \h </w:instrText>
      </w:r>
      <w:r>
        <w:rPr>
          <w:noProof/>
        </w:rPr>
      </w:r>
      <w:r>
        <w:rPr>
          <w:noProof/>
        </w:rPr>
        <w:fldChar w:fldCharType="separate"/>
      </w:r>
      <w:r w:rsidR="008E5D7A">
        <w:rPr>
          <w:noProof/>
        </w:rPr>
        <w:t>25</w:t>
      </w:r>
      <w:r>
        <w:rPr>
          <w:noProof/>
        </w:rPr>
        <w:fldChar w:fldCharType="end"/>
      </w:r>
    </w:p>
    <w:p w14:paraId="6ED03FD9"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2.4</w:t>
      </w:r>
      <w:r>
        <w:rPr>
          <w:rFonts w:asciiTheme="minorHAnsi" w:eastAsiaTheme="minorEastAsia" w:hAnsiTheme="minorHAnsi" w:cstheme="minorBidi"/>
          <w:b w:val="0"/>
          <w:noProof/>
          <w:sz w:val="24"/>
          <w:szCs w:val="24"/>
          <w:lang w:val="en-AU" w:eastAsia="ja-JP" w:bidi="ar-SA"/>
        </w:rPr>
        <w:tab/>
      </w:r>
      <w:r w:rsidRPr="004A5A99">
        <w:rPr>
          <w:noProof/>
          <w:lang w:val="en-AU"/>
        </w:rPr>
        <w:t>System dynamics</w:t>
      </w:r>
      <w:r>
        <w:rPr>
          <w:noProof/>
        </w:rPr>
        <w:tab/>
      </w:r>
      <w:r>
        <w:rPr>
          <w:noProof/>
        </w:rPr>
        <w:fldChar w:fldCharType="begin"/>
      </w:r>
      <w:r>
        <w:rPr>
          <w:noProof/>
        </w:rPr>
        <w:instrText xml:space="preserve"> PAGEREF _Toc347747798 \h </w:instrText>
      </w:r>
      <w:r>
        <w:rPr>
          <w:noProof/>
        </w:rPr>
      </w:r>
      <w:r>
        <w:rPr>
          <w:noProof/>
        </w:rPr>
        <w:fldChar w:fldCharType="separate"/>
      </w:r>
      <w:r w:rsidR="008E5D7A">
        <w:rPr>
          <w:noProof/>
        </w:rPr>
        <w:t>26</w:t>
      </w:r>
      <w:r>
        <w:rPr>
          <w:noProof/>
        </w:rPr>
        <w:fldChar w:fldCharType="end"/>
      </w:r>
    </w:p>
    <w:p w14:paraId="462E5C6C"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2.5</w:t>
      </w:r>
      <w:r>
        <w:rPr>
          <w:rFonts w:asciiTheme="minorHAnsi" w:eastAsiaTheme="minorEastAsia" w:hAnsiTheme="minorHAnsi" w:cstheme="minorBidi"/>
          <w:b w:val="0"/>
          <w:noProof/>
          <w:sz w:val="24"/>
          <w:szCs w:val="24"/>
          <w:lang w:val="en-AU" w:eastAsia="ja-JP" w:bidi="ar-SA"/>
        </w:rPr>
        <w:tab/>
      </w:r>
      <w:r>
        <w:rPr>
          <w:noProof/>
        </w:rPr>
        <w:t>Summing up</w:t>
      </w:r>
      <w:r>
        <w:rPr>
          <w:noProof/>
        </w:rPr>
        <w:tab/>
      </w:r>
      <w:r>
        <w:rPr>
          <w:noProof/>
        </w:rPr>
        <w:fldChar w:fldCharType="begin"/>
      </w:r>
      <w:r>
        <w:rPr>
          <w:noProof/>
        </w:rPr>
        <w:instrText xml:space="preserve"> PAGEREF _Toc347747799 \h </w:instrText>
      </w:r>
      <w:r>
        <w:rPr>
          <w:noProof/>
        </w:rPr>
      </w:r>
      <w:r>
        <w:rPr>
          <w:noProof/>
        </w:rPr>
        <w:fldChar w:fldCharType="separate"/>
      </w:r>
      <w:r w:rsidR="008E5D7A">
        <w:rPr>
          <w:noProof/>
        </w:rPr>
        <w:t>27</w:t>
      </w:r>
      <w:r>
        <w:rPr>
          <w:noProof/>
        </w:rPr>
        <w:fldChar w:fldCharType="end"/>
      </w:r>
    </w:p>
    <w:p w14:paraId="7B9C66FC"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3</w:t>
      </w:r>
      <w:r>
        <w:rPr>
          <w:rFonts w:asciiTheme="minorHAnsi" w:eastAsiaTheme="minorEastAsia" w:hAnsiTheme="minorHAnsi" w:cstheme="minorBidi"/>
          <w:b w:val="0"/>
          <w:noProof/>
          <w:lang w:val="en-AU" w:eastAsia="ja-JP" w:bidi="ar-SA"/>
        </w:rPr>
        <w:tab/>
      </w:r>
      <w:r w:rsidRPr="004A5A99">
        <w:rPr>
          <w:noProof/>
          <w:lang w:val="en-AU"/>
        </w:rPr>
        <w:t>Observed water use in Victoria since water recovery commenced – compared with a logically constructed ‘counterfactual’</w:t>
      </w:r>
      <w:r>
        <w:rPr>
          <w:noProof/>
        </w:rPr>
        <w:tab/>
      </w:r>
      <w:r>
        <w:rPr>
          <w:noProof/>
        </w:rPr>
        <w:fldChar w:fldCharType="begin"/>
      </w:r>
      <w:r>
        <w:rPr>
          <w:noProof/>
        </w:rPr>
        <w:instrText xml:space="preserve"> PAGEREF _Toc347747800 \h </w:instrText>
      </w:r>
      <w:r>
        <w:rPr>
          <w:noProof/>
        </w:rPr>
      </w:r>
      <w:r>
        <w:rPr>
          <w:noProof/>
        </w:rPr>
        <w:fldChar w:fldCharType="separate"/>
      </w:r>
      <w:r w:rsidR="008E5D7A">
        <w:rPr>
          <w:noProof/>
        </w:rPr>
        <w:t>28</w:t>
      </w:r>
      <w:r>
        <w:rPr>
          <w:noProof/>
        </w:rPr>
        <w:fldChar w:fldCharType="end"/>
      </w:r>
    </w:p>
    <w:p w14:paraId="3A27C3E3"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3.1</w:t>
      </w:r>
      <w:r>
        <w:rPr>
          <w:rFonts w:asciiTheme="minorHAnsi" w:eastAsiaTheme="minorEastAsia" w:hAnsiTheme="minorHAnsi" w:cstheme="minorBidi"/>
          <w:b w:val="0"/>
          <w:noProof/>
          <w:sz w:val="24"/>
          <w:szCs w:val="24"/>
          <w:lang w:val="en-AU" w:eastAsia="ja-JP" w:bidi="ar-SA"/>
        </w:rPr>
        <w:tab/>
      </w:r>
      <w:r>
        <w:rPr>
          <w:noProof/>
        </w:rPr>
        <w:t>Overview</w:t>
      </w:r>
      <w:r>
        <w:rPr>
          <w:noProof/>
        </w:rPr>
        <w:tab/>
      </w:r>
      <w:r>
        <w:rPr>
          <w:noProof/>
        </w:rPr>
        <w:fldChar w:fldCharType="begin"/>
      </w:r>
      <w:r>
        <w:rPr>
          <w:noProof/>
        </w:rPr>
        <w:instrText xml:space="preserve"> PAGEREF _Toc347747801 \h </w:instrText>
      </w:r>
      <w:r>
        <w:rPr>
          <w:noProof/>
        </w:rPr>
      </w:r>
      <w:r>
        <w:rPr>
          <w:noProof/>
        </w:rPr>
        <w:fldChar w:fldCharType="separate"/>
      </w:r>
      <w:r w:rsidR="008E5D7A">
        <w:rPr>
          <w:noProof/>
        </w:rPr>
        <w:t>28</w:t>
      </w:r>
      <w:r>
        <w:rPr>
          <w:noProof/>
        </w:rPr>
        <w:fldChar w:fldCharType="end"/>
      </w:r>
    </w:p>
    <w:p w14:paraId="2292BC80"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3.2</w:t>
      </w:r>
      <w:r>
        <w:rPr>
          <w:rFonts w:asciiTheme="minorHAnsi" w:eastAsiaTheme="minorEastAsia" w:hAnsiTheme="minorHAnsi" w:cstheme="minorBidi"/>
          <w:b w:val="0"/>
          <w:noProof/>
          <w:sz w:val="24"/>
          <w:szCs w:val="24"/>
          <w:lang w:val="en-AU" w:eastAsia="ja-JP" w:bidi="ar-SA"/>
        </w:rPr>
        <w:tab/>
      </w:r>
      <w:r w:rsidRPr="004A5A99">
        <w:rPr>
          <w:noProof/>
          <w:lang w:val="en-AU"/>
        </w:rPr>
        <w:t>Observed water use in Victoria since water recovery commenced</w:t>
      </w:r>
      <w:r>
        <w:rPr>
          <w:noProof/>
        </w:rPr>
        <w:tab/>
      </w:r>
      <w:r>
        <w:rPr>
          <w:noProof/>
        </w:rPr>
        <w:fldChar w:fldCharType="begin"/>
      </w:r>
      <w:r>
        <w:rPr>
          <w:noProof/>
        </w:rPr>
        <w:instrText xml:space="preserve"> PAGEREF _Toc347747802 \h </w:instrText>
      </w:r>
      <w:r>
        <w:rPr>
          <w:noProof/>
        </w:rPr>
      </w:r>
      <w:r>
        <w:rPr>
          <w:noProof/>
        </w:rPr>
        <w:fldChar w:fldCharType="separate"/>
      </w:r>
      <w:r w:rsidR="008E5D7A">
        <w:rPr>
          <w:noProof/>
        </w:rPr>
        <w:t>28</w:t>
      </w:r>
      <w:r>
        <w:rPr>
          <w:noProof/>
        </w:rPr>
        <w:fldChar w:fldCharType="end"/>
      </w:r>
    </w:p>
    <w:p w14:paraId="72563697"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3.3</w:t>
      </w:r>
      <w:r>
        <w:rPr>
          <w:rFonts w:asciiTheme="minorHAnsi" w:eastAsiaTheme="minorEastAsia" w:hAnsiTheme="minorHAnsi" w:cstheme="minorBidi"/>
          <w:b w:val="0"/>
          <w:noProof/>
          <w:sz w:val="24"/>
          <w:szCs w:val="24"/>
          <w:lang w:val="en-AU" w:eastAsia="ja-JP" w:bidi="ar-SA"/>
        </w:rPr>
        <w:tab/>
      </w:r>
      <w:r w:rsidRPr="004A5A99">
        <w:rPr>
          <w:noProof/>
          <w:lang w:val="en-AU"/>
        </w:rPr>
        <w:t>Influences on water use at the time water recovery commenced</w:t>
      </w:r>
      <w:r>
        <w:rPr>
          <w:noProof/>
        </w:rPr>
        <w:tab/>
      </w:r>
      <w:r>
        <w:rPr>
          <w:noProof/>
        </w:rPr>
        <w:fldChar w:fldCharType="begin"/>
      </w:r>
      <w:r>
        <w:rPr>
          <w:noProof/>
        </w:rPr>
        <w:instrText xml:space="preserve"> PAGEREF _Toc347747803 \h </w:instrText>
      </w:r>
      <w:r>
        <w:rPr>
          <w:noProof/>
        </w:rPr>
      </w:r>
      <w:r>
        <w:rPr>
          <w:noProof/>
        </w:rPr>
        <w:fldChar w:fldCharType="separate"/>
      </w:r>
      <w:r w:rsidR="008E5D7A">
        <w:rPr>
          <w:noProof/>
        </w:rPr>
        <w:t>31</w:t>
      </w:r>
      <w:r>
        <w:rPr>
          <w:noProof/>
        </w:rPr>
        <w:fldChar w:fldCharType="end"/>
      </w:r>
    </w:p>
    <w:p w14:paraId="7079329E"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3.4</w:t>
      </w:r>
      <w:r>
        <w:rPr>
          <w:rFonts w:asciiTheme="minorHAnsi" w:eastAsiaTheme="minorEastAsia" w:hAnsiTheme="minorHAnsi" w:cstheme="minorBidi"/>
          <w:b w:val="0"/>
          <w:noProof/>
          <w:sz w:val="24"/>
          <w:szCs w:val="24"/>
          <w:lang w:val="en-AU" w:eastAsia="ja-JP" w:bidi="ar-SA"/>
        </w:rPr>
        <w:tab/>
      </w:r>
      <w:r w:rsidRPr="004A5A99">
        <w:rPr>
          <w:noProof/>
          <w:lang w:val="en-AU"/>
        </w:rPr>
        <w:t>Water recovery under the Basin Plan</w:t>
      </w:r>
      <w:r>
        <w:rPr>
          <w:noProof/>
        </w:rPr>
        <w:tab/>
      </w:r>
      <w:r>
        <w:rPr>
          <w:noProof/>
        </w:rPr>
        <w:fldChar w:fldCharType="begin"/>
      </w:r>
      <w:r>
        <w:rPr>
          <w:noProof/>
        </w:rPr>
        <w:instrText xml:space="preserve"> PAGEREF _Toc347747804 \h </w:instrText>
      </w:r>
      <w:r>
        <w:rPr>
          <w:noProof/>
        </w:rPr>
      </w:r>
      <w:r>
        <w:rPr>
          <w:noProof/>
        </w:rPr>
        <w:fldChar w:fldCharType="separate"/>
      </w:r>
      <w:r w:rsidR="008E5D7A">
        <w:rPr>
          <w:noProof/>
        </w:rPr>
        <w:t>32</w:t>
      </w:r>
      <w:r>
        <w:rPr>
          <w:noProof/>
        </w:rPr>
        <w:fldChar w:fldCharType="end"/>
      </w:r>
    </w:p>
    <w:p w14:paraId="7497C9A9"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3.5</w:t>
      </w:r>
      <w:r>
        <w:rPr>
          <w:rFonts w:asciiTheme="minorHAnsi" w:eastAsiaTheme="minorEastAsia" w:hAnsiTheme="minorHAnsi" w:cstheme="minorBidi"/>
          <w:b w:val="0"/>
          <w:noProof/>
          <w:sz w:val="24"/>
          <w:szCs w:val="24"/>
          <w:lang w:val="en-AU" w:eastAsia="ja-JP" w:bidi="ar-SA"/>
        </w:rPr>
        <w:tab/>
      </w:r>
      <w:r w:rsidRPr="004A5A99">
        <w:rPr>
          <w:noProof/>
          <w:lang w:val="en-AU"/>
        </w:rPr>
        <w:t>The counterfactual – water use in the absence of the Basin Plan</w:t>
      </w:r>
      <w:r>
        <w:rPr>
          <w:noProof/>
        </w:rPr>
        <w:tab/>
      </w:r>
      <w:r>
        <w:rPr>
          <w:noProof/>
        </w:rPr>
        <w:fldChar w:fldCharType="begin"/>
      </w:r>
      <w:r>
        <w:rPr>
          <w:noProof/>
        </w:rPr>
        <w:instrText xml:space="preserve"> PAGEREF _Toc347747805 \h </w:instrText>
      </w:r>
      <w:r>
        <w:rPr>
          <w:noProof/>
        </w:rPr>
      </w:r>
      <w:r>
        <w:rPr>
          <w:noProof/>
        </w:rPr>
        <w:fldChar w:fldCharType="separate"/>
      </w:r>
      <w:r w:rsidR="008E5D7A">
        <w:rPr>
          <w:noProof/>
        </w:rPr>
        <w:t>42</w:t>
      </w:r>
      <w:r>
        <w:rPr>
          <w:noProof/>
        </w:rPr>
        <w:fldChar w:fldCharType="end"/>
      </w:r>
    </w:p>
    <w:p w14:paraId="7E2058BE"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3.6</w:t>
      </w:r>
      <w:r>
        <w:rPr>
          <w:rFonts w:asciiTheme="minorHAnsi" w:eastAsiaTheme="minorEastAsia" w:hAnsiTheme="minorHAnsi" w:cstheme="minorBidi"/>
          <w:b w:val="0"/>
          <w:noProof/>
          <w:sz w:val="24"/>
          <w:szCs w:val="24"/>
          <w:lang w:val="en-AU" w:eastAsia="ja-JP" w:bidi="ar-SA"/>
        </w:rPr>
        <w:tab/>
      </w:r>
      <w:r>
        <w:rPr>
          <w:noProof/>
        </w:rPr>
        <w:t>Summing up</w:t>
      </w:r>
      <w:r>
        <w:rPr>
          <w:noProof/>
        </w:rPr>
        <w:tab/>
      </w:r>
      <w:r>
        <w:rPr>
          <w:noProof/>
        </w:rPr>
        <w:fldChar w:fldCharType="begin"/>
      </w:r>
      <w:r>
        <w:rPr>
          <w:noProof/>
        </w:rPr>
        <w:instrText xml:space="preserve"> PAGEREF _Toc347747806 \h </w:instrText>
      </w:r>
      <w:r>
        <w:rPr>
          <w:noProof/>
        </w:rPr>
      </w:r>
      <w:r>
        <w:rPr>
          <w:noProof/>
        </w:rPr>
        <w:fldChar w:fldCharType="separate"/>
      </w:r>
      <w:r w:rsidR="008E5D7A">
        <w:rPr>
          <w:noProof/>
        </w:rPr>
        <w:t>45</w:t>
      </w:r>
      <w:r>
        <w:rPr>
          <w:noProof/>
        </w:rPr>
        <w:fldChar w:fldCharType="end"/>
      </w:r>
    </w:p>
    <w:p w14:paraId="39F97712"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4</w:t>
      </w:r>
      <w:r>
        <w:rPr>
          <w:rFonts w:asciiTheme="minorHAnsi" w:eastAsiaTheme="minorEastAsia" w:hAnsiTheme="minorHAnsi" w:cstheme="minorBidi"/>
          <w:b w:val="0"/>
          <w:noProof/>
          <w:lang w:val="en-AU" w:eastAsia="ja-JP" w:bidi="ar-SA"/>
        </w:rPr>
        <w:tab/>
      </w:r>
      <w:r w:rsidRPr="004A5A99">
        <w:rPr>
          <w:noProof/>
          <w:lang w:val="en-AU"/>
        </w:rPr>
        <w:t>The impacts of the Basin Plan at the farm scale</w:t>
      </w:r>
      <w:r>
        <w:rPr>
          <w:noProof/>
        </w:rPr>
        <w:tab/>
      </w:r>
      <w:r>
        <w:rPr>
          <w:noProof/>
        </w:rPr>
        <w:fldChar w:fldCharType="begin"/>
      </w:r>
      <w:r>
        <w:rPr>
          <w:noProof/>
        </w:rPr>
        <w:instrText xml:space="preserve"> PAGEREF _Toc347747807 \h </w:instrText>
      </w:r>
      <w:r>
        <w:rPr>
          <w:noProof/>
        </w:rPr>
      </w:r>
      <w:r>
        <w:rPr>
          <w:noProof/>
        </w:rPr>
        <w:fldChar w:fldCharType="separate"/>
      </w:r>
      <w:r w:rsidR="008E5D7A">
        <w:rPr>
          <w:noProof/>
        </w:rPr>
        <w:t>46</w:t>
      </w:r>
      <w:r>
        <w:rPr>
          <w:noProof/>
        </w:rPr>
        <w:fldChar w:fldCharType="end"/>
      </w:r>
    </w:p>
    <w:p w14:paraId="3259C5BB"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4.1</w:t>
      </w:r>
      <w:r>
        <w:rPr>
          <w:rFonts w:asciiTheme="minorHAnsi" w:eastAsiaTheme="minorEastAsia" w:hAnsiTheme="minorHAnsi" w:cstheme="minorBidi"/>
          <w:b w:val="0"/>
          <w:noProof/>
          <w:sz w:val="24"/>
          <w:szCs w:val="24"/>
          <w:lang w:val="en-AU" w:eastAsia="ja-JP" w:bidi="ar-SA"/>
        </w:rPr>
        <w:tab/>
      </w:r>
      <w:r w:rsidRPr="004A5A99">
        <w:rPr>
          <w:noProof/>
          <w:lang w:val="en-AU"/>
        </w:rPr>
        <w:t>Overview</w:t>
      </w:r>
      <w:r>
        <w:rPr>
          <w:noProof/>
        </w:rPr>
        <w:tab/>
      </w:r>
      <w:r>
        <w:rPr>
          <w:noProof/>
        </w:rPr>
        <w:fldChar w:fldCharType="begin"/>
      </w:r>
      <w:r>
        <w:rPr>
          <w:noProof/>
        </w:rPr>
        <w:instrText xml:space="preserve"> PAGEREF _Toc347747808 \h </w:instrText>
      </w:r>
      <w:r>
        <w:rPr>
          <w:noProof/>
        </w:rPr>
      </w:r>
      <w:r>
        <w:rPr>
          <w:noProof/>
        </w:rPr>
        <w:fldChar w:fldCharType="separate"/>
      </w:r>
      <w:r w:rsidR="008E5D7A">
        <w:rPr>
          <w:noProof/>
        </w:rPr>
        <w:t>46</w:t>
      </w:r>
      <w:r>
        <w:rPr>
          <w:noProof/>
        </w:rPr>
        <w:fldChar w:fldCharType="end"/>
      </w:r>
    </w:p>
    <w:p w14:paraId="390368C2"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4.2</w:t>
      </w:r>
      <w:r>
        <w:rPr>
          <w:rFonts w:asciiTheme="minorHAnsi" w:eastAsiaTheme="minorEastAsia" w:hAnsiTheme="minorHAnsi" w:cstheme="minorBidi"/>
          <w:b w:val="0"/>
          <w:noProof/>
          <w:sz w:val="24"/>
          <w:szCs w:val="24"/>
          <w:lang w:val="en-AU" w:eastAsia="ja-JP" w:bidi="ar-SA"/>
        </w:rPr>
        <w:tab/>
      </w:r>
      <w:r w:rsidRPr="004A5A99">
        <w:rPr>
          <w:noProof/>
          <w:lang w:val="en-AU"/>
        </w:rPr>
        <w:t>The MDBA’s preferred approach to socio-economic evaluation</w:t>
      </w:r>
      <w:r>
        <w:rPr>
          <w:noProof/>
        </w:rPr>
        <w:tab/>
      </w:r>
      <w:r>
        <w:rPr>
          <w:noProof/>
        </w:rPr>
        <w:fldChar w:fldCharType="begin"/>
      </w:r>
      <w:r>
        <w:rPr>
          <w:noProof/>
        </w:rPr>
        <w:instrText xml:space="preserve"> PAGEREF _Toc347747809 \h </w:instrText>
      </w:r>
      <w:r>
        <w:rPr>
          <w:noProof/>
        </w:rPr>
      </w:r>
      <w:r>
        <w:rPr>
          <w:noProof/>
        </w:rPr>
        <w:fldChar w:fldCharType="separate"/>
      </w:r>
      <w:r w:rsidR="008E5D7A">
        <w:rPr>
          <w:noProof/>
        </w:rPr>
        <w:t>46</w:t>
      </w:r>
      <w:r>
        <w:rPr>
          <w:noProof/>
        </w:rPr>
        <w:fldChar w:fldCharType="end"/>
      </w:r>
    </w:p>
    <w:p w14:paraId="52D69B70"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4.3</w:t>
      </w:r>
      <w:r>
        <w:rPr>
          <w:rFonts w:asciiTheme="minorHAnsi" w:eastAsiaTheme="minorEastAsia" w:hAnsiTheme="minorHAnsi" w:cstheme="minorBidi"/>
          <w:b w:val="0"/>
          <w:noProof/>
          <w:sz w:val="24"/>
          <w:szCs w:val="24"/>
          <w:lang w:val="en-AU" w:eastAsia="ja-JP" w:bidi="ar-SA"/>
        </w:rPr>
        <w:tab/>
      </w:r>
      <w:r w:rsidRPr="004A5A99">
        <w:rPr>
          <w:noProof/>
          <w:lang w:val="en-AU"/>
        </w:rPr>
        <w:t>Benefits of water recovery at the farm scale</w:t>
      </w:r>
      <w:r>
        <w:rPr>
          <w:noProof/>
        </w:rPr>
        <w:tab/>
      </w:r>
      <w:r>
        <w:rPr>
          <w:noProof/>
        </w:rPr>
        <w:fldChar w:fldCharType="begin"/>
      </w:r>
      <w:r>
        <w:rPr>
          <w:noProof/>
        </w:rPr>
        <w:instrText xml:space="preserve"> PAGEREF _Toc347747810 \h </w:instrText>
      </w:r>
      <w:r>
        <w:rPr>
          <w:noProof/>
        </w:rPr>
      </w:r>
      <w:r>
        <w:rPr>
          <w:noProof/>
        </w:rPr>
        <w:fldChar w:fldCharType="separate"/>
      </w:r>
      <w:r w:rsidR="008E5D7A">
        <w:rPr>
          <w:noProof/>
        </w:rPr>
        <w:t>48</w:t>
      </w:r>
      <w:r>
        <w:rPr>
          <w:noProof/>
        </w:rPr>
        <w:fldChar w:fldCharType="end"/>
      </w:r>
    </w:p>
    <w:p w14:paraId="0E16040A"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4.4</w:t>
      </w:r>
      <w:r>
        <w:rPr>
          <w:rFonts w:asciiTheme="minorHAnsi" w:eastAsiaTheme="minorEastAsia" w:hAnsiTheme="minorHAnsi" w:cstheme="minorBidi"/>
          <w:b w:val="0"/>
          <w:noProof/>
          <w:sz w:val="24"/>
          <w:szCs w:val="24"/>
          <w:lang w:val="en-AU" w:eastAsia="ja-JP" w:bidi="ar-SA"/>
        </w:rPr>
        <w:tab/>
      </w:r>
      <w:r w:rsidRPr="004A5A99">
        <w:rPr>
          <w:noProof/>
          <w:lang w:val="en-AU"/>
        </w:rPr>
        <w:t>Observed ex-post behaviour of Victorians who participated in the buyback</w:t>
      </w:r>
      <w:r>
        <w:rPr>
          <w:noProof/>
        </w:rPr>
        <w:tab/>
      </w:r>
      <w:r>
        <w:rPr>
          <w:noProof/>
        </w:rPr>
        <w:fldChar w:fldCharType="begin"/>
      </w:r>
      <w:r>
        <w:rPr>
          <w:noProof/>
        </w:rPr>
        <w:instrText xml:space="preserve"> PAGEREF _Toc347747811 \h </w:instrText>
      </w:r>
      <w:r>
        <w:rPr>
          <w:noProof/>
        </w:rPr>
      </w:r>
      <w:r>
        <w:rPr>
          <w:noProof/>
        </w:rPr>
        <w:fldChar w:fldCharType="separate"/>
      </w:r>
      <w:r w:rsidR="008E5D7A">
        <w:rPr>
          <w:noProof/>
        </w:rPr>
        <w:t>49</w:t>
      </w:r>
      <w:r>
        <w:rPr>
          <w:noProof/>
        </w:rPr>
        <w:fldChar w:fldCharType="end"/>
      </w:r>
    </w:p>
    <w:p w14:paraId="7DA599C5"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4.5</w:t>
      </w:r>
      <w:r>
        <w:rPr>
          <w:rFonts w:asciiTheme="minorHAnsi" w:eastAsiaTheme="minorEastAsia" w:hAnsiTheme="minorHAnsi" w:cstheme="minorBidi"/>
          <w:b w:val="0"/>
          <w:noProof/>
          <w:sz w:val="24"/>
          <w:szCs w:val="24"/>
          <w:lang w:val="en-AU" w:eastAsia="ja-JP" w:bidi="ar-SA"/>
        </w:rPr>
        <w:tab/>
      </w:r>
      <w:r w:rsidRPr="004A5A99">
        <w:rPr>
          <w:noProof/>
          <w:lang w:val="en-AU"/>
        </w:rPr>
        <w:t>Corroborating evidence from ABARES Farm Surveys</w:t>
      </w:r>
      <w:r>
        <w:rPr>
          <w:noProof/>
        </w:rPr>
        <w:tab/>
      </w:r>
      <w:r>
        <w:rPr>
          <w:noProof/>
        </w:rPr>
        <w:fldChar w:fldCharType="begin"/>
      </w:r>
      <w:r>
        <w:rPr>
          <w:noProof/>
        </w:rPr>
        <w:instrText xml:space="preserve"> PAGEREF _Toc347747812 \h </w:instrText>
      </w:r>
      <w:r>
        <w:rPr>
          <w:noProof/>
        </w:rPr>
      </w:r>
      <w:r>
        <w:rPr>
          <w:noProof/>
        </w:rPr>
        <w:fldChar w:fldCharType="separate"/>
      </w:r>
      <w:r w:rsidR="008E5D7A">
        <w:rPr>
          <w:noProof/>
        </w:rPr>
        <w:t>53</w:t>
      </w:r>
      <w:r>
        <w:rPr>
          <w:noProof/>
        </w:rPr>
        <w:fldChar w:fldCharType="end"/>
      </w:r>
    </w:p>
    <w:p w14:paraId="550905DD"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4.6</w:t>
      </w:r>
      <w:r>
        <w:rPr>
          <w:rFonts w:asciiTheme="minorHAnsi" w:eastAsiaTheme="minorEastAsia" w:hAnsiTheme="minorHAnsi" w:cstheme="minorBidi"/>
          <w:b w:val="0"/>
          <w:noProof/>
          <w:sz w:val="24"/>
          <w:szCs w:val="24"/>
          <w:lang w:val="en-AU" w:eastAsia="ja-JP" w:bidi="ar-SA"/>
        </w:rPr>
        <w:tab/>
      </w:r>
      <w:r w:rsidRPr="004A5A99">
        <w:rPr>
          <w:noProof/>
          <w:lang w:val="en-AU"/>
        </w:rPr>
        <w:t>An analysis of the assumptions implicit in the vendors’ acceptance of the prices at which buyback occurred</w:t>
      </w:r>
      <w:r>
        <w:rPr>
          <w:noProof/>
        </w:rPr>
        <w:tab/>
      </w:r>
      <w:r>
        <w:rPr>
          <w:noProof/>
        </w:rPr>
        <w:fldChar w:fldCharType="begin"/>
      </w:r>
      <w:r>
        <w:rPr>
          <w:noProof/>
        </w:rPr>
        <w:instrText xml:space="preserve"> PAGEREF _Toc347747813 \h </w:instrText>
      </w:r>
      <w:r>
        <w:rPr>
          <w:noProof/>
        </w:rPr>
      </w:r>
      <w:r>
        <w:rPr>
          <w:noProof/>
        </w:rPr>
        <w:fldChar w:fldCharType="separate"/>
      </w:r>
      <w:r w:rsidR="008E5D7A">
        <w:rPr>
          <w:noProof/>
        </w:rPr>
        <w:t>55</w:t>
      </w:r>
      <w:r>
        <w:rPr>
          <w:noProof/>
        </w:rPr>
        <w:fldChar w:fldCharType="end"/>
      </w:r>
    </w:p>
    <w:p w14:paraId="5632CD52"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4.7</w:t>
      </w:r>
      <w:r>
        <w:rPr>
          <w:rFonts w:asciiTheme="minorHAnsi" w:eastAsiaTheme="minorEastAsia" w:hAnsiTheme="minorHAnsi" w:cstheme="minorBidi"/>
          <w:b w:val="0"/>
          <w:noProof/>
          <w:sz w:val="24"/>
          <w:szCs w:val="24"/>
          <w:lang w:val="en-AU" w:eastAsia="ja-JP" w:bidi="ar-SA"/>
        </w:rPr>
        <w:tab/>
      </w:r>
      <w:r w:rsidRPr="004A5A99">
        <w:rPr>
          <w:noProof/>
          <w:lang w:val="en-AU"/>
        </w:rPr>
        <w:t>Trends in water use per hectare for different industries</w:t>
      </w:r>
      <w:r>
        <w:rPr>
          <w:noProof/>
        </w:rPr>
        <w:tab/>
      </w:r>
      <w:r>
        <w:rPr>
          <w:noProof/>
        </w:rPr>
        <w:fldChar w:fldCharType="begin"/>
      </w:r>
      <w:r>
        <w:rPr>
          <w:noProof/>
        </w:rPr>
        <w:instrText xml:space="preserve"> PAGEREF _Toc347747814 \h </w:instrText>
      </w:r>
      <w:r>
        <w:rPr>
          <w:noProof/>
        </w:rPr>
      </w:r>
      <w:r>
        <w:rPr>
          <w:noProof/>
        </w:rPr>
        <w:fldChar w:fldCharType="separate"/>
      </w:r>
      <w:r w:rsidR="008E5D7A">
        <w:rPr>
          <w:noProof/>
        </w:rPr>
        <w:t>57</w:t>
      </w:r>
      <w:r>
        <w:rPr>
          <w:noProof/>
        </w:rPr>
        <w:fldChar w:fldCharType="end"/>
      </w:r>
    </w:p>
    <w:p w14:paraId="75FB9B0D"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4.8</w:t>
      </w:r>
      <w:r>
        <w:rPr>
          <w:rFonts w:asciiTheme="minorHAnsi" w:eastAsiaTheme="minorEastAsia" w:hAnsiTheme="minorHAnsi" w:cstheme="minorBidi"/>
          <w:b w:val="0"/>
          <w:noProof/>
          <w:sz w:val="24"/>
          <w:szCs w:val="24"/>
          <w:lang w:val="en-AU" w:eastAsia="ja-JP" w:bidi="ar-SA"/>
        </w:rPr>
        <w:tab/>
      </w:r>
      <w:r w:rsidRPr="004A5A99">
        <w:rPr>
          <w:noProof/>
          <w:lang w:val="en-AU"/>
        </w:rPr>
        <w:t>Summing up</w:t>
      </w:r>
      <w:r>
        <w:rPr>
          <w:noProof/>
        </w:rPr>
        <w:tab/>
      </w:r>
      <w:r>
        <w:rPr>
          <w:noProof/>
        </w:rPr>
        <w:fldChar w:fldCharType="begin"/>
      </w:r>
      <w:r>
        <w:rPr>
          <w:noProof/>
        </w:rPr>
        <w:instrText xml:space="preserve"> PAGEREF _Toc347747815 \h </w:instrText>
      </w:r>
      <w:r>
        <w:rPr>
          <w:noProof/>
        </w:rPr>
      </w:r>
      <w:r>
        <w:rPr>
          <w:noProof/>
        </w:rPr>
        <w:fldChar w:fldCharType="separate"/>
      </w:r>
      <w:r w:rsidR="008E5D7A">
        <w:rPr>
          <w:noProof/>
        </w:rPr>
        <w:t>59</w:t>
      </w:r>
      <w:r>
        <w:rPr>
          <w:noProof/>
        </w:rPr>
        <w:fldChar w:fldCharType="end"/>
      </w:r>
    </w:p>
    <w:p w14:paraId="507840E0"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lastRenderedPageBreak/>
        <w:t>5</w:t>
      </w:r>
      <w:r>
        <w:rPr>
          <w:rFonts w:asciiTheme="minorHAnsi" w:eastAsiaTheme="minorEastAsia" w:hAnsiTheme="minorHAnsi" w:cstheme="minorBidi"/>
          <w:b w:val="0"/>
          <w:noProof/>
          <w:lang w:val="en-AU" w:eastAsia="ja-JP" w:bidi="ar-SA"/>
        </w:rPr>
        <w:tab/>
      </w:r>
      <w:r w:rsidRPr="004A5A99">
        <w:rPr>
          <w:noProof/>
          <w:lang w:val="en-AU"/>
        </w:rPr>
        <w:t>The impacts of the Basin Plan on horticultural industries</w:t>
      </w:r>
      <w:r>
        <w:rPr>
          <w:noProof/>
        </w:rPr>
        <w:tab/>
      </w:r>
      <w:r>
        <w:rPr>
          <w:noProof/>
        </w:rPr>
        <w:fldChar w:fldCharType="begin"/>
      </w:r>
      <w:r>
        <w:rPr>
          <w:noProof/>
        </w:rPr>
        <w:instrText xml:space="preserve"> PAGEREF _Toc347747816 \h </w:instrText>
      </w:r>
      <w:r>
        <w:rPr>
          <w:noProof/>
        </w:rPr>
      </w:r>
      <w:r>
        <w:rPr>
          <w:noProof/>
        </w:rPr>
        <w:fldChar w:fldCharType="separate"/>
      </w:r>
      <w:r w:rsidR="008E5D7A">
        <w:rPr>
          <w:noProof/>
        </w:rPr>
        <w:t>60</w:t>
      </w:r>
      <w:r>
        <w:rPr>
          <w:noProof/>
        </w:rPr>
        <w:fldChar w:fldCharType="end"/>
      </w:r>
    </w:p>
    <w:p w14:paraId="305DB4A8"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5.1</w:t>
      </w:r>
      <w:r>
        <w:rPr>
          <w:rFonts w:asciiTheme="minorHAnsi" w:eastAsiaTheme="minorEastAsia" w:hAnsiTheme="minorHAnsi" w:cstheme="minorBidi"/>
          <w:b w:val="0"/>
          <w:noProof/>
          <w:sz w:val="24"/>
          <w:szCs w:val="24"/>
          <w:lang w:val="en-AU" w:eastAsia="ja-JP" w:bidi="ar-SA"/>
        </w:rPr>
        <w:tab/>
      </w:r>
      <w:r w:rsidRPr="004A5A99">
        <w:rPr>
          <w:noProof/>
          <w:lang w:val="en-AU"/>
        </w:rPr>
        <w:t>Overview</w:t>
      </w:r>
      <w:r>
        <w:rPr>
          <w:noProof/>
        </w:rPr>
        <w:tab/>
      </w:r>
      <w:r>
        <w:rPr>
          <w:noProof/>
        </w:rPr>
        <w:fldChar w:fldCharType="begin"/>
      </w:r>
      <w:r>
        <w:rPr>
          <w:noProof/>
        </w:rPr>
        <w:instrText xml:space="preserve"> PAGEREF _Toc347747817 \h </w:instrText>
      </w:r>
      <w:r>
        <w:rPr>
          <w:noProof/>
        </w:rPr>
      </w:r>
      <w:r>
        <w:rPr>
          <w:noProof/>
        </w:rPr>
        <w:fldChar w:fldCharType="separate"/>
      </w:r>
      <w:r w:rsidR="008E5D7A">
        <w:rPr>
          <w:noProof/>
        </w:rPr>
        <w:t>60</w:t>
      </w:r>
      <w:r>
        <w:rPr>
          <w:noProof/>
        </w:rPr>
        <w:fldChar w:fldCharType="end"/>
      </w:r>
    </w:p>
    <w:p w14:paraId="15E85E5C"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5.2</w:t>
      </w:r>
      <w:r>
        <w:rPr>
          <w:rFonts w:asciiTheme="minorHAnsi" w:eastAsiaTheme="minorEastAsia" w:hAnsiTheme="minorHAnsi" w:cstheme="minorBidi"/>
          <w:b w:val="0"/>
          <w:noProof/>
          <w:sz w:val="24"/>
          <w:szCs w:val="24"/>
          <w:lang w:val="en-AU" w:eastAsia="ja-JP" w:bidi="ar-SA"/>
        </w:rPr>
        <w:tab/>
      </w:r>
      <w:r w:rsidRPr="004A5A99">
        <w:rPr>
          <w:noProof/>
          <w:lang w:val="en-AU"/>
        </w:rPr>
        <w:t>Trends in horticultural expansion</w:t>
      </w:r>
      <w:r>
        <w:rPr>
          <w:noProof/>
        </w:rPr>
        <w:tab/>
      </w:r>
      <w:r>
        <w:rPr>
          <w:noProof/>
        </w:rPr>
        <w:fldChar w:fldCharType="begin"/>
      </w:r>
      <w:r>
        <w:rPr>
          <w:noProof/>
        </w:rPr>
        <w:instrText xml:space="preserve"> PAGEREF _Toc347747818 \h </w:instrText>
      </w:r>
      <w:r>
        <w:rPr>
          <w:noProof/>
        </w:rPr>
      </w:r>
      <w:r>
        <w:rPr>
          <w:noProof/>
        </w:rPr>
        <w:fldChar w:fldCharType="separate"/>
      </w:r>
      <w:r w:rsidR="008E5D7A">
        <w:rPr>
          <w:noProof/>
        </w:rPr>
        <w:t>60</w:t>
      </w:r>
      <w:r>
        <w:rPr>
          <w:noProof/>
        </w:rPr>
        <w:fldChar w:fldCharType="end"/>
      </w:r>
    </w:p>
    <w:p w14:paraId="0E78B449"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5.3</w:t>
      </w:r>
      <w:r>
        <w:rPr>
          <w:rFonts w:asciiTheme="minorHAnsi" w:eastAsiaTheme="minorEastAsia" w:hAnsiTheme="minorHAnsi" w:cstheme="minorBidi"/>
          <w:b w:val="0"/>
          <w:noProof/>
          <w:sz w:val="24"/>
          <w:szCs w:val="24"/>
          <w:lang w:val="en-AU" w:eastAsia="ja-JP" w:bidi="ar-SA"/>
        </w:rPr>
        <w:tab/>
      </w:r>
      <w:r w:rsidRPr="004A5A99">
        <w:rPr>
          <w:noProof/>
          <w:lang w:val="en-AU"/>
        </w:rPr>
        <w:t>Irrigated horticulture in the counterfactual</w:t>
      </w:r>
      <w:r>
        <w:rPr>
          <w:noProof/>
        </w:rPr>
        <w:tab/>
      </w:r>
      <w:r>
        <w:rPr>
          <w:noProof/>
        </w:rPr>
        <w:fldChar w:fldCharType="begin"/>
      </w:r>
      <w:r>
        <w:rPr>
          <w:noProof/>
        </w:rPr>
        <w:instrText xml:space="preserve"> PAGEREF _Toc347747819 \h </w:instrText>
      </w:r>
      <w:r>
        <w:rPr>
          <w:noProof/>
        </w:rPr>
      </w:r>
      <w:r>
        <w:rPr>
          <w:noProof/>
        </w:rPr>
        <w:fldChar w:fldCharType="separate"/>
      </w:r>
      <w:r w:rsidR="008E5D7A">
        <w:rPr>
          <w:noProof/>
        </w:rPr>
        <w:t>61</w:t>
      </w:r>
      <w:r>
        <w:rPr>
          <w:noProof/>
        </w:rPr>
        <w:fldChar w:fldCharType="end"/>
      </w:r>
    </w:p>
    <w:p w14:paraId="47A90539"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5.4</w:t>
      </w:r>
      <w:r>
        <w:rPr>
          <w:rFonts w:asciiTheme="minorHAnsi" w:eastAsiaTheme="minorEastAsia" w:hAnsiTheme="minorHAnsi" w:cstheme="minorBidi"/>
          <w:b w:val="0"/>
          <w:noProof/>
          <w:sz w:val="24"/>
          <w:szCs w:val="24"/>
          <w:lang w:val="en-AU" w:eastAsia="ja-JP" w:bidi="ar-SA"/>
        </w:rPr>
        <w:tab/>
      </w:r>
      <w:r w:rsidRPr="004A5A99">
        <w:rPr>
          <w:noProof/>
          <w:lang w:val="en-AU"/>
        </w:rPr>
        <w:t>Overall implications of the Basin Plan for horticulture</w:t>
      </w:r>
      <w:r>
        <w:rPr>
          <w:noProof/>
        </w:rPr>
        <w:tab/>
      </w:r>
      <w:r>
        <w:rPr>
          <w:noProof/>
        </w:rPr>
        <w:fldChar w:fldCharType="begin"/>
      </w:r>
      <w:r>
        <w:rPr>
          <w:noProof/>
        </w:rPr>
        <w:instrText xml:space="preserve"> PAGEREF _Toc347747820 \h </w:instrText>
      </w:r>
      <w:r>
        <w:rPr>
          <w:noProof/>
        </w:rPr>
      </w:r>
      <w:r>
        <w:rPr>
          <w:noProof/>
        </w:rPr>
        <w:fldChar w:fldCharType="separate"/>
      </w:r>
      <w:r w:rsidR="008E5D7A">
        <w:rPr>
          <w:noProof/>
        </w:rPr>
        <w:t>62</w:t>
      </w:r>
      <w:r>
        <w:rPr>
          <w:noProof/>
        </w:rPr>
        <w:fldChar w:fldCharType="end"/>
      </w:r>
    </w:p>
    <w:p w14:paraId="3A3A3818"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5.5</w:t>
      </w:r>
      <w:r>
        <w:rPr>
          <w:rFonts w:asciiTheme="minorHAnsi" w:eastAsiaTheme="minorEastAsia" w:hAnsiTheme="minorHAnsi" w:cstheme="minorBidi"/>
          <w:b w:val="0"/>
          <w:noProof/>
          <w:sz w:val="24"/>
          <w:szCs w:val="24"/>
          <w:lang w:val="en-AU" w:eastAsia="ja-JP" w:bidi="ar-SA"/>
        </w:rPr>
        <w:tab/>
      </w:r>
      <w:r w:rsidRPr="004A5A99">
        <w:rPr>
          <w:noProof/>
          <w:lang w:val="en-AU"/>
        </w:rPr>
        <w:t>Implications for LMW diverters</w:t>
      </w:r>
      <w:r>
        <w:rPr>
          <w:noProof/>
        </w:rPr>
        <w:tab/>
      </w:r>
      <w:r>
        <w:rPr>
          <w:noProof/>
        </w:rPr>
        <w:fldChar w:fldCharType="begin"/>
      </w:r>
      <w:r>
        <w:rPr>
          <w:noProof/>
        </w:rPr>
        <w:instrText xml:space="preserve"> PAGEREF _Toc347747821 \h </w:instrText>
      </w:r>
      <w:r>
        <w:rPr>
          <w:noProof/>
        </w:rPr>
      </w:r>
      <w:r>
        <w:rPr>
          <w:noProof/>
        </w:rPr>
        <w:fldChar w:fldCharType="separate"/>
      </w:r>
      <w:r w:rsidR="008E5D7A">
        <w:rPr>
          <w:noProof/>
        </w:rPr>
        <w:t>62</w:t>
      </w:r>
      <w:r>
        <w:rPr>
          <w:noProof/>
        </w:rPr>
        <w:fldChar w:fldCharType="end"/>
      </w:r>
    </w:p>
    <w:p w14:paraId="6686C922"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5.6</w:t>
      </w:r>
      <w:r>
        <w:rPr>
          <w:rFonts w:asciiTheme="minorHAnsi" w:eastAsiaTheme="minorEastAsia" w:hAnsiTheme="minorHAnsi" w:cstheme="minorBidi"/>
          <w:b w:val="0"/>
          <w:noProof/>
          <w:sz w:val="24"/>
          <w:szCs w:val="24"/>
          <w:lang w:val="en-AU" w:eastAsia="ja-JP" w:bidi="ar-SA"/>
        </w:rPr>
        <w:tab/>
      </w:r>
      <w:r w:rsidRPr="004A5A99">
        <w:rPr>
          <w:noProof/>
          <w:lang w:val="en-AU"/>
        </w:rPr>
        <w:t>Implications for the pumped districts</w:t>
      </w:r>
      <w:r>
        <w:rPr>
          <w:noProof/>
        </w:rPr>
        <w:tab/>
      </w:r>
      <w:r>
        <w:rPr>
          <w:noProof/>
        </w:rPr>
        <w:fldChar w:fldCharType="begin"/>
      </w:r>
      <w:r>
        <w:rPr>
          <w:noProof/>
        </w:rPr>
        <w:instrText xml:space="preserve"> PAGEREF _Toc347747822 \h </w:instrText>
      </w:r>
      <w:r>
        <w:rPr>
          <w:noProof/>
        </w:rPr>
      </w:r>
      <w:r>
        <w:rPr>
          <w:noProof/>
        </w:rPr>
        <w:fldChar w:fldCharType="separate"/>
      </w:r>
      <w:r w:rsidR="008E5D7A">
        <w:rPr>
          <w:noProof/>
        </w:rPr>
        <w:t>63</w:t>
      </w:r>
      <w:r>
        <w:rPr>
          <w:noProof/>
        </w:rPr>
        <w:fldChar w:fldCharType="end"/>
      </w:r>
    </w:p>
    <w:p w14:paraId="5BDF0414"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5.7</w:t>
      </w:r>
      <w:r>
        <w:rPr>
          <w:rFonts w:asciiTheme="minorHAnsi" w:eastAsiaTheme="minorEastAsia" w:hAnsiTheme="minorHAnsi" w:cstheme="minorBidi"/>
          <w:b w:val="0"/>
          <w:noProof/>
          <w:sz w:val="24"/>
          <w:szCs w:val="24"/>
          <w:lang w:val="en-AU" w:eastAsia="ja-JP" w:bidi="ar-SA"/>
        </w:rPr>
        <w:tab/>
      </w:r>
      <w:r w:rsidRPr="004A5A99">
        <w:rPr>
          <w:noProof/>
          <w:lang w:val="en-AU"/>
        </w:rPr>
        <w:t>Implications for the gravity districts</w:t>
      </w:r>
      <w:r>
        <w:rPr>
          <w:noProof/>
        </w:rPr>
        <w:tab/>
      </w:r>
      <w:r>
        <w:rPr>
          <w:noProof/>
        </w:rPr>
        <w:fldChar w:fldCharType="begin"/>
      </w:r>
      <w:r>
        <w:rPr>
          <w:noProof/>
        </w:rPr>
        <w:instrText xml:space="preserve"> PAGEREF _Toc347747823 \h </w:instrText>
      </w:r>
      <w:r>
        <w:rPr>
          <w:noProof/>
        </w:rPr>
      </w:r>
      <w:r>
        <w:rPr>
          <w:noProof/>
        </w:rPr>
        <w:fldChar w:fldCharType="separate"/>
      </w:r>
      <w:r w:rsidR="008E5D7A">
        <w:rPr>
          <w:noProof/>
        </w:rPr>
        <w:t>63</w:t>
      </w:r>
      <w:r>
        <w:rPr>
          <w:noProof/>
        </w:rPr>
        <w:fldChar w:fldCharType="end"/>
      </w:r>
    </w:p>
    <w:p w14:paraId="15AC4E3B"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5.8</w:t>
      </w:r>
      <w:r>
        <w:rPr>
          <w:rFonts w:asciiTheme="minorHAnsi" w:eastAsiaTheme="minorEastAsia" w:hAnsiTheme="minorHAnsi" w:cstheme="minorBidi"/>
          <w:b w:val="0"/>
          <w:noProof/>
          <w:sz w:val="24"/>
          <w:szCs w:val="24"/>
          <w:lang w:val="en-AU" w:eastAsia="ja-JP" w:bidi="ar-SA"/>
        </w:rPr>
        <w:tab/>
      </w:r>
      <w:r w:rsidRPr="004A5A99">
        <w:rPr>
          <w:noProof/>
          <w:lang w:val="en-AU"/>
        </w:rPr>
        <w:t>Implications for South Australian horticulture</w:t>
      </w:r>
      <w:r>
        <w:rPr>
          <w:noProof/>
        </w:rPr>
        <w:tab/>
      </w:r>
      <w:r>
        <w:rPr>
          <w:noProof/>
        </w:rPr>
        <w:fldChar w:fldCharType="begin"/>
      </w:r>
      <w:r>
        <w:rPr>
          <w:noProof/>
        </w:rPr>
        <w:instrText xml:space="preserve"> PAGEREF _Toc347747824 \h </w:instrText>
      </w:r>
      <w:r>
        <w:rPr>
          <w:noProof/>
        </w:rPr>
      </w:r>
      <w:r>
        <w:rPr>
          <w:noProof/>
        </w:rPr>
        <w:fldChar w:fldCharType="separate"/>
      </w:r>
      <w:r w:rsidR="008E5D7A">
        <w:rPr>
          <w:noProof/>
        </w:rPr>
        <w:t>64</w:t>
      </w:r>
      <w:r>
        <w:rPr>
          <w:noProof/>
        </w:rPr>
        <w:fldChar w:fldCharType="end"/>
      </w:r>
    </w:p>
    <w:p w14:paraId="0E41F48B"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5.9</w:t>
      </w:r>
      <w:r>
        <w:rPr>
          <w:rFonts w:asciiTheme="minorHAnsi" w:eastAsiaTheme="minorEastAsia" w:hAnsiTheme="minorHAnsi" w:cstheme="minorBidi"/>
          <w:b w:val="0"/>
          <w:noProof/>
          <w:sz w:val="24"/>
          <w:szCs w:val="24"/>
          <w:lang w:val="en-AU" w:eastAsia="ja-JP" w:bidi="ar-SA"/>
        </w:rPr>
        <w:tab/>
      </w:r>
      <w:r w:rsidRPr="004A5A99">
        <w:rPr>
          <w:noProof/>
          <w:lang w:val="en-AU"/>
        </w:rPr>
        <w:t>Implications for NSW Horticulture</w:t>
      </w:r>
      <w:r>
        <w:rPr>
          <w:noProof/>
        </w:rPr>
        <w:tab/>
      </w:r>
      <w:r>
        <w:rPr>
          <w:noProof/>
        </w:rPr>
        <w:fldChar w:fldCharType="begin"/>
      </w:r>
      <w:r>
        <w:rPr>
          <w:noProof/>
        </w:rPr>
        <w:instrText xml:space="preserve"> PAGEREF _Toc347747825 \h </w:instrText>
      </w:r>
      <w:r>
        <w:rPr>
          <w:noProof/>
        </w:rPr>
      </w:r>
      <w:r>
        <w:rPr>
          <w:noProof/>
        </w:rPr>
        <w:fldChar w:fldCharType="separate"/>
      </w:r>
      <w:r w:rsidR="008E5D7A">
        <w:rPr>
          <w:noProof/>
        </w:rPr>
        <w:t>65</w:t>
      </w:r>
      <w:r>
        <w:rPr>
          <w:noProof/>
        </w:rPr>
        <w:fldChar w:fldCharType="end"/>
      </w:r>
    </w:p>
    <w:p w14:paraId="134F3A70"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Pr>
          <w:noProof/>
        </w:rPr>
        <w:t>5.10</w:t>
      </w:r>
      <w:r>
        <w:rPr>
          <w:rFonts w:asciiTheme="minorHAnsi" w:eastAsiaTheme="minorEastAsia" w:hAnsiTheme="minorHAnsi" w:cstheme="minorBidi"/>
          <w:b w:val="0"/>
          <w:noProof/>
          <w:sz w:val="24"/>
          <w:szCs w:val="24"/>
          <w:lang w:val="en-AU" w:eastAsia="ja-JP" w:bidi="ar-SA"/>
        </w:rPr>
        <w:tab/>
      </w:r>
      <w:r>
        <w:rPr>
          <w:noProof/>
        </w:rPr>
        <w:t>Summing up</w:t>
      </w:r>
      <w:r>
        <w:rPr>
          <w:noProof/>
        </w:rPr>
        <w:tab/>
      </w:r>
      <w:r>
        <w:rPr>
          <w:noProof/>
        </w:rPr>
        <w:fldChar w:fldCharType="begin"/>
      </w:r>
      <w:r>
        <w:rPr>
          <w:noProof/>
        </w:rPr>
        <w:instrText xml:space="preserve"> PAGEREF _Toc347747826 \h </w:instrText>
      </w:r>
      <w:r>
        <w:rPr>
          <w:noProof/>
        </w:rPr>
      </w:r>
      <w:r>
        <w:rPr>
          <w:noProof/>
        </w:rPr>
        <w:fldChar w:fldCharType="separate"/>
      </w:r>
      <w:r w:rsidR="008E5D7A">
        <w:rPr>
          <w:noProof/>
        </w:rPr>
        <w:t>65</w:t>
      </w:r>
      <w:r>
        <w:rPr>
          <w:noProof/>
        </w:rPr>
        <w:fldChar w:fldCharType="end"/>
      </w:r>
    </w:p>
    <w:p w14:paraId="6181882B"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Pr>
          <w:noProof/>
        </w:rPr>
        <w:t>6</w:t>
      </w:r>
      <w:r>
        <w:rPr>
          <w:rFonts w:asciiTheme="minorHAnsi" w:eastAsiaTheme="minorEastAsia" w:hAnsiTheme="minorHAnsi" w:cstheme="minorBidi"/>
          <w:b w:val="0"/>
          <w:noProof/>
          <w:lang w:val="en-AU" w:eastAsia="ja-JP" w:bidi="ar-SA"/>
        </w:rPr>
        <w:tab/>
      </w:r>
      <w:r w:rsidRPr="004A5A99">
        <w:rPr>
          <w:noProof/>
          <w:lang w:val="en-AU"/>
        </w:rPr>
        <w:t>The impacts of the Basin Plan on the dairy industry</w:t>
      </w:r>
      <w:r>
        <w:rPr>
          <w:noProof/>
        </w:rPr>
        <w:tab/>
      </w:r>
      <w:r>
        <w:rPr>
          <w:noProof/>
        </w:rPr>
        <w:fldChar w:fldCharType="begin"/>
      </w:r>
      <w:r>
        <w:rPr>
          <w:noProof/>
        </w:rPr>
        <w:instrText xml:space="preserve"> PAGEREF _Toc347747827 \h </w:instrText>
      </w:r>
      <w:r>
        <w:rPr>
          <w:noProof/>
        </w:rPr>
      </w:r>
      <w:r>
        <w:rPr>
          <w:noProof/>
        </w:rPr>
        <w:fldChar w:fldCharType="separate"/>
      </w:r>
      <w:r w:rsidR="008E5D7A">
        <w:rPr>
          <w:noProof/>
        </w:rPr>
        <w:t>66</w:t>
      </w:r>
      <w:r>
        <w:rPr>
          <w:noProof/>
        </w:rPr>
        <w:fldChar w:fldCharType="end"/>
      </w:r>
    </w:p>
    <w:p w14:paraId="4151BD47"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6.1</w:t>
      </w:r>
      <w:r>
        <w:rPr>
          <w:rFonts w:asciiTheme="minorHAnsi" w:eastAsiaTheme="minorEastAsia" w:hAnsiTheme="minorHAnsi" w:cstheme="minorBidi"/>
          <w:b w:val="0"/>
          <w:noProof/>
          <w:sz w:val="24"/>
          <w:szCs w:val="24"/>
          <w:lang w:val="en-AU" w:eastAsia="ja-JP" w:bidi="ar-SA"/>
        </w:rPr>
        <w:tab/>
      </w:r>
      <w:r>
        <w:rPr>
          <w:noProof/>
        </w:rPr>
        <w:t>Overview</w:t>
      </w:r>
      <w:r>
        <w:rPr>
          <w:noProof/>
        </w:rPr>
        <w:tab/>
      </w:r>
      <w:r>
        <w:rPr>
          <w:noProof/>
        </w:rPr>
        <w:fldChar w:fldCharType="begin"/>
      </w:r>
      <w:r>
        <w:rPr>
          <w:noProof/>
        </w:rPr>
        <w:instrText xml:space="preserve"> PAGEREF _Toc347747828 \h </w:instrText>
      </w:r>
      <w:r>
        <w:rPr>
          <w:noProof/>
        </w:rPr>
      </w:r>
      <w:r>
        <w:rPr>
          <w:noProof/>
        </w:rPr>
        <w:fldChar w:fldCharType="separate"/>
      </w:r>
      <w:r w:rsidR="008E5D7A">
        <w:rPr>
          <w:noProof/>
        </w:rPr>
        <w:t>66</w:t>
      </w:r>
      <w:r>
        <w:rPr>
          <w:noProof/>
        </w:rPr>
        <w:fldChar w:fldCharType="end"/>
      </w:r>
    </w:p>
    <w:p w14:paraId="77D71698"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6.2</w:t>
      </w:r>
      <w:r>
        <w:rPr>
          <w:rFonts w:asciiTheme="minorHAnsi" w:eastAsiaTheme="minorEastAsia" w:hAnsiTheme="minorHAnsi" w:cstheme="minorBidi"/>
          <w:b w:val="0"/>
          <w:noProof/>
          <w:sz w:val="24"/>
          <w:szCs w:val="24"/>
          <w:lang w:val="en-AU" w:eastAsia="ja-JP" w:bidi="ar-SA"/>
        </w:rPr>
        <w:tab/>
      </w:r>
      <w:r>
        <w:rPr>
          <w:noProof/>
        </w:rPr>
        <w:t>A brief discussion of the complexity involved in substituting feed for water</w:t>
      </w:r>
      <w:r>
        <w:rPr>
          <w:noProof/>
        </w:rPr>
        <w:tab/>
      </w:r>
      <w:r>
        <w:rPr>
          <w:noProof/>
        </w:rPr>
        <w:fldChar w:fldCharType="begin"/>
      </w:r>
      <w:r>
        <w:rPr>
          <w:noProof/>
        </w:rPr>
        <w:instrText xml:space="preserve"> PAGEREF _Toc347747829 \h </w:instrText>
      </w:r>
      <w:r>
        <w:rPr>
          <w:noProof/>
        </w:rPr>
      </w:r>
      <w:r>
        <w:rPr>
          <w:noProof/>
        </w:rPr>
        <w:fldChar w:fldCharType="separate"/>
      </w:r>
      <w:r w:rsidR="008E5D7A">
        <w:rPr>
          <w:noProof/>
        </w:rPr>
        <w:t>66</w:t>
      </w:r>
      <w:r>
        <w:rPr>
          <w:noProof/>
        </w:rPr>
        <w:fldChar w:fldCharType="end"/>
      </w:r>
    </w:p>
    <w:p w14:paraId="118AC234"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6.3</w:t>
      </w:r>
      <w:r>
        <w:rPr>
          <w:rFonts w:asciiTheme="minorHAnsi" w:eastAsiaTheme="minorEastAsia" w:hAnsiTheme="minorHAnsi" w:cstheme="minorBidi"/>
          <w:b w:val="0"/>
          <w:noProof/>
          <w:sz w:val="24"/>
          <w:szCs w:val="24"/>
          <w:lang w:val="en-AU" w:eastAsia="ja-JP" w:bidi="ar-SA"/>
        </w:rPr>
        <w:tab/>
      </w:r>
      <w:r w:rsidRPr="004A5A99">
        <w:rPr>
          <w:noProof/>
          <w:lang w:val="en-AU"/>
        </w:rPr>
        <w:t>A short history of irrigator experience with different feeding systems</w:t>
      </w:r>
      <w:r>
        <w:rPr>
          <w:noProof/>
        </w:rPr>
        <w:tab/>
      </w:r>
      <w:r>
        <w:rPr>
          <w:noProof/>
        </w:rPr>
        <w:fldChar w:fldCharType="begin"/>
      </w:r>
      <w:r>
        <w:rPr>
          <w:noProof/>
        </w:rPr>
        <w:instrText xml:space="preserve"> PAGEREF _Toc347747830 \h </w:instrText>
      </w:r>
      <w:r>
        <w:rPr>
          <w:noProof/>
        </w:rPr>
      </w:r>
      <w:r>
        <w:rPr>
          <w:noProof/>
        </w:rPr>
        <w:fldChar w:fldCharType="separate"/>
      </w:r>
      <w:r w:rsidR="008E5D7A">
        <w:rPr>
          <w:noProof/>
        </w:rPr>
        <w:t>67</w:t>
      </w:r>
      <w:r>
        <w:rPr>
          <w:noProof/>
        </w:rPr>
        <w:fldChar w:fldCharType="end"/>
      </w:r>
    </w:p>
    <w:p w14:paraId="1348F778"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6.4</w:t>
      </w:r>
      <w:r>
        <w:rPr>
          <w:rFonts w:asciiTheme="minorHAnsi" w:eastAsiaTheme="minorEastAsia" w:hAnsiTheme="minorHAnsi" w:cstheme="minorBidi"/>
          <w:b w:val="0"/>
          <w:noProof/>
          <w:sz w:val="24"/>
          <w:szCs w:val="24"/>
          <w:lang w:val="en-AU" w:eastAsia="ja-JP" w:bidi="ar-SA"/>
        </w:rPr>
        <w:tab/>
      </w:r>
      <w:r w:rsidRPr="004A5A99">
        <w:rPr>
          <w:noProof/>
          <w:lang w:val="en-AU"/>
        </w:rPr>
        <w:t>The irrigated dairy industry in the counterfactual</w:t>
      </w:r>
      <w:r>
        <w:rPr>
          <w:noProof/>
        </w:rPr>
        <w:tab/>
      </w:r>
      <w:r>
        <w:rPr>
          <w:noProof/>
        </w:rPr>
        <w:fldChar w:fldCharType="begin"/>
      </w:r>
      <w:r>
        <w:rPr>
          <w:noProof/>
        </w:rPr>
        <w:instrText xml:space="preserve"> PAGEREF _Toc347747831 \h </w:instrText>
      </w:r>
      <w:r>
        <w:rPr>
          <w:noProof/>
        </w:rPr>
      </w:r>
      <w:r>
        <w:rPr>
          <w:noProof/>
        </w:rPr>
        <w:fldChar w:fldCharType="separate"/>
      </w:r>
      <w:r w:rsidR="008E5D7A">
        <w:rPr>
          <w:noProof/>
        </w:rPr>
        <w:t>69</w:t>
      </w:r>
      <w:r>
        <w:rPr>
          <w:noProof/>
        </w:rPr>
        <w:fldChar w:fldCharType="end"/>
      </w:r>
    </w:p>
    <w:p w14:paraId="714A815F"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6.5</w:t>
      </w:r>
      <w:r>
        <w:rPr>
          <w:rFonts w:asciiTheme="minorHAnsi" w:eastAsiaTheme="minorEastAsia" w:hAnsiTheme="minorHAnsi" w:cstheme="minorBidi"/>
          <w:b w:val="0"/>
          <w:noProof/>
          <w:sz w:val="24"/>
          <w:szCs w:val="24"/>
          <w:lang w:val="en-AU" w:eastAsia="ja-JP" w:bidi="ar-SA"/>
        </w:rPr>
        <w:tab/>
      </w:r>
      <w:r w:rsidRPr="004A5A99">
        <w:rPr>
          <w:noProof/>
          <w:lang w:val="en-AU"/>
        </w:rPr>
        <w:t>The Irrigated dairy industry today</w:t>
      </w:r>
      <w:r>
        <w:rPr>
          <w:noProof/>
        </w:rPr>
        <w:tab/>
      </w:r>
      <w:r>
        <w:rPr>
          <w:noProof/>
        </w:rPr>
        <w:fldChar w:fldCharType="begin"/>
      </w:r>
      <w:r>
        <w:rPr>
          <w:noProof/>
        </w:rPr>
        <w:instrText xml:space="preserve"> PAGEREF _Toc347747832 \h </w:instrText>
      </w:r>
      <w:r>
        <w:rPr>
          <w:noProof/>
        </w:rPr>
      </w:r>
      <w:r>
        <w:rPr>
          <w:noProof/>
        </w:rPr>
        <w:fldChar w:fldCharType="separate"/>
      </w:r>
      <w:r w:rsidR="008E5D7A">
        <w:rPr>
          <w:noProof/>
        </w:rPr>
        <w:t>71</w:t>
      </w:r>
      <w:r>
        <w:rPr>
          <w:noProof/>
        </w:rPr>
        <w:fldChar w:fldCharType="end"/>
      </w:r>
    </w:p>
    <w:p w14:paraId="5251FDFD"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6.6</w:t>
      </w:r>
      <w:r>
        <w:rPr>
          <w:rFonts w:asciiTheme="minorHAnsi" w:eastAsiaTheme="minorEastAsia" w:hAnsiTheme="minorHAnsi" w:cstheme="minorBidi"/>
          <w:b w:val="0"/>
          <w:noProof/>
          <w:sz w:val="24"/>
          <w:szCs w:val="24"/>
          <w:lang w:val="en-AU" w:eastAsia="ja-JP" w:bidi="ar-SA"/>
        </w:rPr>
        <w:tab/>
      </w:r>
      <w:r w:rsidRPr="004A5A99">
        <w:rPr>
          <w:noProof/>
          <w:lang w:val="en-AU"/>
        </w:rPr>
        <w:t>The dairy industry’s options in responding to low water availability</w:t>
      </w:r>
      <w:r>
        <w:rPr>
          <w:noProof/>
        </w:rPr>
        <w:tab/>
      </w:r>
      <w:r>
        <w:rPr>
          <w:noProof/>
        </w:rPr>
        <w:fldChar w:fldCharType="begin"/>
      </w:r>
      <w:r>
        <w:rPr>
          <w:noProof/>
        </w:rPr>
        <w:instrText xml:space="preserve"> PAGEREF _Toc347747833 \h </w:instrText>
      </w:r>
      <w:r>
        <w:rPr>
          <w:noProof/>
        </w:rPr>
      </w:r>
      <w:r>
        <w:rPr>
          <w:noProof/>
        </w:rPr>
        <w:fldChar w:fldCharType="separate"/>
      </w:r>
      <w:r w:rsidR="008E5D7A">
        <w:rPr>
          <w:noProof/>
        </w:rPr>
        <w:t>73</w:t>
      </w:r>
      <w:r>
        <w:rPr>
          <w:noProof/>
        </w:rPr>
        <w:fldChar w:fldCharType="end"/>
      </w:r>
    </w:p>
    <w:p w14:paraId="2E89C314"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6.7</w:t>
      </w:r>
      <w:r>
        <w:rPr>
          <w:rFonts w:asciiTheme="minorHAnsi" w:eastAsiaTheme="minorEastAsia" w:hAnsiTheme="minorHAnsi" w:cstheme="minorBidi"/>
          <w:b w:val="0"/>
          <w:noProof/>
          <w:sz w:val="24"/>
          <w:szCs w:val="24"/>
          <w:lang w:val="en-AU" w:eastAsia="ja-JP" w:bidi="ar-SA"/>
        </w:rPr>
        <w:tab/>
      </w:r>
      <w:r w:rsidRPr="004A5A99">
        <w:rPr>
          <w:noProof/>
          <w:lang w:val="en-AU"/>
        </w:rPr>
        <w:t>Implications for future viablity and growth</w:t>
      </w:r>
      <w:r>
        <w:rPr>
          <w:noProof/>
        </w:rPr>
        <w:tab/>
      </w:r>
      <w:r>
        <w:rPr>
          <w:noProof/>
        </w:rPr>
        <w:fldChar w:fldCharType="begin"/>
      </w:r>
      <w:r>
        <w:rPr>
          <w:noProof/>
        </w:rPr>
        <w:instrText xml:space="preserve"> PAGEREF _Toc347747834 \h </w:instrText>
      </w:r>
      <w:r>
        <w:rPr>
          <w:noProof/>
        </w:rPr>
      </w:r>
      <w:r>
        <w:rPr>
          <w:noProof/>
        </w:rPr>
        <w:fldChar w:fldCharType="separate"/>
      </w:r>
      <w:r w:rsidR="008E5D7A">
        <w:rPr>
          <w:noProof/>
        </w:rPr>
        <w:t>76</w:t>
      </w:r>
      <w:r>
        <w:rPr>
          <w:noProof/>
        </w:rPr>
        <w:fldChar w:fldCharType="end"/>
      </w:r>
    </w:p>
    <w:p w14:paraId="760DACE1"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6.8</w:t>
      </w:r>
      <w:r>
        <w:rPr>
          <w:rFonts w:asciiTheme="minorHAnsi" w:eastAsiaTheme="minorEastAsia" w:hAnsiTheme="minorHAnsi" w:cstheme="minorBidi"/>
          <w:b w:val="0"/>
          <w:noProof/>
          <w:sz w:val="24"/>
          <w:szCs w:val="24"/>
          <w:lang w:val="en-AU" w:eastAsia="ja-JP" w:bidi="ar-SA"/>
        </w:rPr>
        <w:tab/>
      </w:r>
      <w:r w:rsidRPr="004A5A99">
        <w:rPr>
          <w:noProof/>
          <w:lang w:val="en-AU"/>
        </w:rPr>
        <w:t>Supporting evidence coming out of the land use mapping survey</w:t>
      </w:r>
      <w:r>
        <w:rPr>
          <w:noProof/>
        </w:rPr>
        <w:tab/>
      </w:r>
      <w:r>
        <w:rPr>
          <w:noProof/>
        </w:rPr>
        <w:fldChar w:fldCharType="begin"/>
      </w:r>
      <w:r>
        <w:rPr>
          <w:noProof/>
        </w:rPr>
        <w:instrText xml:space="preserve"> PAGEREF _Toc347747835 \h </w:instrText>
      </w:r>
      <w:r>
        <w:rPr>
          <w:noProof/>
        </w:rPr>
      </w:r>
      <w:r>
        <w:rPr>
          <w:noProof/>
        </w:rPr>
        <w:fldChar w:fldCharType="separate"/>
      </w:r>
      <w:r w:rsidR="008E5D7A">
        <w:rPr>
          <w:noProof/>
        </w:rPr>
        <w:t>77</w:t>
      </w:r>
      <w:r>
        <w:rPr>
          <w:noProof/>
        </w:rPr>
        <w:fldChar w:fldCharType="end"/>
      </w:r>
    </w:p>
    <w:p w14:paraId="05AE330C"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6.9</w:t>
      </w:r>
      <w:r>
        <w:rPr>
          <w:rFonts w:asciiTheme="minorHAnsi" w:eastAsiaTheme="minorEastAsia" w:hAnsiTheme="minorHAnsi" w:cstheme="minorBidi"/>
          <w:b w:val="0"/>
          <w:noProof/>
          <w:sz w:val="24"/>
          <w:szCs w:val="24"/>
          <w:lang w:val="en-AU" w:eastAsia="ja-JP" w:bidi="ar-SA"/>
        </w:rPr>
        <w:tab/>
      </w:r>
      <w:r w:rsidRPr="004A5A99">
        <w:rPr>
          <w:noProof/>
          <w:lang w:val="en-AU"/>
        </w:rPr>
        <w:t>Summing up</w:t>
      </w:r>
      <w:r>
        <w:rPr>
          <w:noProof/>
        </w:rPr>
        <w:tab/>
      </w:r>
      <w:r>
        <w:rPr>
          <w:noProof/>
        </w:rPr>
        <w:fldChar w:fldCharType="begin"/>
      </w:r>
      <w:r>
        <w:rPr>
          <w:noProof/>
        </w:rPr>
        <w:instrText xml:space="preserve"> PAGEREF _Toc347747836 \h </w:instrText>
      </w:r>
      <w:r>
        <w:rPr>
          <w:noProof/>
        </w:rPr>
      </w:r>
      <w:r>
        <w:rPr>
          <w:noProof/>
        </w:rPr>
        <w:fldChar w:fldCharType="separate"/>
      </w:r>
      <w:r w:rsidR="008E5D7A">
        <w:rPr>
          <w:noProof/>
        </w:rPr>
        <w:t>79</w:t>
      </w:r>
      <w:r>
        <w:rPr>
          <w:noProof/>
        </w:rPr>
        <w:fldChar w:fldCharType="end"/>
      </w:r>
    </w:p>
    <w:p w14:paraId="06E8F7DA"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7</w:t>
      </w:r>
      <w:r>
        <w:rPr>
          <w:rFonts w:asciiTheme="minorHAnsi" w:eastAsiaTheme="minorEastAsia" w:hAnsiTheme="minorHAnsi" w:cstheme="minorBidi"/>
          <w:b w:val="0"/>
          <w:noProof/>
          <w:lang w:val="en-AU" w:eastAsia="ja-JP" w:bidi="ar-SA"/>
        </w:rPr>
        <w:tab/>
      </w:r>
      <w:r w:rsidRPr="004A5A99">
        <w:rPr>
          <w:noProof/>
          <w:lang w:val="en-AU"/>
        </w:rPr>
        <w:t>Impacts in NSW – and their implications for Victoria</w:t>
      </w:r>
      <w:r>
        <w:rPr>
          <w:noProof/>
        </w:rPr>
        <w:tab/>
      </w:r>
      <w:r>
        <w:rPr>
          <w:noProof/>
        </w:rPr>
        <w:fldChar w:fldCharType="begin"/>
      </w:r>
      <w:r>
        <w:rPr>
          <w:noProof/>
        </w:rPr>
        <w:instrText xml:space="preserve"> PAGEREF _Toc347747837 \h </w:instrText>
      </w:r>
      <w:r>
        <w:rPr>
          <w:noProof/>
        </w:rPr>
      </w:r>
      <w:r>
        <w:rPr>
          <w:noProof/>
        </w:rPr>
        <w:fldChar w:fldCharType="separate"/>
      </w:r>
      <w:r w:rsidR="008E5D7A">
        <w:rPr>
          <w:noProof/>
        </w:rPr>
        <w:t>80</w:t>
      </w:r>
      <w:r>
        <w:rPr>
          <w:noProof/>
        </w:rPr>
        <w:fldChar w:fldCharType="end"/>
      </w:r>
    </w:p>
    <w:p w14:paraId="32792B48"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7.1</w:t>
      </w:r>
      <w:r>
        <w:rPr>
          <w:rFonts w:asciiTheme="minorHAnsi" w:eastAsiaTheme="minorEastAsia" w:hAnsiTheme="minorHAnsi" w:cstheme="minorBidi"/>
          <w:b w:val="0"/>
          <w:noProof/>
          <w:sz w:val="24"/>
          <w:szCs w:val="24"/>
          <w:lang w:val="en-AU" w:eastAsia="ja-JP" w:bidi="ar-SA"/>
        </w:rPr>
        <w:tab/>
      </w:r>
      <w:r w:rsidRPr="004A5A99">
        <w:rPr>
          <w:noProof/>
          <w:lang w:val="en-AU"/>
        </w:rPr>
        <w:t>Overview</w:t>
      </w:r>
      <w:r>
        <w:rPr>
          <w:noProof/>
        </w:rPr>
        <w:tab/>
      </w:r>
      <w:r>
        <w:rPr>
          <w:noProof/>
        </w:rPr>
        <w:fldChar w:fldCharType="begin"/>
      </w:r>
      <w:r>
        <w:rPr>
          <w:noProof/>
        </w:rPr>
        <w:instrText xml:space="preserve"> PAGEREF _Toc347747838 \h </w:instrText>
      </w:r>
      <w:r>
        <w:rPr>
          <w:noProof/>
        </w:rPr>
      </w:r>
      <w:r>
        <w:rPr>
          <w:noProof/>
        </w:rPr>
        <w:fldChar w:fldCharType="separate"/>
      </w:r>
      <w:r w:rsidR="008E5D7A">
        <w:rPr>
          <w:noProof/>
        </w:rPr>
        <w:t>80</w:t>
      </w:r>
      <w:r>
        <w:rPr>
          <w:noProof/>
        </w:rPr>
        <w:fldChar w:fldCharType="end"/>
      </w:r>
    </w:p>
    <w:p w14:paraId="6D7E2EC3"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7.2</w:t>
      </w:r>
      <w:r>
        <w:rPr>
          <w:rFonts w:asciiTheme="minorHAnsi" w:eastAsiaTheme="minorEastAsia" w:hAnsiTheme="minorHAnsi" w:cstheme="minorBidi"/>
          <w:b w:val="0"/>
          <w:noProof/>
          <w:sz w:val="24"/>
          <w:szCs w:val="24"/>
          <w:lang w:val="en-AU" w:eastAsia="ja-JP" w:bidi="ar-SA"/>
        </w:rPr>
        <w:tab/>
      </w:r>
      <w:r w:rsidRPr="004A5A99">
        <w:rPr>
          <w:noProof/>
          <w:lang w:val="en-AU"/>
        </w:rPr>
        <w:t>The Murrumbidgee</w:t>
      </w:r>
      <w:r>
        <w:rPr>
          <w:noProof/>
        </w:rPr>
        <w:tab/>
      </w:r>
      <w:r>
        <w:rPr>
          <w:noProof/>
        </w:rPr>
        <w:fldChar w:fldCharType="begin"/>
      </w:r>
      <w:r>
        <w:rPr>
          <w:noProof/>
        </w:rPr>
        <w:instrText xml:space="preserve"> PAGEREF _Toc347747839 \h </w:instrText>
      </w:r>
      <w:r>
        <w:rPr>
          <w:noProof/>
        </w:rPr>
      </w:r>
      <w:r>
        <w:rPr>
          <w:noProof/>
        </w:rPr>
        <w:fldChar w:fldCharType="separate"/>
      </w:r>
      <w:r w:rsidR="008E5D7A">
        <w:rPr>
          <w:noProof/>
        </w:rPr>
        <w:t>80</w:t>
      </w:r>
      <w:r>
        <w:rPr>
          <w:noProof/>
        </w:rPr>
        <w:fldChar w:fldCharType="end"/>
      </w:r>
    </w:p>
    <w:p w14:paraId="1CD4E53B"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7.3</w:t>
      </w:r>
      <w:r>
        <w:rPr>
          <w:rFonts w:asciiTheme="minorHAnsi" w:eastAsiaTheme="minorEastAsia" w:hAnsiTheme="minorHAnsi" w:cstheme="minorBidi"/>
          <w:b w:val="0"/>
          <w:noProof/>
          <w:sz w:val="24"/>
          <w:szCs w:val="24"/>
          <w:lang w:val="en-AU" w:eastAsia="ja-JP" w:bidi="ar-SA"/>
        </w:rPr>
        <w:tab/>
      </w:r>
      <w:r w:rsidRPr="004A5A99">
        <w:rPr>
          <w:noProof/>
          <w:lang w:val="en-AU"/>
        </w:rPr>
        <w:t>NSW Murray</w:t>
      </w:r>
      <w:r>
        <w:rPr>
          <w:noProof/>
        </w:rPr>
        <w:tab/>
      </w:r>
      <w:r>
        <w:rPr>
          <w:noProof/>
        </w:rPr>
        <w:fldChar w:fldCharType="begin"/>
      </w:r>
      <w:r>
        <w:rPr>
          <w:noProof/>
        </w:rPr>
        <w:instrText xml:space="preserve"> PAGEREF _Toc347747840 \h </w:instrText>
      </w:r>
      <w:r>
        <w:rPr>
          <w:noProof/>
        </w:rPr>
      </w:r>
      <w:r>
        <w:rPr>
          <w:noProof/>
        </w:rPr>
        <w:fldChar w:fldCharType="separate"/>
      </w:r>
      <w:r w:rsidR="008E5D7A">
        <w:rPr>
          <w:noProof/>
        </w:rPr>
        <w:t>82</w:t>
      </w:r>
      <w:r>
        <w:rPr>
          <w:noProof/>
        </w:rPr>
        <w:fldChar w:fldCharType="end"/>
      </w:r>
    </w:p>
    <w:p w14:paraId="2E6ABB9C"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7.4</w:t>
      </w:r>
      <w:r>
        <w:rPr>
          <w:rFonts w:asciiTheme="minorHAnsi" w:eastAsiaTheme="minorEastAsia" w:hAnsiTheme="minorHAnsi" w:cstheme="minorBidi"/>
          <w:b w:val="0"/>
          <w:noProof/>
          <w:sz w:val="24"/>
          <w:szCs w:val="24"/>
          <w:lang w:val="en-AU" w:eastAsia="ja-JP" w:bidi="ar-SA"/>
        </w:rPr>
        <w:tab/>
      </w:r>
      <w:r w:rsidRPr="004A5A99">
        <w:rPr>
          <w:noProof/>
          <w:lang w:val="en-AU"/>
        </w:rPr>
        <w:t>Possible future trends</w:t>
      </w:r>
      <w:r>
        <w:rPr>
          <w:noProof/>
        </w:rPr>
        <w:tab/>
      </w:r>
      <w:r>
        <w:rPr>
          <w:noProof/>
        </w:rPr>
        <w:fldChar w:fldCharType="begin"/>
      </w:r>
      <w:r>
        <w:rPr>
          <w:noProof/>
        </w:rPr>
        <w:instrText xml:space="preserve"> PAGEREF _Toc347747841 \h </w:instrText>
      </w:r>
      <w:r>
        <w:rPr>
          <w:noProof/>
        </w:rPr>
      </w:r>
      <w:r>
        <w:rPr>
          <w:noProof/>
        </w:rPr>
        <w:fldChar w:fldCharType="separate"/>
      </w:r>
      <w:r w:rsidR="008E5D7A">
        <w:rPr>
          <w:noProof/>
        </w:rPr>
        <w:t>85</w:t>
      </w:r>
      <w:r>
        <w:rPr>
          <w:noProof/>
        </w:rPr>
        <w:fldChar w:fldCharType="end"/>
      </w:r>
    </w:p>
    <w:p w14:paraId="4FAC2BD5"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7.5</w:t>
      </w:r>
      <w:r>
        <w:rPr>
          <w:rFonts w:asciiTheme="minorHAnsi" w:eastAsiaTheme="minorEastAsia" w:hAnsiTheme="minorHAnsi" w:cstheme="minorBidi"/>
          <w:b w:val="0"/>
          <w:noProof/>
          <w:sz w:val="24"/>
          <w:szCs w:val="24"/>
          <w:lang w:val="en-AU" w:eastAsia="ja-JP" w:bidi="ar-SA"/>
        </w:rPr>
        <w:tab/>
      </w:r>
      <w:r w:rsidRPr="004A5A99">
        <w:rPr>
          <w:noProof/>
          <w:lang w:val="en-AU"/>
        </w:rPr>
        <w:t>Implications for Victoria and the potential for further industry shifts</w:t>
      </w:r>
      <w:r>
        <w:rPr>
          <w:noProof/>
        </w:rPr>
        <w:tab/>
      </w:r>
      <w:r>
        <w:rPr>
          <w:noProof/>
        </w:rPr>
        <w:fldChar w:fldCharType="begin"/>
      </w:r>
      <w:r>
        <w:rPr>
          <w:noProof/>
        </w:rPr>
        <w:instrText xml:space="preserve"> PAGEREF _Toc347747842 \h </w:instrText>
      </w:r>
      <w:r>
        <w:rPr>
          <w:noProof/>
        </w:rPr>
      </w:r>
      <w:r>
        <w:rPr>
          <w:noProof/>
        </w:rPr>
        <w:fldChar w:fldCharType="separate"/>
      </w:r>
      <w:r w:rsidR="008E5D7A">
        <w:rPr>
          <w:noProof/>
        </w:rPr>
        <w:t>86</w:t>
      </w:r>
      <w:r>
        <w:rPr>
          <w:noProof/>
        </w:rPr>
        <w:fldChar w:fldCharType="end"/>
      </w:r>
    </w:p>
    <w:p w14:paraId="1B1A7441"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7.6</w:t>
      </w:r>
      <w:r>
        <w:rPr>
          <w:rFonts w:asciiTheme="minorHAnsi" w:eastAsiaTheme="minorEastAsia" w:hAnsiTheme="minorHAnsi" w:cstheme="minorBidi"/>
          <w:b w:val="0"/>
          <w:noProof/>
          <w:sz w:val="24"/>
          <w:szCs w:val="24"/>
          <w:lang w:val="en-AU" w:eastAsia="ja-JP" w:bidi="ar-SA"/>
        </w:rPr>
        <w:tab/>
      </w:r>
      <w:r w:rsidRPr="004A5A99">
        <w:rPr>
          <w:noProof/>
          <w:lang w:val="en-AU"/>
        </w:rPr>
        <w:t>NSW structural adjustment pressures arising from water recovery</w:t>
      </w:r>
      <w:r>
        <w:rPr>
          <w:noProof/>
        </w:rPr>
        <w:tab/>
      </w:r>
      <w:r>
        <w:rPr>
          <w:noProof/>
        </w:rPr>
        <w:fldChar w:fldCharType="begin"/>
      </w:r>
      <w:r>
        <w:rPr>
          <w:noProof/>
        </w:rPr>
        <w:instrText xml:space="preserve"> PAGEREF _Toc347747843 \h </w:instrText>
      </w:r>
      <w:r>
        <w:rPr>
          <w:noProof/>
        </w:rPr>
      </w:r>
      <w:r>
        <w:rPr>
          <w:noProof/>
        </w:rPr>
        <w:fldChar w:fldCharType="separate"/>
      </w:r>
      <w:r w:rsidR="008E5D7A">
        <w:rPr>
          <w:noProof/>
        </w:rPr>
        <w:t>87</w:t>
      </w:r>
      <w:r>
        <w:rPr>
          <w:noProof/>
        </w:rPr>
        <w:fldChar w:fldCharType="end"/>
      </w:r>
    </w:p>
    <w:p w14:paraId="60EAAE57"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7.7</w:t>
      </w:r>
      <w:r>
        <w:rPr>
          <w:rFonts w:asciiTheme="minorHAnsi" w:eastAsiaTheme="minorEastAsia" w:hAnsiTheme="minorHAnsi" w:cstheme="minorBidi"/>
          <w:b w:val="0"/>
          <w:noProof/>
          <w:sz w:val="24"/>
          <w:szCs w:val="24"/>
          <w:lang w:val="en-AU" w:eastAsia="ja-JP" w:bidi="ar-SA"/>
        </w:rPr>
        <w:tab/>
      </w:r>
      <w:r w:rsidRPr="004A5A99">
        <w:rPr>
          <w:noProof/>
          <w:lang w:val="en-AU"/>
        </w:rPr>
        <w:t>Summing up</w:t>
      </w:r>
      <w:r>
        <w:rPr>
          <w:noProof/>
        </w:rPr>
        <w:tab/>
      </w:r>
      <w:r>
        <w:rPr>
          <w:noProof/>
        </w:rPr>
        <w:fldChar w:fldCharType="begin"/>
      </w:r>
      <w:r>
        <w:rPr>
          <w:noProof/>
        </w:rPr>
        <w:instrText xml:space="preserve"> PAGEREF _Toc347747844 \h </w:instrText>
      </w:r>
      <w:r>
        <w:rPr>
          <w:noProof/>
        </w:rPr>
      </w:r>
      <w:r>
        <w:rPr>
          <w:noProof/>
        </w:rPr>
        <w:fldChar w:fldCharType="separate"/>
      </w:r>
      <w:r w:rsidR="008E5D7A">
        <w:rPr>
          <w:noProof/>
        </w:rPr>
        <w:t>88</w:t>
      </w:r>
      <w:r>
        <w:rPr>
          <w:noProof/>
        </w:rPr>
        <w:fldChar w:fldCharType="end"/>
      </w:r>
    </w:p>
    <w:p w14:paraId="262F1972"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Pr>
          <w:noProof/>
        </w:rPr>
        <w:t>8</w:t>
      </w:r>
      <w:r>
        <w:rPr>
          <w:rFonts w:asciiTheme="minorHAnsi" w:eastAsiaTheme="minorEastAsia" w:hAnsiTheme="minorHAnsi" w:cstheme="minorBidi"/>
          <w:b w:val="0"/>
          <w:noProof/>
          <w:lang w:val="en-AU" w:eastAsia="ja-JP" w:bidi="ar-SA"/>
        </w:rPr>
        <w:tab/>
      </w:r>
      <w:r w:rsidRPr="004A5A99">
        <w:rPr>
          <w:noProof/>
          <w:lang w:val="en-AU"/>
        </w:rPr>
        <w:t xml:space="preserve">The impacts of the Basin Plan </w:t>
      </w:r>
      <w:r>
        <w:rPr>
          <w:noProof/>
        </w:rPr>
        <w:t>at the regional scale</w:t>
      </w:r>
      <w:r>
        <w:rPr>
          <w:noProof/>
        </w:rPr>
        <w:tab/>
      </w:r>
      <w:r>
        <w:rPr>
          <w:noProof/>
        </w:rPr>
        <w:fldChar w:fldCharType="begin"/>
      </w:r>
      <w:r>
        <w:rPr>
          <w:noProof/>
        </w:rPr>
        <w:instrText xml:space="preserve"> PAGEREF _Toc347747845 \h </w:instrText>
      </w:r>
      <w:r>
        <w:rPr>
          <w:noProof/>
        </w:rPr>
      </w:r>
      <w:r>
        <w:rPr>
          <w:noProof/>
        </w:rPr>
        <w:fldChar w:fldCharType="separate"/>
      </w:r>
      <w:r w:rsidR="008E5D7A">
        <w:rPr>
          <w:noProof/>
        </w:rPr>
        <w:t>89</w:t>
      </w:r>
      <w:r>
        <w:rPr>
          <w:noProof/>
        </w:rPr>
        <w:fldChar w:fldCharType="end"/>
      </w:r>
    </w:p>
    <w:p w14:paraId="77EFFC15"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8.1</w:t>
      </w:r>
      <w:r>
        <w:rPr>
          <w:rFonts w:asciiTheme="minorHAnsi" w:eastAsiaTheme="minorEastAsia" w:hAnsiTheme="minorHAnsi" w:cstheme="minorBidi"/>
          <w:b w:val="0"/>
          <w:noProof/>
          <w:sz w:val="24"/>
          <w:szCs w:val="24"/>
          <w:lang w:val="en-AU" w:eastAsia="ja-JP" w:bidi="ar-SA"/>
        </w:rPr>
        <w:tab/>
      </w:r>
      <w:r>
        <w:rPr>
          <w:noProof/>
        </w:rPr>
        <w:t>Overview</w:t>
      </w:r>
      <w:r>
        <w:rPr>
          <w:noProof/>
        </w:rPr>
        <w:tab/>
      </w:r>
      <w:r>
        <w:rPr>
          <w:noProof/>
        </w:rPr>
        <w:fldChar w:fldCharType="begin"/>
      </w:r>
      <w:r>
        <w:rPr>
          <w:noProof/>
        </w:rPr>
        <w:instrText xml:space="preserve"> PAGEREF _Toc347747846 \h </w:instrText>
      </w:r>
      <w:r>
        <w:rPr>
          <w:noProof/>
        </w:rPr>
      </w:r>
      <w:r>
        <w:rPr>
          <w:noProof/>
        </w:rPr>
        <w:fldChar w:fldCharType="separate"/>
      </w:r>
      <w:r w:rsidR="008E5D7A">
        <w:rPr>
          <w:noProof/>
        </w:rPr>
        <w:t>89</w:t>
      </w:r>
      <w:r>
        <w:rPr>
          <w:noProof/>
        </w:rPr>
        <w:fldChar w:fldCharType="end"/>
      </w:r>
    </w:p>
    <w:p w14:paraId="4CA6B162"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8.2</w:t>
      </w:r>
      <w:r>
        <w:rPr>
          <w:rFonts w:asciiTheme="minorHAnsi" w:eastAsiaTheme="minorEastAsia" w:hAnsiTheme="minorHAnsi" w:cstheme="minorBidi"/>
          <w:b w:val="0"/>
          <w:noProof/>
          <w:sz w:val="24"/>
          <w:szCs w:val="24"/>
          <w:lang w:val="en-AU" w:eastAsia="ja-JP" w:bidi="ar-SA"/>
        </w:rPr>
        <w:tab/>
      </w:r>
      <w:r>
        <w:rPr>
          <w:noProof/>
        </w:rPr>
        <w:t>The nature of the problem</w:t>
      </w:r>
      <w:r>
        <w:rPr>
          <w:noProof/>
        </w:rPr>
        <w:tab/>
      </w:r>
      <w:r>
        <w:rPr>
          <w:noProof/>
        </w:rPr>
        <w:fldChar w:fldCharType="begin"/>
      </w:r>
      <w:r>
        <w:rPr>
          <w:noProof/>
        </w:rPr>
        <w:instrText xml:space="preserve"> PAGEREF _Toc347747847 \h </w:instrText>
      </w:r>
      <w:r>
        <w:rPr>
          <w:noProof/>
        </w:rPr>
      </w:r>
      <w:r>
        <w:rPr>
          <w:noProof/>
        </w:rPr>
        <w:fldChar w:fldCharType="separate"/>
      </w:r>
      <w:r w:rsidR="008E5D7A">
        <w:rPr>
          <w:noProof/>
        </w:rPr>
        <w:t>89</w:t>
      </w:r>
      <w:r>
        <w:rPr>
          <w:noProof/>
        </w:rPr>
        <w:fldChar w:fldCharType="end"/>
      </w:r>
    </w:p>
    <w:p w14:paraId="31EFCAE7"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8.3</w:t>
      </w:r>
      <w:r>
        <w:rPr>
          <w:rFonts w:asciiTheme="minorHAnsi" w:eastAsiaTheme="minorEastAsia" w:hAnsiTheme="minorHAnsi" w:cstheme="minorBidi"/>
          <w:b w:val="0"/>
          <w:noProof/>
          <w:sz w:val="24"/>
          <w:szCs w:val="24"/>
          <w:lang w:val="en-AU" w:eastAsia="ja-JP" w:bidi="ar-SA"/>
        </w:rPr>
        <w:tab/>
      </w:r>
      <w:r>
        <w:rPr>
          <w:noProof/>
        </w:rPr>
        <w:t>Future outlook</w:t>
      </w:r>
      <w:r>
        <w:rPr>
          <w:noProof/>
        </w:rPr>
        <w:tab/>
      </w:r>
      <w:r>
        <w:rPr>
          <w:noProof/>
        </w:rPr>
        <w:fldChar w:fldCharType="begin"/>
      </w:r>
      <w:r>
        <w:rPr>
          <w:noProof/>
        </w:rPr>
        <w:instrText xml:space="preserve"> PAGEREF _Toc347747848 \h </w:instrText>
      </w:r>
      <w:r>
        <w:rPr>
          <w:noProof/>
        </w:rPr>
      </w:r>
      <w:r>
        <w:rPr>
          <w:noProof/>
        </w:rPr>
        <w:fldChar w:fldCharType="separate"/>
      </w:r>
      <w:r w:rsidR="008E5D7A">
        <w:rPr>
          <w:noProof/>
        </w:rPr>
        <w:t>91</w:t>
      </w:r>
      <w:r>
        <w:rPr>
          <w:noProof/>
        </w:rPr>
        <w:fldChar w:fldCharType="end"/>
      </w:r>
    </w:p>
    <w:p w14:paraId="5747D2A3"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8.4</w:t>
      </w:r>
      <w:r>
        <w:rPr>
          <w:rFonts w:asciiTheme="minorHAnsi" w:eastAsiaTheme="minorEastAsia" w:hAnsiTheme="minorHAnsi" w:cstheme="minorBidi"/>
          <w:b w:val="0"/>
          <w:noProof/>
          <w:sz w:val="24"/>
          <w:szCs w:val="24"/>
          <w:lang w:val="en-AU" w:eastAsia="ja-JP" w:bidi="ar-SA"/>
        </w:rPr>
        <w:tab/>
      </w:r>
      <w:r>
        <w:rPr>
          <w:noProof/>
        </w:rPr>
        <w:t>The delivery share conundrum</w:t>
      </w:r>
      <w:r>
        <w:rPr>
          <w:noProof/>
        </w:rPr>
        <w:tab/>
      </w:r>
      <w:r>
        <w:rPr>
          <w:noProof/>
        </w:rPr>
        <w:fldChar w:fldCharType="begin"/>
      </w:r>
      <w:r>
        <w:rPr>
          <w:noProof/>
        </w:rPr>
        <w:instrText xml:space="preserve"> PAGEREF _Toc347747849 \h </w:instrText>
      </w:r>
      <w:r>
        <w:rPr>
          <w:noProof/>
        </w:rPr>
      </w:r>
      <w:r>
        <w:rPr>
          <w:noProof/>
        </w:rPr>
        <w:fldChar w:fldCharType="separate"/>
      </w:r>
      <w:r w:rsidR="008E5D7A">
        <w:rPr>
          <w:noProof/>
        </w:rPr>
        <w:t>94</w:t>
      </w:r>
      <w:r>
        <w:rPr>
          <w:noProof/>
        </w:rPr>
        <w:fldChar w:fldCharType="end"/>
      </w:r>
    </w:p>
    <w:p w14:paraId="7968A56E"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8.5</w:t>
      </w:r>
      <w:r>
        <w:rPr>
          <w:rFonts w:asciiTheme="minorHAnsi" w:eastAsiaTheme="minorEastAsia" w:hAnsiTheme="minorHAnsi" w:cstheme="minorBidi"/>
          <w:b w:val="0"/>
          <w:noProof/>
          <w:sz w:val="24"/>
          <w:szCs w:val="24"/>
          <w:lang w:val="en-AU" w:eastAsia="ja-JP" w:bidi="ar-SA"/>
        </w:rPr>
        <w:tab/>
      </w:r>
      <w:r>
        <w:rPr>
          <w:noProof/>
        </w:rPr>
        <w:t>Transforming the GMID</w:t>
      </w:r>
      <w:r>
        <w:rPr>
          <w:noProof/>
        </w:rPr>
        <w:tab/>
      </w:r>
      <w:r>
        <w:rPr>
          <w:noProof/>
        </w:rPr>
        <w:fldChar w:fldCharType="begin"/>
      </w:r>
      <w:r>
        <w:rPr>
          <w:noProof/>
        </w:rPr>
        <w:instrText xml:space="preserve"> PAGEREF _Toc347747850 \h </w:instrText>
      </w:r>
      <w:r>
        <w:rPr>
          <w:noProof/>
        </w:rPr>
      </w:r>
      <w:r>
        <w:rPr>
          <w:noProof/>
        </w:rPr>
        <w:fldChar w:fldCharType="separate"/>
      </w:r>
      <w:r w:rsidR="008E5D7A">
        <w:rPr>
          <w:noProof/>
        </w:rPr>
        <w:t>95</w:t>
      </w:r>
      <w:r>
        <w:rPr>
          <w:noProof/>
        </w:rPr>
        <w:fldChar w:fldCharType="end"/>
      </w:r>
    </w:p>
    <w:p w14:paraId="3E9F7495"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Pr>
          <w:noProof/>
        </w:rPr>
        <w:t>8.6</w:t>
      </w:r>
      <w:r>
        <w:rPr>
          <w:rFonts w:asciiTheme="minorHAnsi" w:eastAsiaTheme="minorEastAsia" w:hAnsiTheme="minorHAnsi" w:cstheme="minorBidi"/>
          <w:b w:val="0"/>
          <w:noProof/>
          <w:sz w:val="24"/>
          <w:szCs w:val="24"/>
          <w:lang w:val="en-AU" w:eastAsia="ja-JP" w:bidi="ar-SA"/>
        </w:rPr>
        <w:tab/>
      </w:r>
      <w:r>
        <w:rPr>
          <w:noProof/>
        </w:rPr>
        <w:t>Summing up</w:t>
      </w:r>
      <w:r>
        <w:rPr>
          <w:noProof/>
        </w:rPr>
        <w:tab/>
      </w:r>
      <w:r>
        <w:rPr>
          <w:noProof/>
        </w:rPr>
        <w:fldChar w:fldCharType="begin"/>
      </w:r>
      <w:r>
        <w:rPr>
          <w:noProof/>
        </w:rPr>
        <w:instrText xml:space="preserve"> PAGEREF _Toc347747851 \h </w:instrText>
      </w:r>
      <w:r>
        <w:rPr>
          <w:noProof/>
        </w:rPr>
      </w:r>
      <w:r>
        <w:rPr>
          <w:noProof/>
        </w:rPr>
        <w:fldChar w:fldCharType="separate"/>
      </w:r>
      <w:r w:rsidR="008E5D7A">
        <w:rPr>
          <w:noProof/>
        </w:rPr>
        <w:t>96</w:t>
      </w:r>
      <w:r>
        <w:rPr>
          <w:noProof/>
        </w:rPr>
        <w:fldChar w:fldCharType="end"/>
      </w:r>
    </w:p>
    <w:p w14:paraId="06484948"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9</w:t>
      </w:r>
      <w:r>
        <w:rPr>
          <w:rFonts w:asciiTheme="minorHAnsi" w:eastAsiaTheme="minorEastAsia" w:hAnsiTheme="minorHAnsi" w:cstheme="minorBidi"/>
          <w:b w:val="0"/>
          <w:noProof/>
          <w:lang w:val="en-AU" w:eastAsia="ja-JP" w:bidi="ar-SA"/>
        </w:rPr>
        <w:tab/>
      </w:r>
      <w:r w:rsidRPr="004A5A99">
        <w:rPr>
          <w:noProof/>
          <w:lang w:val="en-AU"/>
        </w:rPr>
        <w:t>The impacts of the Basin Plan at the system scale</w:t>
      </w:r>
      <w:r>
        <w:rPr>
          <w:noProof/>
        </w:rPr>
        <w:tab/>
      </w:r>
      <w:r>
        <w:rPr>
          <w:noProof/>
        </w:rPr>
        <w:fldChar w:fldCharType="begin"/>
      </w:r>
      <w:r>
        <w:rPr>
          <w:noProof/>
        </w:rPr>
        <w:instrText xml:space="preserve"> PAGEREF _Toc347747852 \h </w:instrText>
      </w:r>
      <w:r>
        <w:rPr>
          <w:noProof/>
        </w:rPr>
      </w:r>
      <w:r>
        <w:rPr>
          <w:noProof/>
        </w:rPr>
        <w:fldChar w:fldCharType="separate"/>
      </w:r>
      <w:r w:rsidR="008E5D7A">
        <w:rPr>
          <w:noProof/>
        </w:rPr>
        <w:t>97</w:t>
      </w:r>
      <w:r>
        <w:rPr>
          <w:noProof/>
        </w:rPr>
        <w:fldChar w:fldCharType="end"/>
      </w:r>
    </w:p>
    <w:p w14:paraId="1E2FF7C5" w14:textId="77777777" w:rsidR="001560F0" w:rsidRDefault="001560F0">
      <w:pPr>
        <w:pStyle w:val="TOC1"/>
        <w:tabs>
          <w:tab w:val="left" w:pos="524"/>
        </w:tabs>
        <w:rPr>
          <w:rFonts w:asciiTheme="minorHAnsi" w:eastAsiaTheme="minorEastAsia" w:hAnsiTheme="minorHAnsi" w:cstheme="minorBidi"/>
          <w:b w:val="0"/>
          <w:noProof/>
          <w:lang w:val="en-AU" w:eastAsia="ja-JP" w:bidi="ar-SA"/>
        </w:rPr>
      </w:pPr>
      <w:r w:rsidRPr="004A5A99">
        <w:rPr>
          <w:noProof/>
          <w:lang w:val="en-AU"/>
        </w:rPr>
        <w:t>10</w:t>
      </w:r>
      <w:r>
        <w:rPr>
          <w:rFonts w:asciiTheme="minorHAnsi" w:eastAsiaTheme="minorEastAsia" w:hAnsiTheme="minorHAnsi" w:cstheme="minorBidi"/>
          <w:b w:val="0"/>
          <w:noProof/>
          <w:lang w:val="en-AU" w:eastAsia="ja-JP" w:bidi="ar-SA"/>
        </w:rPr>
        <w:tab/>
      </w:r>
      <w:r w:rsidRPr="004A5A99">
        <w:rPr>
          <w:noProof/>
          <w:lang w:val="en-AU"/>
        </w:rPr>
        <w:t>Socio-economic impacts of the Basin Plan</w:t>
      </w:r>
      <w:r>
        <w:rPr>
          <w:noProof/>
        </w:rPr>
        <w:tab/>
      </w:r>
      <w:r>
        <w:rPr>
          <w:noProof/>
        </w:rPr>
        <w:fldChar w:fldCharType="begin"/>
      </w:r>
      <w:r>
        <w:rPr>
          <w:noProof/>
        </w:rPr>
        <w:instrText xml:space="preserve"> PAGEREF _Toc347747853 \h </w:instrText>
      </w:r>
      <w:r>
        <w:rPr>
          <w:noProof/>
        </w:rPr>
      </w:r>
      <w:r>
        <w:rPr>
          <w:noProof/>
        </w:rPr>
        <w:fldChar w:fldCharType="separate"/>
      </w:r>
      <w:r w:rsidR="008E5D7A">
        <w:rPr>
          <w:noProof/>
        </w:rPr>
        <w:t>98</w:t>
      </w:r>
      <w:r>
        <w:rPr>
          <w:noProof/>
        </w:rPr>
        <w:fldChar w:fldCharType="end"/>
      </w:r>
    </w:p>
    <w:p w14:paraId="31410547"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Pr>
          <w:noProof/>
        </w:rPr>
        <w:t>10.1</w:t>
      </w:r>
      <w:r>
        <w:rPr>
          <w:rFonts w:asciiTheme="minorHAnsi" w:eastAsiaTheme="minorEastAsia" w:hAnsiTheme="minorHAnsi" w:cstheme="minorBidi"/>
          <w:b w:val="0"/>
          <w:noProof/>
          <w:sz w:val="24"/>
          <w:szCs w:val="24"/>
          <w:lang w:val="en-AU" w:eastAsia="ja-JP" w:bidi="ar-SA"/>
        </w:rPr>
        <w:tab/>
      </w:r>
      <w:r>
        <w:rPr>
          <w:noProof/>
        </w:rPr>
        <w:t>ABS data</w:t>
      </w:r>
      <w:r>
        <w:rPr>
          <w:noProof/>
        </w:rPr>
        <w:tab/>
      </w:r>
      <w:r>
        <w:rPr>
          <w:noProof/>
        </w:rPr>
        <w:fldChar w:fldCharType="begin"/>
      </w:r>
      <w:r>
        <w:rPr>
          <w:noProof/>
        </w:rPr>
        <w:instrText xml:space="preserve"> PAGEREF _Toc347747854 \h </w:instrText>
      </w:r>
      <w:r>
        <w:rPr>
          <w:noProof/>
        </w:rPr>
      </w:r>
      <w:r>
        <w:rPr>
          <w:noProof/>
        </w:rPr>
        <w:fldChar w:fldCharType="separate"/>
      </w:r>
      <w:r w:rsidR="008E5D7A">
        <w:rPr>
          <w:noProof/>
        </w:rPr>
        <w:t>101</w:t>
      </w:r>
      <w:r>
        <w:rPr>
          <w:noProof/>
        </w:rPr>
        <w:fldChar w:fldCharType="end"/>
      </w:r>
    </w:p>
    <w:p w14:paraId="26743DED"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Pr>
          <w:noProof/>
        </w:rPr>
        <w:t>10.2</w:t>
      </w:r>
      <w:r>
        <w:rPr>
          <w:rFonts w:asciiTheme="minorHAnsi" w:eastAsiaTheme="minorEastAsia" w:hAnsiTheme="minorHAnsi" w:cstheme="minorBidi"/>
          <w:b w:val="0"/>
          <w:noProof/>
          <w:sz w:val="24"/>
          <w:szCs w:val="24"/>
          <w:lang w:val="en-AU" w:eastAsia="ja-JP" w:bidi="ar-SA"/>
        </w:rPr>
        <w:tab/>
      </w:r>
      <w:r>
        <w:rPr>
          <w:noProof/>
        </w:rPr>
        <w:t>Regional Wellbeing data</w:t>
      </w:r>
      <w:r>
        <w:rPr>
          <w:noProof/>
        </w:rPr>
        <w:tab/>
      </w:r>
      <w:r>
        <w:rPr>
          <w:noProof/>
        </w:rPr>
        <w:fldChar w:fldCharType="begin"/>
      </w:r>
      <w:r>
        <w:rPr>
          <w:noProof/>
        </w:rPr>
        <w:instrText xml:space="preserve"> PAGEREF _Toc347747855 \h </w:instrText>
      </w:r>
      <w:r>
        <w:rPr>
          <w:noProof/>
        </w:rPr>
      </w:r>
      <w:r>
        <w:rPr>
          <w:noProof/>
        </w:rPr>
        <w:fldChar w:fldCharType="separate"/>
      </w:r>
      <w:r w:rsidR="008E5D7A">
        <w:rPr>
          <w:noProof/>
        </w:rPr>
        <w:t>103</w:t>
      </w:r>
      <w:r>
        <w:rPr>
          <w:noProof/>
        </w:rPr>
        <w:fldChar w:fldCharType="end"/>
      </w:r>
    </w:p>
    <w:p w14:paraId="54786B5D" w14:textId="77777777" w:rsidR="001560F0" w:rsidRDefault="001560F0">
      <w:pPr>
        <w:pStyle w:val="TOC1"/>
        <w:tabs>
          <w:tab w:val="left" w:pos="524"/>
        </w:tabs>
        <w:rPr>
          <w:rFonts w:asciiTheme="minorHAnsi" w:eastAsiaTheme="minorEastAsia" w:hAnsiTheme="minorHAnsi" w:cstheme="minorBidi"/>
          <w:b w:val="0"/>
          <w:noProof/>
          <w:lang w:val="en-AU" w:eastAsia="ja-JP" w:bidi="ar-SA"/>
        </w:rPr>
      </w:pPr>
      <w:r w:rsidRPr="004A5A99">
        <w:rPr>
          <w:noProof/>
          <w:lang w:val="en-AU"/>
        </w:rPr>
        <w:t>11</w:t>
      </w:r>
      <w:r>
        <w:rPr>
          <w:rFonts w:asciiTheme="minorHAnsi" w:eastAsiaTheme="minorEastAsia" w:hAnsiTheme="minorHAnsi" w:cstheme="minorBidi"/>
          <w:b w:val="0"/>
          <w:noProof/>
          <w:lang w:val="en-AU" w:eastAsia="ja-JP" w:bidi="ar-SA"/>
        </w:rPr>
        <w:tab/>
      </w:r>
      <w:r w:rsidRPr="004A5A99">
        <w:rPr>
          <w:noProof/>
          <w:lang w:val="en-AU"/>
        </w:rPr>
        <w:t>The impacts of the Basin Plan for three future SDL scenarios</w:t>
      </w:r>
      <w:r>
        <w:rPr>
          <w:noProof/>
        </w:rPr>
        <w:tab/>
      </w:r>
      <w:r>
        <w:rPr>
          <w:noProof/>
        </w:rPr>
        <w:fldChar w:fldCharType="begin"/>
      </w:r>
      <w:r>
        <w:rPr>
          <w:noProof/>
        </w:rPr>
        <w:instrText xml:space="preserve"> PAGEREF _Toc347747856 \h </w:instrText>
      </w:r>
      <w:r>
        <w:rPr>
          <w:noProof/>
        </w:rPr>
      </w:r>
      <w:r>
        <w:rPr>
          <w:noProof/>
        </w:rPr>
        <w:fldChar w:fldCharType="separate"/>
      </w:r>
      <w:r w:rsidR="008E5D7A">
        <w:rPr>
          <w:noProof/>
        </w:rPr>
        <w:t>105</w:t>
      </w:r>
      <w:r>
        <w:rPr>
          <w:noProof/>
        </w:rPr>
        <w:fldChar w:fldCharType="end"/>
      </w:r>
    </w:p>
    <w:p w14:paraId="2ABBA674"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11.1</w:t>
      </w:r>
      <w:r>
        <w:rPr>
          <w:rFonts w:asciiTheme="minorHAnsi" w:eastAsiaTheme="minorEastAsia" w:hAnsiTheme="minorHAnsi" w:cstheme="minorBidi"/>
          <w:b w:val="0"/>
          <w:noProof/>
          <w:sz w:val="24"/>
          <w:szCs w:val="24"/>
          <w:lang w:val="en-AU" w:eastAsia="ja-JP" w:bidi="ar-SA"/>
        </w:rPr>
        <w:tab/>
      </w:r>
      <w:r w:rsidRPr="004A5A99">
        <w:rPr>
          <w:noProof/>
          <w:lang w:val="en-AU"/>
        </w:rPr>
        <w:t>A broad comparison with the counterfactual</w:t>
      </w:r>
      <w:r>
        <w:rPr>
          <w:noProof/>
        </w:rPr>
        <w:tab/>
      </w:r>
      <w:r>
        <w:rPr>
          <w:noProof/>
        </w:rPr>
        <w:fldChar w:fldCharType="begin"/>
      </w:r>
      <w:r>
        <w:rPr>
          <w:noProof/>
        </w:rPr>
        <w:instrText xml:space="preserve"> PAGEREF _Toc347747857 \h </w:instrText>
      </w:r>
      <w:r>
        <w:rPr>
          <w:noProof/>
        </w:rPr>
      </w:r>
      <w:r>
        <w:rPr>
          <w:noProof/>
        </w:rPr>
        <w:fldChar w:fldCharType="separate"/>
      </w:r>
      <w:r w:rsidR="008E5D7A">
        <w:rPr>
          <w:noProof/>
        </w:rPr>
        <w:t>105</w:t>
      </w:r>
      <w:r>
        <w:rPr>
          <w:noProof/>
        </w:rPr>
        <w:fldChar w:fldCharType="end"/>
      </w:r>
    </w:p>
    <w:p w14:paraId="7BED778B"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11.2</w:t>
      </w:r>
      <w:r>
        <w:rPr>
          <w:rFonts w:asciiTheme="minorHAnsi" w:eastAsiaTheme="minorEastAsia" w:hAnsiTheme="minorHAnsi" w:cstheme="minorBidi"/>
          <w:b w:val="0"/>
          <w:noProof/>
          <w:sz w:val="24"/>
          <w:szCs w:val="24"/>
          <w:lang w:val="en-AU" w:eastAsia="ja-JP" w:bidi="ar-SA"/>
        </w:rPr>
        <w:tab/>
      </w:r>
      <w:r w:rsidRPr="004A5A99">
        <w:rPr>
          <w:noProof/>
          <w:lang w:val="en-AU"/>
        </w:rPr>
        <w:t>Impacts at the farm scale</w:t>
      </w:r>
      <w:r>
        <w:rPr>
          <w:noProof/>
        </w:rPr>
        <w:tab/>
      </w:r>
      <w:r>
        <w:rPr>
          <w:noProof/>
        </w:rPr>
        <w:fldChar w:fldCharType="begin"/>
      </w:r>
      <w:r>
        <w:rPr>
          <w:noProof/>
        </w:rPr>
        <w:instrText xml:space="preserve"> PAGEREF _Toc347747858 \h </w:instrText>
      </w:r>
      <w:r>
        <w:rPr>
          <w:noProof/>
        </w:rPr>
      </w:r>
      <w:r>
        <w:rPr>
          <w:noProof/>
        </w:rPr>
        <w:fldChar w:fldCharType="separate"/>
      </w:r>
      <w:r w:rsidR="008E5D7A">
        <w:rPr>
          <w:noProof/>
        </w:rPr>
        <w:t>106</w:t>
      </w:r>
      <w:r>
        <w:rPr>
          <w:noProof/>
        </w:rPr>
        <w:fldChar w:fldCharType="end"/>
      </w:r>
    </w:p>
    <w:p w14:paraId="601013AB"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11.3</w:t>
      </w:r>
      <w:r>
        <w:rPr>
          <w:rFonts w:asciiTheme="minorHAnsi" w:eastAsiaTheme="minorEastAsia" w:hAnsiTheme="minorHAnsi" w:cstheme="minorBidi"/>
          <w:b w:val="0"/>
          <w:noProof/>
          <w:sz w:val="24"/>
          <w:szCs w:val="24"/>
          <w:lang w:val="en-AU" w:eastAsia="ja-JP" w:bidi="ar-SA"/>
        </w:rPr>
        <w:tab/>
      </w:r>
      <w:r w:rsidRPr="004A5A99">
        <w:rPr>
          <w:noProof/>
          <w:lang w:val="en-AU"/>
        </w:rPr>
        <w:t>Impacts at the system scale</w:t>
      </w:r>
      <w:r>
        <w:rPr>
          <w:noProof/>
        </w:rPr>
        <w:tab/>
      </w:r>
      <w:r>
        <w:rPr>
          <w:noProof/>
        </w:rPr>
        <w:fldChar w:fldCharType="begin"/>
      </w:r>
      <w:r>
        <w:rPr>
          <w:noProof/>
        </w:rPr>
        <w:instrText xml:space="preserve"> PAGEREF _Toc347747859 \h </w:instrText>
      </w:r>
      <w:r>
        <w:rPr>
          <w:noProof/>
        </w:rPr>
      </w:r>
      <w:r>
        <w:rPr>
          <w:noProof/>
        </w:rPr>
        <w:fldChar w:fldCharType="separate"/>
      </w:r>
      <w:r w:rsidR="008E5D7A">
        <w:rPr>
          <w:noProof/>
        </w:rPr>
        <w:t>106</w:t>
      </w:r>
      <w:r>
        <w:rPr>
          <w:noProof/>
        </w:rPr>
        <w:fldChar w:fldCharType="end"/>
      </w:r>
    </w:p>
    <w:p w14:paraId="63CF70D8"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lastRenderedPageBreak/>
        <w:t>11.4</w:t>
      </w:r>
      <w:r>
        <w:rPr>
          <w:rFonts w:asciiTheme="minorHAnsi" w:eastAsiaTheme="minorEastAsia" w:hAnsiTheme="minorHAnsi" w:cstheme="minorBidi"/>
          <w:b w:val="0"/>
          <w:noProof/>
          <w:sz w:val="24"/>
          <w:szCs w:val="24"/>
          <w:lang w:val="en-AU" w:eastAsia="ja-JP" w:bidi="ar-SA"/>
        </w:rPr>
        <w:tab/>
      </w:r>
      <w:r w:rsidRPr="004A5A99">
        <w:rPr>
          <w:noProof/>
          <w:lang w:val="en-AU"/>
        </w:rPr>
        <w:t>Impacts in geographic industry centres</w:t>
      </w:r>
      <w:r>
        <w:rPr>
          <w:noProof/>
        </w:rPr>
        <w:tab/>
      </w:r>
      <w:r>
        <w:rPr>
          <w:noProof/>
        </w:rPr>
        <w:fldChar w:fldCharType="begin"/>
      </w:r>
      <w:r>
        <w:rPr>
          <w:noProof/>
        </w:rPr>
        <w:instrText xml:space="preserve"> PAGEREF _Toc347747860 \h </w:instrText>
      </w:r>
      <w:r>
        <w:rPr>
          <w:noProof/>
        </w:rPr>
      </w:r>
      <w:r>
        <w:rPr>
          <w:noProof/>
        </w:rPr>
        <w:fldChar w:fldCharType="separate"/>
      </w:r>
      <w:r w:rsidR="008E5D7A">
        <w:rPr>
          <w:noProof/>
        </w:rPr>
        <w:t>117</w:t>
      </w:r>
      <w:r>
        <w:rPr>
          <w:noProof/>
        </w:rPr>
        <w:fldChar w:fldCharType="end"/>
      </w:r>
    </w:p>
    <w:p w14:paraId="2828F3A0" w14:textId="77777777" w:rsidR="001560F0" w:rsidRDefault="001560F0">
      <w:pPr>
        <w:pStyle w:val="TOC1"/>
        <w:tabs>
          <w:tab w:val="left" w:pos="524"/>
        </w:tabs>
        <w:rPr>
          <w:rFonts w:asciiTheme="minorHAnsi" w:eastAsiaTheme="minorEastAsia" w:hAnsiTheme="minorHAnsi" w:cstheme="minorBidi"/>
          <w:b w:val="0"/>
          <w:noProof/>
          <w:lang w:val="en-AU" w:eastAsia="ja-JP" w:bidi="ar-SA"/>
        </w:rPr>
      </w:pPr>
      <w:r w:rsidRPr="004A5A99">
        <w:rPr>
          <w:noProof/>
          <w:lang w:val="en-AU"/>
        </w:rPr>
        <w:t>12</w:t>
      </w:r>
      <w:r>
        <w:rPr>
          <w:rFonts w:asciiTheme="minorHAnsi" w:eastAsiaTheme="minorEastAsia" w:hAnsiTheme="minorHAnsi" w:cstheme="minorBidi"/>
          <w:b w:val="0"/>
          <w:noProof/>
          <w:lang w:val="en-AU" w:eastAsia="ja-JP" w:bidi="ar-SA"/>
        </w:rPr>
        <w:tab/>
      </w:r>
      <w:r w:rsidRPr="004A5A99">
        <w:rPr>
          <w:noProof/>
          <w:lang w:val="en-AU"/>
        </w:rPr>
        <w:t>Environmental outcomes and benefits</w:t>
      </w:r>
      <w:r>
        <w:rPr>
          <w:noProof/>
        </w:rPr>
        <w:tab/>
      </w:r>
      <w:r>
        <w:rPr>
          <w:noProof/>
        </w:rPr>
        <w:fldChar w:fldCharType="begin"/>
      </w:r>
      <w:r>
        <w:rPr>
          <w:noProof/>
        </w:rPr>
        <w:instrText xml:space="preserve"> PAGEREF _Toc347747861 \h </w:instrText>
      </w:r>
      <w:r>
        <w:rPr>
          <w:noProof/>
        </w:rPr>
      </w:r>
      <w:r>
        <w:rPr>
          <w:noProof/>
        </w:rPr>
        <w:fldChar w:fldCharType="separate"/>
      </w:r>
      <w:r w:rsidR="008E5D7A">
        <w:rPr>
          <w:noProof/>
        </w:rPr>
        <w:t>118</w:t>
      </w:r>
      <w:r>
        <w:rPr>
          <w:noProof/>
        </w:rPr>
        <w:fldChar w:fldCharType="end"/>
      </w:r>
    </w:p>
    <w:p w14:paraId="4616FCD8"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12.1</w:t>
      </w:r>
      <w:r>
        <w:rPr>
          <w:rFonts w:asciiTheme="minorHAnsi" w:eastAsiaTheme="minorEastAsia" w:hAnsiTheme="minorHAnsi" w:cstheme="minorBidi"/>
          <w:b w:val="0"/>
          <w:noProof/>
          <w:sz w:val="24"/>
          <w:szCs w:val="24"/>
          <w:lang w:val="en-AU" w:eastAsia="ja-JP" w:bidi="ar-SA"/>
        </w:rPr>
        <w:tab/>
      </w:r>
      <w:r w:rsidRPr="004A5A99">
        <w:rPr>
          <w:noProof/>
          <w:lang w:val="en-AU"/>
        </w:rPr>
        <w:t>The method used to determine SDLs</w:t>
      </w:r>
      <w:r>
        <w:rPr>
          <w:noProof/>
        </w:rPr>
        <w:tab/>
      </w:r>
      <w:r>
        <w:rPr>
          <w:noProof/>
        </w:rPr>
        <w:fldChar w:fldCharType="begin"/>
      </w:r>
      <w:r>
        <w:rPr>
          <w:noProof/>
        </w:rPr>
        <w:instrText xml:space="preserve"> PAGEREF _Toc347747862 \h </w:instrText>
      </w:r>
      <w:r>
        <w:rPr>
          <w:noProof/>
        </w:rPr>
      </w:r>
      <w:r>
        <w:rPr>
          <w:noProof/>
        </w:rPr>
        <w:fldChar w:fldCharType="separate"/>
      </w:r>
      <w:r w:rsidR="008E5D7A">
        <w:rPr>
          <w:noProof/>
        </w:rPr>
        <w:t>118</w:t>
      </w:r>
      <w:r>
        <w:rPr>
          <w:noProof/>
        </w:rPr>
        <w:fldChar w:fldCharType="end"/>
      </w:r>
    </w:p>
    <w:p w14:paraId="7AEEBB63"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12.2</w:t>
      </w:r>
      <w:r>
        <w:rPr>
          <w:rFonts w:asciiTheme="minorHAnsi" w:eastAsiaTheme="minorEastAsia" w:hAnsiTheme="minorHAnsi" w:cstheme="minorBidi"/>
          <w:b w:val="0"/>
          <w:noProof/>
          <w:sz w:val="24"/>
          <w:szCs w:val="24"/>
          <w:lang w:val="en-AU" w:eastAsia="ja-JP" w:bidi="ar-SA"/>
        </w:rPr>
        <w:tab/>
      </w:r>
      <w:r w:rsidRPr="004A5A99">
        <w:rPr>
          <w:noProof/>
          <w:lang w:val="en-AU"/>
        </w:rPr>
        <w:t>Expected environmental outcomes</w:t>
      </w:r>
      <w:r>
        <w:rPr>
          <w:noProof/>
        </w:rPr>
        <w:tab/>
      </w:r>
      <w:r>
        <w:rPr>
          <w:noProof/>
        </w:rPr>
        <w:fldChar w:fldCharType="begin"/>
      </w:r>
      <w:r>
        <w:rPr>
          <w:noProof/>
        </w:rPr>
        <w:instrText xml:space="preserve"> PAGEREF _Toc347747863 \h </w:instrText>
      </w:r>
      <w:r>
        <w:rPr>
          <w:noProof/>
        </w:rPr>
      </w:r>
      <w:r>
        <w:rPr>
          <w:noProof/>
        </w:rPr>
        <w:fldChar w:fldCharType="separate"/>
      </w:r>
      <w:r w:rsidR="008E5D7A">
        <w:rPr>
          <w:noProof/>
        </w:rPr>
        <w:t>120</w:t>
      </w:r>
      <w:r>
        <w:rPr>
          <w:noProof/>
        </w:rPr>
        <w:fldChar w:fldCharType="end"/>
      </w:r>
    </w:p>
    <w:p w14:paraId="3397CBC3" w14:textId="77777777" w:rsidR="001560F0" w:rsidRDefault="001560F0">
      <w:pPr>
        <w:pStyle w:val="TOC2"/>
        <w:tabs>
          <w:tab w:val="left" w:pos="88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12.3</w:t>
      </w:r>
      <w:r>
        <w:rPr>
          <w:rFonts w:asciiTheme="minorHAnsi" w:eastAsiaTheme="minorEastAsia" w:hAnsiTheme="minorHAnsi" w:cstheme="minorBidi"/>
          <w:b w:val="0"/>
          <w:noProof/>
          <w:sz w:val="24"/>
          <w:szCs w:val="24"/>
          <w:lang w:val="en-AU" w:eastAsia="ja-JP" w:bidi="ar-SA"/>
        </w:rPr>
        <w:tab/>
      </w:r>
      <w:r w:rsidRPr="004A5A99">
        <w:rPr>
          <w:noProof/>
          <w:lang w:val="en-AU"/>
        </w:rPr>
        <w:t>Measured environmental outcomes</w:t>
      </w:r>
      <w:r>
        <w:rPr>
          <w:noProof/>
        </w:rPr>
        <w:tab/>
      </w:r>
      <w:r>
        <w:rPr>
          <w:noProof/>
        </w:rPr>
        <w:fldChar w:fldCharType="begin"/>
      </w:r>
      <w:r>
        <w:rPr>
          <w:noProof/>
        </w:rPr>
        <w:instrText xml:space="preserve"> PAGEREF _Toc347747864 \h </w:instrText>
      </w:r>
      <w:r>
        <w:rPr>
          <w:noProof/>
        </w:rPr>
      </w:r>
      <w:r>
        <w:rPr>
          <w:noProof/>
        </w:rPr>
        <w:fldChar w:fldCharType="separate"/>
      </w:r>
      <w:r w:rsidR="008E5D7A">
        <w:rPr>
          <w:noProof/>
        </w:rPr>
        <w:t>122</w:t>
      </w:r>
      <w:r>
        <w:rPr>
          <w:noProof/>
        </w:rPr>
        <w:fldChar w:fldCharType="end"/>
      </w:r>
    </w:p>
    <w:p w14:paraId="6170C8FC" w14:textId="77777777" w:rsidR="001560F0" w:rsidRDefault="001560F0">
      <w:pPr>
        <w:pStyle w:val="TOC1"/>
        <w:tabs>
          <w:tab w:val="left" w:pos="524"/>
        </w:tabs>
        <w:rPr>
          <w:rFonts w:asciiTheme="minorHAnsi" w:eastAsiaTheme="minorEastAsia" w:hAnsiTheme="minorHAnsi" w:cstheme="minorBidi"/>
          <w:b w:val="0"/>
          <w:noProof/>
          <w:lang w:val="en-AU" w:eastAsia="ja-JP" w:bidi="ar-SA"/>
        </w:rPr>
      </w:pPr>
      <w:r w:rsidRPr="004A5A99">
        <w:rPr>
          <w:noProof/>
          <w:lang w:val="en-AU"/>
        </w:rPr>
        <w:t>13</w:t>
      </w:r>
      <w:r>
        <w:rPr>
          <w:rFonts w:asciiTheme="minorHAnsi" w:eastAsiaTheme="minorEastAsia" w:hAnsiTheme="minorHAnsi" w:cstheme="minorBidi"/>
          <w:b w:val="0"/>
          <w:noProof/>
          <w:lang w:val="en-AU" w:eastAsia="ja-JP" w:bidi="ar-SA"/>
        </w:rPr>
        <w:tab/>
      </w:r>
      <w:r w:rsidRPr="004A5A99">
        <w:rPr>
          <w:noProof/>
          <w:lang w:val="en-AU"/>
        </w:rPr>
        <w:t>Conclusions</w:t>
      </w:r>
      <w:r>
        <w:rPr>
          <w:noProof/>
        </w:rPr>
        <w:tab/>
      </w:r>
      <w:r>
        <w:rPr>
          <w:noProof/>
        </w:rPr>
        <w:fldChar w:fldCharType="begin"/>
      </w:r>
      <w:r>
        <w:rPr>
          <w:noProof/>
        </w:rPr>
        <w:instrText xml:space="preserve"> PAGEREF _Toc347747865 \h </w:instrText>
      </w:r>
      <w:r>
        <w:rPr>
          <w:noProof/>
        </w:rPr>
      </w:r>
      <w:r>
        <w:rPr>
          <w:noProof/>
        </w:rPr>
        <w:fldChar w:fldCharType="separate"/>
      </w:r>
      <w:r w:rsidR="008E5D7A">
        <w:rPr>
          <w:noProof/>
        </w:rPr>
        <w:t>124</w:t>
      </w:r>
      <w:r>
        <w:rPr>
          <w:noProof/>
        </w:rPr>
        <w:fldChar w:fldCharType="end"/>
      </w:r>
    </w:p>
    <w:p w14:paraId="3EDB60E3" w14:textId="77777777" w:rsidR="001560F0" w:rsidRDefault="001560F0">
      <w:pPr>
        <w:pStyle w:val="TOC1"/>
        <w:rPr>
          <w:rFonts w:asciiTheme="minorHAnsi" w:eastAsiaTheme="minorEastAsia" w:hAnsiTheme="minorHAnsi" w:cstheme="minorBidi"/>
          <w:b w:val="0"/>
          <w:noProof/>
          <w:lang w:val="en-AU" w:eastAsia="ja-JP" w:bidi="ar-SA"/>
        </w:rPr>
      </w:pPr>
      <w:r w:rsidRPr="004A5A99">
        <w:rPr>
          <w:noProof/>
          <w:lang w:val="en-AU"/>
        </w:rPr>
        <w:t>Appendices</w:t>
      </w:r>
      <w:r>
        <w:rPr>
          <w:noProof/>
        </w:rPr>
        <w:tab/>
      </w:r>
      <w:r>
        <w:rPr>
          <w:noProof/>
        </w:rPr>
        <w:fldChar w:fldCharType="begin"/>
      </w:r>
      <w:r>
        <w:rPr>
          <w:noProof/>
        </w:rPr>
        <w:instrText xml:space="preserve"> PAGEREF _Toc347747866 \h </w:instrText>
      </w:r>
      <w:r>
        <w:rPr>
          <w:noProof/>
        </w:rPr>
      </w:r>
      <w:r>
        <w:rPr>
          <w:noProof/>
        </w:rPr>
        <w:fldChar w:fldCharType="separate"/>
      </w:r>
      <w:r w:rsidR="008E5D7A">
        <w:rPr>
          <w:noProof/>
        </w:rPr>
        <w:t>126</w:t>
      </w:r>
      <w:r>
        <w:rPr>
          <w:noProof/>
        </w:rPr>
        <w:fldChar w:fldCharType="end"/>
      </w:r>
    </w:p>
    <w:p w14:paraId="0120A92E"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1</w:t>
      </w:r>
      <w:r>
        <w:rPr>
          <w:rFonts w:asciiTheme="minorHAnsi" w:eastAsiaTheme="minorEastAsia" w:hAnsiTheme="minorHAnsi" w:cstheme="minorBidi"/>
          <w:b w:val="0"/>
          <w:noProof/>
          <w:lang w:val="en-AU" w:eastAsia="ja-JP" w:bidi="ar-SA"/>
        </w:rPr>
        <w:tab/>
      </w:r>
      <w:r w:rsidRPr="004A5A99">
        <w:rPr>
          <w:noProof/>
          <w:lang w:val="en-AU"/>
        </w:rPr>
        <w:t>Socio-economic data</w:t>
      </w:r>
      <w:r>
        <w:rPr>
          <w:noProof/>
        </w:rPr>
        <w:tab/>
      </w:r>
      <w:r>
        <w:rPr>
          <w:noProof/>
        </w:rPr>
        <w:fldChar w:fldCharType="begin"/>
      </w:r>
      <w:r>
        <w:rPr>
          <w:noProof/>
        </w:rPr>
        <w:instrText xml:space="preserve"> PAGEREF _Toc347747867 \h </w:instrText>
      </w:r>
      <w:r>
        <w:rPr>
          <w:noProof/>
        </w:rPr>
      </w:r>
      <w:r>
        <w:rPr>
          <w:noProof/>
        </w:rPr>
        <w:fldChar w:fldCharType="separate"/>
      </w:r>
      <w:r w:rsidR="008E5D7A">
        <w:rPr>
          <w:noProof/>
        </w:rPr>
        <w:t>127</w:t>
      </w:r>
      <w:r>
        <w:rPr>
          <w:noProof/>
        </w:rPr>
        <w:fldChar w:fldCharType="end"/>
      </w:r>
    </w:p>
    <w:p w14:paraId="5D06EC7A"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1.1</w:t>
      </w:r>
      <w:r>
        <w:rPr>
          <w:rFonts w:asciiTheme="minorHAnsi" w:eastAsiaTheme="minorEastAsia" w:hAnsiTheme="minorHAnsi" w:cstheme="minorBidi"/>
          <w:b w:val="0"/>
          <w:noProof/>
          <w:sz w:val="24"/>
          <w:szCs w:val="24"/>
          <w:lang w:val="en-AU" w:eastAsia="ja-JP" w:bidi="ar-SA"/>
        </w:rPr>
        <w:tab/>
      </w:r>
      <w:r>
        <w:rPr>
          <w:noProof/>
        </w:rPr>
        <w:t>Metrics and indicators used in this report</w:t>
      </w:r>
      <w:r>
        <w:rPr>
          <w:noProof/>
        </w:rPr>
        <w:tab/>
      </w:r>
      <w:r>
        <w:rPr>
          <w:noProof/>
        </w:rPr>
        <w:fldChar w:fldCharType="begin"/>
      </w:r>
      <w:r>
        <w:rPr>
          <w:noProof/>
        </w:rPr>
        <w:instrText xml:space="preserve"> PAGEREF _Toc347747868 \h </w:instrText>
      </w:r>
      <w:r>
        <w:rPr>
          <w:noProof/>
        </w:rPr>
      </w:r>
      <w:r>
        <w:rPr>
          <w:noProof/>
        </w:rPr>
        <w:fldChar w:fldCharType="separate"/>
      </w:r>
      <w:r w:rsidR="008E5D7A">
        <w:rPr>
          <w:noProof/>
        </w:rPr>
        <w:t>127</w:t>
      </w:r>
      <w:r>
        <w:rPr>
          <w:noProof/>
        </w:rPr>
        <w:fldChar w:fldCharType="end"/>
      </w:r>
    </w:p>
    <w:p w14:paraId="6DAAE8F3"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1.2</w:t>
      </w:r>
      <w:r>
        <w:rPr>
          <w:rFonts w:asciiTheme="minorHAnsi" w:eastAsiaTheme="minorEastAsia" w:hAnsiTheme="minorHAnsi" w:cstheme="minorBidi"/>
          <w:b w:val="0"/>
          <w:noProof/>
          <w:sz w:val="24"/>
          <w:szCs w:val="24"/>
          <w:lang w:val="en-AU" w:eastAsia="ja-JP" w:bidi="ar-SA"/>
        </w:rPr>
        <w:tab/>
      </w:r>
      <w:r w:rsidRPr="004A5A99">
        <w:rPr>
          <w:noProof/>
          <w:lang w:val="en-AU"/>
        </w:rPr>
        <w:t>Socio-economic context information</w:t>
      </w:r>
      <w:r>
        <w:rPr>
          <w:noProof/>
        </w:rPr>
        <w:tab/>
      </w:r>
      <w:r>
        <w:rPr>
          <w:noProof/>
        </w:rPr>
        <w:fldChar w:fldCharType="begin"/>
      </w:r>
      <w:r>
        <w:rPr>
          <w:noProof/>
        </w:rPr>
        <w:instrText xml:space="preserve"> PAGEREF _Toc347747869 \h </w:instrText>
      </w:r>
      <w:r>
        <w:rPr>
          <w:noProof/>
        </w:rPr>
      </w:r>
      <w:r>
        <w:rPr>
          <w:noProof/>
        </w:rPr>
        <w:fldChar w:fldCharType="separate"/>
      </w:r>
      <w:r w:rsidR="008E5D7A">
        <w:rPr>
          <w:noProof/>
        </w:rPr>
        <w:t>131</w:t>
      </w:r>
      <w:r>
        <w:rPr>
          <w:noProof/>
        </w:rPr>
        <w:fldChar w:fldCharType="end"/>
      </w:r>
    </w:p>
    <w:p w14:paraId="50B79568"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1.3</w:t>
      </w:r>
      <w:r>
        <w:rPr>
          <w:rFonts w:asciiTheme="minorHAnsi" w:eastAsiaTheme="minorEastAsia" w:hAnsiTheme="minorHAnsi" w:cstheme="minorBidi"/>
          <w:b w:val="0"/>
          <w:noProof/>
          <w:sz w:val="24"/>
          <w:szCs w:val="24"/>
          <w:lang w:val="en-AU" w:eastAsia="ja-JP" w:bidi="ar-SA"/>
        </w:rPr>
        <w:tab/>
      </w:r>
      <w:r w:rsidRPr="004A5A99">
        <w:rPr>
          <w:noProof/>
          <w:lang w:val="en-AU"/>
        </w:rPr>
        <w:t>Regional Wellbeing Survey</w:t>
      </w:r>
      <w:r>
        <w:rPr>
          <w:noProof/>
        </w:rPr>
        <w:tab/>
      </w:r>
      <w:r>
        <w:rPr>
          <w:noProof/>
        </w:rPr>
        <w:fldChar w:fldCharType="begin"/>
      </w:r>
      <w:r>
        <w:rPr>
          <w:noProof/>
        </w:rPr>
        <w:instrText xml:space="preserve"> PAGEREF _Toc347747870 \h </w:instrText>
      </w:r>
      <w:r>
        <w:rPr>
          <w:noProof/>
        </w:rPr>
      </w:r>
      <w:r>
        <w:rPr>
          <w:noProof/>
        </w:rPr>
        <w:fldChar w:fldCharType="separate"/>
      </w:r>
      <w:r w:rsidR="008E5D7A">
        <w:rPr>
          <w:noProof/>
        </w:rPr>
        <w:t>144</w:t>
      </w:r>
      <w:r>
        <w:rPr>
          <w:noProof/>
        </w:rPr>
        <w:fldChar w:fldCharType="end"/>
      </w:r>
    </w:p>
    <w:p w14:paraId="2DEB9C9C"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Pr>
          <w:noProof/>
        </w:rPr>
        <w:t>2</w:t>
      </w:r>
      <w:r>
        <w:rPr>
          <w:rFonts w:asciiTheme="minorHAnsi" w:eastAsiaTheme="minorEastAsia" w:hAnsiTheme="minorHAnsi" w:cstheme="minorBidi"/>
          <w:b w:val="0"/>
          <w:noProof/>
          <w:lang w:val="en-AU" w:eastAsia="ja-JP" w:bidi="ar-SA"/>
        </w:rPr>
        <w:tab/>
      </w:r>
      <w:r w:rsidRPr="004A5A99">
        <w:rPr>
          <w:noProof/>
          <w:lang w:val="en-AU"/>
        </w:rPr>
        <w:t>Basin Plan Sustainable Diversion Limit (SDL) water recovery scenarios</w:t>
      </w:r>
      <w:r>
        <w:rPr>
          <w:noProof/>
        </w:rPr>
        <w:tab/>
      </w:r>
      <w:r>
        <w:rPr>
          <w:noProof/>
        </w:rPr>
        <w:fldChar w:fldCharType="begin"/>
      </w:r>
      <w:r>
        <w:rPr>
          <w:noProof/>
        </w:rPr>
        <w:instrText xml:space="preserve"> PAGEREF _Toc347747871 \h </w:instrText>
      </w:r>
      <w:r>
        <w:rPr>
          <w:noProof/>
        </w:rPr>
      </w:r>
      <w:r>
        <w:rPr>
          <w:noProof/>
        </w:rPr>
        <w:fldChar w:fldCharType="separate"/>
      </w:r>
      <w:r w:rsidR="008E5D7A">
        <w:rPr>
          <w:noProof/>
        </w:rPr>
        <w:t>149</w:t>
      </w:r>
      <w:r>
        <w:rPr>
          <w:noProof/>
        </w:rPr>
        <w:fldChar w:fldCharType="end"/>
      </w:r>
    </w:p>
    <w:p w14:paraId="42E3E0BE"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US"/>
        </w:rPr>
        <w:t>2.1</w:t>
      </w:r>
      <w:r>
        <w:rPr>
          <w:rFonts w:asciiTheme="minorHAnsi" w:eastAsiaTheme="minorEastAsia" w:hAnsiTheme="minorHAnsi" w:cstheme="minorBidi"/>
          <w:b w:val="0"/>
          <w:noProof/>
          <w:sz w:val="24"/>
          <w:szCs w:val="24"/>
          <w:lang w:val="en-AU" w:eastAsia="ja-JP" w:bidi="ar-SA"/>
        </w:rPr>
        <w:tab/>
      </w:r>
      <w:r w:rsidRPr="004A5A99">
        <w:rPr>
          <w:noProof/>
          <w:lang w:val="en-US"/>
        </w:rPr>
        <w:t>Purpose</w:t>
      </w:r>
      <w:r>
        <w:rPr>
          <w:noProof/>
        </w:rPr>
        <w:tab/>
      </w:r>
      <w:r>
        <w:rPr>
          <w:noProof/>
        </w:rPr>
        <w:fldChar w:fldCharType="begin"/>
      </w:r>
      <w:r>
        <w:rPr>
          <w:noProof/>
        </w:rPr>
        <w:instrText xml:space="preserve"> PAGEREF _Toc347747872 \h </w:instrText>
      </w:r>
      <w:r>
        <w:rPr>
          <w:noProof/>
        </w:rPr>
      </w:r>
      <w:r>
        <w:rPr>
          <w:noProof/>
        </w:rPr>
        <w:fldChar w:fldCharType="separate"/>
      </w:r>
      <w:r w:rsidR="008E5D7A">
        <w:rPr>
          <w:noProof/>
        </w:rPr>
        <w:t>149</w:t>
      </w:r>
      <w:r>
        <w:rPr>
          <w:noProof/>
        </w:rPr>
        <w:fldChar w:fldCharType="end"/>
      </w:r>
    </w:p>
    <w:p w14:paraId="3B31AB38"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US"/>
        </w:rPr>
        <w:t>2.2</w:t>
      </w:r>
      <w:r>
        <w:rPr>
          <w:rFonts w:asciiTheme="minorHAnsi" w:eastAsiaTheme="minorEastAsia" w:hAnsiTheme="minorHAnsi" w:cstheme="minorBidi"/>
          <w:b w:val="0"/>
          <w:noProof/>
          <w:sz w:val="24"/>
          <w:szCs w:val="24"/>
          <w:lang w:val="en-AU" w:eastAsia="ja-JP" w:bidi="ar-SA"/>
        </w:rPr>
        <w:tab/>
      </w:r>
      <w:r w:rsidRPr="004A5A99">
        <w:rPr>
          <w:noProof/>
          <w:lang w:val="en-US"/>
        </w:rPr>
        <w:t>Discussion</w:t>
      </w:r>
      <w:r>
        <w:rPr>
          <w:noProof/>
        </w:rPr>
        <w:tab/>
      </w:r>
      <w:r>
        <w:rPr>
          <w:noProof/>
        </w:rPr>
        <w:fldChar w:fldCharType="begin"/>
      </w:r>
      <w:r>
        <w:rPr>
          <w:noProof/>
        </w:rPr>
        <w:instrText xml:space="preserve"> PAGEREF _Toc347747873 \h </w:instrText>
      </w:r>
      <w:r>
        <w:rPr>
          <w:noProof/>
        </w:rPr>
      </w:r>
      <w:r>
        <w:rPr>
          <w:noProof/>
        </w:rPr>
        <w:fldChar w:fldCharType="separate"/>
      </w:r>
      <w:r w:rsidR="008E5D7A">
        <w:rPr>
          <w:noProof/>
        </w:rPr>
        <w:t>149</w:t>
      </w:r>
      <w:r>
        <w:rPr>
          <w:noProof/>
        </w:rPr>
        <w:fldChar w:fldCharType="end"/>
      </w:r>
    </w:p>
    <w:p w14:paraId="7B826725"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3</w:t>
      </w:r>
      <w:r>
        <w:rPr>
          <w:rFonts w:asciiTheme="minorHAnsi" w:eastAsiaTheme="minorEastAsia" w:hAnsiTheme="minorHAnsi" w:cstheme="minorBidi"/>
          <w:b w:val="0"/>
          <w:noProof/>
          <w:lang w:val="en-AU" w:eastAsia="ja-JP" w:bidi="ar-SA"/>
        </w:rPr>
        <w:tab/>
      </w:r>
      <w:r w:rsidRPr="004A5A99">
        <w:rPr>
          <w:noProof/>
          <w:lang w:val="en-AU"/>
        </w:rPr>
        <w:t>Effects of the different approaches to water recovery</w:t>
      </w:r>
      <w:r>
        <w:rPr>
          <w:noProof/>
        </w:rPr>
        <w:tab/>
      </w:r>
      <w:r>
        <w:rPr>
          <w:noProof/>
        </w:rPr>
        <w:fldChar w:fldCharType="begin"/>
      </w:r>
      <w:r>
        <w:rPr>
          <w:noProof/>
        </w:rPr>
        <w:instrText xml:space="preserve"> PAGEREF _Toc347747874 \h </w:instrText>
      </w:r>
      <w:r>
        <w:rPr>
          <w:noProof/>
        </w:rPr>
      </w:r>
      <w:r>
        <w:rPr>
          <w:noProof/>
        </w:rPr>
        <w:fldChar w:fldCharType="separate"/>
      </w:r>
      <w:r w:rsidR="008E5D7A">
        <w:rPr>
          <w:noProof/>
        </w:rPr>
        <w:t>160</w:t>
      </w:r>
      <w:r>
        <w:rPr>
          <w:noProof/>
        </w:rPr>
        <w:fldChar w:fldCharType="end"/>
      </w:r>
    </w:p>
    <w:p w14:paraId="54BBF48B"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3.1</w:t>
      </w:r>
      <w:r>
        <w:rPr>
          <w:rFonts w:asciiTheme="minorHAnsi" w:eastAsiaTheme="minorEastAsia" w:hAnsiTheme="minorHAnsi" w:cstheme="minorBidi"/>
          <w:b w:val="0"/>
          <w:noProof/>
          <w:sz w:val="24"/>
          <w:szCs w:val="24"/>
          <w:lang w:val="en-AU" w:eastAsia="ja-JP" w:bidi="ar-SA"/>
        </w:rPr>
        <w:tab/>
      </w:r>
      <w:r w:rsidRPr="004A5A99">
        <w:rPr>
          <w:noProof/>
          <w:lang w:val="en-AU"/>
        </w:rPr>
        <w:t>Buyback</w:t>
      </w:r>
      <w:r>
        <w:rPr>
          <w:noProof/>
        </w:rPr>
        <w:tab/>
      </w:r>
      <w:r>
        <w:rPr>
          <w:noProof/>
        </w:rPr>
        <w:fldChar w:fldCharType="begin"/>
      </w:r>
      <w:r>
        <w:rPr>
          <w:noProof/>
        </w:rPr>
        <w:instrText xml:space="preserve"> PAGEREF _Toc347747875 \h </w:instrText>
      </w:r>
      <w:r>
        <w:rPr>
          <w:noProof/>
        </w:rPr>
      </w:r>
      <w:r>
        <w:rPr>
          <w:noProof/>
        </w:rPr>
        <w:fldChar w:fldCharType="separate"/>
      </w:r>
      <w:r w:rsidR="008E5D7A">
        <w:rPr>
          <w:noProof/>
        </w:rPr>
        <w:t>161</w:t>
      </w:r>
      <w:r>
        <w:rPr>
          <w:noProof/>
        </w:rPr>
        <w:fldChar w:fldCharType="end"/>
      </w:r>
    </w:p>
    <w:p w14:paraId="49A16D4F"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3.2</w:t>
      </w:r>
      <w:r>
        <w:rPr>
          <w:rFonts w:asciiTheme="minorHAnsi" w:eastAsiaTheme="minorEastAsia" w:hAnsiTheme="minorHAnsi" w:cstheme="minorBidi"/>
          <w:b w:val="0"/>
          <w:noProof/>
          <w:sz w:val="24"/>
          <w:szCs w:val="24"/>
          <w:lang w:val="en-AU" w:eastAsia="ja-JP" w:bidi="ar-SA"/>
        </w:rPr>
        <w:tab/>
      </w:r>
      <w:r w:rsidRPr="004A5A99">
        <w:rPr>
          <w:noProof/>
          <w:lang w:val="en-AU"/>
        </w:rPr>
        <w:t>Delivery system water savings</w:t>
      </w:r>
      <w:r>
        <w:rPr>
          <w:noProof/>
        </w:rPr>
        <w:tab/>
      </w:r>
      <w:r>
        <w:rPr>
          <w:noProof/>
        </w:rPr>
        <w:fldChar w:fldCharType="begin"/>
      </w:r>
      <w:r>
        <w:rPr>
          <w:noProof/>
        </w:rPr>
        <w:instrText xml:space="preserve"> PAGEREF _Toc347747876 \h </w:instrText>
      </w:r>
      <w:r>
        <w:rPr>
          <w:noProof/>
        </w:rPr>
      </w:r>
      <w:r>
        <w:rPr>
          <w:noProof/>
        </w:rPr>
        <w:fldChar w:fldCharType="separate"/>
      </w:r>
      <w:r w:rsidR="008E5D7A">
        <w:rPr>
          <w:noProof/>
        </w:rPr>
        <w:t>163</w:t>
      </w:r>
      <w:r>
        <w:rPr>
          <w:noProof/>
        </w:rPr>
        <w:fldChar w:fldCharType="end"/>
      </w:r>
    </w:p>
    <w:p w14:paraId="50EB505B" w14:textId="77777777" w:rsidR="001560F0" w:rsidRDefault="001560F0">
      <w:pPr>
        <w:pStyle w:val="TOC2"/>
        <w:tabs>
          <w:tab w:val="left" w:pos="752"/>
          <w:tab w:val="right" w:leader="dot" w:pos="9016"/>
        </w:tabs>
        <w:rPr>
          <w:rFonts w:asciiTheme="minorHAnsi" w:eastAsiaTheme="minorEastAsia" w:hAnsiTheme="minorHAnsi" w:cstheme="minorBidi"/>
          <w:b w:val="0"/>
          <w:noProof/>
          <w:sz w:val="24"/>
          <w:szCs w:val="24"/>
          <w:lang w:val="en-AU" w:eastAsia="ja-JP" w:bidi="ar-SA"/>
        </w:rPr>
      </w:pPr>
      <w:r w:rsidRPr="004A5A99">
        <w:rPr>
          <w:noProof/>
          <w:lang w:val="en-AU"/>
        </w:rPr>
        <w:t>3.3</w:t>
      </w:r>
      <w:r>
        <w:rPr>
          <w:rFonts w:asciiTheme="minorHAnsi" w:eastAsiaTheme="minorEastAsia" w:hAnsiTheme="minorHAnsi" w:cstheme="minorBidi"/>
          <w:b w:val="0"/>
          <w:noProof/>
          <w:sz w:val="24"/>
          <w:szCs w:val="24"/>
          <w:lang w:val="en-AU" w:eastAsia="ja-JP" w:bidi="ar-SA"/>
        </w:rPr>
        <w:tab/>
      </w:r>
      <w:r w:rsidRPr="004A5A99">
        <w:rPr>
          <w:noProof/>
          <w:lang w:val="en-AU"/>
        </w:rPr>
        <w:t>On farm water savings</w:t>
      </w:r>
      <w:r>
        <w:rPr>
          <w:noProof/>
        </w:rPr>
        <w:tab/>
      </w:r>
      <w:r>
        <w:rPr>
          <w:noProof/>
        </w:rPr>
        <w:fldChar w:fldCharType="begin"/>
      </w:r>
      <w:r>
        <w:rPr>
          <w:noProof/>
        </w:rPr>
        <w:instrText xml:space="preserve"> PAGEREF _Toc347747877 \h </w:instrText>
      </w:r>
      <w:r>
        <w:rPr>
          <w:noProof/>
        </w:rPr>
      </w:r>
      <w:r>
        <w:rPr>
          <w:noProof/>
        </w:rPr>
        <w:fldChar w:fldCharType="separate"/>
      </w:r>
      <w:r w:rsidR="008E5D7A">
        <w:rPr>
          <w:noProof/>
        </w:rPr>
        <w:t>164</w:t>
      </w:r>
      <w:r>
        <w:rPr>
          <w:noProof/>
        </w:rPr>
        <w:fldChar w:fldCharType="end"/>
      </w:r>
    </w:p>
    <w:p w14:paraId="6E769909"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4</w:t>
      </w:r>
      <w:r>
        <w:rPr>
          <w:rFonts w:asciiTheme="minorHAnsi" w:eastAsiaTheme="minorEastAsia" w:hAnsiTheme="minorHAnsi" w:cstheme="minorBidi"/>
          <w:b w:val="0"/>
          <w:noProof/>
          <w:lang w:val="en-AU" w:eastAsia="ja-JP" w:bidi="ar-SA"/>
        </w:rPr>
        <w:tab/>
      </w:r>
      <w:r w:rsidRPr="004A5A99">
        <w:rPr>
          <w:noProof/>
          <w:lang w:val="en-AU"/>
        </w:rPr>
        <w:t>Water price effects of water recovery</w:t>
      </w:r>
      <w:r>
        <w:rPr>
          <w:noProof/>
        </w:rPr>
        <w:tab/>
      </w:r>
      <w:r>
        <w:rPr>
          <w:noProof/>
        </w:rPr>
        <w:fldChar w:fldCharType="begin"/>
      </w:r>
      <w:r>
        <w:rPr>
          <w:noProof/>
        </w:rPr>
        <w:instrText xml:space="preserve"> PAGEREF _Toc347747878 \h </w:instrText>
      </w:r>
      <w:r>
        <w:rPr>
          <w:noProof/>
        </w:rPr>
      </w:r>
      <w:r>
        <w:rPr>
          <w:noProof/>
        </w:rPr>
        <w:fldChar w:fldCharType="separate"/>
      </w:r>
      <w:r w:rsidR="008E5D7A">
        <w:rPr>
          <w:noProof/>
        </w:rPr>
        <w:t>168</w:t>
      </w:r>
      <w:r>
        <w:rPr>
          <w:noProof/>
        </w:rPr>
        <w:fldChar w:fldCharType="end"/>
      </w:r>
    </w:p>
    <w:p w14:paraId="56D9D046"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5</w:t>
      </w:r>
      <w:r>
        <w:rPr>
          <w:rFonts w:asciiTheme="minorHAnsi" w:eastAsiaTheme="minorEastAsia" w:hAnsiTheme="minorHAnsi" w:cstheme="minorBidi"/>
          <w:b w:val="0"/>
          <w:noProof/>
          <w:lang w:val="en-AU" w:eastAsia="ja-JP" w:bidi="ar-SA"/>
        </w:rPr>
        <w:tab/>
      </w:r>
      <w:r w:rsidRPr="004A5A99">
        <w:rPr>
          <w:noProof/>
          <w:lang w:val="en-AU"/>
        </w:rPr>
        <w:t>Expected future horticultural demands for water</w:t>
      </w:r>
      <w:r>
        <w:rPr>
          <w:noProof/>
        </w:rPr>
        <w:tab/>
      </w:r>
      <w:r>
        <w:rPr>
          <w:noProof/>
        </w:rPr>
        <w:fldChar w:fldCharType="begin"/>
      </w:r>
      <w:r>
        <w:rPr>
          <w:noProof/>
        </w:rPr>
        <w:instrText xml:space="preserve"> PAGEREF _Toc347747879 \h </w:instrText>
      </w:r>
      <w:r>
        <w:rPr>
          <w:noProof/>
        </w:rPr>
      </w:r>
      <w:r>
        <w:rPr>
          <w:noProof/>
        </w:rPr>
        <w:fldChar w:fldCharType="separate"/>
      </w:r>
      <w:r w:rsidR="008E5D7A">
        <w:rPr>
          <w:noProof/>
        </w:rPr>
        <w:t>176</w:t>
      </w:r>
      <w:r>
        <w:rPr>
          <w:noProof/>
        </w:rPr>
        <w:fldChar w:fldCharType="end"/>
      </w:r>
    </w:p>
    <w:p w14:paraId="7D17FDBE" w14:textId="77777777" w:rsidR="001560F0" w:rsidRDefault="001560F0">
      <w:pPr>
        <w:pStyle w:val="TOC1"/>
        <w:tabs>
          <w:tab w:val="left" w:pos="382"/>
        </w:tabs>
        <w:rPr>
          <w:rFonts w:asciiTheme="minorHAnsi" w:eastAsiaTheme="minorEastAsia" w:hAnsiTheme="minorHAnsi" w:cstheme="minorBidi"/>
          <w:b w:val="0"/>
          <w:noProof/>
          <w:lang w:val="en-AU" w:eastAsia="ja-JP" w:bidi="ar-SA"/>
        </w:rPr>
      </w:pPr>
      <w:r w:rsidRPr="004A5A99">
        <w:rPr>
          <w:noProof/>
          <w:lang w:val="en-AU"/>
        </w:rPr>
        <w:t>6</w:t>
      </w:r>
      <w:r>
        <w:rPr>
          <w:rFonts w:asciiTheme="minorHAnsi" w:eastAsiaTheme="minorEastAsia" w:hAnsiTheme="minorHAnsi" w:cstheme="minorBidi"/>
          <w:b w:val="0"/>
          <w:noProof/>
          <w:lang w:val="en-AU" w:eastAsia="ja-JP" w:bidi="ar-SA"/>
        </w:rPr>
        <w:tab/>
      </w:r>
      <w:r w:rsidRPr="004A5A99">
        <w:rPr>
          <w:noProof/>
          <w:lang w:val="en-AU"/>
        </w:rPr>
        <w:t>References</w:t>
      </w:r>
      <w:r>
        <w:rPr>
          <w:noProof/>
        </w:rPr>
        <w:tab/>
      </w:r>
      <w:r>
        <w:rPr>
          <w:noProof/>
        </w:rPr>
        <w:fldChar w:fldCharType="begin"/>
      </w:r>
      <w:r>
        <w:rPr>
          <w:noProof/>
        </w:rPr>
        <w:instrText xml:space="preserve"> PAGEREF _Toc347747880 \h </w:instrText>
      </w:r>
      <w:r>
        <w:rPr>
          <w:noProof/>
        </w:rPr>
      </w:r>
      <w:r>
        <w:rPr>
          <w:noProof/>
        </w:rPr>
        <w:fldChar w:fldCharType="separate"/>
      </w:r>
      <w:r w:rsidR="008E5D7A">
        <w:rPr>
          <w:noProof/>
        </w:rPr>
        <w:t>181</w:t>
      </w:r>
      <w:r>
        <w:rPr>
          <w:noProof/>
        </w:rPr>
        <w:fldChar w:fldCharType="end"/>
      </w:r>
    </w:p>
    <w:p w14:paraId="69F49657" w14:textId="77777777" w:rsidR="002E2276" w:rsidRPr="00FD0855" w:rsidRDefault="00B256DC" w:rsidP="002E2276">
      <w:r>
        <w:rPr>
          <w:rFonts w:ascii="Cambria" w:hAnsi="Cambria"/>
          <w:b/>
          <w:sz w:val="24"/>
          <w:szCs w:val="24"/>
        </w:rPr>
        <w:fldChar w:fldCharType="end"/>
      </w:r>
    </w:p>
    <w:p w14:paraId="6738846F" w14:textId="77777777" w:rsidR="00B2735A" w:rsidRDefault="00B2735A" w:rsidP="00B42123">
      <w:pPr>
        <w:pStyle w:val="Heading1"/>
        <w:numPr>
          <w:ilvl w:val="0"/>
          <w:numId w:val="0"/>
        </w:numPr>
        <w:ind w:left="432" w:hanging="432"/>
        <w:rPr>
          <w:lang w:val="en-AU"/>
        </w:rPr>
        <w:sectPr w:rsidR="00B2735A">
          <w:pgSz w:w="11906" w:h="16838"/>
          <w:pgMar w:top="1440" w:right="1440" w:bottom="1440" w:left="1440" w:header="708" w:footer="708" w:gutter="0"/>
          <w:pgNumType w:fmt="lowerRoman"/>
          <w:cols w:space="708"/>
          <w:titlePg/>
          <w:docGrid w:linePitch="360"/>
        </w:sectPr>
      </w:pPr>
      <w:bookmarkStart w:id="11" w:name="_Toc342658306"/>
      <w:bookmarkStart w:id="12" w:name="_Toc338078707"/>
      <w:bookmarkStart w:id="13" w:name="_Ref342490807"/>
    </w:p>
    <w:p w14:paraId="7E3D87B0" w14:textId="77777777" w:rsidR="00B42123" w:rsidRDefault="00B42123" w:rsidP="00B42123">
      <w:pPr>
        <w:pStyle w:val="Heading1"/>
        <w:numPr>
          <w:ilvl w:val="0"/>
          <w:numId w:val="0"/>
        </w:numPr>
        <w:ind w:left="432" w:hanging="432"/>
        <w:rPr>
          <w:lang w:val="en-AU"/>
        </w:rPr>
      </w:pPr>
      <w:bookmarkStart w:id="14" w:name="_Ref347506721"/>
      <w:bookmarkStart w:id="15" w:name="_Toc347747776"/>
      <w:r>
        <w:rPr>
          <w:lang w:val="en-AU"/>
        </w:rPr>
        <w:lastRenderedPageBreak/>
        <w:t>Acronyms</w:t>
      </w:r>
      <w:bookmarkEnd w:id="11"/>
      <w:bookmarkEnd w:id="14"/>
      <w:bookmarkEnd w:id="15"/>
    </w:p>
    <w:p w14:paraId="198B6453" w14:textId="77777777" w:rsidR="00B42123" w:rsidRPr="007F1E27" w:rsidRDefault="00B42123" w:rsidP="00B42123">
      <w:pPr>
        <w:rPr>
          <w:lang w:val="en-US"/>
        </w:rPr>
      </w:pPr>
    </w:p>
    <w:tbl>
      <w:tblPr>
        <w:tblStyle w:val="TableGrid"/>
        <w:tblW w:w="0" w:type="auto"/>
        <w:tblLook w:val="04A0" w:firstRow="1" w:lastRow="0" w:firstColumn="1" w:lastColumn="0" w:noHBand="0" w:noVBand="1"/>
      </w:tblPr>
      <w:tblGrid>
        <w:gridCol w:w="979"/>
        <w:gridCol w:w="6535"/>
      </w:tblGrid>
      <w:tr w:rsidR="00B42123" w:rsidRPr="007F1E27" w14:paraId="1425F0DB" w14:textId="77777777">
        <w:tc>
          <w:tcPr>
            <w:tcW w:w="0" w:type="auto"/>
          </w:tcPr>
          <w:p w14:paraId="13948186" w14:textId="77777777" w:rsidR="00B42123" w:rsidRPr="007F1E27" w:rsidRDefault="00B42123" w:rsidP="00B42123">
            <w:pPr>
              <w:spacing w:before="40" w:after="40"/>
              <w:rPr>
                <w:lang w:val="en-US"/>
              </w:rPr>
            </w:pPr>
            <w:r w:rsidRPr="007F1E27">
              <w:rPr>
                <w:lang w:val="en-US"/>
              </w:rPr>
              <w:t>ABARES</w:t>
            </w:r>
            <w:r w:rsidRPr="007F1E27">
              <w:rPr>
                <w:lang w:val="en-US"/>
              </w:rPr>
              <w:tab/>
            </w:r>
          </w:p>
        </w:tc>
        <w:tc>
          <w:tcPr>
            <w:tcW w:w="0" w:type="auto"/>
          </w:tcPr>
          <w:p w14:paraId="43399C17" w14:textId="77777777" w:rsidR="00B42123" w:rsidRPr="007F1E27" w:rsidRDefault="00B42123" w:rsidP="00B42123">
            <w:pPr>
              <w:spacing w:before="40" w:after="40"/>
              <w:rPr>
                <w:lang w:val="en-US"/>
              </w:rPr>
            </w:pPr>
            <w:r w:rsidRPr="007F1E27">
              <w:rPr>
                <w:lang w:val="en-US"/>
              </w:rPr>
              <w:t>Australian Bureau of Agricultural Resource Economics and Sciences</w:t>
            </w:r>
          </w:p>
        </w:tc>
      </w:tr>
      <w:tr w:rsidR="00B42123" w:rsidRPr="007F1E27" w14:paraId="0AD170B6" w14:textId="77777777">
        <w:tc>
          <w:tcPr>
            <w:tcW w:w="0" w:type="auto"/>
          </w:tcPr>
          <w:p w14:paraId="0E95B483" w14:textId="77777777" w:rsidR="00B42123" w:rsidRPr="007F1E27" w:rsidRDefault="00B42123" w:rsidP="00B42123">
            <w:pPr>
              <w:spacing w:before="40" w:after="40"/>
              <w:rPr>
                <w:lang w:val="en-US"/>
              </w:rPr>
            </w:pPr>
            <w:r w:rsidRPr="007F1E27">
              <w:rPr>
                <w:lang w:val="en-US"/>
              </w:rPr>
              <w:t>ABS</w:t>
            </w:r>
          </w:p>
        </w:tc>
        <w:tc>
          <w:tcPr>
            <w:tcW w:w="0" w:type="auto"/>
          </w:tcPr>
          <w:p w14:paraId="203ACCD9" w14:textId="77777777" w:rsidR="00B42123" w:rsidRPr="007F1E27" w:rsidRDefault="00B42123" w:rsidP="00B42123">
            <w:pPr>
              <w:spacing w:before="40" w:after="40"/>
              <w:rPr>
                <w:lang w:val="en-US"/>
              </w:rPr>
            </w:pPr>
            <w:r w:rsidRPr="007F1E27">
              <w:rPr>
                <w:lang w:val="en-US"/>
              </w:rPr>
              <w:t>Australian Bureau of Statistics</w:t>
            </w:r>
          </w:p>
        </w:tc>
      </w:tr>
      <w:tr w:rsidR="00B42123" w:rsidRPr="007F1E27" w14:paraId="293955FE" w14:textId="77777777">
        <w:tc>
          <w:tcPr>
            <w:tcW w:w="0" w:type="auto"/>
          </w:tcPr>
          <w:p w14:paraId="1FDD9B5C" w14:textId="77777777" w:rsidR="00B42123" w:rsidRPr="007F1E27" w:rsidRDefault="00B42123" w:rsidP="00B42123">
            <w:pPr>
              <w:spacing w:before="40" w:after="40"/>
              <w:rPr>
                <w:lang w:val="en-US"/>
              </w:rPr>
            </w:pPr>
            <w:r w:rsidRPr="007F1E27">
              <w:rPr>
                <w:lang w:val="en-US"/>
              </w:rPr>
              <w:t>ANZSIC</w:t>
            </w:r>
          </w:p>
        </w:tc>
        <w:tc>
          <w:tcPr>
            <w:tcW w:w="0" w:type="auto"/>
          </w:tcPr>
          <w:p w14:paraId="139DD677" w14:textId="77777777" w:rsidR="00B42123" w:rsidRPr="007F1E27" w:rsidRDefault="00B42123" w:rsidP="00B42123">
            <w:pPr>
              <w:spacing w:before="40" w:after="40"/>
              <w:rPr>
                <w:lang w:val="en-US"/>
              </w:rPr>
            </w:pPr>
            <w:r w:rsidRPr="007F1E27">
              <w:rPr>
                <w:lang w:val="en-US"/>
              </w:rPr>
              <w:t>Australian and New Zealand Standard Industrial Classification</w:t>
            </w:r>
          </w:p>
        </w:tc>
      </w:tr>
      <w:tr w:rsidR="00B42123" w:rsidRPr="007F1E27" w14:paraId="4787EE80" w14:textId="77777777">
        <w:tc>
          <w:tcPr>
            <w:tcW w:w="0" w:type="auto"/>
          </w:tcPr>
          <w:p w14:paraId="17A4C50C" w14:textId="77777777" w:rsidR="00B42123" w:rsidRPr="007F1E27" w:rsidRDefault="00B42123" w:rsidP="00B42123">
            <w:pPr>
              <w:spacing w:before="40" w:after="40"/>
              <w:rPr>
                <w:lang w:val="en-US"/>
              </w:rPr>
            </w:pPr>
            <w:r w:rsidRPr="007F1E27">
              <w:rPr>
                <w:lang w:val="en-US"/>
              </w:rPr>
              <w:t>CEWH</w:t>
            </w:r>
          </w:p>
        </w:tc>
        <w:tc>
          <w:tcPr>
            <w:tcW w:w="0" w:type="auto"/>
          </w:tcPr>
          <w:p w14:paraId="272813AF" w14:textId="77777777" w:rsidR="00B42123" w:rsidRPr="007F1E27" w:rsidRDefault="00B42123" w:rsidP="00B42123">
            <w:pPr>
              <w:spacing w:before="40" w:after="40"/>
              <w:rPr>
                <w:lang w:val="en-US"/>
              </w:rPr>
            </w:pPr>
            <w:r w:rsidRPr="007F1E27">
              <w:rPr>
                <w:lang w:val="en-US"/>
              </w:rPr>
              <w:t>Commonwealth Environmental Water Holder</w:t>
            </w:r>
          </w:p>
        </w:tc>
      </w:tr>
      <w:tr w:rsidR="00B42123" w:rsidRPr="007F1E27" w14:paraId="48701F6E" w14:textId="77777777">
        <w:tc>
          <w:tcPr>
            <w:tcW w:w="0" w:type="auto"/>
          </w:tcPr>
          <w:p w14:paraId="44D57ABE" w14:textId="77777777" w:rsidR="00B42123" w:rsidRPr="007F1E27" w:rsidRDefault="00B42123" w:rsidP="00B42123">
            <w:pPr>
              <w:spacing w:before="40" w:after="40"/>
              <w:rPr>
                <w:lang w:val="en-US"/>
              </w:rPr>
            </w:pPr>
            <w:r w:rsidRPr="007F1E27">
              <w:rPr>
                <w:lang w:val="en-US"/>
              </w:rPr>
              <w:t>CEWO</w:t>
            </w:r>
          </w:p>
        </w:tc>
        <w:tc>
          <w:tcPr>
            <w:tcW w:w="0" w:type="auto"/>
          </w:tcPr>
          <w:p w14:paraId="4CD2A77C" w14:textId="77777777" w:rsidR="00B42123" w:rsidRPr="007F1E27" w:rsidRDefault="00B42123" w:rsidP="00B42123">
            <w:pPr>
              <w:spacing w:before="40" w:after="40"/>
              <w:rPr>
                <w:lang w:val="en-US"/>
              </w:rPr>
            </w:pPr>
            <w:r w:rsidRPr="007F1E27">
              <w:rPr>
                <w:lang w:val="en-US"/>
              </w:rPr>
              <w:t>Commonwealth Environmental Water Office</w:t>
            </w:r>
          </w:p>
        </w:tc>
      </w:tr>
      <w:tr w:rsidR="00B42123" w:rsidRPr="007F1E27" w14:paraId="42BF440A" w14:textId="77777777">
        <w:tc>
          <w:tcPr>
            <w:tcW w:w="0" w:type="auto"/>
          </w:tcPr>
          <w:p w14:paraId="1072A192" w14:textId="77777777" w:rsidR="00B42123" w:rsidRPr="007F1E27" w:rsidRDefault="00B42123" w:rsidP="00B42123">
            <w:pPr>
              <w:spacing w:before="40" w:after="40"/>
              <w:rPr>
                <w:lang w:val="en-US"/>
              </w:rPr>
            </w:pPr>
            <w:r w:rsidRPr="007F1E27">
              <w:rPr>
                <w:lang w:val="en-US"/>
              </w:rPr>
              <w:t>CICL</w:t>
            </w:r>
          </w:p>
        </w:tc>
        <w:tc>
          <w:tcPr>
            <w:tcW w:w="0" w:type="auto"/>
          </w:tcPr>
          <w:p w14:paraId="18AD1304" w14:textId="77777777" w:rsidR="00B42123" w:rsidRPr="007F1E27" w:rsidRDefault="00B42123" w:rsidP="00B42123">
            <w:pPr>
              <w:spacing w:before="40" w:after="40"/>
              <w:rPr>
                <w:lang w:val="en-US"/>
              </w:rPr>
            </w:pPr>
            <w:r w:rsidRPr="007F1E27">
              <w:rPr>
                <w:lang w:val="en-US"/>
              </w:rPr>
              <w:t>Colleambally Irrigation Cooperative Ltd</w:t>
            </w:r>
          </w:p>
        </w:tc>
      </w:tr>
      <w:tr w:rsidR="00B42123" w:rsidRPr="007F1E27" w14:paraId="3EBC8AD8" w14:textId="77777777">
        <w:tc>
          <w:tcPr>
            <w:tcW w:w="0" w:type="auto"/>
          </w:tcPr>
          <w:p w14:paraId="3EA20754" w14:textId="77777777" w:rsidR="00B42123" w:rsidRPr="007F1E27" w:rsidRDefault="00B42123" w:rsidP="00B42123">
            <w:pPr>
              <w:spacing w:before="40" w:after="40"/>
              <w:rPr>
                <w:lang w:val="en-US"/>
              </w:rPr>
            </w:pPr>
            <w:r w:rsidRPr="007F1E27">
              <w:rPr>
                <w:lang w:val="en-US"/>
              </w:rPr>
              <w:t>CMA</w:t>
            </w:r>
          </w:p>
        </w:tc>
        <w:tc>
          <w:tcPr>
            <w:tcW w:w="0" w:type="auto"/>
          </w:tcPr>
          <w:p w14:paraId="68FFF73B" w14:textId="77777777" w:rsidR="00B42123" w:rsidRPr="007F1E27" w:rsidRDefault="00B42123" w:rsidP="00B42123">
            <w:pPr>
              <w:spacing w:before="40" w:after="40"/>
              <w:rPr>
                <w:lang w:val="en-US"/>
              </w:rPr>
            </w:pPr>
            <w:r w:rsidRPr="007F1E27">
              <w:rPr>
                <w:lang w:val="en-US"/>
              </w:rPr>
              <w:t>Catchment Management Authority</w:t>
            </w:r>
          </w:p>
        </w:tc>
      </w:tr>
      <w:tr w:rsidR="00B42123" w:rsidRPr="007F1E27" w14:paraId="0BC3DBB3" w14:textId="77777777">
        <w:tc>
          <w:tcPr>
            <w:tcW w:w="0" w:type="auto"/>
          </w:tcPr>
          <w:p w14:paraId="62275656" w14:textId="77777777" w:rsidR="00B42123" w:rsidRPr="007F1E27" w:rsidRDefault="00B42123" w:rsidP="00B42123">
            <w:pPr>
              <w:spacing w:before="40" w:after="40"/>
              <w:rPr>
                <w:lang w:val="en-US"/>
              </w:rPr>
            </w:pPr>
            <w:r w:rsidRPr="007F1E27">
              <w:rPr>
                <w:lang w:val="en-US"/>
              </w:rPr>
              <w:t>DAWR</w:t>
            </w:r>
          </w:p>
        </w:tc>
        <w:tc>
          <w:tcPr>
            <w:tcW w:w="0" w:type="auto"/>
          </w:tcPr>
          <w:p w14:paraId="1A28013A" w14:textId="77777777" w:rsidR="00B42123" w:rsidRPr="007F1E27" w:rsidRDefault="00B42123" w:rsidP="00B42123">
            <w:pPr>
              <w:spacing w:before="40" w:after="40"/>
              <w:rPr>
                <w:lang w:val="en-US"/>
              </w:rPr>
            </w:pPr>
            <w:r w:rsidRPr="007F1E27">
              <w:rPr>
                <w:lang w:val="en-US"/>
              </w:rPr>
              <w:t>Department of Agriculture and Water Resources</w:t>
            </w:r>
          </w:p>
        </w:tc>
      </w:tr>
      <w:tr w:rsidR="00B42123" w:rsidRPr="007F1E27" w14:paraId="15A2BA41" w14:textId="77777777">
        <w:tc>
          <w:tcPr>
            <w:tcW w:w="0" w:type="auto"/>
          </w:tcPr>
          <w:p w14:paraId="73D01C65" w14:textId="77777777" w:rsidR="00B42123" w:rsidRPr="007F1E27" w:rsidRDefault="00CC7FC5" w:rsidP="00B42123">
            <w:pPr>
              <w:spacing w:before="40" w:after="40"/>
              <w:rPr>
                <w:lang w:val="en-US"/>
              </w:rPr>
            </w:pPr>
            <w:r>
              <w:rPr>
                <w:lang w:val="en-US"/>
              </w:rPr>
              <w:t>DED</w:t>
            </w:r>
            <w:r w:rsidR="00B42123" w:rsidRPr="007F1E27">
              <w:rPr>
                <w:lang w:val="en-US"/>
              </w:rPr>
              <w:t>J</w:t>
            </w:r>
            <w:r>
              <w:rPr>
                <w:lang w:val="en-US"/>
              </w:rPr>
              <w:t>T</w:t>
            </w:r>
            <w:r w:rsidR="00B42123" w:rsidRPr="007F1E27">
              <w:rPr>
                <w:lang w:val="en-US"/>
              </w:rPr>
              <w:t>R</w:t>
            </w:r>
            <w:r w:rsidR="00B42123" w:rsidRPr="007F1E27">
              <w:rPr>
                <w:lang w:val="en-US"/>
              </w:rPr>
              <w:tab/>
            </w:r>
          </w:p>
        </w:tc>
        <w:tc>
          <w:tcPr>
            <w:tcW w:w="0" w:type="auto"/>
          </w:tcPr>
          <w:p w14:paraId="11DE3BA4" w14:textId="77777777" w:rsidR="00B42123" w:rsidRPr="007F1E27" w:rsidRDefault="00B42123" w:rsidP="00B42123">
            <w:pPr>
              <w:spacing w:before="40" w:after="40"/>
              <w:rPr>
                <w:lang w:val="en-US"/>
              </w:rPr>
            </w:pPr>
            <w:r w:rsidRPr="007F1E27">
              <w:rPr>
                <w:lang w:val="en-US"/>
              </w:rPr>
              <w:t>Department of Economic Development, Jobs, Transport and Resources</w:t>
            </w:r>
          </w:p>
        </w:tc>
      </w:tr>
      <w:tr w:rsidR="00C01A50" w:rsidRPr="007F1E27" w14:paraId="4ED1453A" w14:textId="77777777">
        <w:tc>
          <w:tcPr>
            <w:tcW w:w="0" w:type="auto"/>
          </w:tcPr>
          <w:p w14:paraId="1ED00185" w14:textId="77777777" w:rsidR="00C01A50" w:rsidRPr="007F1E27" w:rsidRDefault="00C01A50" w:rsidP="00B42123">
            <w:pPr>
              <w:spacing w:before="40" w:after="40"/>
              <w:rPr>
                <w:lang w:val="en-US"/>
              </w:rPr>
            </w:pPr>
            <w:r>
              <w:rPr>
                <w:lang w:val="en-US"/>
              </w:rPr>
              <w:t>DELWP</w:t>
            </w:r>
          </w:p>
        </w:tc>
        <w:tc>
          <w:tcPr>
            <w:tcW w:w="0" w:type="auto"/>
          </w:tcPr>
          <w:p w14:paraId="2CD6FDBF" w14:textId="77777777" w:rsidR="00C01A50" w:rsidRPr="007F1E27" w:rsidRDefault="00C01A50" w:rsidP="00B42123">
            <w:pPr>
              <w:spacing w:before="40" w:after="40"/>
              <w:rPr>
                <w:lang w:val="en-US"/>
              </w:rPr>
            </w:pPr>
            <w:r>
              <w:rPr>
                <w:lang w:val="en-US"/>
              </w:rPr>
              <w:t>Department of Environment, Land, Water and Planning</w:t>
            </w:r>
          </w:p>
        </w:tc>
      </w:tr>
      <w:tr w:rsidR="00B42123" w:rsidRPr="007F1E27" w14:paraId="26723844" w14:textId="77777777">
        <w:tc>
          <w:tcPr>
            <w:tcW w:w="0" w:type="auto"/>
          </w:tcPr>
          <w:p w14:paraId="4D59AECA" w14:textId="77777777" w:rsidR="00B42123" w:rsidRPr="007F1E27" w:rsidRDefault="00B42123" w:rsidP="00B42123">
            <w:pPr>
              <w:spacing w:before="40" w:after="40"/>
              <w:rPr>
                <w:lang w:val="en-US"/>
              </w:rPr>
            </w:pPr>
            <w:r>
              <w:rPr>
                <w:lang w:val="en-US"/>
              </w:rPr>
              <w:t>DOA</w:t>
            </w:r>
          </w:p>
        </w:tc>
        <w:tc>
          <w:tcPr>
            <w:tcW w:w="0" w:type="auto"/>
          </w:tcPr>
          <w:p w14:paraId="04936ABB" w14:textId="77777777" w:rsidR="00B42123" w:rsidRPr="007F1E27" w:rsidRDefault="00B42123" w:rsidP="00B42123">
            <w:pPr>
              <w:spacing w:before="40" w:after="40"/>
              <w:rPr>
                <w:lang w:val="en-US"/>
              </w:rPr>
            </w:pPr>
            <w:r>
              <w:rPr>
                <w:lang w:val="en-US"/>
              </w:rPr>
              <w:t>Department of Agriculture</w:t>
            </w:r>
          </w:p>
        </w:tc>
      </w:tr>
      <w:tr w:rsidR="00B42123" w:rsidRPr="007F1E27" w14:paraId="2DD84423" w14:textId="77777777">
        <w:tc>
          <w:tcPr>
            <w:tcW w:w="0" w:type="auto"/>
          </w:tcPr>
          <w:p w14:paraId="06E54240" w14:textId="77777777" w:rsidR="00B42123" w:rsidRPr="007F1E27" w:rsidRDefault="00B42123" w:rsidP="00B42123">
            <w:pPr>
              <w:spacing w:before="40" w:after="40"/>
              <w:rPr>
                <w:lang w:val="en-US"/>
              </w:rPr>
            </w:pPr>
            <w:r>
              <w:rPr>
                <w:lang w:val="en-US"/>
              </w:rPr>
              <w:t>DOE</w:t>
            </w:r>
          </w:p>
        </w:tc>
        <w:tc>
          <w:tcPr>
            <w:tcW w:w="0" w:type="auto"/>
          </w:tcPr>
          <w:p w14:paraId="242B57E9" w14:textId="77777777" w:rsidR="00B42123" w:rsidRPr="007F1E27" w:rsidRDefault="00B42123" w:rsidP="00B42123">
            <w:pPr>
              <w:spacing w:before="40" w:after="40"/>
              <w:rPr>
                <w:lang w:val="en-US"/>
              </w:rPr>
            </w:pPr>
            <w:r>
              <w:rPr>
                <w:lang w:val="en-US"/>
              </w:rPr>
              <w:t>Department of the Environment</w:t>
            </w:r>
          </w:p>
        </w:tc>
      </w:tr>
      <w:tr w:rsidR="00B42123" w:rsidRPr="007F1E27" w14:paraId="15659F04" w14:textId="77777777">
        <w:tc>
          <w:tcPr>
            <w:tcW w:w="0" w:type="auto"/>
          </w:tcPr>
          <w:p w14:paraId="5CBAB8EC" w14:textId="77777777" w:rsidR="00B42123" w:rsidRPr="007F1E27" w:rsidRDefault="00B42123" w:rsidP="00B42123">
            <w:pPr>
              <w:spacing w:before="40" w:after="40"/>
              <w:rPr>
                <w:lang w:val="en-US"/>
              </w:rPr>
            </w:pPr>
            <w:r w:rsidRPr="007F1E27">
              <w:rPr>
                <w:lang w:val="en-US"/>
              </w:rPr>
              <w:t>ESLT</w:t>
            </w:r>
          </w:p>
        </w:tc>
        <w:tc>
          <w:tcPr>
            <w:tcW w:w="0" w:type="auto"/>
          </w:tcPr>
          <w:p w14:paraId="02551725" w14:textId="77777777" w:rsidR="00B42123" w:rsidRPr="007F1E27" w:rsidRDefault="00B42123" w:rsidP="00B42123">
            <w:pPr>
              <w:spacing w:before="40" w:after="40"/>
              <w:rPr>
                <w:lang w:val="en-US"/>
              </w:rPr>
            </w:pPr>
            <w:r w:rsidRPr="007F1E27">
              <w:rPr>
                <w:lang w:val="en-US"/>
              </w:rPr>
              <w:t>Environmentally Sustainable Level of Take</w:t>
            </w:r>
          </w:p>
        </w:tc>
      </w:tr>
      <w:tr w:rsidR="00B42123" w:rsidRPr="007F1E27" w14:paraId="65D19B46" w14:textId="77777777">
        <w:tc>
          <w:tcPr>
            <w:tcW w:w="0" w:type="auto"/>
          </w:tcPr>
          <w:p w14:paraId="76921540" w14:textId="77777777" w:rsidR="00B42123" w:rsidRPr="007F1E27" w:rsidRDefault="00B42123" w:rsidP="00B42123">
            <w:pPr>
              <w:spacing w:before="40" w:after="40"/>
              <w:rPr>
                <w:lang w:val="en-US"/>
              </w:rPr>
            </w:pPr>
            <w:r w:rsidRPr="007F1E27">
              <w:rPr>
                <w:lang w:val="en-US"/>
              </w:rPr>
              <w:t>GMID</w:t>
            </w:r>
          </w:p>
        </w:tc>
        <w:tc>
          <w:tcPr>
            <w:tcW w:w="0" w:type="auto"/>
          </w:tcPr>
          <w:p w14:paraId="5D461CF4" w14:textId="77777777" w:rsidR="00B42123" w:rsidRPr="007F1E27" w:rsidRDefault="00B42123" w:rsidP="00B42123">
            <w:pPr>
              <w:spacing w:before="40" w:after="40"/>
              <w:rPr>
                <w:lang w:val="en-US"/>
              </w:rPr>
            </w:pPr>
            <w:r w:rsidRPr="007F1E27">
              <w:rPr>
                <w:lang w:val="en-US"/>
              </w:rPr>
              <w:t>Goulburn-Murray Irrigation District</w:t>
            </w:r>
          </w:p>
        </w:tc>
      </w:tr>
      <w:tr w:rsidR="00B42123" w:rsidRPr="007F1E27" w14:paraId="2F4A50FB" w14:textId="77777777">
        <w:tc>
          <w:tcPr>
            <w:tcW w:w="0" w:type="auto"/>
          </w:tcPr>
          <w:p w14:paraId="353EB614" w14:textId="77777777" w:rsidR="00B42123" w:rsidRPr="007F1E27" w:rsidRDefault="00B42123" w:rsidP="00B42123">
            <w:pPr>
              <w:spacing w:before="40" w:after="40"/>
              <w:rPr>
                <w:lang w:val="en-US"/>
              </w:rPr>
            </w:pPr>
            <w:r>
              <w:rPr>
                <w:lang w:val="en-US"/>
              </w:rPr>
              <w:t>GMW</w:t>
            </w:r>
          </w:p>
        </w:tc>
        <w:tc>
          <w:tcPr>
            <w:tcW w:w="0" w:type="auto"/>
          </w:tcPr>
          <w:p w14:paraId="41DBFB73" w14:textId="77777777" w:rsidR="00B42123" w:rsidRPr="007F1E27" w:rsidRDefault="00B42123" w:rsidP="00B42123">
            <w:pPr>
              <w:spacing w:before="40" w:after="40"/>
              <w:rPr>
                <w:lang w:val="en-US"/>
              </w:rPr>
            </w:pPr>
            <w:r w:rsidRPr="007F1E27">
              <w:rPr>
                <w:lang w:val="en-US"/>
              </w:rPr>
              <w:t>Goulburn Murray Water</w:t>
            </w:r>
          </w:p>
        </w:tc>
      </w:tr>
      <w:tr w:rsidR="00B42123" w:rsidRPr="007F1E27" w14:paraId="5EA5B424" w14:textId="77777777">
        <w:tc>
          <w:tcPr>
            <w:tcW w:w="0" w:type="auto"/>
          </w:tcPr>
          <w:p w14:paraId="51117DBB" w14:textId="77777777" w:rsidR="00B42123" w:rsidRPr="007F1E27" w:rsidRDefault="00B42123" w:rsidP="00B42123">
            <w:pPr>
              <w:spacing w:before="40" w:after="40"/>
              <w:rPr>
                <w:lang w:val="en-US"/>
              </w:rPr>
            </w:pPr>
            <w:r w:rsidRPr="007F1E27">
              <w:rPr>
                <w:lang w:val="en-US"/>
              </w:rPr>
              <w:t>LMW</w:t>
            </w:r>
          </w:p>
        </w:tc>
        <w:tc>
          <w:tcPr>
            <w:tcW w:w="0" w:type="auto"/>
          </w:tcPr>
          <w:p w14:paraId="271152E4" w14:textId="77777777" w:rsidR="00B42123" w:rsidRPr="007F1E27" w:rsidRDefault="00B42123" w:rsidP="00B42123">
            <w:pPr>
              <w:spacing w:before="40" w:after="40"/>
              <w:rPr>
                <w:lang w:val="en-US"/>
              </w:rPr>
            </w:pPr>
            <w:r w:rsidRPr="007F1E27">
              <w:rPr>
                <w:lang w:val="en-US"/>
              </w:rPr>
              <w:t>Lower Murray Water</w:t>
            </w:r>
          </w:p>
        </w:tc>
      </w:tr>
      <w:tr w:rsidR="00B42123" w:rsidRPr="007F1E27" w14:paraId="0449F52A" w14:textId="77777777">
        <w:tc>
          <w:tcPr>
            <w:tcW w:w="0" w:type="auto"/>
          </w:tcPr>
          <w:p w14:paraId="15FCB594" w14:textId="77777777" w:rsidR="00B42123" w:rsidRPr="007F1E27" w:rsidRDefault="00B42123" w:rsidP="00B42123">
            <w:pPr>
              <w:spacing w:before="40" w:after="40"/>
              <w:rPr>
                <w:lang w:val="en-US"/>
              </w:rPr>
            </w:pPr>
            <w:r w:rsidRPr="007F1E27">
              <w:rPr>
                <w:lang w:val="en-US"/>
              </w:rPr>
              <w:t>IVT</w:t>
            </w:r>
          </w:p>
        </w:tc>
        <w:tc>
          <w:tcPr>
            <w:tcW w:w="0" w:type="auto"/>
          </w:tcPr>
          <w:p w14:paraId="1ACEA2D8" w14:textId="77777777" w:rsidR="00B42123" w:rsidRPr="007F1E27" w:rsidRDefault="00B42123" w:rsidP="00B42123">
            <w:pPr>
              <w:spacing w:before="40" w:after="40"/>
              <w:rPr>
                <w:lang w:val="en-US"/>
              </w:rPr>
            </w:pPr>
            <w:r w:rsidRPr="007F1E27">
              <w:rPr>
                <w:lang w:val="en-US"/>
              </w:rPr>
              <w:t>Inter-valley Trade</w:t>
            </w:r>
          </w:p>
        </w:tc>
      </w:tr>
      <w:tr w:rsidR="00B42123" w:rsidRPr="007F1E27" w14:paraId="12147045" w14:textId="77777777">
        <w:tc>
          <w:tcPr>
            <w:tcW w:w="0" w:type="auto"/>
          </w:tcPr>
          <w:p w14:paraId="244F04AE" w14:textId="77777777" w:rsidR="00B42123" w:rsidRPr="007F1E27" w:rsidRDefault="00B42123" w:rsidP="00B42123">
            <w:pPr>
              <w:spacing w:before="40" w:after="40"/>
              <w:rPr>
                <w:lang w:val="en-US"/>
              </w:rPr>
            </w:pPr>
            <w:r w:rsidRPr="007F1E27">
              <w:rPr>
                <w:lang w:val="en-US"/>
              </w:rPr>
              <w:t>LTAAY</w:t>
            </w:r>
          </w:p>
        </w:tc>
        <w:tc>
          <w:tcPr>
            <w:tcW w:w="0" w:type="auto"/>
          </w:tcPr>
          <w:p w14:paraId="06735870" w14:textId="77777777" w:rsidR="00B42123" w:rsidRPr="007F1E27" w:rsidRDefault="00B42123" w:rsidP="00B42123">
            <w:pPr>
              <w:spacing w:before="40" w:after="40"/>
              <w:rPr>
                <w:lang w:val="en-US"/>
              </w:rPr>
            </w:pPr>
            <w:r w:rsidRPr="007F1E27">
              <w:rPr>
                <w:lang w:val="en-US"/>
              </w:rPr>
              <w:t>Long-term annual average yield</w:t>
            </w:r>
          </w:p>
        </w:tc>
      </w:tr>
      <w:tr w:rsidR="00B42123" w:rsidRPr="007F1E27" w14:paraId="367205E1" w14:textId="77777777">
        <w:tc>
          <w:tcPr>
            <w:tcW w:w="0" w:type="auto"/>
          </w:tcPr>
          <w:p w14:paraId="3523C7A8" w14:textId="77777777" w:rsidR="00B42123" w:rsidRPr="007F1E27" w:rsidRDefault="00B42123" w:rsidP="00B42123">
            <w:pPr>
              <w:spacing w:before="40" w:after="40"/>
              <w:rPr>
                <w:lang w:val="en-US"/>
              </w:rPr>
            </w:pPr>
            <w:r w:rsidRPr="007F1E27">
              <w:rPr>
                <w:lang w:val="en-US"/>
              </w:rPr>
              <w:t>LLS</w:t>
            </w:r>
          </w:p>
        </w:tc>
        <w:tc>
          <w:tcPr>
            <w:tcW w:w="0" w:type="auto"/>
          </w:tcPr>
          <w:p w14:paraId="38AF4189" w14:textId="77777777" w:rsidR="00B42123" w:rsidRPr="007F1E27" w:rsidRDefault="00B42123" w:rsidP="00B42123">
            <w:pPr>
              <w:spacing w:before="40" w:after="40"/>
              <w:rPr>
                <w:lang w:val="en-US"/>
              </w:rPr>
            </w:pPr>
            <w:r w:rsidRPr="007F1E27">
              <w:rPr>
                <w:lang w:val="en-US"/>
              </w:rPr>
              <w:t>Local Land Services</w:t>
            </w:r>
          </w:p>
        </w:tc>
      </w:tr>
      <w:tr w:rsidR="00B42123" w:rsidRPr="007F1E27" w14:paraId="5FCF7850" w14:textId="77777777">
        <w:tc>
          <w:tcPr>
            <w:tcW w:w="0" w:type="auto"/>
          </w:tcPr>
          <w:p w14:paraId="4F584BCC" w14:textId="77777777" w:rsidR="00B42123" w:rsidRPr="007F1E27" w:rsidRDefault="00B42123" w:rsidP="00B42123">
            <w:pPr>
              <w:spacing w:before="40" w:after="40"/>
              <w:rPr>
                <w:lang w:val="en-US"/>
              </w:rPr>
            </w:pPr>
            <w:r w:rsidRPr="007F1E27">
              <w:rPr>
                <w:lang w:val="en-US"/>
              </w:rPr>
              <w:t>MDB</w:t>
            </w:r>
          </w:p>
        </w:tc>
        <w:tc>
          <w:tcPr>
            <w:tcW w:w="0" w:type="auto"/>
          </w:tcPr>
          <w:p w14:paraId="0960C0C2" w14:textId="77777777" w:rsidR="00B42123" w:rsidRPr="007F1E27" w:rsidRDefault="00B42123" w:rsidP="00B42123">
            <w:pPr>
              <w:spacing w:before="40" w:after="40"/>
              <w:rPr>
                <w:lang w:val="en-US"/>
              </w:rPr>
            </w:pPr>
            <w:r w:rsidRPr="007F1E27">
              <w:rPr>
                <w:lang w:val="en-US"/>
              </w:rPr>
              <w:t>Murray-Darling Basin</w:t>
            </w:r>
          </w:p>
        </w:tc>
      </w:tr>
      <w:tr w:rsidR="00B42123" w:rsidRPr="007F1E27" w14:paraId="55BC7476" w14:textId="77777777">
        <w:tc>
          <w:tcPr>
            <w:tcW w:w="0" w:type="auto"/>
          </w:tcPr>
          <w:p w14:paraId="35478ADA" w14:textId="77777777" w:rsidR="00B42123" w:rsidRPr="007F1E27" w:rsidRDefault="00B42123" w:rsidP="00B42123">
            <w:pPr>
              <w:spacing w:before="40" w:after="40"/>
              <w:rPr>
                <w:lang w:val="en-US"/>
              </w:rPr>
            </w:pPr>
            <w:r w:rsidRPr="007F1E27">
              <w:rPr>
                <w:lang w:val="en-US"/>
              </w:rPr>
              <w:t>MDBA</w:t>
            </w:r>
          </w:p>
        </w:tc>
        <w:tc>
          <w:tcPr>
            <w:tcW w:w="0" w:type="auto"/>
          </w:tcPr>
          <w:p w14:paraId="14A6955B" w14:textId="77777777" w:rsidR="00B42123" w:rsidRPr="007F1E27" w:rsidRDefault="00B42123" w:rsidP="00B42123">
            <w:pPr>
              <w:spacing w:before="40" w:after="40"/>
              <w:rPr>
                <w:lang w:val="en-US"/>
              </w:rPr>
            </w:pPr>
            <w:r w:rsidRPr="007F1E27">
              <w:rPr>
                <w:lang w:val="en-US"/>
              </w:rPr>
              <w:t>Murray Darling Basin Authority</w:t>
            </w:r>
          </w:p>
        </w:tc>
      </w:tr>
      <w:tr w:rsidR="00B42123" w:rsidRPr="007F1E27" w14:paraId="2AF0C0F7" w14:textId="77777777">
        <w:tc>
          <w:tcPr>
            <w:tcW w:w="0" w:type="auto"/>
          </w:tcPr>
          <w:p w14:paraId="39CCB9BF" w14:textId="77777777" w:rsidR="00B42123" w:rsidRPr="007F1E27" w:rsidRDefault="00B42123" w:rsidP="00B42123">
            <w:pPr>
              <w:spacing w:before="40" w:after="40"/>
              <w:rPr>
                <w:lang w:val="en-US"/>
              </w:rPr>
            </w:pPr>
            <w:r w:rsidRPr="007F1E27">
              <w:rPr>
                <w:lang w:val="en-US"/>
              </w:rPr>
              <w:t>MG</w:t>
            </w:r>
          </w:p>
        </w:tc>
        <w:tc>
          <w:tcPr>
            <w:tcW w:w="0" w:type="auto"/>
          </w:tcPr>
          <w:p w14:paraId="7DFE96EB" w14:textId="77777777" w:rsidR="00B42123" w:rsidRPr="007F1E27" w:rsidRDefault="00B42123" w:rsidP="00B42123">
            <w:pPr>
              <w:spacing w:before="40" w:after="40"/>
              <w:rPr>
                <w:lang w:val="en-US"/>
              </w:rPr>
            </w:pPr>
            <w:r w:rsidRPr="007F1E27">
              <w:rPr>
                <w:lang w:val="en-US"/>
              </w:rPr>
              <w:t>Murray-Goulburn Cooperative</w:t>
            </w:r>
          </w:p>
        </w:tc>
      </w:tr>
      <w:tr w:rsidR="00B42123" w:rsidRPr="007F1E27" w14:paraId="2A7AA855" w14:textId="77777777">
        <w:tc>
          <w:tcPr>
            <w:tcW w:w="0" w:type="auto"/>
          </w:tcPr>
          <w:p w14:paraId="7127867D" w14:textId="77777777" w:rsidR="00B42123" w:rsidRPr="007F1E27" w:rsidRDefault="00B42123" w:rsidP="00B42123">
            <w:pPr>
              <w:spacing w:before="40" w:after="40"/>
              <w:rPr>
                <w:lang w:val="en-US"/>
              </w:rPr>
            </w:pPr>
            <w:r w:rsidRPr="007F1E27">
              <w:rPr>
                <w:lang w:val="en-US"/>
              </w:rPr>
              <w:t xml:space="preserve">MI </w:t>
            </w:r>
          </w:p>
        </w:tc>
        <w:tc>
          <w:tcPr>
            <w:tcW w:w="0" w:type="auto"/>
          </w:tcPr>
          <w:p w14:paraId="145F638C" w14:textId="77777777" w:rsidR="00B42123" w:rsidRPr="007F1E27" w:rsidRDefault="00B42123" w:rsidP="00B42123">
            <w:pPr>
              <w:spacing w:before="40" w:after="40"/>
              <w:rPr>
                <w:lang w:val="en-US"/>
              </w:rPr>
            </w:pPr>
            <w:r w:rsidRPr="007F1E27">
              <w:rPr>
                <w:lang w:val="en-US"/>
              </w:rPr>
              <w:t>Murrumbidgee Irrigation Limited</w:t>
            </w:r>
          </w:p>
        </w:tc>
      </w:tr>
      <w:tr w:rsidR="00B42123" w:rsidRPr="007F1E27" w14:paraId="4D8C2E64" w14:textId="77777777">
        <w:tc>
          <w:tcPr>
            <w:tcW w:w="0" w:type="auto"/>
          </w:tcPr>
          <w:p w14:paraId="3E98A0BE" w14:textId="77777777" w:rsidR="00B42123" w:rsidRPr="007F1E27" w:rsidRDefault="00B42123" w:rsidP="00B42123">
            <w:pPr>
              <w:spacing w:before="40" w:after="40"/>
              <w:rPr>
                <w:lang w:val="en-US"/>
              </w:rPr>
            </w:pPr>
            <w:r w:rsidRPr="007F1E27">
              <w:rPr>
                <w:lang w:val="en-US"/>
              </w:rPr>
              <w:t>MIL</w:t>
            </w:r>
          </w:p>
        </w:tc>
        <w:tc>
          <w:tcPr>
            <w:tcW w:w="0" w:type="auto"/>
          </w:tcPr>
          <w:p w14:paraId="005B6707" w14:textId="77777777" w:rsidR="00B42123" w:rsidRPr="007F1E27" w:rsidRDefault="00B42123" w:rsidP="00B42123">
            <w:pPr>
              <w:spacing w:before="40" w:after="40"/>
              <w:rPr>
                <w:lang w:val="en-US"/>
              </w:rPr>
            </w:pPr>
            <w:r w:rsidRPr="007F1E27">
              <w:rPr>
                <w:lang w:val="en-US"/>
              </w:rPr>
              <w:t>Murray Irrigation Limited</w:t>
            </w:r>
          </w:p>
        </w:tc>
      </w:tr>
      <w:tr w:rsidR="00B42123" w:rsidRPr="007F1E27" w14:paraId="2336FAFE" w14:textId="77777777">
        <w:tc>
          <w:tcPr>
            <w:tcW w:w="0" w:type="auto"/>
          </w:tcPr>
          <w:p w14:paraId="15DC8AAC" w14:textId="77777777" w:rsidR="00B42123" w:rsidRPr="007F1E27" w:rsidRDefault="00B42123" w:rsidP="00B42123">
            <w:pPr>
              <w:spacing w:before="40" w:after="40"/>
              <w:rPr>
                <w:lang w:val="en-US"/>
              </w:rPr>
            </w:pPr>
            <w:r w:rsidRPr="007F1E27">
              <w:rPr>
                <w:lang w:val="en-US"/>
              </w:rPr>
              <w:t>NRM</w:t>
            </w:r>
          </w:p>
        </w:tc>
        <w:tc>
          <w:tcPr>
            <w:tcW w:w="0" w:type="auto"/>
          </w:tcPr>
          <w:p w14:paraId="48C0B044" w14:textId="77777777" w:rsidR="00B42123" w:rsidRPr="007F1E27" w:rsidRDefault="00B42123" w:rsidP="00B42123">
            <w:pPr>
              <w:spacing w:before="40" w:after="40"/>
              <w:rPr>
                <w:lang w:val="en-US"/>
              </w:rPr>
            </w:pPr>
            <w:r w:rsidRPr="007F1E27">
              <w:rPr>
                <w:lang w:val="en-US"/>
              </w:rPr>
              <w:t>Natural Resource Management</w:t>
            </w:r>
          </w:p>
        </w:tc>
      </w:tr>
      <w:tr w:rsidR="00B42123" w:rsidRPr="007F1E27" w14:paraId="12579989" w14:textId="77777777">
        <w:tc>
          <w:tcPr>
            <w:tcW w:w="0" w:type="auto"/>
          </w:tcPr>
          <w:p w14:paraId="0F47B765" w14:textId="77777777" w:rsidR="00B42123" w:rsidRPr="007F1E27" w:rsidRDefault="00B42123" w:rsidP="00B42123">
            <w:pPr>
              <w:spacing w:before="40" w:after="40"/>
              <w:rPr>
                <w:lang w:val="en-US"/>
              </w:rPr>
            </w:pPr>
            <w:r w:rsidRPr="007F1E27">
              <w:rPr>
                <w:lang w:val="en-US"/>
              </w:rPr>
              <w:t>NV</w:t>
            </w:r>
            <w:r>
              <w:rPr>
                <w:lang w:val="en-US"/>
              </w:rPr>
              <w:t>I</w:t>
            </w:r>
            <w:r w:rsidRPr="007F1E27">
              <w:rPr>
                <w:lang w:val="en-US"/>
              </w:rPr>
              <w:t>RP</w:t>
            </w:r>
          </w:p>
        </w:tc>
        <w:tc>
          <w:tcPr>
            <w:tcW w:w="0" w:type="auto"/>
          </w:tcPr>
          <w:p w14:paraId="4D535E5B" w14:textId="77777777" w:rsidR="00B42123" w:rsidRPr="007F1E27" w:rsidRDefault="00B42123" w:rsidP="00B42123">
            <w:pPr>
              <w:spacing w:before="40" w:after="40"/>
              <w:rPr>
                <w:lang w:val="en-US"/>
              </w:rPr>
            </w:pPr>
            <w:r w:rsidRPr="007F1E27">
              <w:rPr>
                <w:lang w:val="en-US"/>
              </w:rPr>
              <w:t>Northern Victoria Irrigation Renewal Project</w:t>
            </w:r>
          </w:p>
        </w:tc>
      </w:tr>
      <w:tr w:rsidR="00B42123" w:rsidRPr="007F1E27" w14:paraId="1875F0C0" w14:textId="77777777">
        <w:tc>
          <w:tcPr>
            <w:tcW w:w="0" w:type="auto"/>
          </w:tcPr>
          <w:p w14:paraId="45A9D364" w14:textId="77777777" w:rsidR="00B42123" w:rsidRPr="007F1E27" w:rsidRDefault="00B42123" w:rsidP="00B42123">
            <w:pPr>
              <w:spacing w:before="40" w:after="40"/>
              <w:rPr>
                <w:lang w:val="en-US"/>
              </w:rPr>
            </w:pPr>
            <w:r w:rsidRPr="007F1E27">
              <w:rPr>
                <w:lang w:val="en-US"/>
              </w:rPr>
              <w:t>VEFMAP</w:t>
            </w:r>
          </w:p>
        </w:tc>
        <w:tc>
          <w:tcPr>
            <w:tcW w:w="0" w:type="auto"/>
          </w:tcPr>
          <w:p w14:paraId="1F1F8D21" w14:textId="77777777" w:rsidR="00B42123" w:rsidRPr="007F1E27" w:rsidRDefault="00B42123" w:rsidP="00B42123">
            <w:pPr>
              <w:spacing w:before="40" w:after="40"/>
              <w:rPr>
                <w:lang w:val="en-US"/>
              </w:rPr>
            </w:pPr>
            <w:r w:rsidRPr="007F1E27">
              <w:rPr>
                <w:lang w:val="en-US"/>
              </w:rPr>
              <w:t>Victorian Environmental Flows Monitoring and Assessment Program</w:t>
            </w:r>
          </w:p>
        </w:tc>
      </w:tr>
      <w:tr w:rsidR="00B42123" w:rsidRPr="007F1E27" w14:paraId="7B18FD79" w14:textId="77777777">
        <w:tc>
          <w:tcPr>
            <w:tcW w:w="0" w:type="auto"/>
          </w:tcPr>
          <w:p w14:paraId="7FA1AD58" w14:textId="77777777" w:rsidR="00B42123" w:rsidRPr="007F1E27" w:rsidRDefault="00B42123" w:rsidP="00B42123">
            <w:pPr>
              <w:spacing w:before="40" w:after="40"/>
              <w:rPr>
                <w:lang w:val="en-US"/>
              </w:rPr>
            </w:pPr>
            <w:r w:rsidRPr="007F1E27">
              <w:rPr>
                <w:lang w:val="en-US"/>
              </w:rPr>
              <w:t>VEWH</w:t>
            </w:r>
          </w:p>
        </w:tc>
        <w:tc>
          <w:tcPr>
            <w:tcW w:w="0" w:type="auto"/>
          </w:tcPr>
          <w:p w14:paraId="788400A0" w14:textId="77777777" w:rsidR="00B42123" w:rsidRPr="007F1E27" w:rsidRDefault="00B42123" w:rsidP="00B42123">
            <w:pPr>
              <w:spacing w:before="40" w:after="40"/>
              <w:rPr>
                <w:lang w:val="en-US"/>
              </w:rPr>
            </w:pPr>
            <w:r w:rsidRPr="007F1E27">
              <w:rPr>
                <w:lang w:val="en-US"/>
              </w:rPr>
              <w:t>Victorian Environmental Water Holder</w:t>
            </w:r>
          </w:p>
        </w:tc>
      </w:tr>
    </w:tbl>
    <w:p w14:paraId="08C0F4D6" w14:textId="77777777" w:rsidR="00B42123" w:rsidRPr="00FD0855" w:rsidRDefault="00B42123" w:rsidP="00B42123"/>
    <w:p w14:paraId="6D7D5C2E" w14:textId="77777777" w:rsidR="00B42123" w:rsidRPr="00FD0855" w:rsidRDefault="00B42123" w:rsidP="00B42123">
      <w:pPr>
        <w:sectPr w:rsidR="00B42123" w:rsidRPr="00FD0855" w:rsidSect="00B2735A">
          <w:pgSz w:w="11906" w:h="16838"/>
          <w:pgMar w:top="1440" w:right="1440" w:bottom="1440" w:left="1440" w:header="708" w:footer="708" w:gutter="0"/>
          <w:pgNumType w:fmt="lowerRoman" w:start="1"/>
          <w:cols w:space="708"/>
          <w:titlePg/>
          <w:docGrid w:linePitch="360"/>
        </w:sectPr>
      </w:pPr>
    </w:p>
    <w:p w14:paraId="7D463184" w14:textId="77777777" w:rsidR="00B42123" w:rsidRPr="004D5EF8" w:rsidRDefault="00B42123" w:rsidP="00C01A50">
      <w:pPr>
        <w:pStyle w:val="Heading1"/>
        <w:numPr>
          <w:ilvl w:val="0"/>
          <w:numId w:val="0"/>
        </w:numPr>
      </w:pPr>
      <w:bookmarkStart w:id="16" w:name="_Toc342658407"/>
      <w:bookmarkStart w:id="17" w:name="_Toc347747777"/>
      <w:bookmarkEnd w:id="12"/>
      <w:bookmarkEnd w:id="13"/>
      <w:r w:rsidRPr="004D5EF8">
        <w:lastRenderedPageBreak/>
        <w:t>Glossary</w:t>
      </w:r>
      <w:bookmarkEnd w:id="16"/>
      <w:bookmarkEnd w:id="17"/>
    </w:p>
    <w:p w14:paraId="08E688DF" w14:textId="77777777" w:rsidR="00B42123" w:rsidRPr="006111CC" w:rsidRDefault="00B42123" w:rsidP="00B42123">
      <w:pPr>
        <w:rPr>
          <w:rFonts w:asciiTheme="majorHAnsi" w:hAnsiTheme="majorHAnsi"/>
          <w:szCs w:val="22"/>
        </w:rPr>
      </w:pPr>
      <w:r w:rsidRPr="00FC5FF2">
        <w:rPr>
          <w:rFonts w:asciiTheme="majorHAnsi" w:hAnsiTheme="majorHAnsi"/>
          <w:b/>
          <w:szCs w:val="22"/>
        </w:rPr>
        <w:t xml:space="preserve">Barmah </w:t>
      </w:r>
      <w:r>
        <w:rPr>
          <w:rFonts w:asciiTheme="majorHAnsi" w:hAnsiTheme="majorHAnsi"/>
          <w:b/>
          <w:szCs w:val="22"/>
        </w:rPr>
        <w:t>C</w:t>
      </w:r>
      <w:r w:rsidRPr="00FC5FF2">
        <w:rPr>
          <w:rFonts w:asciiTheme="majorHAnsi" w:hAnsiTheme="majorHAnsi"/>
          <w:b/>
          <w:szCs w:val="22"/>
        </w:rPr>
        <w:t>hoke</w:t>
      </w:r>
      <w:r>
        <w:rPr>
          <w:rFonts w:asciiTheme="majorHAnsi" w:hAnsiTheme="majorHAnsi"/>
          <w:szCs w:val="22"/>
        </w:rPr>
        <w:t xml:space="preserve">  </w:t>
      </w:r>
      <w:r w:rsidRPr="00FC5FF2">
        <w:rPr>
          <w:rFonts w:asciiTheme="majorHAnsi" w:hAnsiTheme="majorHAnsi"/>
          <w:szCs w:val="22"/>
        </w:rPr>
        <w:t xml:space="preserve">A narrow section of the River Murray between Cobram and Echuca that runs through the Barmah-Millewa Forest on the Victorian/NSW Border.  Its operating capacity is small relative to other parts of the river. Consequently, when no water is available from the Menindee Lakes to augment supply, the Choke is the main limiting factor in delivering sufficient water to meet peak downstream demands for water use and to meet minimum flow requirements for South Australia. </w:t>
      </w:r>
    </w:p>
    <w:p w14:paraId="0F1D867E" w14:textId="77777777" w:rsidR="00B42123" w:rsidRPr="006111CC" w:rsidRDefault="00B42123" w:rsidP="00B42123">
      <w:pPr>
        <w:rPr>
          <w:rFonts w:asciiTheme="majorHAnsi" w:hAnsiTheme="majorHAnsi"/>
          <w:szCs w:val="22"/>
        </w:rPr>
      </w:pPr>
      <w:r w:rsidRPr="00FC5FF2">
        <w:rPr>
          <w:rFonts w:asciiTheme="majorHAnsi" w:hAnsiTheme="majorHAnsi"/>
          <w:b/>
          <w:szCs w:val="22"/>
        </w:rPr>
        <w:t>Carryove</w:t>
      </w:r>
      <w:r w:rsidRPr="00F03408">
        <w:rPr>
          <w:rFonts w:asciiTheme="majorHAnsi" w:hAnsiTheme="majorHAnsi"/>
          <w:b/>
          <w:szCs w:val="22"/>
        </w:rPr>
        <w:t>r</w:t>
      </w:r>
      <w:r>
        <w:rPr>
          <w:rFonts w:asciiTheme="majorHAnsi" w:hAnsiTheme="majorHAnsi"/>
          <w:szCs w:val="22"/>
        </w:rPr>
        <w:t xml:space="preserve">  </w:t>
      </w:r>
      <w:r w:rsidRPr="006111CC">
        <w:rPr>
          <w:rFonts w:asciiTheme="majorHAnsi" w:hAnsiTheme="majorHAnsi"/>
          <w:szCs w:val="22"/>
        </w:rPr>
        <w:t>The option to hold in storage a portion of unused seasonal allocations for use at a later date.</w:t>
      </w:r>
    </w:p>
    <w:p w14:paraId="7ABD3B14" w14:textId="77777777" w:rsidR="00B42123" w:rsidRPr="006111CC" w:rsidRDefault="00B42123" w:rsidP="00B42123">
      <w:pPr>
        <w:rPr>
          <w:rFonts w:asciiTheme="majorHAnsi" w:hAnsiTheme="majorHAnsi"/>
          <w:szCs w:val="22"/>
        </w:rPr>
      </w:pPr>
      <w:r w:rsidRPr="00FC5FF2">
        <w:rPr>
          <w:rFonts w:asciiTheme="majorHAnsi" w:hAnsiTheme="majorHAnsi"/>
          <w:b/>
          <w:szCs w:val="22"/>
        </w:rPr>
        <w:t>Coefficient of variation</w:t>
      </w:r>
      <w:r>
        <w:rPr>
          <w:rFonts w:asciiTheme="majorHAnsi" w:hAnsiTheme="majorHAnsi"/>
          <w:szCs w:val="22"/>
        </w:rPr>
        <w:t xml:space="preserve"> </w:t>
      </w:r>
      <w:r>
        <w:rPr>
          <w:rFonts w:asciiTheme="majorHAnsi" w:hAnsiTheme="majorHAnsi"/>
          <w:szCs w:val="22"/>
        </w:rPr>
        <w:tab/>
        <w:t xml:space="preserve"> </w:t>
      </w:r>
      <w:r w:rsidRPr="006111CC">
        <w:rPr>
          <w:rFonts w:asciiTheme="majorHAnsi" w:hAnsiTheme="majorHAnsi"/>
          <w:szCs w:val="22"/>
        </w:rPr>
        <w:t xml:space="preserve">A measure of the spread of data relative to the mean. </w:t>
      </w:r>
    </w:p>
    <w:p w14:paraId="48906E05" w14:textId="77777777" w:rsidR="00B42123" w:rsidRPr="00374309" w:rsidRDefault="00B42123" w:rsidP="00B42123">
      <w:pPr>
        <w:rPr>
          <w:rFonts w:asciiTheme="majorHAnsi" w:hAnsiTheme="majorHAnsi"/>
          <w:bCs/>
          <w:szCs w:val="22"/>
        </w:rPr>
      </w:pPr>
      <w:r w:rsidRPr="00374309">
        <w:rPr>
          <w:rFonts w:asciiTheme="majorHAnsi" w:hAnsiTheme="majorHAnsi"/>
          <w:b/>
          <w:bCs/>
          <w:szCs w:val="22"/>
        </w:rPr>
        <w:t>Colleambally Irrigation Co-operative Limited  (CICL)</w:t>
      </w:r>
      <w:r>
        <w:rPr>
          <w:rFonts w:asciiTheme="majorHAnsi" w:hAnsiTheme="majorHAnsi"/>
          <w:bCs/>
          <w:szCs w:val="22"/>
        </w:rPr>
        <w:t xml:space="preserve"> </w:t>
      </w:r>
      <w:r w:rsidRPr="006111CC">
        <w:rPr>
          <w:rFonts w:asciiTheme="majorHAnsi" w:hAnsiTheme="majorHAnsi"/>
          <w:b/>
          <w:bCs/>
          <w:szCs w:val="22"/>
        </w:rPr>
        <w:t xml:space="preserve"> </w:t>
      </w:r>
      <w:r w:rsidRPr="00374309">
        <w:rPr>
          <w:rFonts w:asciiTheme="majorHAnsi" w:hAnsiTheme="majorHAnsi"/>
          <w:bCs/>
          <w:szCs w:val="22"/>
        </w:rPr>
        <w:t xml:space="preserve">An irrigation co-operative in NSW owned wholly by its farmer members.  Its area of operation is south of Griffith and between Darlington Point and Jerilderie. </w:t>
      </w:r>
    </w:p>
    <w:p w14:paraId="67D9841D" w14:textId="77777777" w:rsidR="00B42123" w:rsidRPr="006111CC" w:rsidRDefault="00B42123" w:rsidP="00B42123">
      <w:pPr>
        <w:rPr>
          <w:rFonts w:asciiTheme="majorHAnsi" w:hAnsiTheme="majorHAnsi"/>
          <w:szCs w:val="22"/>
        </w:rPr>
      </w:pPr>
      <w:r w:rsidRPr="00FC5FF2">
        <w:rPr>
          <w:rFonts w:asciiTheme="majorHAnsi" w:hAnsiTheme="majorHAnsi"/>
          <w:b/>
          <w:szCs w:val="22"/>
        </w:rPr>
        <w:t>Consumptive pool</w:t>
      </w:r>
      <w:r>
        <w:rPr>
          <w:rFonts w:asciiTheme="majorHAnsi" w:hAnsiTheme="majorHAnsi"/>
          <w:szCs w:val="22"/>
        </w:rPr>
        <w:t xml:space="preserve">  </w:t>
      </w:r>
      <w:r w:rsidRPr="006111CC">
        <w:rPr>
          <w:rFonts w:asciiTheme="majorHAnsi" w:hAnsiTheme="majorHAnsi"/>
          <w:szCs w:val="22"/>
        </w:rPr>
        <w:t>The amount of water in the southern-connected Murray Darling Basin that is available for private benefit consumption including irrigation, industry, urban, and stock and domestic use.</w:t>
      </w:r>
    </w:p>
    <w:p w14:paraId="1EAE459F" w14:textId="77777777" w:rsidR="00C01A50" w:rsidRPr="00C01A50" w:rsidRDefault="00C01A50" w:rsidP="00C01A50">
      <w:pPr>
        <w:jc w:val="left"/>
        <w:rPr>
          <w:rFonts w:asciiTheme="majorHAnsi" w:hAnsiTheme="majorHAnsi"/>
          <w:i/>
          <w:szCs w:val="22"/>
        </w:rPr>
      </w:pPr>
      <w:r w:rsidRPr="00C01A50">
        <w:rPr>
          <w:rFonts w:asciiTheme="majorHAnsi" w:hAnsiTheme="majorHAnsi"/>
          <w:b/>
          <w:szCs w:val="22"/>
        </w:rPr>
        <w:t>Conveyance losses</w:t>
      </w:r>
      <w:r w:rsidRPr="00C01A50">
        <w:rPr>
          <w:rFonts w:asciiTheme="majorHAnsi" w:hAnsiTheme="majorHAnsi"/>
          <w:szCs w:val="22"/>
        </w:rPr>
        <w:t xml:space="preserve">  Losses of water in an irrigation distribution system before on-farm delivery, due mainly to evaporation, seepage and leakage.</w:t>
      </w:r>
    </w:p>
    <w:p w14:paraId="1EB1AC9F" w14:textId="77777777" w:rsidR="00B42123" w:rsidRPr="009E6E49" w:rsidRDefault="00B42123" w:rsidP="00B42123">
      <w:pPr>
        <w:rPr>
          <w:rFonts w:asciiTheme="majorHAnsi" w:hAnsiTheme="majorHAnsi"/>
          <w:szCs w:val="22"/>
        </w:rPr>
      </w:pPr>
      <w:r w:rsidRPr="00C01A50">
        <w:rPr>
          <w:rFonts w:asciiTheme="majorHAnsi" w:hAnsiTheme="majorHAnsi"/>
          <w:b/>
          <w:szCs w:val="22"/>
        </w:rPr>
        <w:t xml:space="preserve">Conveyance </w:t>
      </w:r>
      <w:r w:rsidR="00C01A50" w:rsidRPr="00C01A50">
        <w:rPr>
          <w:rFonts w:asciiTheme="majorHAnsi" w:hAnsiTheme="majorHAnsi"/>
          <w:b/>
          <w:szCs w:val="22"/>
        </w:rPr>
        <w:t xml:space="preserve">loss </w:t>
      </w:r>
      <w:r w:rsidRPr="00C01A50">
        <w:rPr>
          <w:rFonts w:asciiTheme="majorHAnsi" w:hAnsiTheme="majorHAnsi"/>
          <w:b/>
          <w:szCs w:val="22"/>
        </w:rPr>
        <w:t xml:space="preserve">entitlements  </w:t>
      </w:r>
      <w:r w:rsidRPr="00C01A50">
        <w:rPr>
          <w:rFonts w:asciiTheme="majorHAnsi" w:hAnsiTheme="majorHAnsi"/>
          <w:szCs w:val="22"/>
        </w:rPr>
        <w:t>A category of access entitlement in NSW originally issued to Irrigation Corporations to facilitate delivery of water through their channel systems.</w:t>
      </w:r>
    </w:p>
    <w:p w14:paraId="21380AA8" w14:textId="77777777" w:rsidR="00B42123" w:rsidRPr="006111CC" w:rsidRDefault="00B42123" w:rsidP="00B42123">
      <w:pPr>
        <w:rPr>
          <w:rFonts w:asciiTheme="majorHAnsi" w:hAnsiTheme="majorHAnsi"/>
          <w:szCs w:val="22"/>
        </w:rPr>
      </w:pPr>
      <w:r w:rsidRPr="00EB7C18">
        <w:rPr>
          <w:rFonts w:asciiTheme="majorHAnsi" w:hAnsiTheme="majorHAnsi"/>
          <w:b/>
          <w:szCs w:val="22"/>
        </w:rPr>
        <w:t>Counterfactual</w:t>
      </w:r>
      <w:r>
        <w:rPr>
          <w:rFonts w:asciiTheme="majorHAnsi" w:hAnsiTheme="majorHAnsi"/>
          <w:szCs w:val="22"/>
        </w:rPr>
        <w:t xml:space="preserve">  </w:t>
      </w:r>
      <w:r w:rsidRPr="006111CC">
        <w:rPr>
          <w:rFonts w:asciiTheme="majorHAnsi" w:hAnsiTheme="majorHAnsi"/>
          <w:szCs w:val="22"/>
        </w:rPr>
        <w:t>Expected irrigation outcomes if the Basin Plan had not been implemented, as distinct from a description of irrigation before the Basin Plan. The counterfactual is compared with actual irrigation outcomes after Plan implementation. Such comparisons are standard practice in economics</w:t>
      </w:r>
      <w:r w:rsidR="00CC7FC5">
        <w:rPr>
          <w:rFonts w:asciiTheme="majorHAnsi" w:hAnsiTheme="majorHAnsi"/>
          <w:szCs w:val="22"/>
        </w:rPr>
        <w:t>.</w:t>
      </w:r>
    </w:p>
    <w:p w14:paraId="7DFDA006" w14:textId="77777777" w:rsidR="00B42123" w:rsidRPr="006111CC" w:rsidRDefault="00B42123" w:rsidP="00B42123">
      <w:pPr>
        <w:rPr>
          <w:rFonts w:asciiTheme="majorHAnsi" w:hAnsiTheme="majorHAnsi"/>
          <w:szCs w:val="22"/>
        </w:rPr>
      </w:pPr>
      <w:r w:rsidRPr="00EB7C18">
        <w:rPr>
          <w:rFonts w:asciiTheme="majorHAnsi" w:hAnsiTheme="majorHAnsi"/>
          <w:b/>
          <w:szCs w:val="22"/>
        </w:rPr>
        <w:t>Delivery share</w:t>
      </w:r>
      <w:r>
        <w:rPr>
          <w:rFonts w:asciiTheme="majorHAnsi" w:hAnsiTheme="majorHAnsi"/>
          <w:szCs w:val="22"/>
        </w:rPr>
        <w:t xml:space="preserve">  </w:t>
      </w:r>
      <w:r w:rsidRPr="006111CC">
        <w:rPr>
          <w:rFonts w:asciiTheme="majorHAnsi" w:hAnsiTheme="majorHAnsi"/>
          <w:szCs w:val="22"/>
        </w:rPr>
        <w:t>A Victorian Water Access Entitlement that gives the holder the right to have water delivered by a water corporation and a share of the available flow in a delivery system. It provides the security of having water delivered when there is demand for water from other landholders on the channel or network. Delivery share is linked to land.</w:t>
      </w:r>
    </w:p>
    <w:p w14:paraId="05F113F3" w14:textId="77777777" w:rsidR="00B42123" w:rsidRPr="006111CC" w:rsidRDefault="00B42123" w:rsidP="00B42123">
      <w:pPr>
        <w:rPr>
          <w:rFonts w:asciiTheme="majorHAnsi" w:hAnsiTheme="majorHAnsi"/>
          <w:szCs w:val="22"/>
        </w:rPr>
      </w:pPr>
      <w:r w:rsidRPr="00EB7C18">
        <w:rPr>
          <w:rFonts w:asciiTheme="majorHAnsi" w:hAnsiTheme="majorHAnsi"/>
          <w:b/>
          <w:szCs w:val="22"/>
        </w:rPr>
        <w:t>Delivery system</w:t>
      </w:r>
      <w:r>
        <w:rPr>
          <w:rFonts w:asciiTheme="majorHAnsi" w:hAnsiTheme="majorHAnsi"/>
          <w:szCs w:val="22"/>
        </w:rPr>
        <w:t xml:space="preserve">  </w:t>
      </w:r>
      <w:r w:rsidRPr="006111CC">
        <w:rPr>
          <w:rFonts w:asciiTheme="majorHAnsi" w:hAnsiTheme="majorHAnsi"/>
          <w:szCs w:val="22"/>
        </w:rPr>
        <w:t>System of delivery of water to the farm. It includes delivery through a network of channels and/or pipelines within an irrigation district or river diversion where irrigators directly pump water from the river.</w:t>
      </w:r>
    </w:p>
    <w:p w14:paraId="0C96F7DE" w14:textId="77777777" w:rsidR="00B42123" w:rsidRPr="00633328" w:rsidRDefault="00B42123" w:rsidP="00B42123">
      <w:pPr>
        <w:rPr>
          <w:rFonts w:asciiTheme="majorHAnsi" w:hAnsiTheme="majorHAnsi"/>
          <w:szCs w:val="22"/>
        </w:rPr>
      </w:pPr>
      <w:r w:rsidRPr="00EB7C18">
        <w:rPr>
          <w:rFonts w:asciiTheme="majorHAnsi" w:hAnsiTheme="majorHAnsi"/>
          <w:b/>
          <w:szCs w:val="22"/>
        </w:rPr>
        <w:t>Environmentally su</w:t>
      </w:r>
      <w:r>
        <w:rPr>
          <w:rFonts w:asciiTheme="majorHAnsi" w:hAnsiTheme="majorHAnsi"/>
          <w:b/>
          <w:szCs w:val="22"/>
        </w:rPr>
        <w:t xml:space="preserve">stainable level of take (ESLT)  </w:t>
      </w:r>
      <w:r w:rsidRPr="006111CC">
        <w:rPr>
          <w:rFonts w:asciiTheme="majorHAnsi" w:hAnsiTheme="majorHAnsi"/>
          <w:szCs w:val="22"/>
        </w:rPr>
        <w:t xml:space="preserve">The level at which water can be taken from a water resource which, if exceeded,  would </w:t>
      </w:r>
      <w:r>
        <w:rPr>
          <w:rFonts w:asciiTheme="majorHAnsi" w:hAnsiTheme="majorHAnsi"/>
          <w:szCs w:val="22"/>
        </w:rPr>
        <w:t>compromise:</w:t>
      </w:r>
      <w:r w:rsidRPr="006111CC">
        <w:rPr>
          <w:rFonts w:asciiTheme="majorHAnsi" w:hAnsiTheme="majorHAnsi"/>
          <w:szCs w:val="22"/>
        </w:rPr>
        <w:t xml:space="preserve"> key environmental assets of the water resource; or</w:t>
      </w:r>
      <w:r>
        <w:rPr>
          <w:rFonts w:asciiTheme="majorHAnsi" w:hAnsiTheme="majorHAnsi"/>
          <w:szCs w:val="22"/>
        </w:rPr>
        <w:t xml:space="preserve"> </w:t>
      </w:r>
      <w:r w:rsidRPr="006111CC">
        <w:rPr>
          <w:rFonts w:asciiTheme="majorHAnsi" w:hAnsiTheme="majorHAnsi"/>
          <w:szCs w:val="22"/>
        </w:rPr>
        <w:t>key ecosystem functions of the water resource; or productive base of the water resource; or</w:t>
      </w:r>
      <w:r>
        <w:rPr>
          <w:rFonts w:asciiTheme="majorHAnsi" w:hAnsiTheme="majorHAnsi"/>
          <w:szCs w:val="22"/>
        </w:rPr>
        <w:t xml:space="preserve"> </w:t>
      </w:r>
      <w:r w:rsidRPr="006111CC">
        <w:rPr>
          <w:rFonts w:asciiTheme="majorHAnsi" w:hAnsiTheme="majorHAnsi"/>
          <w:szCs w:val="22"/>
        </w:rPr>
        <w:t>key environmental outcomes for the water resource</w:t>
      </w:r>
      <w:r w:rsidRPr="006111CC">
        <w:rPr>
          <w:rFonts w:asciiTheme="majorHAnsi" w:hAnsiTheme="majorHAnsi"/>
          <w:szCs w:val="22"/>
          <w:lang w:val="en-AU"/>
        </w:rPr>
        <w:t>.</w:t>
      </w:r>
    </w:p>
    <w:p w14:paraId="16AFC808" w14:textId="77777777" w:rsidR="00B42123" w:rsidRPr="001539EC" w:rsidRDefault="00B42123" w:rsidP="00B42123">
      <w:pPr>
        <w:rPr>
          <w:rFonts w:asciiTheme="majorHAnsi" w:hAnsiTheme="majorHAnsi"/>
          <w:szCs w:val="22"/>
        </w:rPr>
      </w:pPr>
      <w:r w:rsidRPr="005867B7">
        <w:rPr>
          <w:rFonts w:asciiTheme="majorHAnsi" w:hAnsiTheme="majorHAnsi"/>
          <w:b/>
          <w:szCs w:val="22"/>
        </w:rPr>
        <w:t>Ex-post</w:t>
      </w:r>
      <w:r w:rsidRPr="005867B7">
        <w:rPr>
          <w:rFonts w:asciiTheme="majorHAnsi" w:hAnsiTheme="majorHAnsi"/>
          <w:b/>
          <w:szCs w:val="22"/>
        </w:rPr>
        <w:tab/>
      </w:r>
      <w:r w:rsidR="001539EC">
        <w:rPr>
          <w:rFonts w:asciiTheme="majorHAnsi" w:hAnsiTheme="majorHAnsi"/>
          <w:b/>
          <w:szCs w:val="22"/>
        </w:rPr>
        <w:t xml:space="preserve">  </w:t>
      </w:r>
      <w:r w:rsidR="001539EC">
        <w:rPr>
          <w:rFonts w:asciiTheme="majorHAnsi" w:hAnsiTheme="majorHAnsi"/>
          <w:szCs w:val="22"/>
        </w:rPr>
        <w:t>After the fact; the</w:t>
      </w:r>
      <w:r w:rsidR="001539EC" w:rsidRPr="001539EC">
        <w:rPr>
          <w:rFonts w:asciiTheme="majorHAnsi" w:hAnsiTheme="majorHAnsi"/>
          <w:szCs w:val="22"/>
        </w:rPr>
        <w:t xml:space="preserve"> actual results rather than </w:t>
      </w:r>
      <w:r w:rsidR="001539EC">
        <w:rPr>
          <w:rFonts w:asciiTheme="majorHAnsi" w:hAnsiTheme="majorHAnsi"/>
          <w:szCs w:val="22"/>
        </w:rPr>
        <w:t xml:space="preserve">the </w:t>
      </w:r>
      <w:r w:rsidR="001539EC" w:rsidRPr="001539EC">
        <w:rPr>
          <w:rFonts w:asciiTheme="majorHAnsi" w:hAnsiTheme="majorHAnsi"/>
          <w:szCs w:val="22"/>
        </w:rPr>
        <w:t>forecasts.</w:t>
      </w:r>
    </w:p>
    <w:p w14:paraId="7099A036" w14:textId="77777777" w:rsidR="00B42123" w:rsidRPr="006111CC" w:rsidRDefault="00B42123" w:rsidP="00B42123">
      <w:pPr>
        <w:rPr>
          <w:rFonts w:asciiTheme="majorHAnsi" w:hAnsiTheme="majorHAnsi"/>
          <w:szCs w:val="22"/>
        </w:rPr>
      </w:pPr>
      <w:r w:rsidRPr="005867B7">
        <w:rPr>
          <w:rFonts w:asciiTheme="majorHAnsi" w:hAnsiTheme="majorHAnsi"/>
          <w:b/>
          <w:szCs w:val="22"/>
        </w:rPr>
        <w:lastRenderedPageBreak/>
        <w:t>Flood irrigation</w:t>
      </w:r>
      <w:r w:rsidRPr="006111CC">
        <w:rPr>
          <w:rFonts w:asciiTheme="majorHAnsi" w:hAnsiTheme="majorHAnsi"/>
          <w:szCs w:val="22"/>
        </w:rPr>
        <w:tab/>
      </w:r>
      <w:r>
        <w:rPr>
          <w:rFonts w:asciiTheme="majorHAnsi" w:hAnsiTheme="majorHAnsi"/>
          <w:szCs w:val="22"/>
        </w:rPr>
        <w:t xml:space="preserve"> </w:t>
      </w:r>
      <w:r w:rsidRPr="006111CC">
        <w:rPr>
          <w:rFonts w:asciiTheme="majorHAnsi" w:hAnsiTheme="majorHAnsi"/>
          <w:szCs w:val="22"/>
        </w:rPr>
        <w:t xml:space="preserve">The irrigation method where water is delivered to the edge of the paddock and allowed to flow over the ground through the crop. It includes furrow irrigation in which water is applied to small parallel channels or trenches in the direction of the predominant slope. </w:t>
      </w:r>
    </w:p>
    <w:p w14:paraId="50A4387E" w14:textId="77777777" w:rsidR="00B42123" w:rsidRPr="006111CC" w:rsidRDefault="00B42123" w:rsidP="00B42123">
      <w:pPr>
        <w:rPr>
          <w:rFonts w:asciiTheme="majorHAnsi" w:hAnsiTheme="majorHAnsi"/>
          <w:szCs w:val="22"/>
        </w:rPr>
      </w:pPr>
      <w:r w:rsidRPr="005867B7">
        <w:rPr>
          <w:rFonts w:asciiTheme="majorHAnsi" w:hAnsiTheme="majorHAnsi"/>
          <w:b/>
          <w:szCs w:val="22"/>
        </w:rPr>
        <w:t>Furrow irrigation</w:t>
      </w:r>
      <w:r>
        <w:rPr>
          <w:rFonts w:asciiTheme="majorHAnsi" w:hAnsiTheme="majorHAnsi"/>
          <w:szCs w:val="22"/>
        </w:rPr>
        <w:t xml:space="preserve">  </w:t>
      </w:r>
      <w:r w:rsidRPr="006111CC">
        <w:rPr>
          <w:rFonts w:asciiTheme="majorHAnsi" w:hAnsiTheme="majorHAnsi"/>
          <w:szCs w:val="22"/>
        </w:rPr>
        <w:t>see flood irrigation</w:t>
      </w:r>
      <w:r w:rsidR="005F3313">
        <w:rPr>
          <w:rFonts w:asciiTheme="majorHAnsi" w:hAnsiTheme="majorHAnsi"/>
          <w:szCs w:val="22"/>
        </w:rPr>
        <w:t>.</w:t>
      </w:r>
      <w:r w:rsidRPr="006111CC">
        <w:rPr>
          <w:rFonts w:asciiTheme="majorHAnsi" w:hAnsiTheme="majorHAnsi"/>
          <w:szCs w:val="22"/>
        </w:rPr>
        <w:t xml:space="preserve"> </w:t>
      </w:r>
    </w:p>
    <w:p w14:paraId="471823CC" w14:textId="77777777" w:rsidR="00B42123" w:rsidRPr="00603786" w:rsidRDefault="00B42123" w:rsidP="00B42123">
      <w:pPr>
        <w:rPr>
          <w:rFonts w:asciiTheme="majorHAnsi" w:hAnsiTheme="majorHAnsi"/>
          <w:szCs w:val="22"/>
        </w:rPr>
      </w:pPr>
      <w:r w:rsidRPr="005867B7">
        <w:rPr>
          <w:rFonts w:asciiTheme="majorHAnsi" w:hAnsiTheme="majorHAnsi"/>
          <w:b/>
          <w:szCs w:val="22"/>
        </w:rPr>
        <w:t>Groundwater entitlement</w:t>
      </w:r>
      <w:r>
        <w:rPr>
          <w:rFonts w:asciiTheme="majorHAnsi" w:hAnsiTheme="majorHAnsi"/>
          <w:b/>
          <w:szCs w:val="22"/>
        </w:rPr>
        <w:t xml:space="preserve"> </w:t>
      </w:r>
      <w:r>
        <w:rPr>
          <w:rFonts w:asciiTheme="majorHAnsi" w:hAnsiTheme="majorHAnsi"/>
          <w:szCs w:val="22"/>
        </w:rPr>
        <w:t>An entitlement to water occurring below ground level</w:t>
      </w:r>
      <w:r w:rsidR="005F3313">
        <w:rPr>
          <w:rFonts w:asciiTheme="majorHAnsi" w:hAnsiTheme="majorHAnsi"/>
          <w:szCs w:val="22"/>
        </w:rPr>
        <w:t>.</w:t>
      </w:r>
    </w:p>
    <w:p w14:paraId="042223C7" w14:textId="77777777" w:rsidR="00B42123" w:rsidRPr="006111CC" w:rsidRDefault="00B42123" w:rsidP="00B42123">
      <w:pPr>
        <w:rPr>
          <w:rFonts w:asciiTheme="majorHAnsi" w:hAnsiTheme="majorHAnsi"/>
          <w:szCs w:val="22"/>
        </w:rPr>
      </w:pPr>
      <w:r w:rsidRPr="005867B7">
        <w:rPr>
          <w:rFonts w:asciiTheme="majorHAnsi" w:hAnsiTheme="majorHAnsi"/>
          <w:b/>
          <w:szCs w:val="22"/>
        </w:rPr>
        <w:t>Interruptible industries</w:t>
      </w:r>
      <w:r>
        <w:rPr>
          <w:rFonts w:asciiTheme="majorHAnsi" w:hAnsiTheme="majorHAnsi"/>
          <w:szCs w:val="22"/>
        </w:rPr>
        <w:t xml:space="preserve">  </w:t>
      </w:r>
      <w:r w:rsidRPr="006111CC">
        <w:rPr>
          <w:rFonts w:asciiTheme="majorHAnsi" w:hAnsiTheme="majorHAnsi"/>
          <w:szCs w:val="22"/>
        </w:rPr>
        <w:t xml:space="preserve">Annual crops such as rice, cotton and annual vegetables that, if they cannot be grown in a given year in the absence of irrigation, can be planted in another year in the hope of earning enough to offset the income </w:t>
      </w:r>
      <w:r w:rsidR="00B86C5F">
        <w:rPr>
          <w:rFonts w:asciiTheme="majorHAnsi" w:hAnsiTheme="majorHAnsi"/>
          <w:szCs w:val="22"/>
        </w:rPr>
        <w:t>foregone</w:t>
      </w:r>
      <w:r w:rsidRPr="006111CC">
        <w:rPr>
          <w:rFonts w:asciiTheme="majorHAnsi" w:hAnsiTheme="majorHAnsi"/>
          <w:szCs w:val="22"/>
        </w:rPr>
        <w:t>. Unused water can be sold to other irrigators</w:t>
      </w:r>
      <w:r w:rsidR="005F3313">
        <w:rPr>
          <w:rFonts w:asciiTheme="majorHAnsi" w:hAnsiTheme="majorHAnsi"/>
          <w:szCs w:val="22"/>
        </w:rPr>
        <w:t>.</w:t>
      </w:r>
    </w:p>
    <w:p w14:paraId="2CC33487" w14:textId="77777777" w:rsidR="00B42123" w:rsidRPr="006111CC" w:rsidRDefault="00B42123" w:rsidP="00B42123">
      <w:pPr>
        <w:rPr>
          <w:rFonts w:asciiTheme="majorHAnsi" w:hAnsiTheme="majorHAnsi"/>
          <w:szCs w:val="22"/>
        </w:rPr>
      </w:pPr>
      <w:r w:rsidRPr="005867B7">
        <w:rPr>
          <w:rFonts w:asciiTheme="majorHAnsi" w:hAnsiTheme="majorHAnsi"/>
          <w:b/>
          <w:szCs w:val="22"/>
        </w:rPr>
        <w:t>Irrigation districts</w:t>
      </w:r>
      <w:r>
        <w:rPr>
          <w:rFonts w:asciiTheme="majorHAnsi" w:hAnsiTheme="majorHAnsi"/>
          <w:szCs w:val="22"/>
        </w:rPr>
        <w:t xml:space="preserve">  </w:t>
      </w:r>
      <w:r w:rsidRPr="006111CC">
        <w:rPr>
          <w:rFonts w:asciiTheme="majorHAnsi" w:hAnsiTheme="majorHAnsi"/>
          <w:szCs w:val="22"/>
        </w:rPr>
        <w:t>A district in which farms are supplied irrigation  water through a system of pumps, channels and/or pipelines and that are managed by either a self governing public corporation, a private company owned by irrigators or a cooperative with irrigator members.</w:t>
      </w:r>
    </w:p>
    <w:p w14:paraId="57C2F177" w14:textId="77777777" w:rsidR="00B42123" w:rsidRPr="006111CC" w:rsidRDefault="00B42123" w:rsidP="00B42123">
      <w:pPr>
        <w:rPr>
          <w:rFonts w:asciiTheme="majorHAnsi" w:hAnsiTheme="majorHAnsi"/>
          <w:szCs w:val="22"/>
        </w:rPr>
      </w:pPr>
      <w:r w:rsidRPr="005867B7">
        <w:rPr>
          <w:rFonts w:asciiTheme="majorHAnsi" w:hAnsiTheme="majorHAnsi"/>
          <w:b/>
          <w:szCs w:val="22"/>
        </w:rPr>
        <w:t>La Niñ</w:t>
      </w:r>
      <w:r w:rsidRPr="008011AE">
        <w:rPr>
          <w:rFonts w:asciiTheme="majorHAnsi" w:hAnsiTheme="majorHAnsi"/>
          <w:b/>
          <w:szCs w:val="22"/>
        </w:rPr>
        <w:t>a</w:t>
      </w:r>
      <w:r>
        <w:rPr>
          <w:rFonts w:asciiTheme="majorHAnsi" w:hAnsiTheme="majorHAnsi"/>
          <w:szCs w:val="22"/>
        </w:rPr>
        <w:t xml:space="preserve">  Th</w:t>
      </w:r>
      <w:r w:rsidRPr="006111CC">
        <w:rPr>
          <w:rFonts w:asciiTheme="majorHAnsi" w:hAnsiTheme="majorHAnsi"/>
          <w:szCs w:val="22"/>
        </w:rPr>
        <w:t>e extensive cooling of the central and eastern tropical Pacific Ocean, often accompanied by warmer than normal sea surface temperatures in the western Pacific, and to the north of Australia. La Niña events are associated with increased probability of wetter conditions over much of Australia, particularly over eastern and northern areas.</w:t>
      </w:r>
    </w:p>
    <w:p w14:paraId="6CB63493" w14:textId="77777777" w:rsidR="00B42123" w:rsidRPr="006111CC" w:rsidRDefault="00B42123" w:rsidP="00B42123">
      <w:pPr>
        <w:rPr>
          <w:rFonts w:asciiTheme="majorHAnsi" w:hAnsiTheme="majorHAnsi"/>
          <w:szCs w:val="22"/>
        </w:rPr>
      </w:pPr>
      <w:r w:rsidRPr="005867B7">
        <w:rPr>
          <w:rFonts w:asciiTheme="majorHAnsi" w:hAnsiTheme="majorHAnsi"/>
          <w:b/>
          <w:szCs w:val="22"/>
        </w:rPr>
        <w:t>Laser leveling</w:t>
      </w:r>
      <w:r>
        <w:rPr>
          <w:rFonts w:asciiTheme="majorHAnsi" w:hAnsiTheme="majorHAnsi"/>
          <w:szCs w:val="22"/>
        </w:rPr>
        <w:t xml:space="preserve">  </w:t>
      </w:r>
      <w:r w:rsidRPr="006111CC">
        <w:rPr>
          <w:rFonts w:asciiTheme="majorHAnsi" w:hAnsiTheme="majorHAnsi"/>
          <w:szCs w:val="22"/>
        </w:rPr>
        <w:t>A user guided precision leveling technique used for achieving very fine leveling with desired grade on the agricultural field. Laser leveling uses a laser transmitter unit that constantly emits 360º rotating beam parallel to the required field plane. This beam is received by a laser receiver fitted on a mast on the scraper. The signal received is converted into cut and fill level adjustments and the corresponding changes in scraper level are carried out automatically by a two way hydraulic control valve.</w:t>
      </w:r>
    </w:p>
    <w:p w14:paraId="250BDD25" w14:textId="77777777" w:rsidR="00B42123" w:rsidRPr="006111CC" w:rsidRDefault="00B42123" w:rsidP="00B42123">
      <w:pPr>
        <w:rPr>
          <w:rFonts w:asciiTheme="majorHAnsi" w:hAnsiTheme="majorHAnsi"/>
          <w:szCs w:val="22"/>
        </w:rPr>
      </w:pPr>
      <w:r w:rsidRPr="00DE77F5">
        <w:rPr>
          <w:rFonts w:asciiTheme="majorHAnsi" w:hAnsiTheme="majorHAnsi"/>
          <w:b/>
          <w:szCs w:val="22"/>
        </w:rPr>
        <w:t>Long-term annual average yield (LTAAY)</w:t>
      </w:r>
      <w:r>
        <w:rPr>
          <w:rFonts w:asciiTheme="majorHAnsi" w:hAnsiTheme="majorHAnsi"/>
          <w:szCs w:val="22"/>
        </w:rPr>
        <w:t xml:space="preserve">  </w:t>
      </w:r>
      <w:r w:rsidRPr="006111CC">
        <w:rPr>
          <w:rFonts w:asciiTheme="majorHAnsi" w:hAnsiTheme="majorHAnsi"/>
          <w:szCs w:val="22"/>
        </w:rPr>
        <w:t>The unit of account for the total volumes of water recovered from different types of water entitlements in the M</w:t>
      </w:r>
      <w:r w:rsidR="00235F7D">
        <w:rPr>
          <w:rFonts w:asciiTheme="majorHAnsi" w:hAnsiTheme="majorHAnsi"/>
          <w:szCs w:val="22"/>
        </w:rPr>
        <w:t>urray-</w:t>
      </w:r>
      <w:r w:rsidRPr="006111CC">
        <w:rPr>
          <w:rFonts w:asciiTheme="majorHAnsi" w:hAnsiTheme="majorHAnsi"/>
          <w:szCs w:val="22"/>
        </w:rPr>
        <w:t>D</w:t>
      </w:r>
      <w:r w:rsidR="00235F7D">
        <w:rPr>
          <w:rFonts w:asciiTheme="majorHAnsi" w:hAnsiTheme="majorHAnsi"/>
          <w:szCs w:val="22"/>
        </w:rPr>
        <w:t xml:space="preserve">arling </w:t>
      </w:r>
      <w:r w:rsidRPr="006111CC">
        <w:rPr>
          <w:rFonts w:asciiTheme="majorHAnsi" w:hAnsiTheme="majorHAnsi"/>
          <w:szCs w:val="22"/>
        </w:rPr>
        <w:t>B</w:t>
      </w:r>
      <w:r w:rsidR="00235F7D">
        <w:rPr>
          <w:rFonts w:asciiTheme="majorHAnsi" w:hAnsiTheme="majorHAnsi"/>
          <w:szCs w:val="22"/>
        </w:rPr>
        <w:t>asin</w:t>
      </w:r>
      <w:r w:rsidR="005F3313">
        <w:rPr>
          <w:rFonts w:asciiTheme="majorHAnsi" w:hAnsiTheme="majorHAnsi"/>
          <w:szCs w:val="22"/>
        </w:rPr>
        <w:t>.</w:t>
      </w:r>
    </w:p>
    <w:p w14:paraId="532FA417" w14:textId="77777777" w:rsidR="00B42123" w:rsidRPr="006111CC" w:rsidRDefault="00B42123" w:rsidP="00B42123">
      <w:pPr>
        <w:rPr>
          <w:rFonts w:asciiTheme="majorHAnsi" w:hAnsiTheme="majorHAnsi"/>
          <w:szCs w:val="22"/>
        </w:rPr>
      </w:pPr>
      <w:r w:rsidRPr="00DE77F5">
        <w:rPr>
          <w:rFonts w:asciiTheme="majorHAnsi" w:hAnsiTheme="majorHAnsi"/>
          <w:b/>
          <w:szCs w:val="22"/>
        </w:rPr>
        <w:t>Millenium Drought</w:t>
      </w:r>
      <w:r>
        <w:rPr>
          <w:rFonts w:asciiTheme="majorHAnsi" w:hAnsiTheme="majorHAnsi"/>
          <w:szCs w:val="22"/>
        </w:rPr>
        <w:t xml:space="preserve">  </w:t>
      </w:r>
      <w:r w:rsidRPr="006111CC">
        <w:rPr>
          <w:rFonts w:asciiTheme="majorHAnsi" w:hAnsiTheme="majorHAnsi"/>
          <w:szCs w:val="22"/>
        </w:rPr>
        <w:t xml:space="preserve">A prolonged dry period in much of southern Australia from late 1996 to mid-2010. </w:t>
      </w:r>
    </w:p>
    <w:p w14:paraId="65B6E36A" w14:textId="77777777" w:rsidR="00B42123" w:rsidRPr="00233A28" w:rsidRDefault="00B42123" w:rsidP="00B42123">
      <w:pPr>
        <w:rPr>
          <w:rFonts w:asciiTheme="majorHAnsi" w:hAnsiTheme="majorHAnsi"/>
          <w:bCs/>
          <w:szCs w:val="22"/>
        </w:rPr>
      </w:pPr>
      <w:r w:rsidRPr="00233A28">
        <w:rPr>
          <w:rFonts w:asciiTheme="majorHAnsi" w:hAnsiTheme="majorHAnsi"/>
          <w:b/>
          <w:bCs/>
          <w:szCs w:val="22"/>
        </w:rPr>
        <w:t xml:space="preserve">Murray </w:t>
      </w:r>
      <w:r w:rsidRPr="00233A28">
        <w:rPr>
          <w:rFonts w:asciiTheme="majorHAnsi" w:hAnsiTheme="majorHAnsi"/>
          <w:b/>
          <w:szCs w:val="22"/>
          <w:lang w:val="en-AU"/>
        </w:rPr>
        <w:t>Irrigation</w:t>
      </w:r>
      <w:r>
        <w:rPr>
          <w:rFonts w:asciiTheme="majorHAnsi" w:hAnsiTheme="majorHAnsi"/>
          <w:b/>
          <w:bCs/>
          <w:szCs w:val="22"/>
        </w:rPr>
        <w:t xml:space="preserve">  </w:t>
      </w:r>
      <w:r w:rsidRPr="00233A28">
        <w:rPr>
          <w:rFonts w:asciiTheme="majorHAnsi" w:hAnsiTheme="majorHAnsi"/>
          <w:bCs/>
          <w:szCs w:val="22"/>
        </w:rPr>
        <w:t>A private irrigation company in NSW, formed in 1995 when the NSW Government privatised its Murray Irrigation area and districts. The company's irrigators are also shareholders.  Its area of operation stretches from Mulawala in the east to Moulamein in the west.</w:t>
      </w:r>
    </w:p>
    <w:p w14:paraId="343F4A47" w14:textId="77777777" w:rsidR="00B42123" w:rsidRPr="00233A28" w:rsidRDefault="00B42123" w:rsidP="00B42123">
      <w:pPr>
        <w:rPr>
          <w:rFonts w:asciiTheme="majorHAnsi" w:hAnsiTheme="majorHAnsi"/>
          <w:bCs/>
          <w:szCs w:val="22"/>
        </w:rPr>
      </w:pPr>
      <w:r w:rsidRPr="00233A28">
        <w:rPr>
          <w:rFonts w:asciiTheme="majorHAnsi" w:hAnsiTheme="majorHAnsi"/>
          <w:b/>
          <w:bCs/>
          <w:szCs w:val="22"/>
        </w:rPr>
        <w:t>M</w:t>
      </w:r>
      <w:r>
        <w:rPr>
          <w:rFonts w:asciiTheme="majorHAnsi" w:hAnsiTheme="majorHAnsi"/>
          <w:b/>
          <w:bCs/>
          <w:szCs w:val="22"/>
        </w:rPr>
        <w:t xml:space="preserve">urrumbidgee Irrigation Limited </w:t>
      </w:r>
      <w:r w:rsidRPr="00233A28">
        <w:rPr>
          <w:rFonts w:asciiTheme="majorHAnsi" w:hAnsiTheme="majorHAnsi"/>
          <w:b/>
          <w:bCs/>
          <w:szCs w:val="22"/>
        </w:rPr>
        <w:t>(MIL)</w:t>
      </w:r>
      <w:r w:rsidRPr="006111CC">
        <w:rPr>
          <w:rFonts w:asciiTheme="majorHAnsi" w:hAnsiTheme="majorHAnsi"/>
          <w:b/>
          <w:bCs/>
          <w:szCs w:val="22"/>
        </w:rPr>
        <w:t xml:space="preserve"> </w:t>
      </w:r>
      <w:r>
        <w:rPr>
          <w:rFonts w:asciiTheme="majorHAnsi" w:hAnsiTheme="majorHAnsi"/>
          <w:b/>
          <w:bCs/>
          <w:szCs w:val="22"/>
        </w:rPr>
        <w:t xml:space="preserve"> </w:t>
      </w:r>
      <w:r w:rsidRPr="00233A28">
        <w:rPr>
          <w:rFonts w:asciiTheme="majorHAnsi" w:hAnsiTheme="majorHAnsi"/>
          <w:bCs/>
          <w:szCs w:val="22"/>
        </w:rPr>
        <w:t xml:space="preserve">A </w:t>
      </w:r>
      <w:r w:rsidRPr="00233A28">
        <w:rPr>
          <w:rFonts w:asciiTheme="majorHAnsi" w:hAnsiTheme="majorHAnsi"/>
          <w:szCs w:val="22"/>
        </w:rPr>
        <w:t>private</w:t>
      </w:r>
      <w:r w:rsidRPr="00233A28">
        <w:rPr>
          <w:rFonts w:asciiTheme="majorHAnsi" w:hAnsiTheme="majorHAnsi"/>
          <w:bCs/>
          <w:szCs w:val="22"/>
        </w:rPr>
        <w:t xml:space="preserve"> irrigation company in the Riverina in NSW, privatised by the NSW government in 1999. The company’s irrigators are also shareholders.</w:t>
      </w:r>
    </w:p>
    <w:p w14:paraId="7B11476D" w14:textId="77777777" w:rsidR="00B42123" w:rsidRPr="006111CC" w:rsidRDefault="00B42123" w:rsidP="00B42123">
      <w:pPr>
        <w:rPr>
          <w:rFonts w:asciiTheme="majorHAnsi" w:hAnsiTheme="majorHAnsi"/>
          <w:szCs w:val="22"/>
        </w:rPr>
      </w:pPr>
      <w:r w:rsidRPr="00DE77F5">
        <w:rPr>
          <w:rFonts w:asciiTheme="majorHAnsi" w:hAnsiTheme="majorHAnsi"/>
          <w:b/>
          <w:szCs w:val="22"/>
        </w:rPr>
        <w:t>Net buyers/sellers</w:t>
      </w:r>
      <w:r>
        <w:rPr>
          <w:rFonts w:asciiTheme="majorHAnsi" w:hAnsiTheme="majorHAnsi"/>
          <w:szCs w:val="22"/>
        </w:rPr>
        <w:t xml:space="preserve">  </w:t>
      </w:r>
      <w:r w:rsidRPr="006111CC">
        <w:rPr>
          <w:rFonts w:asciiTheme="majorHAnsi" w:hAnsiTheme="majorHAnsi"/>
          <w:szCs w:val="22"/>
        </w:rPr>
        <w:t xml:space="preserve">Farms that bought/sold more water than they sold/bought. </w:t>
      </w:r>
    </w:p>
    <w:p w14:paraId="60EE254B" w14:textId="77777777" w:rsidR="00B42123" w:rsidRPr="006111CC" w:rsidRDefault="00B42123" w:rsidP="00B42123">
      <w:pPr>
        <w:rPr>
          <w:rFonts w:asciiTheme="majorHAnsi" w:hAnsiTheme="majorHAnsi"/>
          <w:szCs w:val="22"/>
        </w:rPr>
      </w:pPr>
      <w:r w:rsidRPr="00DE77F5">
        <w:rPr>
          <w:rFonts w:asciiTheme="majorHAnsi" w:hAnsiTheme="majorHAnsi"/>
          <w:b/>
          <w:szCs w:val="22"/>
        </w:rPr>
        <w:t>Non-interruptible industries</w:t>
      </w:r>
      <w:r>
        <w:rPr>
          <w:rFonts w:asciiTheme="majorHAnsi" w:hAnsiTheme="majorHAnsi"/>
          <w:szCs w:val="22"/>
        </w:rPr>
        <w:t xml:space="preserve">  </w:t>
      </w:r>
      <w:r w:rsidRPr="006111CC">
        <w:rPr>
          <w:rFonts w:asciiTheme="majorHAnsi" w:hAnsiTheme="majorHAnsi"/>
          <w:szCs w:val="22"/>
          <w:lang w:val="en-AU"/>
        </w:rPr>
        <w:t xml:space="preserve">Perennial crops such as almonds, grapevines, citrus, pome fruits and stone fruits </w:t>
      </w:r>
      <w:r w:rsidRPr="006111CC">
        <w:rPr>
          <w:rFonts w:asciiTheme="majorHAnsi" w:hAnsiTheme="majorHAnsi"/>
          <w:szCs w:val="22"/>
        </w:rPr>
        <w:t>that in the absence of irrigation, may die and will be expensive and time-consuming to replace. Water demands of these crops are essentially fixed.</w:t>
      </w:r>
    </w:p>
    <w:p w14:paraId="2B19A276" w14:textId="77777777" w:rsidR="00B42123" w:rsidRPr="006111CC" w:rsidRDefault="00B42123" w:rsidP="00B42123">
      <w:pPr>
        <w:rPr>
          <w:rFonts w:asciiTheme="majorHAnsi" w:hAnsiTheme="majorHAnsi"/>
          <w:szCs w:val="22"/>
        </w:rPr>
      </w:pPr>
      <w:r w:rsidRPr="00DE77F5">
        <w:rPr>
          <w:rFonts w:asciiTheme="majorHAnsi" w:hAnsiTheme="majorHAnsi"/>
          <w:b/>
          <w:szCs w:val="22"/>
        </w:rPr>
        <w:t>Pome fruit</w:t>
      </w:r>
      <w:r>
        <w:rPr>
          <w:rFonts w:asciiTheme="majorHAnsi" w:hAnsiTheme="majorHAnsi"/>
          <w:szCs w:val="22"/>
        </w:rPr>
        <w:t xml:space="preserve">  </w:t>
      </w:r>
      <w:r>
        <w:rPr>
          <w:rStyle w:val="tgc"/>
          <w:rFonts w:asciiTheme="majorHAnsi" w:hAnsiTheme="majorHAnsi"/>
          <w:szCs w:val="22"/>
        </w:rPr>
        <w:t>M</w:t>
      </w:r>
      <w:r w:rsidRPr="006111CC">
        <w:rPr>
          <w:rStyle w:val="tgc"/>
          <w:rFonts w:asciiTheme="majorHAnsi" w:hAnsiTheme="majorHAnsi"/>
          <w:szCs w:val="22"/>
        </w:rPr>
        <w:t>embers of the plant family Rosaceae, sub-family pomoideae. Includes apples and pears.</w:t>
      </w:r>
      <w:r w:rsidRPr="006111CC">
        <w:rPr>
          <w:rFonts w:asciiTheme="majorHAnsi" w:hAnsiTheme="majorHAnsi"/>
          <w:szCs w:val="22"/>
        </w:rPr>
        <w:tab/>
      </w:r>
    </w:p>
    <w:p w14:paraId="117A5825" w14:textId="77777777" w:rsidR="00B42123" w:rsidRPr="001E360D" w:rsidRDefault="00B42123" w:rsidP="00B42123">
      <w:pPr>
        <w:rPr>
          <w:rFonts w:asciiTheme="majorHAnsi" w:hAnsiTheme="majorHAnsi"/>
          <w:szCs w:val="22"/>
        </w:rPr>
      </w:pPr>
      <w:r>
        <w:rPr>
          <w:rFonts w:asciiTheme="majorHAnsi" w:hAnsiTheme="majorHAnsi"/>
          <w:b/>
          <w:szCs w:val="22"/>
        </w:rPr>
        <w:lastRenderedPageBreak/>
        <w:t xml:space="preserve">Re-use system </w:t>
      </w:r>
      <w:r>
        <w:rPr>
          <w:rFonts w:asciiTheme="majorHAnsi" w:hAnsiTheme="majorHAnsi"/>
          <w:szCs w:val="22"/>
        </w:rPr>
        <w:t xml:space="preserve"> A system comprising a dam, pump and drains or pipes to collect runoff and/or drainage from irrigation and rainfall for re-circulation into the farm irrigation system. </w:t>
      </w:r>
    </w:p>
    <w:p w14:paraId="1D943DAA" w14:textId="77777777" w:rsidR="00B42123" w:rsidRPr="006111CC" w:rsidRDefault="00B42123" w:rsidP="00B42123">
      <w:pPr>
        <w:rPr>
          <w:rFonts w:asciiTheme="majorHAnsi" w:hAnsiTheme="majorHAnsi"/>
          <w:szCs w:val="22"/>
        </w:rPr>
      </w:pPr>
      <w:r w:rsidRPr="00A61C50">
        <w:rPr>
          <w:rFonts w:asciiTheme="majorHAnsi" w:hAnsiTheme="majorHAnsi"/>
          <w:b/>
          <w:szCs w:val="22"/>
        </w:rPr>
        <w:t>River diverters</w:t>
      </w:r>
      <w:r>
        <w:rPr>
          <w:rFonts w:asciiTheme="majorHAnsi" w:hAnsiTheme="majorHAnsi"/>
          <w:b/>
          <w:szCs w:val="22"/>
        </w:rPr>
        <w:t xml:space="preserve">  </w:t>
      </w:r>
      <w:r>
        <w:rPr>
          <w:rFonts w:asciiTheme="majorHAnsi" w:hAnsiTheme="majorHAnsi"/>
          <w:szCs w:val="22"/>
        </w:rPr>
        <w:t>I</w:t>
      </w:r>
      <w:r w:rsidRPr="006111CC">
        <w:rPr>
          <w:rFonts w:asciiTheme="majorHAnsi" w:hAnsiTheme="majorHAnsi"/>
          <w:szCs w:val="22"/>
        </w:rPr>
        <w:t>rrigators that pump their own water directly from rivers without being part of an irrigation district.</w:t>
      </w:r>
    </w:p>
    <w:p w14:paraId="5B0E5B67" w14:textId="77777777" w:rsidR="00B42123" w:rsidRPr="006111CC" w:rsidRDefault="00B42123" w:rsidP="00B42123">
      <w:pPr>
        <w:rPr>
          <w:rFonts w:asciiTheme="majorHAnsi" w:hAnsiTheme="majorHAnsi"/>
          <w:szCs w:val="22"/>
        </w:rPr>
      </w:pPr>
      <w:r w:rsidRPr="00A61C50">
        <w:rPr>
          <w:rFonts w:asciiTheme="majorHAnsi" w:hAnsiTheme="majorHAnsi"/>
          <w:b/>
          <w:szCs w:val="22"/>
        </w:rPr>
        <w:t>Semi-interruptible indust</w:t>
      </w:r>
      <w:r>
        <w:rPr>
          <w:rFonts w:asciiTheme="majorHAnsi" w:hAnsiTheme="majorHAnsi"/>
          <w:szCs w:val="22"/>
        </w:rPr>
        <w:t>r</w:t>
      </w:r>
      <w:r w:rsidRPr="005F0DB2">
        <w:rPr>
          <w:rFonts w:asciiTheme="majorHAnsi" w:hAnsiTheme="majorHAnsi"/>
          <w:b/>
          <w:szCs w:val="22"/>
        </w:rPr>
        <w:t>ies</w:t>
      </w:r>
      <w:r>
        <w:rPr>
          <w:rFonts w:asciiTheme="majorHAnsi" w:hAnsiTheme="majorHAnsi"/>
          <w:szCs w:val="22"/>
        </w:rPr>
        <w:t xml:space="preserve">  </w:t>
      </w:r>
      <w:r w:rsidRPr="006111CC">
        <w:rPr>
          <w:rFonts w:asciiTheme="majorHAnsi" w:hAnsiTheme="majorHAnsi"/>
          <w:szCs w:val="22"/>
        </w:rPr>
        <w:t>An industry such as dairying in which there are substitutes for water in the form of purchased feed. In dairying, parts of the herd can also be agisted in other areas if necessary. However, in the long run, the herds, and the genetics on which they are based, will be expensive and time-consuming to replace if they cannot be maintained.</w:t>
      </w:r>
    </w:p>
    <w:p w14:paraId="50D5648B" w14:textId="77777777" w:rsidR="00B42123" w:rsidRPr="00F30EF4" w:rsidRDefault="00B42123" w:rsidP="00B42123">
      <w:pPr>
        <w:rPr>
          <w:rFonts w:asciiTheme="majorHAnsi" w:hAnsiTheme="majorHAnsi"/>
          <w:szCs w:val="22"/>
          <w:lang w:val="en-AU"/>
        </w:rPr>
      </w:pPr>
      <w:r w:rsidRPr="00A61C50">
        <w:rPr>
          <w:rFonts w:asciiTheme="majorHAnsi" w:hAnsiTheme="majorHAnsi"/>
          <w:b/>
          <w:szCs w:val="22"/>
          <w:lang w:val="en-AU"/>
        </w:rPr>
        <w:t>Snowy advance</w:t>
      </w:r>
      <w:r w:rsidRPr="006111CC">
        <w:rPr>
          <w:rFonts w:asciiTheme="majorHAnsi" w:hAnsiTheme="majorHAnsi"/>
          <w:szCs w:val="22"/>
          <w:lang w:val="en-AU"/>
        </w:rPr>
        <w:tab/>
      </w:r>
      <w:r>
        <w:rPr>
          <w:rFonts w:asciiTheme="majorHAnsi" w:hAnsiTheme="majorHAnsi"/>
          <w:szCs w:val="22"/>
          <w:lang w:val="en-AU"/>
        </w:rPr>
        <w:t xml:space="preserve">  </w:t>
      </w:r>
      <w:r w:rsidRPr="006111CC">
        <w:rPr>
          <w:rFonts w:asciiTheme="majorHAnsi" w:hAnsiTheme="majorHAnsi"/>
          <w:szCs w:val="22"/>
          <w:lang w:val="en-AU"/>
        </w:rPr>
        <w:t>An agreement between Murray Irrigation and Snowy Hydro Limited to allow early season access to up to 200 GL of water.</w:t>
      </w:r>
    </w:p>
    <w:p w14:paraId="257F1871" w14:textId="77777777" w:rsidR="00B42123" w:rsidRPr="006111CC" w:rsidRDefault="00B42123" w:rsidP="00B42123">
      <w:pPr>
        <w:rPr>
          <w:rFonts w:asciiTheme="majorHAnsi" w:hAnsiTheme="majorHAnsi"/>
          <w:szCs w:val="22"/>
        </w:rPr>
      </w:pPr>
      <w:r w:rsidRPr="00A61C50">
        <w:rPr>
          <w:rFonts w:asciiTheme="majorHAnsi" w:hAnsiTheme="majorHAnsi"/>
          <w:b/>
          <w:szCs w:val="22"/>
        </w:rPr>
        <w:t>Supplementary entitlements</w:t>
      </w:r>
      <w:r>
        <w:rPr>
          <w:rFonts w:asciiTheme="majorHAnsi" w:hAnsiTheme="majorHAnsi"/>
          <w:szCs w:val="22"/>
        </w:rPr>
        <w:t xml:space="preserve">  </w:t>
      </w:r>
      <w:r w:rsidRPr="006111CC">
        <w:rPr>
          <w:rFonts w:asciiTheme="majorHAnsi" w:hAnsiTheme="majorHAnsi"/>
          <w:szCs w:val="22"/>
        </w:rPr>
        <w:t>A NSW Water Access Entitlement that confers to the holders a right to abstract water during announced periods when flows exceed those required to meet other licensed obligations and environmental needs.</w:t>
      </w:r>
    </w:p>
    <w:p w14:paraId="17D968C4" w14:textId="77777777" w:rsidR="00B42123" w:rsidRPr="00B945AB" w:rsidRDefault="00B42123" w:rsidP="00B42123">
      <w:pPr>
        <w:rPr>
          <w:rFonts w:asciiTheme="majorHAnsi" w:hAnsiTheme="majorHAnsi"/>
          <w:szCs w:val="22"/>
        </w:rPr>
      </w:pPr>
      <w:r w:rsidRPr="00A61C50">
        <w:rPr>
          <w:rFonts w:asciiTheme="majorHAnsi" w:hAnsiTheme="majorHAnsi"/>
          <w:b/>
          <w:szCs w:val="22"/>
        </w:rPr>
        <w:t>Surface water</w:t>
      </w:r>
      <w:r>
        <w:rPr>
          <w:rFonts w:asciiTheme="majorHAnsi" w:hAnsiTheme="majorHAnsi"/>
          <w:b/>
          <w:szCs w:val="22"/>
        </w:rPr>
        <w:t xml:space="preserve"> </w:t>
      </w:r>
      <w:r>
        <w:rPr>
          <w:rFonts w:asciiTheme="majorHAnsi" w:hAnsiTheme="majorHAnsi"/>
          <w:szCs w:val="22"/>
        </w:rPr>
        <w:t xml:space="preserve"> Water in a watercourse, lake or wetland, and any water flowing over or lying on land.</w:t>
      </w:r>
    </w:p>
    <w:p w14:paraId="0A94E625" w14:textId="77777777" w:rsidR="00B42123" w:rsidRPr="006111CC" w:rsidRDefault="00B42123" w:rsidP="00B42123">
      <w:pPr>
        <w:rPr>
          <w:rFonts w:asciiTheme="majorHAnsi" w:hAnsiTheme="majorHAnsi"/>
          <w:szCs w:val="22"/>
        </w:rPr>
      </w:pPr>
      <w:r w:rsidRPr="00A61C50">
        <w:rPr>
          <w:rFonts w:asciiTheme="majorHAnsi" w:hAnsiTheme="majorHAnsi"/>
          <w:b/>
          <w:szCs w:val="22"/>
        </w:rPr>
        <w:t>S</w:t>
      </w:r>
      <w:r>
        <w:rPr>
          <w:rFonts w:asciiTheme="majorHAnsi" w:hAnsiTheme="majorHAnsi"/>
          <w:b/>
          <w:szCs w:val="22"/>
        </w:rPr>
        <w:t>ustainable D</w:t>
      </w:r>
      <w:r w:rsidRPr="00A61C50">
        <w:rPr>
          <w:rFonts w:asciiTheme="majorHAnsi" w:hAnsiTheme="majorHAnsi"/>
          <w:b/>
          <w:szCs w:val="22"/>
        </w:rPr>
        <w:t xml:space="preserve">iversion </w:t>
      </w:r>
      <w:r>
        <w:rPr>
          <w:rFonts w:asciiTheme="majorHAnsi" w:hAnsiTheme="majorHAnsi"/>
          <w:b/>
          <w:szCs w:val="22"/>
        </w:rPr>
        <w:t>Limit (SDL)</w:t>
      </w:r>
      <w:r>
        <w:rPr>
          <w:rFonts w:asciiTheme="majorHAnsi" w:hAnsiTheme="majorHAnsi"/>
          <w:szCs w:val="22"/>
        </w:rPr>
        <w:t xml:space="preserve">  </w:t>
      </w:r>
      <w:r w:rsidRPr="006111CC">
        <w:rPr>
          <w:rFonts w:asciiTheme="majorHAnsi" w:hAnsiTheme="majorHAnsi"/>
          <w:szCs w:val="22"/>
        </w:rPr>
        <w:t>The maximum amount of water that can be taken from the Murray-Darling Basin for consumptive use</w:t>
      </w:r>
      <w:r w:rsidR="005F3313">
        <w:rPr>
          <w:rFonts w:asciiTheme="majorHAnsi" w:hAnsiTheme="majorHAnsi"/>
          <w:szCs w:val="22"/>
        </w:rPr>
        <w:t>.</w:t>
      </w:r>
    </w:p>
    <w:p w14:paraId="0D4DE319" w14:textId="77777777" w:rsidR="00B42123" w:rsidRPr="006111CC" w:rsidRDefault="00B42123" w:rsidP="00B42123">
      <w:pPr>
        <w:rPr>
          <w:rFonts w:asciiTheme="majorHAnsi" w:hAnsiTheme="majorHAnsi"/>
          <w:szCs w:val="22"/>
        </w:rPr>
      </w:pPr>
      <w:r w:rsidRPr="00792FA9">
        <w:rPr>
          <w:rFonts w:asciiTheme="majorHAnsi" w:hAnsiTheme="majorHAnsi"/>
          <w:b/>
          <w:szCs w:val="22"/>
        </w:rPr>
        <w:t>Travelling irrigators</w:t>
      </w:r>
      <w:r>
        <w:rPr>
          <w:rFonts w:asciiTheme="majorHAnsi" w:hAnsiTheme="majorHAnsi"/>
          <w:szCs w:val="22"/>
        </w:rPr>
        <w:t xml:space="preserve">  </w:t>
      </w:r>
      <w:r w:rsidRPr="006111CC">
        <w:rPr>
          <w:rFonts w:asciiTheme="majorHAnsi" w:hAnsiTheme="majorHAnsi"/>
          <w:szCs w:val="22"/>
        </w:rPr>
        <w:t>A large sprinkler system mounted on a moving platform and supplied with water through a heavy-duty hose system. Commonly used to irrigate pasture and lucerne but machines with elevated wheels may be used to irrigate taller field crops.</w:t>
      </w:r>
    </w:p>
    <w:p w14:paraId="000DFEC4" w14:textId="77777777" w:rsidR="00B42123" w:rsidRPr="006111CC" w:rsidRDefault="00B42123" w:rsidP="00B42123">
      <w:pPr>
        <w:rPr>
          <w:rFonts w:asciiTheme="majorHAnsi" w:hAnsiTheme="majorHAnsi"/>
          <w:szCs w:val="22"/>
        </w:rPr>
      </w:pPr>
      <w:r w:rsidRPr="00792FA9">
        <w:rPr>
          <w:rFonts w:asciiTheme="majorHAnsi" w:hAnsiTheme="majorHAnsi"/>
          <w:b/>
          <w:szCs w:val="22"/>
        </w:rPr>
        <w:t>Unbundled right</w:t>
      </w:r>
      <w:r>
        <w:rPr>
          <w:rFonts w:asciiTheme="majorHAnsi" w:hAnsiTheme="majorHAnsi"/>
          <w:szCs w:val="22"/>
        </w:rPr>
        <w:t xml:space="preserve">  </w:t>
      </w:r>
      <w:r w:rsidRPr="006111CC">
        <w:rPr>
          <w:rFonts w:asciiTheme="majorHAnsi" w:hAnsiTheme="majorHAnsi"/>
          <w:szCs w:val="22"/>
        </w:rPr>
        <w:t>The separation of a bundled right into its individual elements. At its most basic level, unbundling separates water rights from a land property title, allowing the trade of water rights separately from land. Additional degrees of unbundling involve the separation of a water right into its individual elements. These might include, but are not limited to, water access entitlements, water allocations, water use rights, delivery share and works approvals.</w:t>
      </w:r>
      <w:r w:rsidRPr="006111CC">
        <w:rPr>
          <w:rFonts w:asciiTheme="majorHAnsi" w:hAnsiTheme="majorHAnsi"/>
          <w:szCs w:val="22"/>
        </w:rPr>
        <w:tab/>
      </w:r>
    </w:p>
    <w:p w14:paraId="33F36006" w14:textId="77777777" w:rsidR="00B42123" w:rsidRPr="009E477B" w:rsidRDefault="00B42123" w:rsidP="00B42123">
      <w:pPr>
        <w:rPr>
          <w:rFonts w:asciiTheme="majorHAnsi" w:hAnsiTheme="majorHAnsi"/>
          <w:szCs w:val="22"/>
        </w:rPr>
      </w:pPr>
      <w:r w:rsidRPr="00792FA9">
        <w:rPr>
          <w:rFonts w:asciiTheme="majorHAnsi" w:hAnsiTheme="majorHAnsi"/>
          <w:b/>
          <w:szCs w:val="22"/>
        </w:rPr>
        <w:t>Unregulated entitlement</w:t>
      </w:r>
      <w:r>
        <w:rPr>
          <w:rFonts w:asciiTheme="majorHAnsi" w:hAnsiTheme="majorHAnsi"/>
          <w:b/>
          <w:szCs w:val="22"/>
        </w:rPr>
        <w:t xml:space="preserve">  </w:t>
      </w:r>
      <w:r>
        <w:rPr>
          <w:rFonts w:asciiTheme="majorHAnsi" w:hAnsiTheme="majorHAnsi"/>
          <w:szCs w:val="22"/>
        </w:rPr>
        <w:t>An entitlement to water whereby the holder cannot order the release or delivery of water. The exercise of the entitlement is subject to water being available in the watercourse.</w:t>
      </w:r>
    </w:p>
    <w:p w14:paraId="1AB79036" w14:textId="77777777" w:rsidR="00B42123" w:rsidRPr="006111CC" w:rsidRDefault="00B42123" w:rsidP="00B42123">
      <w:pPr>
        <w:rPr>
          <w:rFonts w:asciiTheme="majorHAnsi" w:hAnsiTheme="majorHAnsi"/>
          <w:szCs w:val="22"/>
        </w:rPr>
      </w:pPr>
      <w:r w:rsidRPr="00792FA9">
        <w:rPr>
          <w:rFonts w:asciiTheme="majorHAnsi" w:hAnsiTheme="majorHAnsi"/>
          <w:b/>
          <w:szCs w:val="22"/>
        </w:rPr>
        <w:t>Victorian Water Register</w:t>
      </w:r>
      <w:r>
        <w:rPr>
          <w:rFonts w:asciiTheme="majorHAnsi" w:hAnsiTheme="majorHAnsi"/>
          <w:b/>
          <w:szCs w:val="22"/>
        </w:rPr>
        <w:t xml:space="preserve">  </w:t>
      </w:r>
      <w:r w:rsidRPr="006111CC">
        <w:rPr>
          <w:rFonts w:asciiTheme="majorHAnsi" w:hAnsiTheme="majorHAnsi"/>
          <w:szCs w:val="22"/>
        </w:rPr>
        <w:t>A public register of all water-related entitlements in Victoria</w:t>
      </w:r>
      <w:r w:rsidR="005F3313">
        <w:rPr>
          <w:rFonts w:asciiTheme="majorHAnsi" w:hAnsiTheme="majorHAnsi"/>
          <w:szCs w:val="22"/>
        </w:rPr>
        <w:t>.</w:t>
      </w:r>
    </w:p>
    <w:p w14:paraId="0F243A6B" w14:textId="77777777" w:rsidR="00B42123" w:rsidRPr="006111CC" w:rsidRDefault="00B42123" w:rsidP="00B42123">
      <w:pPr>
        <w:rPr>
          <w:rFonts w:asciiTheme="majorHAnsi" w:hAnsiTheme="majorHAnsi"/>
          <w:szCs w:val="22"/>
        </w:rPr>
      </w:pPr>
      <w:r w:rsidRPr="00792FA9">
        <w:rPr>
          <w:rFonts w:asciiTheme="majorHAnsi" w:hAnsiTheme="majorHAnsi"/>
          <w:b/>
          <w:szCs w:val="22"/>
        </w:rPr>
        <w:t>Water allocation</w:t>
      </w:r>
      <w:r>
        <w:rPr>
          <w:rFonts w:asciiTheme="majorHAnsi" w:hAnsiTheme="majorHAnsi"/>
          <w:szCs w:val="22"/>
        </w:rPr>
        <w:t xml:space="preserve">  </w:t>
      </w:r>
      <w:r w:rsidRPr="006111CC">
        <w:rPr>
          <w:rFonts w:asciiTheme="majorHAnsi" w:hAnsiTheme="majorHAnsi"/>
          <w:szCs w:val="22"/>
        </w:rPr>
        <w:t>The specific volume of water allocated to water access entitlements in a given water year or allocated as specified</w:t>
      </w:r>
      <w:r>
        <w:rPr>
          <w:rFonts w:asciiTheme="majorHAnsi" w:hAnsiTheme="majorHAnsi"/>
          <w:szCs w:val="22"/>
        </w:rPr>
        <w:t xml:space="preserve"> within a water resource plan.</w:t>
      </w:r>
    </w:p>
    <w:p w14:paraId="7BE1C354" w14:textId="77777777" w:rsidR="00B42123" w:rsidRDefault="00B42123" w:rsidP="00B42123">
      <w:pPr>
        <w:rPr>
          <w:rFonts w:asciiTheme="majorHAnsi" w:hAnsiTheme="majorHAnsi"/>
          <w:szCs w:val="22"/>
        </w:rPr>
      </w:pPr>
      <w:r w:rsidRPr="00792FA9">
        <w:rPr>
          <w:rFonts w:asciiTheme="majorHAnsi" w:hAnsiTheme="majorHAnsi"/>
          <w:b/>
          <w:szCs w:val="22"/>
        </w:rPr>
        <w:t>Water entitlement</w:t>
      </w:r>
      <w:r>
        <w:rPr>
          <w:rFonts w:asciiTheme="majorHAnsi" w:hAnsiTheme="majorHAnsi"/>
          <w:szCs w:val="22"/>
        </w:rPr>
        <w:t xml:space="preserve">  </w:t>
      </w:r>
      <w:r w:rsidRPr="006111CC">
        <w:rPr>
          <w:rFonts w:asciiTheme="majorHAnsi" w:hAnsiTheme="majorHAnsi"/>
          <w:szCs w:val="22"/>
        </w:rPr>
        <w:t>A perpetual or ongoing entitlement to exclusive access to a share of water from a specified consumptive pool as define</w:t>
      </w:r>
      <w:r>
        <w:rPr>
          <w:rFonts w:asciiTheme="majorHAnsi" w:hAnsiTheme="majorHAnsi"/>
          <w:szCs w:val="22"/>
        </w:rPr>
        <w:t xml:space="preserve">d in the relevant water plan. </w:t>
      </w:r>
    </w:p>
    <w:p w14:paraId="1F0F7104" w14:textId="77777777" w:rsidR="00CD3C5A" w:rsidRDefault="00CD3C5A" w:rsidP="00B42123">
      <w:pPr>
        <w:rPr>
          <w:rFonts w:asciiTheme="majorHAnsi" w:hAnsiTheme="majorHAnsi"/>
          <w:szCs w:val="22"/>
        </w:rPr>
        <w:sectPr w:rsidR="00CD3C5A" w:rsidSect="00CD3C5A">
          <w:headerReference w:type="even" r:id="rId22"/>
          <w:headerReference w:type="default" r:id="rId23"/>
          <w:footerReference w:type="even" r:id="rId24"/>
          <w:footerReference w:type="default" r:id="rId25"/>
          <w:headerReference w:type="first" r:id="rId26"/>
          <w:footerReference w:type="first" r:id="rId27"/>
          <w:pgSz w:w="11900" w:h="16820"/>
          <w:pgMar w:top="851" w:right="1361" w:bottom="567" w:left="1361" w:header="720" w:footer="720" w:gutter="0"/>
          <w:pgNumType w:fmt="lowerRoman"/>
          <w:cols w:space="720"/>
        </w:sectPr>
      </w:pPr>
    </w:p>
    <w:p w14:paraId="2E6F77E7" w14:textId="77777777" w:rsidR="00C01A50" w:rsidRDefault="00C01A50" w:rsidP="00C955F7">
      <w:pPr>
        <w:pStyle w:val="Heading1"/>
        <w:numPr>
          <w:ilvl w:val="0"/>
          <w:numId w:val="0"/>
        </w:numPr>
        <w:ind w:left="432" w:hanging="432"/>
        <w:rPr>
          <w:lang w:val="en-AU"/>
        </w:rPr>
      </w:pPr>
      <w:bookmarkStart w:id="18" w:name="_Toc347747778"/>
      <w:r>
        <w:rPr>
          <w:lang w:val="en-AU"/>
        </w:rPr>
        <w:lastRenderedPageBreak/>
        <w:t>Executive Summary</w:t>
      </w:r>
      <w:bookmarkEnd w:id="18"/>
      <w:r>
        <w:rPr>
          <w:lang w:val="en-AU"/>
        </w:rPr>
        <w:t xml:space="preserve"> </w:t>
      </w:r>
    </w:p>
    <w:p w14:paraId="05579D68" w14:textId="77777777" w:rsidR="00C747BC" w:rsidRPr="00A718D5" w:rsidRDefault="00A718D5" w:rsidP="00C747BC">
      <w:r>
        <w:t xml:space="preserve">The Victorian Government has committed itself, in partnership with water corporations and catchment management authorities (CMAs), to work to achieve balanced outcomes from implementing the Murray-Darling Basin Plan in Victoria.  As part of that commitment, it </w:t>
      </w:r>
      <w:r>
        <w:rPr>
          <w:lang w:val="en-AU"/>
        </w:rPr>
        <w:t xml:space="preserve">commissioned this </w:t>
      </w:r>
      <w:r w:rsidR="00C747BC">
        <w:rPr>
          <w:lang w:val="en-AU"/>
        </w:rPr>
        <w:t xml:space="preserve">report to assist </w:t>
      </w:r>
      <w:r>
        <w:rPr>
          <w:lang w:val="en-AU"/>
        </w:rPr>
        <w:t xml:space="preserve">it </w:t>
      </w:r>
      <w:r w:rsidR="00C747BC" w:rsidRPr="00A64245">
        <w:rPr>
          <w:lang w:val="en-AU"/>
        </w:rPr>
        <w:t xml:space="preserve">undertaking its own analysis </w:t>
      </w:r>
      <w:r w:rsidR="00396621">
        <w:rPr>
          <w:lang w:val="en-AU"/>
        </w:rPr>
        <w:t>of</w:t>
      </w:r>
      <w:r w:rsidR="00396621" w:rsidRPr="00A64245">
        <w:rPr>
          <w:lang w:val="en-AU"/>
        </w:rPr>
        <w:t xml:space="preserve"> </w:t>
      </w:r>
      <w:r w:rsidR="00C747BC" w:rsidRPr="00A64245">
        <w:rPr>
          <w:lang w:val="en-AU"/>
        </w:rPr>
        <w:t xml:space="preserve">the </w:t>
      </w:r>
      <w:r w:rsidR="00823638">
        <w:rPr>
          <w:lang w:val="en-AU"/>
        </w:rPr>
        <w:t xml:space="preserve">socio-economic </w:t>
      </w:r>
      <w:r w:rsidR="00C747BC" w:rsidRPr="00A64245">
        <w:rPr>
          <w:lang w:val="en-AU"/>
        </w:rPr>
        <w:t>impact</w:t>
      </w:r>
      <w:r w:rsidR="00C747BC">
        <w:rPr>
          <w:lang w:val="en-AU"/>
        </w:rPr>
        <w:t xml:space="preserve">s </w:t>
      </w:r>
      <w:r w:rsidR="00823638">
        <w:rPr>
          <w:lang w:val="en-AU"/>
        </w:rPr>
        <w:t>of</w:t>
      </w:r>
      <w:r w:rsidR="00C747BC">
        <w:rPr>
          <w:lang w:val="en-AU"/>
        </w:rPr>
        <w:t xml:space="preserve"> the Basin Plan</w:t>
      </w:r>
      <w:r w:rsidRPr="00A718D5">
        <w:rPr>
          <w:lang w:val="en-AU"/>
        </w:rPr>
        <w:t xml:space="preserve"> </w:t>
      </w:r>
      <w:r>
        <w:rPr>
          <w:lang w:val="en-AU"/>
        </w:rPr>
        <w:t>in Victoria</w:t>
      </w:r>
      <w:r w:rsidR="00C747BC">
        <w:rPr>
          <w:lang w:val="en-AU"/>
        </w:rPr>
        <w:t xml:space="preserve">. </w:t>
      </w:r>
      <w:r w:rsidR="00823638">
        <w:rPr>
          <w:lang w:val="en-AU"/>
        </w:rPr>
        <w:t>This report aims to</w:t>
      </w:r>
      <w:r w:rsidR="00C747BC">
        <w:rPr>
          <w:lang w:val="en-AU"/>
        </w:rPr>
        <w:t xml:space="preserve"> </w:t>
      </w:r>
      <w:r w:rsidR="00C747BC" w:rsidRPr="00A64245">
        <w:rPr>
          <w:lang w:val="en-AU"/>
        </w:rPr>
        <w:t xml:space="preserve">inform discussions with the </w:t>
      </w:r>
      <w:r w:rsidR="00C747BC">
        <w:rPr>
          <w:lang w:val="en-AU"/>
        </w:rPr>
        <w:t>Commonwealth</w:t>
      </w:r>
      <w:r w:rsidR="00C747BC" w:rsidRPr="00A64245">
        <w:rPr>
          <w:lang w:val="en-AU"/>
        </w:rPr>
        <w:t xml:space="preserve"> Government and </w:t>
      </w:r>
      <w:r w:rsidR="00823638">
        <w:rPr>
          <w:lang w:val="en-AU"/>
        </w:rPr>
        <w:t xml:space="preserve">to </w:t>
      </w:r>
      <w:r w:rsidR="00C747BC">
        <w:rPr>
          <w:lang w:val="en-AU"/>
        </w:rPr>
        <w:t xml:space="preserve">help </w:t>
      </w:r>
      <w:r w:rsidR="00823638">
        <w:rPr>
          <w:lang w:val="en-AU"/>
        </w:rPr>
        <w:t>en</w:t>
      </w:r>
      <w:r w:rsidR="00C747BC" w:rsidRPr="00A64245">
        <w:rPr>
          <w:lang w:val="en-AU"/>
        </w:rPr>
        <w:t xml:space="preserve">sure that </w:t>
      </w:r>
      <w:r w:rsidR="00C747BC">
        <w:rPr>
          <w:lang w:val="en-AU"/>
        </w:rPr>
        <w:t>all future</w:t>
      </w:r>
      <w:r w:rsidR="00C747BC" w:rsidRPr="00A64245">
        <w:rPr>
          <w:lang w:val="en-AU"/>
        </w:rPr>
        <w:t xml:space="preserve"> water recovery from Victoria is based on robust evidence that it can be done with neutral or positive social and economic impacts</w:t>
      </w:r>
      <w:r w:rsidR="00C747BC">
        <w:rPr>
          <w:lang w:val="en-AU"/>
        </w:rPr>
        <w:t>.</w:t>
      </w:r>
    </w:p>
    <w:p w14:paraId="0D3E5302" w14:textId="77777777" w:rsidR="00C01A50" w:rsidRPr="00C747BC" w:rsidRDefault="00823638" w:rsidP="00C747BC">
      <w:pPr>
        <w:rPr>
          <w:lang w:val="en-AU"/>
        </w:rPr>
      </w:pPr>
      <w:r>
        <w:rPr>
          <w:lang w:val="en-AU"/>
        </w:rPr>
        <w:t>The report</w:t>
      </w:r>
      <w:r w:rsidR="00C01A50" w:rsidRPr="00C747BC">
        <w:rPr>
          <w:lang w:val="en-AU"/>
        </w:rPr>
        <w:t xml:space="preserve"> sets out a systematic, methodical and repeatable way to analyse the impacts of the Basin Plan in Victoria. It is not a comparison of irrigation before and after the Basin Plan. Rather it is a comparison of what happened after the Basin Plan was implemented with what could reasonably have been expected to </w:t>
      </w:r>
      <w:r w:rsidR="006B7973">
        <w:rPr>
          <w:lang w:val="en-AU"/>
        </w:rPr>
        <w:t xml:space="preserve">have </w:t>
      </w:r>
      <w:r w:rsidR="00C01A50" w:rsidRPr="00C747BC">
        <w:rPr>
          <w:lang w:val="en-AU"/>
        </w:rPr>
        <w:t>happen</w:t>
      </w:r>
      <w:r w:rsidR="006B7973">
        <w:rPr>
          <w:lang w:val="en-AU"/>
        </w:rPr>
        <w:t>ed</w:t>
      </w:r>
      <w:r w:rsidR="00C01A50" w:rsidRPr="00C747BC">
        <w:rPr>
          <w:lang w:val="en-AU"/>
        </w:rPr>
        <w:t xml:space="preserve"> if the Basin Plan had not been implemented. Such </w:t>
      </w:r>
      <w:r w:rsidR="00C74675" w:rsidRPr="00C747BC">
        <w:rPr>
          <w:lang w:val="en-AU"/>
        </w:rPr>
        <w:t>comparisons</w:t>
      </w:r>
      <w:r w:rsidR="00C74675">
        <w:rPr>
          <w:lang w:val="en-AU"/>
        </w:rPr>
        <w:t xml:space="preserve"> between the</w:t>
      </w:r>
      <w:r w:rsidR="00C74675" w:rsidRPr="00C747BC">
        <w:rPr>
          <w:lang w:val="en-AU"/>
        </w:rPr>
        <w:t xml:space="preserve"> </w:t>
      </w:r>
      <w:r w:rsidR="007F7277">
        <w:rPr>
          <w:lang w:val="en-AU"/>
        </w:rPr>
        <w:t xml:space="preserve">“with” and “without” </w:t>
      </w:r>
      <w:r w:rsidR="00C74675">
        <w:rPr>
          <w:lang w:val="en-AU"/>
        </w:rPr>
        <w:t xml:space="preserve">scenarios </w:t>
      </w:r>
      <w:r w:rsidR="00C01A50" w:rsidRPr="00C747BC">
        <w:rPr>
          <w:lang w:val="en-AU"/>
        </w:rPr>
        <w:t>are standard practice in economics.</w:t>
      </w:r>
      <w:r w:rsidR="00C74675">
        <w:rPr>
          <w:rStyle w:val="FootnoteReference"/>
          <w:lang w:val="en-AU"/>
        </w:rPr>
        <w:footnoteReference w:id="2"/>
      </w:r>
    </w:p>
    <w:p w14:paraId="2B033E5B" w14:textId="77777777" w:rsidR="00C01A50" w:rsidRDefault="00C01A50" w:rsidP="007F7277">
      <w:pPr>
        <w:pStyle w:val="Heading2"/>
        <w:numPr>
          <w:ilvl w:val="0"/>
          <w:numId w:val="0"/>
        </w:numPr>
        <w:ind w:left="576" w:hanging="576"/>
      </w:pPr>
      <w:bookmarkStart w:id="19" w:name="_Toc342658308"/>
      <w:bookmarkStart w:id="20" w:name="_Ref346109401"/>
      <w:bookmarkStart w:id="21" w:name="_Toc347747779"/>
      <w:r>
        <w:t>Understanding the southern-connected Basin as a whole</w:t>
      </w:r>
      <w:bookmarkEnd w:id="19"/>
      <w:bookmarkEnd w:id="20"/>
      <w:bookmarkEnd w:id="21"/>
    </w:p>
    <w:p w14:paraId="367BFF9A" w14:textId="77777777" w:rsidR="00C01A50" w:rsidRDefault="00C01A50" w:rsidP="006F1745">
      <w:r>
        <w:t xml:space="preserve">Understanding the socio-economic impacts of the Basin Plan in </w:t>
      </w:r>
      <w:r w:rsidR="003C7FAE">
        <w:t>Victoria</w:t>
      </w:r>
      <w:r>
        <w:t xml:space="preserve"> depends on an understanding of the </w:t>
      </w:r>
      <w:r w:rsidR="004560EF">
        <w:t xml:space="preserve">various forms of </w:t>
      </w:r>
      <w:r w:rsidR="003C7FAE">
        <w:t xml:space="preserve">water </w:t>
      </w:r>
      <w:r>
        <w:t>suppl</w:t>
      </w:r>
      <w:r w:rsidR="004560EF">
        <w:t>y and demand</w:t>
      </w:r>
      <w:r>
        <w:t xml:space="preserve"> in northern Victoria, southern NSW and the irrigation areas of South Australia. </w:t>
      </w:r>
      <w:r w:rsidR="004560EF">
        <w:t xml:space="preserve">Collectively, these </w:t>
      </w:r>
      <w:r w:rsidR="002456D5">
        <w:t>regions</w:t>
      </w:r>
      <w:r w:rsidR="004560EF">
        <w:t xml:space="preserve"> </w:t>
      </w:r>
      <w:r w:rsidR="002456D5">
        <w:t>are referred to in this report as</w:t>
      </w:r>
      <w:r w:rsidR="004560EF">
        <w:t xml:space="preserve"> the southern-connected </w:t>
      </w:r>
      <w:r w:rsidR="00A54910">
        <w:t>Basin.</w:t>
      </w:r>
      <w:r w:rsidR="002456D5">
        <w:t xml:space="preserve"> </w:t>
      </w:r>
      <w:r w:rsidR="00A54910">
        <w:t xml:space="preserve">The </w:t>
      </w:r>
      <w:r w:rsidR="002456D5">
        <w:t>physical connections between these regions enable</w:t>
      </w:r>
      <w:r w:rsidR="003C7FAE">
        <w:t xml:space="preserve"> water to be traded throughout the southern-connected Basin in ways that in effect</w:t>
      </w:r>
      <w:r w:rsidR="00A54910">
        <w:t>,</w:t>
      </w:r>
      <w:r w:rsidR="003C7FAE">
        <w:t xml:space="preserve"> create a single integrated water market. </w:t>
      </w:r>
      <w:r w:rsidR="00A54910">
        <w:t xml:space="preserve">Consequently, although water </w:t>
      </w:r>
      <w:r>
        <w:t xml:space="preserve">recovery </w:t>
      </w:r>
      <w:r w:rsidR="003C7FAE">
        <w:t xml:space="preserve">under the Basin Plan </w:t>
      </w:r>
      <w:r>
        <w:t xml:space="preserve">has affected </w:t>
      </w:r>
      <w:r w:rsidR="003C7FAE">
        <w:t>water</w:t>
      </w:r>
      <w:r>
        <w:t xml:space="preserve"> sup</w:t>
      </w:r>
      <w:r w:rsidR="00112053">
        <w:t>ply</w:t>
      </w:r>
      <w:r w:rsidR="00A54910">
        <w:t xml:space="preserve"> in each state differently,</w:t>
      </w:r>
      <w:r>
        <w:t xml:space="preserve"> the socio-economic impacts of </w:t>
      </w:r>
      <w:r w:rsidR="00112053">
        <w:t xml:space="preserve">water recovery depend on how </w:t>
      </w:r>
      <w:r>
        <w:t xml:space="preserve">water </w:t>
      </w:r>
      <w:r w:rsidR="00112053">
        <w:rPr>
          <w:lang w:val="en-AU"/>
        </w:rPr>
        <w:t>demand</w:t>
      </w:r>
      <w:r w:rsidR="00112053">
        <w:t xml:space="preserve"> changes</w:t>
      </w:r>
      <w:r>
        <w:t xml:space="preserve"> in response</w:t>
      </w:r>
      <w:r w:rsidR="00112053">
        <w:t>.</w:t>
      </w:r>
      <w:r>
        <w:t xml:space="preserve"> </w:t>
      </w:r>
      <w:r w:rsidR="00C74675">
        <w:t xml:space="preserve">This </w:t>
      </w:r>
      <w:r w:rsidR="008532C8">
        <w:t>report is concerned with developing an understanding of those changes in supply and</w:t>
      </w:r>
      <w:r w:rsidR="00122B38">
        <w:t>, more particularly</w:t>
      </w:r>
      <w:r w:rsidR="00D67D09">
        <w:t>,</w:t>
      </w:r>
      <w:r w:rsidR="008532C8">
        <w:t xml:space="preserve"> demand</w:t>
      </w:r>
      <w:r w:rsidR="00396621">
        <w:t>,</w:t>
      </w:r>
      <w:r w:rsidR="0041035D" w:rsidRPr="0041035D">
        <w:t xml:space="preserve"> under current and future water scenarios</w:t>
      </w:r>
      <w:r w:rsidR="008532C8">
        <w:t>.</w:t>
      </w:r>
    </w:p>
    <w:p w14:paraId="4E0988EB" w14:textId="77777777" w:rsidR="00C01A50" w:rsidRDefault="00C01A50" w:rsidP="006F1745">
      <w:pPr>
        <w:rPr>
          <w:lang w:val="en-AU"/>
        </w:rPr>
      </w:pPr>
      <w:r w:rsidRPr="0001419D">
        <w:rPr>
          <w:lang w:val="en-AU"/>
        </w:rPr>
        <w:t xml:space="preserve">The different </w:t>
      </w:r>
      <w:r w:rsidR="008532C8">
        <w:rPr>
          <w:lang w:val="en-AU"/>
        </w:rPr>
        <w:t xml:space="preserve">water </w:t>
      </w:r>
      <w:r w:rsidRPr="0001419D">
        <w:rPr>
          <w:lang w:val="en-AU"/>
        </w:rPr>
        <w:t xml:space="preserve">allocation frameworks in each state mean that allocations against the </w:t>
      </w:r>
      <w:r w:rsidR="008532C8">
        <w:rPr>
          <w:lang w:val="en-AU"/>
        </w:rPr>
        <w:t xml:space="preserve">five main </w:t>
      </w:r>
      <w:r w:rsidRPr="0001419D">
        <w:rPr>
          <w:lang w:val="en-AU"/>
        </w:rPr>
        <w:t xml:space="preserve">types of </w:t>
      </w:r>
      <w:r w:rsidR="008532C8">
        <w:rPr>
          <w:lang w:val="en-AU"/>
        </w:rPr>
        <w:t>water entitlement</w:t>
      </w:r>
      <w:r w:rsidR="00C61737">
        <w:rPr>
          <w:lang w:val="en-AU"/>
        </w:rPr>
        <w:t>s</w:t>
      </w:r>
      <w:r w:rsidR="008532C8">
        <w:rPr>
          <w:lang w:val="en-AU"/>
        </w:rPr>
        <w:t xml:space="preserve"> in the southern-connected Basin</w:t>
      </w:r>
      <w:r w:rsidRPr="0001419D">
        <w:rPr>
          <w:lang w:val="en-AU"/>
        </w:rPr>
        <w:t xml:space="preserve"> vary markedly</w:t>
      </w:r>
      <w:r w:rsidR="004327F0">
        <w:rPr>
          <w:lang w:val="en-AU"/>
        </w:rPr>
        <w:t>, from each other, and</w:t>
      </w:r>
      <w:r w:rsidRPr="0001419D">
        <w:rPr>
          <w:lang w:val="en-AU"/>
        </w:rPr>
        <w:t xml:space="preserve"> from year to year</w:t>
      </w:r>
      <w:r>
        <w:rPr>
          <w:lang w:val="en-AU"/>
        </w:rPr>
        <w:t xml:space="preserve"> (</w:t>
      </w:r>
      <w:r>
        <w:rPr>
          <w:lang w:val="en-AU"/>
        </w:rPr>
        <w:fldChar w:fldCharType="begin"/>
      </w:r>
      <w:r>
        <w:rPr>
          <w:lang w:val="en-AU"/>
        </w:rPr>
        <w:instrText xml:space="preserve"> REF _Ref342646742 \h </w:instrText>
      </w:r>
      <w:r>
        <w:rPr>
          <w:lang w:val="en-AU"/>
        </w:rPr>
      </w:r>
      <w:r>
        <w:rPr>
          <w:lang w:val="en-AU"/>
        </w:rPr>
        <w:fldChar w:fldCharType="separate"/>
      </w:r>
      <w:r w:rsidR="008E5D7A">
        <w:t xml:space="preserve">Figure </w:t>
      </w:r>
      <w:r w:rsidR="008E5D7A">
        <w:rPr>
          <w:noProof/>
        </w:rPr>
        <w:t>1</w:t>
      </w:r>
      <w:r>
        <w:rPr>
          <w:lang w:val="en-AU"/>
        </w:rPr>
        <w:fldChar w:fldCharType="end"/>
      </w:r>
      <w:r>
        <w:rPr>
          <w:lang w:val="en-AU"/>
        </w:rPr>
        <w:t>)</w:t>
      </w:r>
      <w:r w:rsidRPr="00793CA8">
        <w:rPr>
          <w:lang w:val="en-US"/>
        </w:rPr>
        <w:t xml:space="preserve">. Allocations against </w:t>
      </w:r>
      <w:r w:rsidRPr="0001419D">
        <w:rPr>
          <w:lang w:val="en-US"/>
        </w:rPr>
        <w:t xml:space="preserve">NSW </w:t>
      </w:r>
      <w:r w:rsidR="002A7A4A" w:rsidRPr="0001419D">
        <w:rPr>
          <w:lang w:val="en-US"/>
        </w:rPr>
        <w:t xml:space="preserve">General Security </w:t>
      </w:r>
      <w:r w:rsidRPr="0001419D">
        <w:rPr>
          <w:lang w:val="en-US"/>
        </w:rPr>
        <w:t>entitlements have the most impact on market price</w:t>
      </w:r>
      <w:r w:rsidR="004327F0">
        <w:rPr>
          <w:lang w:val="en-US"/>
        </w:rPr>
        <w:t>s</w:t>
      </w:r>
      <w:r w:rsidR="00396621">
        <w:rPr>
          <w:lang w:val="en-US"/>
        </w:rPr>
        <w:t xml:space="preserve"> because</w:t>
      </w:r>
      <w:r w:rsidRPr="00793CA8">
        <w:rPr>
          <w:lang w:val="en-US"/>
        </w:rPr>
        <w:t xml:space="preserve"> they constitute the largest pool of entitlements,</w:t>
      </w:r>
      <w:r>
        <w:rPr>
          <w:lang w:val="en-US"/>
        </w:rPr>
        <w:t xml:space="preserve"> and </w:t>
      </w:r>
      <w:r w:rsidR="008532C8">
        <w:rPr>
          <w:lang w:val="en-US"/>
        </w:rPr>
        <w:t xml:space="preserve">the allocations against them </w:t>
      </w:r>
      <w:r>
        <w:rPr>
          <w:lang w:val="en-US"/>
        </w:rPr>
        <w:t>are the most variable</w:t>
      </w:r>
      <w:r w:rsidR="004327F0">
        <w:rPr>
          <w:lang w:val="en-US"/>
        </w:rPr>
        <w:t>.</w:t>
      </w:r>
    </w:p>
    <w:p w14:paraId="5ED66E45" w14:textId="77777777" w:rsidR="00C01A50" w:rsidRDefault="00DF5A6B" w:rsidP="00DC2C6F">
      <w:pPr>
        <w:keepNext/>
        <w:jc w:val="center"/>
        <w:rPr>
          <w:lang w:val="en-AU"/>
        </w:rPr>
      </w:pPr>
      <w:r>
        <w:rPr>
          <w:noProof/>
          <w:lang w:val="en-AU" w:eastAsia="en-AU" w:bidi="ar-SA"/>
        </w:rPr>
        <w:lastRenderedPageBreak/>
        <w:drawing>
          <wp:inline distT="0" distB="0" distL="0" distR="0" wp14:anchorId="0E4509DC" wp14:editId="6F52E073">
            <wp:extent cx="40386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51312B" w14:textId="77777777" w:rsidR="00C01A50" w:rsidRPr="00E4165C" w:rsidRDefault="00C01A50" w:rsidP="006F1745">
      <w:pPr>
        <w:pStyle w:val="Caption"/>
        <w:rPr>
          <w:bCs w:val="0"/>
        </w:rPr>
      </w:pPr>
      <w:bookmarkStart w:id="22" w:name="_Ref342646742"/>
      <w:r>
        <w:t xml:space="preserve">Figure </w:t>
      </w:r>
      <w:r>
        <w:fldChar w:fldCharType="begin"/>
      </w:r>
      <w:r>
        <w:instrText xml:space="preserve"> SEQ Figure \* ARABIC </w:instrText>
      </w:r>
      <w:r>
        <w:fldChar w:fldCharType="separate"/>
      </w:r>
      <w:r w:rsidR="008E5D7A">
        <w:rPr>
          <w:noProof/>
        </w:rPr>
        <w:t>1</w:t>
      </w:r>
      <w:r>
        <w:fldChar w:fldCharType="end"/>
      </w:r>
      <w:bookmarkEnd w:id="22"/>
      <w:r>
        <w:t xml:space="preserve">: </w:t>
      </w:r>
      <w:r w:rsidRPr="00E4165C">
        <w:rPr>
          <w:bCs w:val="0"/>
        </w:rPr>
        <w:t>Water allocations against the five main entitlement types in the southern-connected Basin since water recovery commenced</w:t>
      </w:r>
      <w:r>
        <w:rPr>
          <w:bCs w:val="0"/>
        </w:rPr>
        <w:t>.</w:t>
      </w:r>
    </w:p>
    <w:p w14:paraId="3CD8323C" w14:textId="77777777" w:rsidR="00C01A50" w:rsidRDefault="00C01A50" w:rsidP="006F1745">
      <w:pPr>
        <w:rPr>
          <w:lang w:val="en-AU"/>
        </w:rPr>
      </w:pPr>
      <w:r>
        <w:rPr>
          <w:lang w:val="en-AU"/>
        </w:rPr>
        <w:t>For the purposes of this report it is helpful to think about water in the southern-connected Basin being used for three main types of irrigated enterprise. These are:</w:t>
      </w:r>
    </w:p>
    <w:p w14:paraId="4D0C0C0D" w14:textId="77777777" w:rsidR="00C01A50" w:rsidRPr="00317289" w:rsidRDefault="00C01A50" w:rsidP="00302BD9">
      <w:pPr>
        <w:pStyle w:val="ListParagraph"/>
        <w:numPr>
          <w:ilvl w:val="0"/>
          <w:numId w:val="47"/>
        </w:numPr>
        <w:rPr>
          <w:lang w:val="en-AU"/>
        </w:rPr>
      </w:pPr>
      <w:r w:rsidRPr="00317289">
        <w:rPr>
          <w:lang w:val="en-AU"/>
        </w:rPr>
        <w:t>horticulture</w:t>
      </w:r>
    </w:p>
    <w:p w14:paraId="623729E9" w14:textId="77777777" w:rsidR="00C01A50" w:rsidRPr="00317289" w:rsidRDefault="00C01A50" w:rsidP="00302BD9">
      <w:pPr>
        <w:pStyle w:val="ListParagraph"/>
        <w:numPr>
          <w:ilvl w:val="0"/>
          <w:numId w:val="47"/>
        </w:numPr>
        <w:rPr>
          <w:lang w:val="en-AU"/>
        </w:rPr>
      </w:pPr>
      <w:r w:rsidRPr="00317289">
        <w:rPr>
          <w:lang w:val="en-AU"/>
        </w:rPr>
        <w:t>dairying and mixed farming</w:t>
      </w:r>
    </w:p>
    <w:p w14:paraId="794FABA7" w14:textId="77777777" w:rsidR="00C01A50" w:rsidRPr="00317289" w:rsidRDefault="00C01A50" w:rsidP="00302BD9">
      <w:pPr>
        <w:pStyle w:val="ListParagraph"/>
        <w:numPr>
          <w:ilvl w:val="0"/>
          <w:numId w:val="47"/>
        </w:numPr>
        <w:rPr>
          <w:lang w:val="en-AU"/>
        </w:rPr>
      </w:pPr>
      <w:r w:rsidRPr="00317289">
        <w:rPr>
          <w:lang w:val="en-AU"/>
        </w:rPr>
        <w:t>rice-based and cotton-based annual cropping systems</w:t>
      </w:r>
      <w:r w:rsidR="005F3313">
        <w:rPr>
          <w:lang w:val="en-AU"/>
        </w:rPr>
        <w:t>.</w:t>
      </w:r>
    </w:p>
    <w:p w14:paraId="007927F9" w14:textId="77777777" w:rsidR="00C01A50" w:rsidRPr="00601407" w:rsidRDefault="00C01A50" w:rsidP="006F1745">
      <w:pPr>
        <w:rPr>
          <w:lang w:val="en-US"/>
        </w:rPr>
      </w:pPr>
      <w:r>
        <w:rPr>
          <w:b/>
          <w:lang w:val="en-AU"/>
        </w:rPr>
        <w:t xml:space="preserve">Irrigated </w:t>
      </w:r>
      <w:r w:rsidRPr="00A67029">
        <w:rPr>
          <w:b/>
          <w:lang w:val="en-AU"/>
        </w:rPr>
        <w:t>horticulture</w:t>
      </w:r>
      <w:r>
        <w:rPr>
          <w:lang w:val="en-AU"/>
        </w:rPr>
        <w:t xml:space="preserve"> in the southern-connected Basin is concentrated in</w:t>
      </w:r>
      <w:r w:rsidRPr="00BC2D27">
        <w:rPr>
          <w:lang w:val="en-AU"/>
        </w:rPr>
        <w:t xml:space="preserve"> </w:t>
      </w:r>
      <w:r>
        <w:rPr>
          <w:lang w:val="en-AU"/>
        </w:rPr>
        <w:t xml:space="preserve">the Mallee regions of NSW, South Australia and Victoria, around Griffith in NSW and around Shepparton in Victoria. </w:t>
      </w:r>
    </w:p>
    <w:p w14:paraId="42FF2A23" w14:textId="77777777" w:rsidR="00C01A50" w:rsidRPr="003441C0" w:rsidRDefault="00C01A50" w:rsidP="006F1745">
      <w:pPr>
        <w:rPr>
          <w:lang w:val="en-US"/>
        </w:rPr>
      </w:pPr>
      <w:r w:rsidRPr="00F74C7E">
        <w:rPr>
          <w:b/>
          <w:lang w:val="en-AU"/>
        </w:rPr>
        <w:t>Irrigated dairying and mixed farming</w:t>
      </w:r>
      <w:r>
        <w:rPr>
          <w:lang w:val="en-AU"/>
        </w:rPr>
        <w:t xml:space="preserve"> is concentrated in the Goulburn-Murray Irrigation District (GMID) of Victoria, with smaller levels of production in southern NSW and a low level of production in the Lower Lakes region of South Australia. </w:t>
      </w:r>
    </w:p>
    <w:p w14:paraId="520060C6" w14:textId="77777777" w:rsidR="00C01A50" w:rsidRDefault="00C01A50" w:rsidP="006F1745">
      <w:pPr>
        <w:rPr>
          <w:lang w:val="en-AU"/>
        </w:rPr>
      </w:pPr>
      <w:r w:rsidRPr="00205AAE">
        <w:rPr>
          <w:b/>
          <w:lang w:val="en-AU"/>
        </w:rPr>
        <w:t xml:space="preserve">Rice-based </w:t>
      </w:r>
      <w:r>
        <w:rPr>
          <w:b/>
          <w:lang w:val="en-AU"/>
        </w:rPr>
        <w:t xml:space="preserve">and cotton-based </w:t>
      </w:r>
      <w:r w:rsidRPr="00205AAE">
        <w:rPr>
          <w:b/>
          <w:lang w:val="en-AU"/>
        </w:rPr>
        <w:t>annual cropping systems</w:t>
      </w:r>
      <w:r w:rsidRPr="003B1DA3">
        <w:rPr>
          <w:lang w:val="en-AU"/>
        </w:rPr>
        <w:t xml:space="preserve"> </w:t>
      </w:r>
      <w:r>
        <w:rPr>
          <w:lang w:val="en-AU"/>
        </w:rPr>
        <w:t xml:space="preserve">are concentrated in the Murrumbidgee and Murray regions of NSW. </w:t>
      </w:r>
    </w:p>
    <w:p w14:paraId="738D6BFC" w14:textId="77777777" w:rsidR="00C01A50" w:rsidRDefault="00DF5A6B" w:rsidP="00DC2C6F">
      <w:pPr>
        <w:keepNext/>
        <w:jc w:val="center"/>
        <w:rPr>
          <w:lang w:val="en-AU"/>
        </w:rPr>
      </w:pPr>
      <w:r>
        <w:rPr>
          <w:noProof/>
          <w:lang w:val="en-AU" w:eastAsia="en-AU" w:bidi="ar-SA"/>
        </w:rPr>
        <w:lastRenderedPageBreak/>
        <w:drawing>
          <wp:inline distT="0" distB="0" distL="0" distR="0" wp14:anchorId="289480B3" wp14:editId="24A4B482">
            <wp:extent cx="4257675" cy="2847975"/>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749D82" w14:textId="77777777" w:rsidR="00C01A50" w:rsidRDefault="00C01A50" w:rsidP="006F1745">
      <w:pPr>
        <w:pStyle w:val="Caption"/>
        <w:rPr>
          <w:lang w:val="en-AU"/>
        </w:rPr>
      </w:pPr>
      <w:bookmarkStart w:id="23" w:name="_Ref342648158"/>
      <w:r>
        <w:t xml:space="preserve">Figure </w:t>
      </w:r>
      <w:r>
        <w:fldChar w:fldCharType="begin"/>
      </w:r>
      <w:r>
        <w:instrText xml:space="preserve"> SEQ Figure \* ARABIC </w:instrText>
      </w:r>
      <w:r>
        <w:fldChar w:fldCharType="separate"/>
      </w:r>
      <w:r w:rsidR="008E5D7A">
        <w:rPr>
          <w:noProof/>
        </w:rPr>
        <w:t>2</w:t>
      </w:r>
      <w:r>
        <w:fldChar w:fldCharType="end"/>
      </w:r>
      <w:bookmarkEnd w:id="23"/>
      <w:r>
        <w:t>: Estimated water use by different irrigated industries in the southern-connected Basin since water recovery commenced.</w:t>
      </w:r>
    </w:p>
    <w:p w14:paraId="7BCB3A8C" w14:textId="77777777" w:rsidR="00C01A50" w:rsidRDefault="00C01A50" w:rsidP="006F1745">
      <w:r>
        <w:t>At the system-scale, the mix of irrigated enterprises that are non-interruptible (</w:t>
      </w:r>
      <w:r w:rsidR="00396621">
        <w:t xml:space="preserve">e.g. </w:t>
      </w:r>
      <w:r>
        <w:t>perennial horticulture), semi-interruptible (</w:t>
      </w:r>
      <w:r w:rsidR="00396621">
        <w:t xml:space="preserve">e.g. </w:t>
      </w:r>
      <w:r>
        <w:t>dairying) and interruptible (</w:t>
      </w:r>
      <w:r w:rsidR="00396621">
        <w:t xml:space="preserve">e.g. </w:t>
      </w:r>
      <w:r>
        <w:t xml:space="preserve">cropping) have traditionally helped </w:t>
      </w:r>
      <w:r w:rsidR="00396621">
        <w:t xml:space="preserve">irrigators </w:t>
      </w:r>
      <w:r>
        <w:t>to adjust to variable water supplies (</w:t>
      </w:r>
      <w:r>
        <w:fldChar w:fldCharType="begin"/>
      </w:r>
      <w:r>
        <w:instrText xml:space="preserve"> REF _Ref342648158 \h </w:instrText>
      </w:r>
      <w:r>
        <w:fldChar w:fldCharType="separate"/>
      </w:r>
      <w:r w:rsidR="008E5D7A">
        <w:t xml:space="preserve">Figure </w:t>
      </w:r>
      <w:r w:rsidR="008E5D7A">
        <w:rPr>
          <w:noProof/>
        </w:rPr>
        <w:t>2</w:t>
      </w:r>
      <w:r>
        <w:fldChar w:fldCharType="end"/>
      </w:r>
      <w:r>
        <w:t xml:space="preserve">). Because the Basin Plan reduces the volumes of the different entitlements in different ways, it is also changing the proportions that each contributes to the whole. As irrigators adjust to these changes, they will change the mix of </w:t>
      </w:r>
      <w:r w:rsidR="007303EA">
        <w:t xml:space="preserve">non-interruptible, semi-interruptible and interruptible </w:t>
      </w:r>
      <w:r>
        <w:t xml:space="preserve">irrigated enterprises, and they will reduce the total area of irrigation. It is the nature of those responses that determine the socio-economic impacts of the Basin Plan. </w:t>
      </w:r>
    </w:p>
    <w:p w14:paraId="3E920126" w14:textId="77777777" w:rsidR="00C01A50" w:rsidRDefault="00C01A50" w:rsidP="000422F7">
      <w:pPr>
        <w:pStyle w:val="Heading2"/>
        <w:numPr>
          <w:ilvl w:val="0"/>
          <w:numId w:val="0"/>
        </w:numPr>
        <w:ind w:left="576" w:hanging="576"/>
      </w:pPr>
      <w:bookmarkStart w:id="24" w:name="_Toc342658309"/>
      <w:bookmarkStart w:id="25" w:name="_Toc347747780"/>
      <w:r>
        <w:t>Impacts at the farm scale</w:t>
      </w:r>
      <w:bookmarkEnd w:id="24"/>
      <w:bookmarkEnd w:id="25"/>
    </w:p>
    <w:p w14:paraId="0242E50D" w14:textId="77777777" w:rsidR="007C2143" w:rsidRDefault="00C01A50" w:rsidP="006F1745">
      <w:pPr>
        <w:rPr>
          <w:rFonts w:cstheme="minorHAnsi"/>
        </w:rPr>
      </w:pPr>
      <w:r>
        <w:rPr>
          <w:rFonts w:cstheme="minorHAnsi"/>
        </w:rPr>
        <w:t xml:space="preserve">Water recovery started in </w:t>
      </w:r>
      <w:r w:rsidR="001E7491">
        <w:rPr>
          <w:rFonts w:cstheme="minorHAnsi"/>
        </w:rPr>
        <w:t>2007 in</w:t>
      </w:r>
      <w:r w:rsidR="000062B3">
        <w:rPr>
          <w:rFonts w:cstheme="minorHAnsi"/>
        </w:rPr>
        <w:t xml:space="preserve"> </w:t>
      </w:r>
      <w:r>
        <w:rPr>
          <w:rFonts w:cstheme="minorHAnsi"/>
        </w:rPr>
        <w:t>the midst of extreme drought</w:t>
      </w:r>
      <w:r w:rsidR="007C2143">
        <w:rPr>
          <w:rFonts w:cstheme="minorHAnsi"/>
        </w:rPr>
        <w:t xml:space="preserve">. </w:t>
      </w:r>
      <w:r w:rsidR="007C2143" w:rsidRPr="007C2143">
        <w:rPr>
          <w:rFonts w:cstheme="minorHAnsi"/>
        </w:rPr>
        <w:t>Since 2011/12 the Commonwealth’s purchasing has slowed</w:t>
      </w:r>
      <w:r w:rsidR="007C2143">
        <w:rPr>
          <w:rFonts w:cstheme="minorHAnsi"/>
        </w:rPr>
        <w:t xml:space="preserve">. </w:t>
      </w:r>
      <w:r w:rsidR="00AD13BC">
        <w:rPr>
          <w:rFonts w:cstheme="minorHAnsi"/>
        </w:rPr>
        <w:t xml:space="preserve">It </w:t>
      </w:r>
      <w:r w:rsidR="007C2143">
        <w:rPr>
          <w:rFonts w:cstheme="minorHAnsi"/>
        </w:rPr>
        <w:t>now concentrates on water recovery through on-farm and off-farm efficiency measures</w:t>
      </w:r>
      <w:r w:rsidR="007C2143" w:rsidRPr="007C2143">
        <w:rPr>
          <w:rFonts w:cstheme="minorHAnsi"/>
        </w:rPr>
        <w:t>.</w:t>
      </w:r>
      <w:r w:rsidR="00D34872">
        <w:rPr>
          <w:rFonts w:cstheme="minorHAnsi"/>
        </w:rPr>
        <w:t xml:space="preserve"> Most of the Victorian water entitlements purchased by the Commonwealth were transferred into Commonwealth ownership in the three years from 2009/10 to 2011/12. In many cases contracts were exchanged in the year before the transfer took place.</w:t>
      </w:r>
    </w:p>
    <w:p w14:paraId="5B59D9D2" w14:textId="77777777" w:rsidR="00C01A50" w:rsidRDefault="00D34872" w:rsidP="006F1745">
      <w:pPr>
        <w:rPr>
          <w:rFonts w:cstheme="minorHAnsi"/>
        </w:rPr>
      </w:pPr>
      <w:r>
        <w:rPr>
          <w:rFonts w:cstheme="minorHAnsi"/>
        </w:rPr>
        <w:t xml:space="preserve">As outlined in Chapter </w:t>
      </w:r>
      <w:r>
        <w:rPr>
          <w:rFonts w:cstheme="minorHAnsi"/>
        </w:rPr>
        <w:fldChar w:fldCharType="begin"/>
      </w:r>
      <w:r>
        <w:rPr>
          <w:rFonts w:cstheme="minorHAnsi"/>
        </w:rPr>
        <w:instrText xml:space="preserve"> REF _Ref342482626 \r \h </w:instrText>
      </w:r>
      <w:r>
        <w:rPr>
          <w:rFonts w:cstheme="minorHAnsi"/>
        </w:rPr>
      </w:r>
      <w:r>
        <w:rPr>
          <w:rFonts w:cstheme="minorHAnsi"/>
        </w:rPr>
        <w:fldChar w:fldCharType="separate"/>
      </w:r>
      <w:r w:rsidR="008E5D7A">
        <w:rPr>
          <w:rFonts w:cstheme="minorHAnsi"/>
        </w:rPr>
        <w:t>4</w:t>
      </w:r>
      <w:r>
        <w:rPr>
          <w:rFonts w:cstheme="minorHAnsi"/>
        </w:rPr>
        <w:fldChar w:fldCharType="end"/>
      </w:r>
      <w:r>
        <w:rPr>
          <w:rFonts w:cstheme="minorHAnsi"/>
        </w:rPr>
        <w:t xml:space="preserve">, there </w:t>
      </w:r>
      <w:r w:rsidR="00C01A50">
        <w:rPr>
          <w:rFonts w:cstheme="minorHAnsi"/>
        </w:rPr>
        <w:t>is no doubt that the money the Commonwealth paid irrigators for their entitlements</w:t>
      </w:r>
      <w:r>
        <w:rPr>
          <w:rFonts w:cstheme="minorHAnsi"/>
        </w:rPr>
        <w:t>, or for their on-farm efficiency measures,</w:t>
      </w:r>
      <w:r w:rsidR="00C01A50">
        <w:rPr>
          <w:rFonts w:cstheme="minorHAnsi"/>
        </w:rPr>
        <w:t xml:space="preserve"> helped </w:t>
      </w:r>
      <w:r w:rsidR="00396621">
        <w:rPr>
          <w:rFonts w:cstheme="minorHAnsi"/>
        </w:rPr>
        <w:t xml:space="preserve">these irrigators </w:t>
      </w:r>
      <w:r w:rsidR="00C01A50">
        <w:rPr>
          <w:rFonts w:cstheme="minorHAnsi"/>
        </w:rPr>
        <w:t xml:space="preserve">to adjust to the drought. In many cases it helped people to exit farming with better financial resources than they would otherwise have had. </w:t>
      </w:r>
      <w:r>
        <w:rPr>
          <w:rFonts w:cstheme="minorHAnsi"/>
        </w:rPr>
        <w:t xml:space="preserve">As outlined in Chapter </w:t>
      </w:r>
      <w:r>
        <w:rPr>
          <w:rFonts w:cstheme="minorHAnsi"/>
        </w:rPr>
        <w:fldChar w:fldCharType="begin"/>
      </w:r>
      <w:r>
        <w:rPr>
          <w:rFonts w:cstheme="minorHAnsi"/>
        </w:rPr>
        <w:instrText xml:space="preserve"> REF _Ref346108198 \r \h </w:instrText>
      </w:r>
      <w:r>
        <w:rPr>
          <w:rFonts w:cstheme="minorHAnsi"/>
        </w:rPr>
      </w:r>
      <w:r>
        <w:rPr>
          <w:rFonts w:cstheme="minorHAnsi"/>
        </w:rPr>
        <w:fldChar w:fldCharType="separate"/>
      </w:r>
      <w:r w:rsidR="008E5D7A">
        <w:rPr>
          <w:rFonts w:cstheme="minorHAnsi"/>
        </w:rPr>
        <w:t>5</w:t>
      </w:r>
      <w:r>
        <w:rPr>
          <w:rFonts w:cstheme="minorHAnsi"/>
        </w:rPr>
        <w:fldChar w:fldCharType="end"/>
      </w:r>
      <w:r>
        <w:rPr>
          <w:rFonts w:cstheme="minorHAnsi"/>
        </w:rPr>
        <w:t xml:space="preserve">, during </w:t>
      </w:r>
      <w:r w:rsidR="0093757E">
        <w:rPr>
          <w:rFonts w:cstheme="minorHAnsi"/>
        </w:rPr>
        <w:t xml:space="preserve">the same period, water </w:t>
      </w:r>
      <w:r w:rsidR="00C01A50">
        <w:rPr>
          <w:rFonts w:cstheme="minorHAnsi"/>
        </w:rPr>
        <w:t>recovery helped many irrigators cope with the collapse of the wine boom in similar ways. It also helped to prevent a significant disruption to the horticultural expansion when two major managed investment schemes became insolvent. The investors who salvaged those orchards often sold their entitlements to the Commonwealth and continued to purchase allocations in order to irrigate.</w:t>
      </w:r>
    </w:p>
    <w:p w14:paraId="21062CAD" w14:textId="0F139921" w:rsidR="00C01A50" w:rsidRDefault="00C01A50" w:rsidP="006F1745">
      <w:pPr>
        <w:rPr>
          <w:rFonts w:cstheme="minorHAnsi"/>
        </w:rPr>
      </w:pPr>
      <w:r>
        <w:rPr>
          <w:rFonts w:cstheme="minorHAnsi"/>
        </w:rPr>
        <w:lastRenderedPageBreak/>
        <w:t>Record-breaking floods were recorded immediately after the buyback of entitlements stopped. The extraordinary levels of carryover built up during th</w:t>
      </w:r>
      <w:r w:rsidR="00D34872">
        <w:rPr>
          <w:rFonts w:cstheme="minorHAnsi"/>
        </w:rPr>
        <w:t>os</w:t>
      </w:r>
      <w:r>
        <w:rPr>
          <w:rFonts w:cstheme="minorHAnsi"/>
        </w:rPr>
        <w:t xml:space="preserve">e </w:t>
      </w:r>
      <w:r w:rsidRPr="00F44F42">
        <w:rPr>
          <w:rFonts w:cstheme="minorHAnsi"/>
          <w:i/>
        </w:rPr>
        <w:t>La Ni</w:t>
      </w:r>
      <w:r w:rsidR="004671DD">
        <w:rPr>
          <w:rFonts w:cstheme="minorHAnsi"/>
          <w:i/>
        </w:rPr>
        <w:t>ñ</w:t>
      </w:r>
      <w:r w:rsidRPr="00F44F42">
        <w:rPr>
          <w:rFonts w:cstheme="minorHAnsi"/>
          <w:i/>
        </w:rPr>
        <w:t>a</w:t>
      </w:r>
      <w:r>
        <w:rPr>
          <w:rFonts w:cstheme="minorHAnsi"/>
        </w:rPr>
        <w:t xml:space="preserve"> years meant that the total combined volume of allocations and carryover against Victorian water shares were greater than the volume of use by irrigators in Victoria for four years after buyback was complete (</w:t>
      </w:r>
      <w:r>
        <w:rPr>
          <w:rFonts w:cstheme="minorHAnsi"/>
        </w:rPr>
        <w:fldChar w:fldCharType="begin"/>
      </w:r>
      <w:r>
        <w:rPr>
          <w:rFonts w:cstheme="minorHAnsi"/>
        </w:rPr>
        <w:instrText xml:space="preserve"> REF _Ref315006786 \h </w:instrText>
      </w:r>
      <w:r>
        <w:rPr>
          <w:rFonts w:cstheme="minorHAnsi"/>
        </w:rPr>
      </w:r>
      <w:r>
        <w:rPr>
          <w:rFonts w:cstheme="minorHAnsi"/>
        </w:rPr>
        <w:fldChar w:fldCharType="separate"/>
      </w:r>
      <w:r w:rsidR="008E5D7A">
        <w:t xml:space="preserve">Figure </w:t>
      </w:r>
      <w:r w:rsidR="008E5D7A">
        <w:rPr>
          <w:noProof/>
        </w:rPr>
        <w:t>13</w:t>
      </w:r>
      <w:r>
        <w:rPr>
          <w:rFonts w:cstheme="minorHAnsi"/>
        </w:rPr>
        <w:fldChar w:fldCharType="end"/>
      </w:r>
      <w:r>
        <w:rPr>
          <w:rFonts w:cstheme="minorHAnsi"/>
        </w:rPr>
        <w:t>). This served to mask the impacts of the Basin Plan until early 2015/16.</w:t>
      </w:r>
    </w:p>
    <w:p w14:paraId="04ECBC19" w14:textId="77777777" w:rsidR="00C01A50" w:rsidRDefault="00C01A50" w:rsidP="00DC2C6F">
      <w:pPr>
        <w:keepNext/>
        <w:spacing w:after="0"/>
      </w:pPr>
      <w:r w:rsidRPr="00A745D1">
        <w:rPr>
          <w:noProof/>
          <w:lang w:val="en-AU" w:eastAsia="en-AU" w:bidi="ar-SA"/>
        </w:rPr>
        <w:drawing>
          <wp:inline distT="0" distB="0" distL="0" distR="0" wp14:anchorId="55E86F7E" wp14:editId="510A06E5">
            <wp:extent cx="5761355" cy="29140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2914015"/>
                    </a:xfrm>
                    <a:prstGeom prst="rect">
                      <a:avLst/>
                    </a:prstGeom>
                    <a:noFill/>
                  </pic:spPr>
                </pic:pic>
              </a:graphicData>
            </a:graphic>
          </wp:inline>
        </w:drawing>
      </w:r>
    </w:p>
    <w:p w14:paraId="08F8B6FE" w14:textId="77777777" w:rsidR="00D34872" w:rsidRPr="000C655E" w:rsidRDefault="00D34872" w:rsidP="00D34872">
      <w:pPr>
        <w:pStyle w:val="Caption"/>
        <w:rPr>
          <w:lang w:val="en-US"/>
        </w:rPr>
      </w:pPr>
      <w:bookmarkStart w:id="26" w:name="_Ref347064786"/>
      <w:r>
        <w:t xml:space="preserve">Figure </w:t>
      </w:r>
      <w:r>
        <w:fldChar w:fldCharType="begin"/>
      </w:r>
      <w:r>
        <w:instrText xml:space="preserve"> SEQ Figure \* ARABIC </w:instrText>
      </w:r>
      <w:r>
        <w:fldChar w:fldCharType="separate"/>
      </w:r>
      <w:r w:rsidR="008E5D7A">
        <w:rPr>
          <w:noProof/>
        </w:rPr>
        <w:t>3</w:t>
      </w:r>
      <w:r>
        <w:rPr>
          <w:noProof/>
        </w:rPr>
        <w:fldChar w:fldCharType="end"/>
      </w:r>
      <w:bookmarkEnd w:id="26"/>
      <w:r>
        <w:t xml:space="preserve">: </w:t>
      </w:r>
      <w:r w:rsidRPr="000C655E">
        <w:t>Private water availability</w:t>
      </w:r>
      <w:r>
        <w:t>,</w:t>
      </w:r>
      <w:r w:rsidRPr="000C655E">
        <w:t xml:space="preserve"> use </w:t>
      </w:r>
      <w:r>
        <w:t>and</w:t>
      </w:r>
      <w:r w:rsidRPr="000C655E">
        <w:t xml:space="preserve"> allocation price, Murray </w:t>
      </w:r>
      <w:r>
        <w:t>and</w:t>
      </w:r>
      <w:r w:rsidRPr="000C655E">
        <w:t xml:space="preserve"> Goulburn systems</w:t>
      </w:r>
      <w:r>
        <w:t xml:space="preserve"> (DELWP, 2016</w:t>
      </w:r>
      <w:r w:rsidR="004D3C4E">
        <w:t>a</w:t>
      </w:r>
      <w:r>
        <w:t>)</w:t>
      </w:r>
    </w:p>
    <w:p w14:paraId="4890F2AF" w14:textId="77777777" w:rsidR="00D34872" w:rsidRDefault="00D34872" w:rsidP="00D34872">
      <w:pPr>
        <w:spacing w:after="0"/>
        <w:rPr>
          <w:rFonts w:cstheme="minorHAnsi"/>
        </w:rPr>
      </w:pPr>
      <w:r w:rsidRPr="00E22C39">
        <w:rPr>
          <w:i/>
          <w:sz w:val="16"/>
        </w:rPr>
        <w:t xml:space="preserve">Note: </w:t>
      </w:r>
      <w:r>
        <w:rPr>
          <w:i/>
          <w:sz w:val="16"/>
        </w:rPr>
        <w:tab/>
        <w:t>The bars for 2015/16 are hatched to indicate that the season was not complete at the time th</w:t>
      </w:r>
      <w:r w:rsidR="00DB2259">
        <w:rPr>
          <w:i/>
          <w:sz w:val="16"/>
        </w:rPr>
        <w:t>e report (DELWP, 2016</w:t>
      </w:r>
      <w:r w:rsidR="004D3C4E">
        <w:rPr>
          <w:i/>
          <w:sz w:val="16"/>
        </w:rPr>
        <w:t>a</w:t>
      </w:r>
      <w:r w:rsidR="00DB2259">
        <w:rPr>
          <w:i/>
          <w:sz w:val="16"/>
        </w:rPr>
        <w:t>)</w:t>
      </w:r>
      <w:r>
        <w:rPr>
          <w:i/>
          <w:sz w:val="16"/>
        </w:rPr>
        <w:t xml:space="preserve"> was being prepared. DELWP was unable to update this figure in time for this report. An updated version would provide insight into high levels of concern about allocation prices in 2015</w:t>
      </w:r>
      <w:r w:rsidR="001B13F7">
        <w:rPr>
          <w:i/>
          <w:sz w:val="16"/>
        </w:rPr>
        <w:t>/</w:t>
      </w:r>
      <w:r>
        <w:rPr>
          <w:i/>
          <w:sz w:val="16"/>
        </w:rPr>
        <w:t>16.</w:t>
      </w:r>
    </w:p>
    <w:p w14:paraId="7BBAF731" w14:textId="77777777" w:rsidR="00022993" w:rsidRDefault="00C01A50" w:rsidP="006F1745">
      <w:pPr>
        <w:rPr>
          <w:lang w:val="en-AU"/>
        </w:rPr>
      </w:pPr>
      <w:r>
        <w:rPr>
          <w:lang w:val="en-AU"/>
        </w:rPr>
        <w:t xml:space="preserve">An analysis of water register data </w:t>
      </w:r>
      <w:r w:rsidR="00DB2259">
        <w:rPr>
          <w:lang w:val="en-AU"/>
        </w:rPr>
        <w:t xml:space="preserve">involving </w:t>
      </w:r>
      <w:r>
        <w:rPr>
          <w:lang w:val="en-AU"/>
        </w:rPr>
        <w:t>a sample of Victorian irrigators who sold entitlements to the Commonwealth showed that b</w:t>
      </w:r>
      <w:r w:rsidRPr="00D342D2">
        <w:rPr>
          <w:lang w:val="en-AU"/>
        </w:rPr>
        <w:t>efore the Commonwealth</w:t>
      </w:r>
      <w:r>
        <w:rPr>
          <w:lang w:val="en-AU"/>
        </w:rPr>
        <w:t xml:space="preserve"> purchase</w:t>
      </w:r>
      <w:r w:rsidRPr="00D342D2">
        <w:rPr>
          <w:lang w:val="en-AU"/>
        </w:rPr>
        <w:t xml:space="preserve">, the irrigators in the sample </w:t>
      </w:r>
      <w:r>
        <w:rPr>
          <w:lang w:val="en-AU"/>
        </w:rPr>
        <w:t>mostly relied on their own allocations for their water use,</w:t>
      </w:r>
      <w:r w:rsidRPr="00D342D2">
        <w:rPr>
          <w:lang w:val="en-AU"/>
        </w:rPr>
        <w:t xml:space="preserve"> </w:t>
      </w:r>
      <w:r w:rsidR="00396621">
        <w:rPr>
          <w:lang w:val="en-AU"/>
        </w:rPr>
        <w:t xml:space="preserve">although </w:t>
      </w:r>
      <w:r w:rsidRPr="00D342D2">
        <w:rPr>
          <w:lang w:val="en-AU"/>
        </w:rPr>
        <w:t>many also traded water and were net purchasers of water allocations</w:t>
      </w:r>
      <w:r>
        <w:rPr>
          <w:lang w:val="en-AU"/>
        </w:rPr>
        <w:t>.</w:t>
      </w:r>
      <w:r w:rsidRPr="00D342D2">
        <w:rPr>
          <w:lang w:val="en-AU"/>
        </w:rPr>
        <w:t xml:space="preserve"> After the sale of entitlement to the Commonwealth, </w:t>
      </w:r>
      <w:r>
        <w:rPr>
          <w:lang w:val="en-AU"/>
        </w:rPr>
        <w:t xml:space="preserve">there were </w:t>
      </w:r>
      <w:r w:rsidRPr="00D342D2">
        <w:rPr>
          <w:lang w:val="en-AU"/>
        </w:rPr>
        <w:t>many changes to</w:t>
      </w:r>
      <w:r>
        <w:rPr>
          <w:lang w:val="en-AU"/>
        </w:rPr>
        <w:t xml:space="preserve"> their approaches in</w:t>
      </w:r>
      <w:r w:rsidRPr="00D342D2">
        <w:rPr>
          <w:lang w:val="en-AU"/>
        </w:rPr>
        <w:t xml:space="preserve"> sourcing water</w:t>
      </w:r>
      <w:r>
        <w:rPr>
          <w:lang w:val="en-AU"/>
        </w:rPr>
        <w:t>.</w:t>
      </w:r>
      <w:r w:rsidRPr="00D342D2">
        <w:rPr>
          <w:lang w:val="en-AU"/>
        </w:rPr>
        <w:t xml:space="preserve"> </w:t>
      </w:r>
    </w:p>
    <w:p w14:paraId="4EAA07EA" w14:textId="77777777" w:rsidR="00C01A50" w:rsidRDefault="006F6D7D" w:rsidP="006F1745">
      <w:pPr>
        <w:rPr>
          <w:lang w:val="en-AU"/>
        </w:rPr>
      </w:pPr>
      <w:r>
        <w:rPr>
          <w:lang w:val="en-AU"/>
        </w:rPr>
        <w:t xml:space="preserve">Because water entitlements are no longer linked to land, there </w:t>
      </w:r>
      <w:r w:rsidR="00022993">
        <w:rPr>
          <w:lang w:val="en-AU"/>
        </w:rPr>
        <w:t xml:space="preserve">are </w:t>
      </w:r>
      <w:r>
        <w:rPr>
          <w:lang w:val="en-AU"/>
        </w:rPr>
        <w:t>complexities involved</w:t>
      </w:r>
      <w:r w:rsidR="00022993">
        <w:rPr>
          <w:lang w:val="en-AU"/>
        </w:rPr>
        <w:t xml:space="preserve"> in</w:t>
      </w:r>
      <w:r w:rsidR="00022993" w:rsidRPr="00022993">
        <w:rPr>
          <w:lang w:val="en-AU"/>
        </w:rPr>
        <w:t xml:space="preserve"> link</w:t>
      </w:r>
      <w:r w:rsidR="00022993">
        <w:rPr>
          <w:lang w:val="en-AU"/>
        </w:rPr>
        <w:t xml:space="preserve">ing water share transfer data </w:t>
      </w:r>
      <w:r w:rsidR="000E3770">
        <w:rPr>
          <w:lang w:val="en-AU"/>
        </w:rPr>
        <w:t>in</w:t>
      </w:r>
      <w:r w:rsidR="00022993">
        <w:rPr>
          <w:lang w:val="en-AU"/>
        </w:rPr>
        <w:t xml:space="preserve"> the water register</w:t>
      </w:r>
      <w:r w:rsidR="00022993" w:rsidRPr="00022993">
        <w:rPr>
          <w:lang w:val="en-AU"/>
        </w:rPr>
        <w:t xml:space="preserve"> back to affected properties</w:t>
      </w:r>
      <w:r w:rsidR="00396621">
        <w:rPr>
          <w:lang w:val="en-AU"/>
        </w:rPr>
        <w:t>. T</w:t>
      </w:r>
      <w:r>
        <w:rPr>
          <w:lang w:val="en-AU"/>
        </w:rPr>
        <w:t>here are further complexities involved</w:t>
      </w:r>
      <w:r w:rsidR="00022993" w:rsidRPr="00022993">
        <w:rPr>
          <w:lang w:val="en-AU"/>
        </w:rPr>
        <w:t xml:space="preserve"> </w:t>
      </w:r>
      <w:r>
        <w:rPr>
          <w:lang w:val="en-AU"/>
        </w:rPr>
        <w:t xml:space="preserve">in </w:t>
      </w:r>
      <w:r w:rsidR="00022993" w:rsidRPr="00022993">
        <w:rPr>
          <w:lang w:val="en-AU"/>
        </w:rPr>
        <w:t>consider</w:t>
      </w:r>
      <w:r>
        <w:rPr>
          <w:lang w:val="en-AU"/>
        </w:rPr>
        <w:t>ing</w:t>
      </w:r>
      <w:r w:rsidR="00022993" w:rsidRPr="00022993">
        <w:rPr>
          <w:lang w:val="en-AU"/>
        </w:rPr>
        <w:t xml:space="preserve"> how </w:t>
      </w:r>
      <w:r>
        <w:rPr>
          <w:lang w:val="en-AU"/>
        </w:rPr>
        <w:t>water</w:t>
      </w:r>
      <w:r w:rsidR="00022993" w:rsidRPr="00022993">
        <w:rPr>
          <w:lang w:val="en-AU"/>
        </w:rPr>
        <w:t xml:space="preserve"> use </w:t>
      </w:r>
      <w:r>
        <w:rPr>
          <w:lang w:val="en-AU"/>
        </w:rPr>
        <w:t>has changed for the affected</w:t>
      </w:r>
      <w:r w:rsidR="00022993" w:rsidRPr="00022993">
        <w:rPr>
          <w:lang w:val="en-AU"/>
        </w:rPr>
        <w:t xml:space="preserve"> properties</w:t>
      </w:r>
      <w:r>
        <w:rPr>
          <w:lang w:val="en-AU"/>
        </w:rPr>
        <w:t>. In the time available to complete this report, DELWP was able to provide us with an analysis of a sample of 11% of the population of those irrigators who sold entitlement to the Commonwealth and continued to irrigate. DELWP compared the characteristics of this sample with those of the population</w:t>
      </w:r>
      <w:r w:rsidR="00EA2808">
        <w:rPr>
          <w:lang w:val="en-AU"/>
        </w:rPr>
        <w:t>,</w:t>
      </w:r>
      <w:r>
        <w:rPr>
          <w:lang w:val="en-AU"/>
        </w:rPr>
        <w:t xml:space="preserve"> and as explained in Chapter </w:t>
      </w:r>
      <w:r w:rsidR="00EA2808">
        <w:rPr>
          <w:lang w:val="en-AU"/>
        </w:rPr>
        <w:fldChar w:fldCharType="begin"/>
      </w:r>
      <w:r w:rsidR="00EA2808">
        <w:rPr>
          <w:lang w:val="en-AU"/>
        </w:rPr>
        <w:instrText xml:space="preserve"> REF _Ref342482626 \r \h </w:instrText>
      </w:r>
      <w:r w:rsidR="00EA2808">
        <w:rPr>
          <w:lang w:val="en-AU"/>
        </w:rPr>
      </w:r>
      <w:r w:rsidR="00EA2808">
        <w:rPr>
          <w:lang w:val="en-AU"/>
        </w:rPr>
        <w:fldChar w:fldCharType="separate"/>
      </w:r>
      <w:r w:rsidR="008E5D7A">
        <w:rPr>
          <w:lang w:val="en-AU"/>
        </w:rPr>
        <w:t>4</w:t>
      </w:r>
      <w:r w:rsidR="00EA2808">
        <w:rPr>
          <w:lang w:val="en-AU"/>
        </w:rPr>
        <w:fldChar w:fldCharType="end"/>
      </w:r>
      <w:r w:rsidR="00EA2808">
        <w:rPr>
          <w:lang w:val="en-AU"/>
        </w:rPr>
        <w:t xml:space="preserve">, </w:t>
      </w:r>
      <w:r>
        <w:rPr>
          <w:lang w:val="en-AU"/>
        </w:rPr>
        <w:t>judged</w:t>
      </w:r>
      <w:r w:rsidR="00022993" w:rsidRPr="00022993">
        <w:rPr>
          <w:lang w:val="en-AU"/>
        </w:rPr>
        <w:t xml:space="preserve"> </w:t>
      </w:r>
      <w:r w:rsidR="00EA2808">
        <w:rPr>
          <w:lang w:val="en-AU"/>
        </w:rPr>
        <w:t xml:space="preserve">the sample was representative of the population. </w:t>
      </w:r>
    </w:p>
    <w:p w14:paraId="6BFE723F" w14:textId="77777777" w:rsidR="00B97DA7" w:rsidRPr="00D342D2" w:rsidRDefault="00B97DA7" w:rsidP="006F1745">
      <w:pPr>
        <w:rPr>
          <w:lang w:val="en-AU"/>
        </w:rPr>
      </w:pPr>
      <w:r>
        <w:rPr>
          <w:lang w:val="en-AU"/>
        </w:rPr>
        <w:t xml:space="preserve">As explained in Chapter </w:t>
      </w:r>
      <w:r>
        <w:rPr>
          <w:lang w:val="en-AU"/>
        </w:rPr>
        <w:fldChar w:fldCharType="begin"/>
      </w:r>
      <w:r>
        <w:rPr>
          <w:lang w:val="en-AU"/>
        </w:rPr>
        <w:instrText xml:space="preserve"> REF _Ref342482626 \r \h </w:instrText>
      </w:r>
      <w:r>
        <w:rPr>
          <w:lang w:val="en-AU"/>
        </w:rPr>
      </w:r>
      <w:r>
        <w:rPr>
          <w:lang w:val="en-AU"/>
        </w:rPr>
        <w:fldChar w:fldCharType="separate"/>
      </w:r>
      <w:r w:rsidR="008E5D7A">
        <w:rPr>
          <w:lang w:val="en-AU"/>
        </w:rPr>
        <w:t>4</w:t>
      </w:r>
      <w:r>
        <w:rPr>
          <w:lang w:val="en-AU"/>
        </w:rPr>
        <w:fldChar w:fldCharType="end"/>
      </w:r>
      <w:r>
        <w:rPr>
          <w:lang w:val="en-AU"/>
        </w:rPr>
        <w:t xml:space="preserve">, </w:t>
      </w:r>
      <w:r>
        <w:t>a key finding is that Victorian irrigators who sold water entitlements to the Commonwealth a</w:t>
      </w:r>
      <w:r w:rsidRPr="005D0073">
        <w:t xml:space="preserve">re now more reliant on allocation purchases than they would have been without the Basin Plan. </w:t>
      </w:r>
      <w:r>
        <w:t>As explained</w:t>
      </w:r>
      <w:r w:rsidR="00DB7B2F">
        <w:t xml:space="preserve"> in Chapter </w:t>
      </w:r>
      <w:r w:rsidR="00DB7B2F">
        <w:fldChar w:fldCharType="begin"/>
      </w:r>
      <w:r w:rsidR="00DB7B2F">
        <w:instrText xml:space="preserve"> REF _Ref342381415 \r \h </w:instrText>
      </w:r>
      <w:r w:rsidR="00DB7B2F">
        <w:fldChar w:fldCharType="separate"/>
      </w:r>
      <w:r w:rsidR="008E5D7A">
        <w:t>6</w:t>
      </w:r>
      <w:r w:rsidR="00DB7B2F">
        <w:fldChar w:fldCharType="end"/>
      </w:r>
      <w:r>
        <w:t xml:space="preserve">, for dairy farmers in particular this </w:t>
      </w:r>
      <w:r w:rsidR="00DB7B2F">
        <w:t>increased their farming risk, and</w:t>
      </w:r>
      <w:r>
        <w:t xml:space="preserve"> dairy farmers sold more entitlements to the Commonwealth than any other group of farmers.</w:t>
      </w:r>
    </w:p>
    <w:p w14:paraId="1B71DDB7" w14:textId="77777777" w:rsidR="00C01A50" w:rsidRDefault="00C01A50" w:rsidP="006F1745">
      <w:r>
        <w:rPr>
          <w:lang w:val="en-AU"/>
        </w:rPr>
        <w:lastRenderedPageBreak/>
        <w:t xml:space="preserve">After the buybacks stopped, </w:t>
      </w:r>
      <w:r w:rsidRPr="005A1734">
        <w:rPr>
          <w:lang w:val="en-AU"/>
        </w:rPr>
        <w:t xml:space="preserve">the </w:t>
      </w:r>
      <w:r>
        <w:rPr>
          <w:lang w:val="en-AU"/>
        </w:rPr>
        <w:t xml:space="preserve">Commonwealth’s </w:t>
      </w:r>
      <w:r w:rsidRPr="005A1734">
        <w:rPr>
          <w:lang w:val="en-AU"/>
        </w:rPr>
        <w:t>Sustainable Rural Water Use and Infrastructure Program</w:t>
      </w:r>
      <w:r>
        <w:rPr>
          <w:lang w:val="en-AU"/>
        </w:rPr>
        <w:t xml:space="preserve"> became the </w:t>
      </w:r>
      <w:r w:rsidRPr="005A1734">
        <w:rPr>
          <w:lang w:val="en-AU"/>
        </w:rPr>
        <w:t xml:space="preserve">key mechanism to </w:t>
      </w:r>
      <w:r>
        <w:rPr>
          <w:lang w:val="en-AU"/>
        </w:rPr>
        <w:t>recover water. Most of its funds were directed</w:t>
      </w:r>
      <w:r>
        <w:t xml:space="preserve"> to projects for improving the operation of off-farm delivery systems and helping irrigators improve on-farm water use efficiency. Those water savings are shared between the government for environmental use and irrigators for consumptive use.</w:t>
      </w:r>
    </w:p>
    <w:p w14:paraId="7A536EA6" w14:textId="77777777" w:rsidR="00C01A50" w:rsidRDefault="00C01A50" w:rsidP="006F1745">
      <w:r>
        <w:rPr>
          <w:lang w:val="en-AU"/>
        </w:rPr>
        <w:t xml:space="preserve">Most </w:t>
      </w:r>
      <w:r w:rsidRPr="001F79AF">
        <w:rPr>
          <w:lang w:val="en-AU"/>
        </w:rPr>
        <w:t xml:space="preserve">water recovery through infrastructure </w:t>
      </w:r>
      <w:r>
        <w:rPr>
          <w:lang w:val="en-AU"/>
        </w:rPr>
        <w:t>savings</w:t>
      </w:r>
      <w:r w:rsidRPr="001F79AF">
        <w:rPr>
          <w:lang w:val="en-AU"/>
        </w:rPr>
        <w:t xml:space="preserve"> has been in NSW regions (</w:t>
      </w:r>
      <w:r w:rsidR="00837797">
        <w:rPr>
          <w:lang w:val="en-AU"/>
        </w:rPr>
        <w:fldChar w:fldCharType="begin"/>
      </w:r>
      <w:r w:rsidR="00837797">
        <w:rPr>
          <w:lang w:val="en-AU"/>
        </w:rPr>
        <w:instrText xml:space="preserve"> REF _Ref347091585 \h </w:instrText>
      </w:r>
      <w:r w:rsidR="00837797">
        <w:rPr>
          <w:lang w:val="en-AU"/>
        </w:rPr>
      </w:r>
      <w:r w:rsidR="00837797">
        <w:rPr>
          <w:lang w:val="en-AU"/>
        </w:rPr>
        <w:fldChar w:fldCharType="separate"/>
      </w:r>
      <w:r w:rsidR="008E5D7A">
        <w:t xml:space="preserve">Figure </w:t>
      </w:r>
      <w:r w:rsidR="008E5D7A">
        <w:rPr>
          <w:noProof/>
        </w:rPr>
        <w:t>4</w:t>
      </w:r>
      <w:r w:rsidR="00837797">
        <w:rPr>
          <w:lang w:val="en-AU"/>
        </w:rPr>
        <w:fldChar w:fldCharType="end"/>
      </w:r>
      <w:r w:rsidRPr="001F79AF">
        <w:rPr>
          <w:lang w:val="en-AU"/>
        </w:rPr>
        <w:t xml:space="preserve">). </w:t>
      </w:r>
      <w:r>
        <w:t>Because it does not differentiate between the impacts of on-farm and off-farm saving the different types of savings are not separately reported. In our analysis we consider them to have different impacts. Therefore, to the extent possible, we have tried to disaggregate the volumes recovered through the two approaches in Victoria.</w:t>
      </w:r>
    </w:p>
    <w:p w14:paraId="6DC8C6D8" w14:textId="77777777" w:rsidR="00C01A50" w:rsidRDefault="002614D9" w:rsidP="00DC2C6F">
      <w:pPr>
        <w:keepNext/>
        <w:jc w:val="center"/>
        <w:rPr>
          <w:lang w:val="en-AU"/>
        </w:rPr>
      </w:pPr>
      <w:r>
        <w:rPr>
          <w:noProof/>
          <w:lang w:val="en-AU" w:eastAsia="en-AU" w:bidi="ar-SA"/>
        </w:rPr>
        <w:drawing>
          <wp:inline distT="0" distB="0" distL="0" distR="0" wp14:anchorId="08B75C08" wp14:editId="5DADA5F5">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814614" w14:textId="77777777" w:rsidR="00C01A50" w:rsidRDefault="00C01A50" w:rsidP="006F1745">
      <w:pPr>
        <w:pStyle w:val="Caption"/>
      </w:pPr>
      <w:bookmarkStart w:id="27" w:name="_Ref347091585"/>
      <w:r>
        <w:t xml:space="preserve">Figure </w:t>
      </w:r>
      <w:r>
        <w:fldChar w:fldCharType="begin"/>
      </w:r>
      <w:r>
        <w:instrText xml:space="preserve"> SEQ Figure \* ARABIC </w:instrText>
      </w:r>
      <w:r>
        <w:fldChar w:fldCharType="separate"/>
      </w:r>
      <w:r w:rsidR="008E5D7A">
        <w:rPr>
          <w:noProof/>
        </w:rPr>
        <w:t>4</w:t>
      </w:r>
      <w:r>
        <w:fldChar w:fldCharType="end"/>
      </w:r>
      <w:bookmarkEnd w:id="27"/>
      <w:r>
        <w:t xml:space="preserve">: </w:t>
      </w:r>
      <w:r w:rsidRPr="005A1734">
        <w:t>Infrastructure water recovery (ML LTAAY)</w:t>
      </w:r>
    </w:p>
    <w:p w14:paraId="5C6A3F9C" w14:textId="77777777" w:rsidR="00C01A50" w:rsidRPr="000744E4" w:rsidRDefault="00C01A50" w:rsidP="006F1745">
      <w:pPr>
        <w:rPr>
          <w:rFonts w:eastAsia="Calibri"/>
          <w:color w:val="000000"/>
          <w:sz w:val="18"/>
          <w:szCs w:val="22"/>
          <w:lang w:val="en-AU" w:bidi="ar-SA"/>
        </w:rPr>
      </w:pPr>
      <w:r w:rsidRPr="000744E4">
        <w:rPr>
          <w:rFonts w:eastAsia="Calibri"/>
          <w:color w:val="000000"/>
          <w:sz w:val="18"/>
          <w:szCs w:val="22"/>
          <w:lang w:val="en-AU" w:bidi="ar-SA"/>
        </w:rPr>
        <w:t>Source: Pers. comm., DAWR, 16th September 2016.</w:t>
      </w:r>
    </w:p>
    <w:p w14:paraId="73173569" w14:textId="77777777" w:rsidR="00C01A50" w:rsidRDefault="00C01A50" w:rsidP="006F1745">
      <w:pPr>
        <w:rPr>
          <w:lang w:val="en-AU"/>
        </w:rPr>
      </w:pPr>
      <w:r w:rsidRPr="003B1DA3">
        <w:rPr>
          <w:lang w:val="en-AU"/>
        </w:rPr>
        <w:t xml:space="preserve">On-farm efficiency programs are intended to reduce </w:t>
      </w:r>
      <w:r>
        <w:rPr>
          <w:lang w:val="en-AU"/>
        </w:rPr>
        <w:t>diversions</w:t>
      </w:r>
      <w:r w:rsidRPr="003B1DA3">
        <w:rPr>
          <w:lang w:val="en-AU"/>
        </w:rPr>
        <w:t xml:space="preserve"> in ways that have neutral or positive economic outcomes, but the story is more complex than </w:t>
      </w:r>
      <w:r>
        <w:rPr>
          <w:lang w:val="en-AU"/>
        </w:rPr>
        <w:t>that</w:t>
      </w:r>
      <w:r w:rsidRPr="003B1DA3">
        <w:rPr>
          <w:lang w:val="en-AU"/>
        </w:rPr>
        <w:t>.</w:t>
      </w:r>
      <w:r>
        <w:rPr>
          <w:lang w:val="en-AU"/>
        </w:rPr>
        <w:t xml:space="preserve"> </w:t>
      </w:r>
    </w:p>
    <w:p w14:paraId="5C68F301" w14:textId="77777777" w:rsidR="00C01A50" w:rsidRDefault="00C01A50" w:rsidP="006F1745">
      <w:pPr>
        <w:rPr>
          <w:lang w:val="en-AU"/>
        </w:rPr>
      </w:pPr>
      <w:r>
        <w:rPr>
          <w:lang w:val="en-AU"/>
        </w:rPr>
        <w:t>On-farm projects aim to improve water use efficiency; maintaining production levels with reduced volumes of water. However, where the water savings are shared between the irrigators and the Commonwealth, the irrigator is, by definition, retaining more entitlement than would have been required to maintain production. In such cases the irrigator is free to expand production or sell surplus entitlement or the allocations against it.</w:t>
      </w:r>
    </w:p>
    <w:p w14:paraId="413F62ED" w14:textId="77777777" w:rsidR="003E51D0" w:rsidRDefault="00C01A50" w:rsidP="006F1745">
      <w:pPr>
        <w:rPr>
          <w:lang w:val="en-AU"/>
        </w:rPr>
      </w:pPr>
      <w:r>
        <w:rPr>
          <w:lang w:val="en-AU"/>
        </w:rPr>
        <w:t xml:space="preserve">Similarly, because the Commonwealth is willing to pay a premium above the market rate for the saved water, the irrigator is also free to take advantage of arbitrage to replace the water </w:t>
      </w:r>
      <w:r w:rsidR="00495151">
        <w:rPr>
          <w:lang w:val="en-AU"/>
        </w:rPr>
        <w:t xml:space="preserve">assigned </w:t>
      </w:r>
      <w:r>
        <w:rPr>
          <w:lang w:val="en-AU"/>
        </w:rPr>
        <w:t xml:space="preserve">to the Commonwealth. </w:t>
      </w:r>
      <w:r w:rsidR="00E44F7B">
        <w:rPr>
          <w:lang w:val="en-AU"/>
        </w:rPr>
        <w:t>The extent to which this has happened is unclear</w:t>
      </w:r>
      <w:r w:rsidR="005D0A2F">
        <w:rPr>
          <w:lang w:val="en-AU"/>
        </w:rPr>
        <w:t xml:space="preserve">, but </w:t>
      </w:r>
      <w:r w:rsidR="005D0A2F">
        <w:t>Vignette 1 publis</w:t>
      </w:r>
      <w:r w:rsidR="003E51D0">
        <w:t>hed by the MDBA (MDBA, 2016) (a fuller</w:t>
      </w:r>
      <w:r w:rsidR="005D0A2F">
        <w:t xml:space="preserve"> excerpt of which is reproduced in </w:t>
      </w:r>
      <w:r w:rsidR="005D0A2F">
        <w:rPr>
          <w:lang w:val="en-AU"/>
        </w:rPr>
        <w:t xml:space="preserve">Appendix </w:t>
      </w:r>
      <w:r w:rsidR="005D0A2F">
        <w:rPr>
          <w:lang w:val="en-AU"/>
        </w:rPr>
        <w:fldChar w:fldCharType="begin"/>
      </w:r>
      <w:r w:rsidR="005D0A2F">
        <w:rPr>
          <w:lang w:val="en-AU"/>
        </w:rPr>
        <w:instrText xml:space="preserve"> REF _Ref342386223 \r \h </w:instrText>
      </w:r>
      <w:r w:rsidR="005D0A2F">
        <w:rPr>
          <w:lang w:val="en-AU"/>
        </w:rPr>
      </w:r>
      <w:r w:rsidR="005D0A2F">
        <w:rPr>
          <w:lang w:val="en-AU"/>
        </w:rPr>
        <w:fldChar w:fldCharType="separate"/>
      </w:r>
      <w:r w:rsidR="008E5D7A">
        <w:rPr>
          <w:lang w:val="en-AU"/>
        </w:rPr>
        <w:t>3</w:t>
      </w:r>
      <w:r w:rsidR="005D0A2F">
        <w:rPr>
          <w:lang w:val="en-AU"/>
        </w:rPr>
        <w:fldChar w:fldCharType="end"/>
      </w:r>
      <w:r w:rsidR="005D0A2F">
        <w:rPr>
          <w:lang w:val="en-AU"/>
        </w:rPr>
        <w:t>) suggests there may h</w:t>
      </w:r>
      <w:r w:rsidR="003E51D0">
        <w:rPr>
          <w:lang w:val="en-AU"/>
        </w:rPr>
        <w:t>ave been instances of arbitrage:</w:t>
      </w:r>
      <w:r w:rsidR="005D0A2F">
        <w:rPr>
          <w:lang w:val="en-AU"/>
        </w:rPr>
        <w:t xml:space="preserve"> </w:t>
      </w:r>
    </w:p>
    <w:p w14:paraId="37C2F7B6" w14:textId="77777777" w:rsidR="003E51D0" w:rsidRDefault="003E51D0" w:rsidP="003E51D0">
      <w:pPr>
        <w:pStyle w:val="Quote"/>
        <w:rPr>
          <w:lang w:val="en-AU"/>
        </w:rPr>
      </w:pPr>
      <w:r w:rsidRPr="003E51D0">
        <w:rPr>
          <w:lang w:val="en-AU"/>
        </w:rPr>
        <w:lastRenderedPageBreak/>
        <w:t>We’re saving water but we’re being more intense and more productive. Because we’re using it more efficiently and being more profitable that drives us to want more water to do mo</w:t>
      </w:r>
      <w:r w:rsidR="00DF600B">
        <w:rPr>
          <w:lang w:val="en-AU"/>
        </w:rPr>
        <w:t>re things. It has that driving e</w:t>
      </w:r>
      <w:r w:rsidRPr="003E51D0">
        <w:rPr>
          <w:lang w:val="en-AU"/>
        </w:rPr>
        <w:t>ffect. We gave water back but we went straight back to the market and bought it again.</w:t>
      </w:r>
    </w:p>
    <w:p w14:paraId="4DA5E43F" w14:textId="77777777" w:rsidR="00C01A50" w:rsidRDefault="00C01A50" w:rsidP="006F1745">
      <w:pPr>
        <w:rPr>
          <w:lang w:val="en-AU"/>
        </w:rPr>
      </w:pPr>
      <w:r>
        <w:rPr>
          <w:lang w:val="en-AU"/>
        </w:rPr>
        <w:t xml:space="preserve">In these cases the net effect on the consumptive pool is the same as direct buyback by the Commonwealth. </w:t>
      </w:r>
    </w:p>
    <w:p w14:paraId="70322AA3" w14:textId="77777777" w:rsidR="00C01A50" w:rsidRDefault="00C01A50" w:rsidP="006F1745">
      <w:pPr>
        <w:rPr>
          <w:lang w:val="en-AU"/>
        </w:rPr>
      </w:pPr>
      <w:r>
        <w:rPr>
          <w:lang w:val="en-AU"/>
        </w:rPr>
        <w:t>The most important point, however, is if the savings come from dairy or rice farms</w:t>
      </w:r>
      <w:r w:rsidR="00717706">
        <w:rPr>
          <w:lang w:val="en-AU"/>
        </w:rPr>
        <w:t xml:space="preserve">, when </w:t>
      </w:r>
      <w:r>
        <w:rPr>
          <w:lang w:val="en-AU"/>
        </w:rPr>
        <w:t xml:space="preserve">allocation </w:t>
      </w:r>
      <w:r w:rsidR="00480DF4">
        <w:rPr>
          <w:lang w:val="en-AU"/>
        </w:rPr>
        <w:t xml:space="preserve">prices </w:t>
      </w:r>
      <w:r>
        <w:rPr>
          <w:lang w:val="en-AU"/>
        </w:rPr>
        <w:t xml:space="preserve">are so </w:t>
      </w:r>
      <w:r w:rsidR="00480DF4">
        <w:rPr>
          <w:lang w:val="en-AU"/>
        </w:rPr>
        <w:t>high that it is more economic for rice and dairy farmers to sell allocations rather than irrigate</w:t>
      </w:r>
      <w:r>
        <w:rPr>
          <w:lang w:val="en-AU"/>
        </w:rPr>
        <w:t xml:space="preserve">, the </w:t>
      </w:r>
      <w:r w:rsidR="00480DF4">
        <w:rPr>
          <w:lang w:val="en-AU"/>
        </w:rPr>
        <w:t>allocation volume</w:t>
      </w:r>
      <w:r>
        <w:rPr>
          <w:lang w:val="en-AU"/>
        </w:rPr>
        <w:t>s</w:t>
      </w:r>
      <w:r w:rsidR="00480DF4">
        <w:rPr>
          <w:lang w:val="en-AU"/>
        </w:rPr>
        <w:t xml:space="preserve"> they</w:t>
      </w:r>
      <w:r>
        <w:rPr>
          <w:lang w:val="en-AU"/>
        </w:rPr>
        <w:t xml:space="preserve"> put on the market will be lower than it would be</w:t>
      </w:r>
      <w:r w:rsidR="00480DF4">
        <w:rPr>
          <w:lang w:val="en-AU"/>
        </w:rPr>
        <w:t xml:space="preserve"> if they had not undertaken the efficiency savings</w:t>
      </w:r>
      <w:r>
        <w:rPr>
          <w:lang w:val="en-AU"/>
        </w:rPr>
        <w:t xml:space="preserve">. </w:t>
      </w:r>
      <w:r w:rsidR="00813BBE">
        <w:rPr>
          <w:lang w:val="en-AU"/>
        </w:rPr>
        <w:t xml:space="preserve">As explored in more detail in Chapter </w:t>
      </w:r>
      <w:r w:rsidR="00813BBE">
        <w:rPr>
          <w:lang w:val="en-AU"/>
        </w:rPr>
        <w:fldChar w:fldCharType="begin"/>
      </w:r>
      <w:r w:rsidR="00813BBE">
        <w:rPr>
          <w:lang w:val="en-AU"/>
        </w:rPr>
        <w:instrText xml:space="preserve"> REF _Ref342400627 \r \h </w:instrText>
      </w:r>
      <w:r w:rsidR="00813BBE">
        <w:rPr>
          <w:lang w:val="en-AU"/>
        </w:rPr>
      </w:r>
      <w:r w:rsidR="00813BBE">
        <w:rPr>
          <w:lang w:val="en-AU"/>
        </w:rPr>
        <w:fldChar w:fldCharType="separate"/>
      </w:r>
      <w:r w:rsidR="008E5D7A">
        <w:rPr>
          <w:lang w:val="en-AU"/>
        </w:rPr>
        <w:t>3</w:t>
      </w:r>
      <w:r w:rsidR="00813BBE">
        <w:rPr>
          <w:lang w:val="en-AU"/>
        </w:rPr>
        <w:fldChar w:fldCharType="end"/>
      </w:r>
      <w:r w:rsidR="00813BBE">
        <w:rPr>
          <w:lang w:val="en-AU"/>
        </w:rPr>
        <w:t xml:space="preserve">, the </w:t>
      </w:r>
      <w:r>
        <w:rPr>
          <w:lang w:val="en-AU"/>
        </w:rPr>
        <w:t>volume of the savings given to the Commonwealth will reduce the volume of the consumptive pool that would otherwise have been available for horticulturalists to keep their crops alive in dry and extremely dry years</w:t>
      </w:r>
      <w:r w:rsidR="006D60F9">
        <w:rPr>
          <w:lang w:val="en-AU"/>
        </w:rPr>
        <w:t>.</w:t>
      </w:r>
    </w:p>
    <w:p w14:paraId="4F9AA2AE" w14:textId="77777777" w:rsidR="00127D40" w:rsidRDefault="00C01A50" w:rsidP="006F1745">
      <w:pPr>
        <w:rPr>
          <w:lang w:val="en-AU"/>
        </w:rPr>
      </w:pPr>
      <w:r>
        <w:rPr>
          <w:lang w:val="en-AU"/>
        </w:rPr>
        <w:t>For our analysis, we consider it valid to assume that on-farm water savings have similar characteristics to off-farm water savings in wet-to-average years.</w:t>
      </w:r>
      <w:r w:rsidR="006D60F9">
        <w:rPr>
          <w:lang w:val="en-AU"/>
        </w:rPr>
        <w:t xml:space="preserve"> </w:t>
      </w:r>
      <w:r>
        <w:rPr>
          <w:lang w:val="en-AU"/>
        </w:rPr>
        <w:t>However,</w:t>
      </w:r>
      <w:r w:rsidR="00965DA3" w:rsidRPr="00965DA3">
        <w:rPr>
          <w:lang w:val="en-AU"/>
        </w:rPr>
        <w:t xml:space="preserve"> </w:t>
      </w:r>
      <w:r w:rsidR="00965DA3">
        <w:rPr>
          <w:lang w:val="en-AU"/>
        </w:rPr>
        <w:t>as we elaborate in Chapter</w:t>
      </w:r>
      <w:r>
        <w:rPr>
          <w:lang w:val="en-AU"/>
        </w:rPr>
        <w:t xml:space="preserve"> </w:t>
      </w:r>
      <w:r w:rsidR="00965DA3">
        <w:rPr>
          <w:lang w:val="en-AU"/>
        </w:rPr>
        <w:fldChar w:fldCharType="begin"/>
      </w:r>
      <w:r w:rsidR="00965DA3">
        <w:rPr>
          <w:lang w:val="en-AU"/>
        </w:rPr>
        <w:instrText xml:space="preserve"> REF _Ref342400627 \r \h </w:instrText>
      </w:r>
      <w:r w:rsidR="00965DA3">
        <w:rPr>
          <w:lang w:val="en-AU"/>
        </w:rPr>
      </w:r>
      <w:r w:rsidR="00965DA3">
        <w:rPr>
          <w:lang w:val="en-AU"/>
        </w:rPr>
        <w:fldChar w:fldCharType="separate"/>
      </w:r>
      <w:r w:rsidR="008E5D7A">
        <w:rPr>
          <w:lang w:val="en-AU"/>
        </w:rPr>
        <w:t>3</w:t>
      </w:r>
      <w:r w:rsidR="00965DA3">
        <w:rPr>
          <w:lang w:val="en-AU"/>
        </w:rPr>
        <w:fldChar w:fldCharType="end"/>
      </w:r>
      <w:r w:rsidR="00127D40">
        <w:rPr>
          <w:lang w:val="en-AU"/>
        </w:rPr>
        <w:t xml:space="preserve">, </w:t>
      </w:r>
      <w:r>
        <w:rPr>
          <w:lang w:val="en-AU"/>
        </w:rPr>
        <w:t xml:space="preserve">in dry and extreme dry years the on-farm </w:t>
      </w:r>
      <w:r w:rsidR="00965DA3">
        <w:rPr>
          <w:lang w:val="en-AU"/>
        </w:rPr>
        <w:t>efficiency savings gained from interruptible and semi-interruptible enterprises will serve to</w:t>
      </w:r>
      <w:r w:rsidRPr="00222DB9">
        <w:rPr>
          <w:lang w:val="en-AU"/>
        </w:rPr>
        <w:t xml:space="preserve"> reduce the consumptive pool</w:t>
      </w:r>
      <w:r w:rsidR="00965DA3">
        <w:rPr>
          <w:lang w:val="en-AU"/>
        </w:rPr>
        <w:t xml:space="preserve"> of allocations available to be used for non-interruptible enterprises</w:t>
      </w:r>
      <w:r w:rsidRPr="00222DB9">
        <w:rPr>
          <w:lang w:val="en-AU"/>
        </w:rPr>
        <w:t xml:space="preserve">. </w:t>
      </w:r>
      <w:r w:rsidR="00965DA3">
        <w:rPr>
          <w:lang w:val="en-AU"/>
        </w:rPr>
        <w:t xml:space="preserve">We note however that </w:t>
      </w:r>
      <w:r w:rsidR="00965DA3" w:rsidRPr="005A4680">
        <w:rPr>
          <w:lang w:val="en-AU"/>
        </w:rPr>
        <w:t xml:space="preserve">given </w:t>
      </w:r>
      <w:r w:rsidRPr="005A4680">
        <w:rPr>
          <w:lang w:val="en-AU"/>
        </w:rPr>
        <w:t xml:space="preserve">the average to wet water availability conditions that have prevailed since these programs commenced, with the notable exception of 2015/16, </w:t>
      </w:r>
      <w:r w:rsidR="00127D40">
        <w:rPr>
          <w:lang w:val="en-AU"/>
        </w:rPr>
        <w:t xml:space="preserve">the effect of </w:t>
      </w:r>
      <w:r w:rsidRPr="005A4680">
        <w:rPr>
          <w:lang w:val="en-AU"/>
        </w:rPr>
        <w:t xml:space="preserve">on-farm efficiency measures </w:t>
      </w:r>
      <w:r w:rsidR="00127D40">
        <w:rPr>
          <w:lang w:val="en-AU"/>
        </w:rPr>
        <w:t xml:space="preserve">in this regard </w:t>
      </w:r>
      <w:r w:rsidR="00480DF4">
        <w:rPr>
          <w:lang w:val="en-AU"/>
        </w:rPr>
        <w:t>have not yet been manifested</w:t>
      </w:r>
      <w:r w:rsidRPr="005A4680">
        <w:rPr>
          <w:lang w:val="en-AU"/>
        </w:rPr>
        <w:t>.</w:t>
      </w:r>
      <w:r w:rsidR="006D60F9">
        <w:rPr>
          <w:lang w:val="en-AU"/>
        </w:rPr>
        <w:t xml:space="preserve"> </w:t>
      </w:r>
    </w:p>
    <w:p w14:paraId="46DFD558" w14:textId="77777777" w:rsidR="00C01A50" w:rsidRDefault="00C01A50" w:rsidP="009A33C1">
      <w:pPr>
        <w:pStyle w:val="Heading2"/>
        <w:numPr>
          <w:ilvl w:val="0"/>
          <w:numId w:val="0"/>
        </w:numPr>
        <w:rPr>
          <w:lang w:val="en-AU"/>
        </w:rPr>
      </w:pPr>
      <w:bookmarkStart w:id="28" w:name="_Toc342658310"/>
      <w:bookmarkStart w:id="29" w:name="_Toc347747781"/>
      <w:r>
        <w:rPr>
          <w:lang w:val="en-AU"/>
        </w:rPr>
        <w:t>Impacts for horticultural industries</w:t>
      </w:r>
      <w:bookmarkEnd w:id="28"/>
      <w:bookmarkEnd w:id="29"/>
    </w:p>
    <w:p w14:paraId="1408681D" w14:textId="77777777" w:rsidR="00C01A50" w:rsidRDefault="00C01A50" w:rsidP="006F1745">
      <w:r>
        <w:rPr>
          <w:lang w:val="en-AU"/>
        </w:rPr>
        <w:t>The structural adjustment issues associated with the 35% drop in wine grape plantings in the Victorian Mallee</w:t>
      </w:r>
      <w:r w:rsidR="000C1276">
        <w:rPr>
          <w:lang w:val="en-AU"/>
        </w:rPr>
        <w:t xml:space="preserve"> between 2006 and 2015 (Argus, 2015)</w:t>
      </w:r>
      <w:r>
        <w:rPr>
          <w:lang w:val="en-AU"/>
        </w:rPr>
        <w:t>, and similar reductions in other parts of the Basin, were undoubtedly smoothed by the ability of wine grape growers to raise money by selling their water entitlements to the Commonwealth.</w:t>
      </w:r>
    </w:p>
    <w:p w14:paraId="218EDD87" w14:textId="77777777" w:rsidR="00C01A50" w:rsidRPr="00544B04" w:rsidRDefault="00C01A50" w:rsidP="006F1745">
      <w:pPr>
        <w:rPr>
          <w:lang w:val="en-AU"/>
        </w:rPr>
      </w:pPr>
      <w:r w:rsidRPr="00544B04">
        <w:rPr>
          <w:lang w:val="en-AU"/>
        </w:rPr>
        <w:t>In effect, it is likely that buyback helped avoid a serious disruption to the development of horticultural industries in the Basin. Collectively, those orchards and vineyards employ thousands of people with most jobs occurring during the development phase.</w:t>
      </w:r>
    </w:p>
    <w:p w14:paraId="00D55857" w14:textId="77777777" w:rsidR="00C01A50" w:rsidRDefault="000C1276" w:rsidP="006F1745">
      <w:r>
        <w:t xml:space="preserve">As explained in Chapter </w:t>
      </w:r>
      <w:r>
        <w:fldChar w:fldCharType="begin"/>
      </w:r>
      <w:r>
        <w:instrText xml:space="preserve"> REF _Ref346108198 \r \h </w:instrText>
      </w:r>
      <w:r>
        <w:fldChar w:fldCharType="separate"/>
      </w:r>
      <w:r w:rsidR="008E5D7A">
        <w:t>5</w:t>
      </w:r>
      <w:r>
        <w:fldChar w:fldCharType="end"/>
      </w:r>
      <w:r>
        <w:t xml:space="preserve">, total </w:t>
      </w:r>
      <w:r w:rsidR="00C01A50">
        <w:t xml:space="preserve">horticultural water use is unaffected by the Basin Plan. However, because the Basin </w:t>
      </w:r>
      <w:r>
        <w:t xml:space="preserve">Plan </w:t>
      </w:r>
      <w:r w:rsidR="00C01A50">
        <w:t xml:space="preserve">reduced the size of the consumptive pool, </w:t>
      </w:r>
      <w:r w:rsidR="00717706">
        <w:t xml:space="preserve">Victorian </w:t>
      </w:r>
      <w:r w:rsidR="00C01A50">
        <w:t xml:space="preserve">horticultural demands as a proportion of </w:t>
      </w:r>
      <w:r w:rsidR="00717706">
        <w:t>full allocations against Victorian High Reliability Water Shares</w:t>
      </w:r>
      <w:r w:rsidR="00C01A50">
        <w:t xml:space="preserve"> have risen from 32% </w:t>
      </w:r>
      <w:r w:rsidR="006B7973">
        <w:t xml:space="preserve">without the Basin Plan </w:t>
      </w:r>
      <w:r w:rsidR="00C01A50">
        <w:t>to 40%</w:t>
      </w:r>
      <w:r w:rsidR="006B7973">
        <w:t xml:space="preserve"> with the Basin Plan</w:t>
      </w:r>
      <w:r w:rsidR="00C01A50">
        <w:t xml:space="preserve">. The Basin Plan has therefore constrained further investment and increased the risk of horticultural land being dried off in the next drought. </w:t>
      </w:r>
      <w:r>
        <w:t xml:space="preserve">As explained in Chapter </w:t>
      </w:r>
      <w:r w:rsidR="00C25365">
        <w:fldChar w:fldCharType="begin"/>
      </w:r>
      <w:r w:rsidR="00C25365">
        <w:instrText xml:space="preserve"> REF _Ref342457448 \r \h </w:instrText>
      </w:r>
      <w:r w:rsidR="00C25365">
        <w:fldChar w:fldCharType="separate"/>
      </w:r>
      <w:r w:rsidR="008E5D7A">
        <w:t>11</w:t>
      </w:r>
      <w:r w:rsidR="00C25365">
        <w:fldChar w:fldCharType="end"/>
      </w:r>
      <w:r>
        <w:t xml:space="preserve">, this </w:t>
      </w:r>
      <w:r w:rsidR="00C01A50">
        <w:t>risk would increase further in the other water recovery scenarios.</w:t>
      </w:r>
      <w:r w:rsidR="006B7973">
        <w:t xml:space="preserve"> </w:t>
      </w:r>
      <w:r w:rsidR="00717706">
        <w:t>Horticultural demands</w:t>
      </w:r>
      <w:r w:rsidR="006B7973">
        <w:t xml:space="preserve"> would rise </w:t>
      </w:r>
      <w:r w:rsidR="006B7973">
        <w:rPr>
          <w:lang w:val="en-US"/>
        </w:rPr>
        <w:t>to 46% in the 2750 GL and 51% in the 3200 GL water recovery scenarios.</w:t>
      </w:r>
    </w:p>
    <w:p w14:paraId="2A1248E8" w14:textId="77777777" w:rsidR="001A448C" w:rsidRDefault="001A448C">
      <w:pPr>
        <w:spacing w:before="0" w:after="0" w:line="240" w:lineRule="auto"/>
        <w:jc w:val="left"/>
        <w:rPr>
          <w:lang w:val="en-AU"/>
        </w:rPr>
      </w:pPr>
      <w:r>
        <w:rPr>
          <w:lang w:val="en-AU"/>
        </w:rPr>
        <w:br w:type="page"/>
      </w:r>
    </w:p>
    <w:p w14:paraId="13AAC259" w14:textId="0C54BE39" w:rsidR="007534C2" w:rsidRDefault="00C01A50" w:rsidP="006F1745">
      <w:r>
        <w:rPr>
          <w:lang w:val="en-AU"/>
        </w:rPr>
        <w:lastRenderedPageBreak/>
        <w:t>The dry year water availability may also be considered a ceiling to horticultural investment. B</w:t>
      </w:r>
      <w:r>
        <w:t>y reducing the consumptive pool</w:t>
      </w:r>
      <w:r w:rsidR="00DF600B">
        <w:t xml:space="preserve"> of available water</w:t>
      </w:r>
      <w:r>
        <w:t xml:space="preserve"> in years of extreme drought — when it is required to meet the fixed water requirements of horticultural biological assets (trees and vines) — the Basin Plan water recovery can be considered to have</w:t>
      </w:r>
      <w:r w:rsidRPr="004310D0">
        <w:t xml:space="preserve"> limited the expansion of horticultural investment</w:t>
      </w:r>
      <w:r>
        <w:t xml:space="preserve">. If further water recovery is pursued then this may put at risk the water requirements for current investment. The table below presents </w:t>
      </w:r>
      <w:r w:rsidR="00495151">
        <w:t>p</w:t>
      </w:r>
      <w:r w:rsidR="00495151" w:rsidRPr="00495151">
        <w:t>otential impact</w:t>
      </w:r>
      <w:r w:rsidR="00495151">
        <w:t>s</w:t>
      </w:r>
      <w:r w:rsidR="00495151" w:rsidRPr="00495151">
        <w:t xml:space="preserve"> on Victorian horticultural investment </w:t>
      </w:r>
      <w:r w:rsidR="00495151">
        <w:t>(</w:t>
      </w:r>
      <w:r>
        <w:t>it should be noted that this is an estimate of investment dollars, not production or value-added dollars</w:t>
      </w:r>
      <w:r w:rsidR="00495151">
        <w:t>)</w:t>
      </w:r>
      <w:r>
        <w:t>.</w:t>
      </w:r>
    </w:p>
    <w:tbl>
      <w:tblPr>
        <w:tblStyle w:val="TableGrid"/>
        <w:tblW w:w="5000" w:type="pct"/>
        <w:tblLook w:val="04A0" w:firstRow="1" w:lastRow="0" w:firstColumn="1" w:lastColumn="0" w:noHBand="0" w:noVBand="1"/>
      </w:tblPr>
      <w:tblGrid>
        <w:gridCol w:w="1263"/>
        <w:gridCol w:w="7905"/>
      </w:tblGrid>
      <w:tr w:rsidR="000452FC" w:rsidRPr="00E20F85" w14:paraId="1BC6DD0D" w14:textId="77777777" w:rsidTr="00E20F85">
        <w:tc>
          <w:tcPr>
            <w:tcW w:w="689" w:type="pct"/>
          </w:tcPr>
          <w:p w14:paraId="18EE816A" w14:textId="77777777" w:rsidR="000452FC" w:rsidRPr="000452FC" w:rsidRDefault="000452FC" w:rsidP="00E20F85">
            <w:pPr>
              <w:jc w:val="center"/>
              <w:rPr>
                <w:rFonts w:ascii="Arial" w:hAnsi="Arial" w:cs="Arial"/>
                <w:b/>
                <w:sz w:val="18"/>
                <w:szCs w:val="18"/>
              </w:rPr>
            </w:pPr>
            <w:r w:rsidRPr="000452FC">
              <w:rPr>
                <w:rFonts w:ascii="Arial" w:hAnsi="Arial" w:cs="Arial"/>
                <w:b/>
                <w:sz w:val="18"/>
                <w:szCs w:val="18"/>
              </w:rPr>
              <w:t>Scenario</w:t>
            </w:r>
          </w:p>
        </w:tc>
        <w:tc>
          <w:tcPr>
            <w:tcW w:w="4311" w:type="pct"/>
          </w:tcPr>
          <w:p w14:paraId="10E77D84" w14:textId="77777777" w:rsidR="000452FC" w:rsidRPr="000452FC" w:rsidRDefault="000452FC" w:rsidP="00E20F85">
            <w:pPr>
              <w:jc w:val="center"/>
              <w:rPr>
                <w:rFonts w:ascii="Arial" w:hAnsi="Arial" w:cs="Arial"/>
                <w:b/>
                <w:sz w:val="18"/>
                <w:szCs w:val="18"/>
              </w:rPr>
            </w:pPr>
            <w:r w:rsidRPr="000452FC">
              <w:rPr>
                <w:rFonts w:ascii="Arial" w:hAnsi="Arial" w:cs="Arial"/>
                <w:b/>
                <w:sz w:val="18"/>
                <w:szCs w:val="18"/>
              </w:rPr>
              <w:t>Potential impact on Victorian horticultural investment</w:t>
            </w:r>
          </w:p>
        </w:tc>
      </w:tr>
      <w:tr w:rsidR="000452FC" w14:paraId="38873F30" w14:textId="77777777" w:rsidTr="00E20F85">
        <w:tc>
          <w:tcPr>
            <w:tcW w:w="689" w:type="pct"/>
          </w:tcPr>
          <w:p w14:paraId="371AFE5F" w14:textId="77777777" w:rsidR="000452FC" w:rsidRPr="000452FC" w:rsidRDefault="000452FC" w:rsidP="00E20F85">
            <w:pPr>
              <w:jc w:val="left"/>
              <w:rPr>
                <w:rFonts w:ascii="Arial" w:hAnsi="Arial" w:cs="Arial"/>
                <w:sz w:val="18"/>
                <w:szCs w:val="18"/>
              </w:rPr>
            </w:pPr>
            <w:r w:rsidRPr="000452FC">
              <w:rPr>
                <w:rFonts w:ascii="Arial" w:hAnsi="Arial" w:cs="Arial"/>
                <w:sz w:val="18"/>
                <w:szCs w:val="18"/>
              </w:rPr>
              <w:t>2100 GL recovery scenario</w:t>
            </w:r>
          </w:p>
        </w:tc>
        <w:tc>
          <w:tcPr>
            <w:tcW w:w="4311" w:type="pct"/>
          </w:tcPr>
          <w:p w14:paraId="219D5F03" w14:textId="77777777" w:rsidR="000452FC" w:rsidRPr="000452FC" w:rsidRDefault="000452FC" w:rsidP="000452FC">
            <w:pPr>
              <w:jc w:val="left"/>
              <w:rPr>
                <w:rFonts w:ascii="Arial" w:hAnsi="Arial" w:cs="Arial"/>
                <w:sz w:val="18"/>
                <w:szCs w:val="18"/>
              </w:rPr>
            </w:pPr>
            <w:r w:rsidRPr="000452FC">
              <w:rPr>
                <w:rFonts w:ascii="Arial" w:hAnsi="Arial" w:cs="Arial"/>
                <w:sz w:val="18"/>
                <w:szCs w:val="18"/>
              </w:rPr>
              <w:t xml:space="preserve">At current levels of water recovery, in a repeat of 2008-09 allocation levels there would be 16 GL more water available than it takes to meet the full irrigation requirements for horticulture. When the existing plantings mature however, there would be a shortfall (-110 GL). </w:t>
            </w:r>
          </w:p>
          <w:p w14:paraId="2D52C5D1" w14:textId="77777777" w:rsidR="000452FC" w:rsidRPr="000452FC" w:rsidRDefault="000452FC" w:rsidP="000452FC">
            <w:pPr>
              <w:jc w:val="left"/>
              <w:rPr>
                <w:rFonts w:ascii="Arial" w:hAnsi="Arial" w:cs="Arial"/>
                <w:sz w:val="18"/>
                <w:szCs w:val="18"/>
              </w:rPr>
            </w:pPr>
            <w:r w:rsidRPr="000452FC">
              <w:rPr>
                <w:rFonts w:ascii="Arial" w:hAnsi="Arial" w:cs="Arial"/>
                <w:sz w:val="18"/>
                <w:szCs w:val="18"/>
              </w:rPr>
              <w:t>Without water recovery, there would still have been a small shortfall as existing planting mature of 8 GL of High Reliability Water Shares. Developers need to be aware of this risk, but based on the historical record they may judge that the risk is worth taking.</w:t>
            </w:r>
          </w:p>
          <w:p w14:paraId="5B7BA097" w14:textId="77777777" w:rsidR="000452FC" w:rsidRPr="000452FC" w:rsidRDefault="000452FC" w:rsidP="000452FC">
            <w:pPr>
              <w:jc w:val="left"/>
              <w:rPr>
                <w:rFonts w:ascii="Arial" w:hAnsi="Arial" w:cs="Arial"/>
                <w:sz w:val="18"/>
                <w:szCs w:val="18"/>
              </w:rPr>
            </w:pPr>
            <w:r w:rsidRPr="000452FC">
              <w:rPr>
                <w:rFonts w:ascii="Arial" w:hAnsi="Arial" w:cs="Arial"/>
                <w:sz w:val="18"/>
                <w:szCs w:val="18"/>
              </w:rPr>
              <w:t>At 12ML/ha the additional shortfall of 103GL could have developed another 8550ha. At $19,000/ha this is $162 million of total investment that has hypothetically already been forgone</w:t>
            </w:r>
            <w:r w:rsidRPr="000452FC">
              <w:rPr>
                <w:rStyle w:val="CommentReference"/>
              </w:rPr>
              <w:t>.</w:t>
            </w:r>
            <w:r w:rsidRPr="000452FC">
              <w:rPr>
                <w:rStyle w:val="FootnoteReference"/>
                <w:sz w:val="16"/>
                <w:szCs w:val="16"/>
              </w:rPr>
              <w:footnoteReference w:id="3"/>
            </w:r>
            <w:r w:rsidRPr="000452FC">
              <w:rPr>
                <w:rFonts w:ascii="Arial" w:hAnsi="Arial" w:cs="Arial"/>
                <w:sz w:val="18"/>
                <w:szCs w:val="18"/>
              </w:rPr>
              <w:t xml:space="preserve"> </w:t>
            </w:r>
          </w:p>
          <w:p w14:paraId="30CCAD81" w14:textId="77777777" w:rsidR="000452FC" w:rsidRPr="000452FC" w:rsidRDefault="000452FC" w:rsidP="000452FC">
            <w:pPr>
              <w:jc w:val="left"/>
              <w:rPr>
                <w:rFonts w:ascii="Arial" w:hAnsi="Arial" w:cs="Arial"/>
                <w:sz w:val="18"/>
                <w:szCs w:val="18"/>
              </w:rPr>
            </w:pPr>
            <w:r w:rsidRPr="000452FC">
              <w:rPr>
                <w:rFonts w:ascii="Arial" w:hAnsi="Arial" w:cs="Arial"/>
                <w:sz w:val="18"/>
                <w:szCs w:val="18"/>
              </w:rPr>
              <w:t>An alternative way of considering is that, when the existing plantings mature, the additional shortfall of -103GL puts 8850 ha of existing horticultural development at risk, which represents $162 million of existing investment.</w:t>
            </w:r>
          </w:p>
          <w:p w14:paraId="3728EFE0" w14:textId="77777777" w:rsidR="000452FC" w:rsidRPr="000452FC" w:rsidRDefault="000452FC" w:rsidP="009E581A">
            <w:pPr>
              <w:jc w:val="left"/>
              <w:rPr>
                <w:rFonts w:ascii="Arial" w:hAnsi="Arial" w:cs="Arial"/>
                <w:sz w:val="18"/>
                <w:szCs w:val="18"/>
              </w:rPr>
            </w:pPr>
          </w:p>
        </w:tc>
      </w:tr>
      <w:tr w:rsidR="000452FC" w14:paraId="11512A66" w14:textId="77777777" w:rsidTr="00E20F85">
        <w:tc>
          <w:tcPr>
            <w:tcW w:w="689" w:type="pct"/>
          </w:tcPr>
          <w:p w14:paraId="378FF3F9" w14:textId="77777777" w:rsidR="000452FC" w:rsidRPr="000452FC" w:rsidRDefault="000452FC" w:rsidP="00E20F85">
            <w:pPr>
              <w:jc w:val="left"/>
              <w:rPr>
                <w:rFonts w:ascii="Arial" w:hAnsi="Arial" w:cs="Arial"/>
                <w:sz w:val="18"/>
                <w:szCs w:val="18"/>
              </w:rPr>
            </w:pPr>
            <w:r w:rsidRPr="000452FC">
              <w:rPr>
                <w:rFonts w:ascii="Arial" w:hAnsi="Arial" w:cs="Arial"/>
                <w:sz w:val="18"/>
                <w:szCs w:val="18"/>
              </w:rPr>
              <w:t>2750 GL recovery scenario</w:t>
            </w:r>
          </w:p>
        </w:tc>
        <w:tc>
          <w:tcPr>
            <w:tcW w:w="4311" w:type="pct"/>
          </w:tcPr>
          <w:p w14:paraId="288F61A3" w14:textId="77777777" w:rsidR="000452FC" w:rsidRPr="000452FC" w:rsidRDefault="000452FC" w:rsidP="000452FC">
            <w:pPr>
              <w:jc w:val="left"/>
              <w:rPr>
                <w:rFonts w:ascii="Arial" w:hAnsi="Arial" w:cs="Arial"/>
                <w:sz w:val="18"/>
                <w:szCs w:val="18"/>
              </w:rPr>
            </w:pPr>
            <w:r w:rsidRPr="000452FC">
              <w:rPr>
                <w:rFonts w:ascii="Arial" w:hAnsi="Arial" w:cs="Arial"/>
                <w:sz w:val="18"/>
                <w:szCs w:val="18"/>
              </w:rPr>
              <w:t>Under medium future water recovery, there would be an additional shortfall of -193GL in a repeat of 2008-09 allocation levels. This puts 16000ha of existing plantings at risk, which represents $306 million of existing investment.</w:t>
            </w:r>
          </w:p>
          <w:p w14:paraId="1FA17D50" w14:textId="77777777" w:rsidR="000452FC" w:rsidRPr="000452FC" w:rsidRDefault="000452FC" w:rsidP="00016435">
            <w:pPr>
              <w:jc w:val="left"/>
              <w:rPr>
                <w:rFonts w:ascii="Arial" w:hAnsi="Arial" w:cs="Arial"/>
                <w:sz w:val="18"/>
                <w:szCs w:val="18"/>
              </w:rPr>
            </w:pPr>
          </w:p>
        </w:tc>
      </w:tr>
      <w:tr w:rsidR="000452FC" w14:paraId="1E73B834" w14:textId="77777777" w:rsidTr="00E20F85">
        <w:tc>
          <w:tcPr>
            <w:tcW w:w="689" w:type="pct"/>
          </w:tcPr>
          <w:p w14:paraId="71D457B4" w14:textId="77777777" w:rsidR="000452FC" w:rsidRPr="000452FC" w:rsidRDefault="000452FC" w:rsidP="00E20F85">
            <w:pPr>
              <w:jc w:val="left"/>
              <w:rPr>
                <w:rFonts w:ascii="Arial" w:hAnsi="Arial" w:cs="Arial"/>
                <w:sz w:val="18"/>
                <w:szCs w:val="18"/>
              </w:rPr>
            </w:pPr>
            <w:r w:rsidRPr="000452FC">
              <w:rPr>
                <w:rFonts w:ascii="Arial" w:hAnsi="Arial" w:cs="Arial"/>
                <w:sz w:val="18"/>
                <w:szCs w:val="18"/>
              </w:rPr>
              <w:t>3200 GL recovery scenario</w:t>
            </w:r>
          </w:p>
        </w:tc>
        <w:tc>
          <w:tcPr>
            <w:tcW w:w="4311" w:type="pct"/>
          </w:tcPr>
          <w:p w14:paraId="7A358D9F" w14:textId="77777777" w:rsidR="000452FC" w:rsidRPr="000452FC" w:rsidRDefault="000452FC" w:rsidP="000452FC">
            <w:pPr>
              <w:jc w:val="left"/>
              <w:rPr>
                <w:rFonts w:ascii="Arial" w:hAnsi="Arial" w:cs="Arial"/>
                <w:sz w:val="18"/>
                <w:szCs w:val="18"/>
              </w:rPr>
            </w:pPr>
            <w:r w:rsidRPr="000452FC">
              <w:rPr>
                <w:rFonts w:ascii="Arial" w:hAnsi="Arial" w:cs="Arial"/>
                <w:sz w:val="18"/>
                <w:szCs w:val="18"/>
              </w:rPr>
              <w:t>Under high future water recovery, there would be an additional shortfall of -241GL. This puts 20000ha of existing plantings, at risk, which represents $381 million of existing investment.</w:t>
            </w:r>
          </w:p>
          <w:p w14:paraId="73870911" w14:textId="77777777" w:rsidR="000452FC" w:rsidRPr="000452FC" w:rsidRDefault="000452FC" w:rsidP="009E581A">
            <w:pPr>
              <w:jc w:val="left"/>
              <w:rPr>
                <w:rFonts w:ascii="Arial" w:hAnsi="Arial" w:cs="Arial"/>
                <w:sz w:val="18"/>
                <w:szCs w:val="18"/>
              </w:rPr>
            </w:pPr>
          </w:p>
        </w:tc>
      </w:tr>
    </w:tbl>
    <w:p w14:paraId="586E7370" w14:textId="77777777" w:rsidR="00C01A50" w:rsidRDefault="00C01A50" w:rsidP="006F1745"/>
    <w:p w14:paraId="204F73A5" w14:textId="77777777" w:rsidR="00C01A50" w:rsidRDefault="00C01A50" w:rsidP="009A33C1">
      <w:pPr>
        <w:pStyle w:val="Heading2"/>
        <w:numPr>
          <w:ilvl w:val="0"/>
          <w:numId w:val="0"/>
        </w:numPr>
      </w:pPr>
      <w:bookmarkStart w:id="30" w:name="_Toc342658311"/>
      <w:bookmarkStart w:id="31" w:name="_Toc347747782"/>
      <w:r>
        <w:t>Impacts on the dairy industry</w:t>
      </w:r>
      <w:bookmarkEnd w:id="30"/>
      <w:bookmarkEnd w:id="31"/>
    </w:p>
    <w:p w14:paraId="23144042" w14:textId="57413AE5" w:rsidR="00C01A50" w:rsidRDefault="004F718D" w:rsidP="006F1745">
      <w:pPr>
        <w:rPr>
          <w:lang w:val="en-AU"/>
        </w:rPr>
      </w:pPr>
      <w:r>
        <w:rPr>
          <w:lang w:val="en-AU"/>
        </w:rPr>
        <w:t xml:space="preserve">As explained in Chapter </w:t>
      </w:r>
      <w:r>
        <w:rPr>
          <w:lang w:val="en-AU"/>
        </w:rPr>
        <w:fldChar w:fldCharType="begin"/>
      </w:r>
      <w:r>
        <w:rPr>
          <w:lang w:val="en-AU"/>
        </w:rPr>
        <w:instrText xml:space="preserve"> REF _Ref342381415 \r \h </w:instrText>
      </w:r>
      <w:r>
        <w:rPr>
          <w:lang w:val="en-AU"/>
        </w:rPr>
      </w:r>
      <w:r>
        <w:rPr>
          <w:lang w:val="en-AU"/>
        </w:rPr>
        <w:fldChar w:fldCharType="separate"/>
      </w:r>
      <w:r w:rsidR="008E5D7A">
        <w:rPr>
          <w:lang w:val="en-AU"/>
        </w:rPr>
        <w:t>6</w:t>
      </w:r>
      <w:r>
        <w:rPr>
          <w:lang w:val="en-AU"/>
        </w:rPr>
        <w:fldChar w:fldCharType="end"/>
      </w:r>
      <w:r>
        <w:rPr>
          <w:lang w:val="en-AU"/>
        </w:rPr>
        <w:t>, i</w:t>
      </w:r>
      <w:r w:rsidR="00C01A50">
        <w:rPr>
          <w:lang w:val="en-AU"/>
        </w:rPr>
        <w:t>n the absence of the Basin Plan, water use by GMID and by GMW diverters would have been higher (</w:t>
      </w:r>
      <w:r w:rsidR="00C01A50">
        <w:rPr>
          <w:lang w:val="en-AU"/>
        </w:rPr>
        <w:fldChar w:fldCharType="begin"/>
      </w:r>
      <w:r w:rsidR="00C01A50">
        <w:rPr>
          <w:lang w:val="en-AU"/>
        </w:rPr>
        <w:instrText xml:space="preserve"> REF _Ref342653825 \h </w:instrText>
      </w:r>
      <w:r w:rsidR="00C01A50">
        <w:rPr>
          <w:lang w:val="en-AU"/>
        </w:rPr>
      </w:r>
      <w:r w:rsidR="00C01A50">
        <w:rPr>
          <w:lang w:val="en-AU"/>
        </w:rPr>
        <w:fldChar w:fldCharType="separate"/>
      </w:r>
      <w:r w:rsidR="008E5D7A">
        <w:t xml:space="preserve">Figure </w:t>
      </w:r>
      <w:r w:rsidR="008E5D7A">
        <w:rPr>
          <w:noProof/>
        </w:rPr>
        <w:t>5</w:t>
      </w:r>
      <w:r w:rsidR="00C01A50">
        <w:rPr>
          <w:lang w:val="en-AU"/>
        </w:rPr>
        <w:fldChar w:fldCharType="end"/>
      </w:r>
      <w:r w:rsidR="00C01A50">
        <w:rPr>
          <w:lang w:val="en-AU"/>
        </w:rPr>
        <w:t xml:space="preserve">). Dairying is the mainstay of the GMID. As the consumptive pool </w:t>
      </w:r>
      <w:r>
        <w:rPr>
          <w:lang w:val="en-AU"/>
        </w:rPr>
        <w:t>is reduced</w:t>
      </w:r>
      <w:r w:rsidR="00C01A50">
        <w:rPr>
          <w:lang w:val="en-AU"/>
        </w:rPr>
        <w:t xml:space="preserve"> under the various water recovery scenarios, and as the </w:t>
      </w:r>
      <w:r w:rsidR="00B86C5F">
        <w:rPr>
          <w:lang w:val="en-AU"/>
        </w:rPr>
        <w:t>perennial</w:t>
      </w:r>
      <w:r w:rsidR="00C01A50">
        <w:rPr>
          <w:lang w:val="en-AU"/>
        </w:rPr>
        <w:t xml:space="preserve"> demands</w:t>
      </w:r>
      <w:r w:rsidR="00B86C5F">
        <w:rPr>
          <w:lang w:val="en-AU"/>
        </w:rPr>
        <w:t xml:space="preserve"> of horticulturalists goes up, </w:t>
      </w:r>
      <w:r w:rsidR="00B03F0D">
        <w:rPr>
          <w:lang w:val="en-AU"/>
        </w:rPr>
        <w:t>i</w:t>
      </w:r>
      <w:r w:rsidR="00C01A50">
        <w:rPr>
          <w:lang w:val="en-AU"/>
        </w:rPr>
        <w:t xml:space="preserve">t is left to </w:t>
      </w:r>
      <w:r>
        <w:rPr>
          <w:lang w:val="en-AU"/>
        </w:rPr>
        <w:t>dairying, as the most exposed industry,</w:t>
      </w:r>
      <w:r w:rsidR="00C01A50">
        <w:rPr>
          <w:lang w:val="en-AU"/>
        </w:rPr>
        <w:t xml:space="preserve"> to soak up more of the variability in available </w:t>
      </w:r>
      <w:r w:rsidR="00C01A50">
        <w:rPr>
          <w:lang w:val="en-AU"/>
        </w:rPr>
        <w:lastRenderedPageBreak/>
        <w:t>water supplies</w:t>
      </w:r>
      <w:r>
        <w:rPr>
          <w:lang w:val="en-AU"/>
        </w:rPr>
        <w:t>. Additionally,</w:t>
      </w:r>
      <w:r w:rsidR="00C01A50">
        <w:rPr>
          <w:lang w:val="en-AU"/>
        </w:rPr>
        <w:t xml:space="preserve"> many dairy farmers </w:t>
      </w:r>
      <w:r>
        <w:rPr>
          <w:lang w:val="en-AU"/>
        </w:rPr>
        <w:t xml:space="preserve">sold entitlements during the buybacks, and they </w:t>
      </w:r>
      <w:r w:rsidR="00C01A50">
        <w:rPr>
          <w:lang w:val="en-AU"/>
        </w:rPr>
        <w:t>are now relying on allocation purchases to support their businesses.</w:t>
      </w:r>
    </w:p>
    <w:p w14:paraId="5AF1EA1C" w14:textId="77777777" w:rsidR="00C01A50" w:rsidRDefault="002614D9" w:rsidP="00DC2C6F">
      <w:pPr>
        <w:keepNext/>
        <w:jc w:val="center"/>
        <w:rPr>
          <w:noProof/>
          <w:lang w:val="en-AU" w:eastAsia="en-AU" w:bidi="ar-SA"/>
        </w:rPr>
      </w:pPr>
      <w:r>
        <w:rPr>
          <w:noProof/>
          <w:lang w:val="en-AU" w:eastAsia="en-AU" w:bidi="ar-SA"/>
        </w:rPr>
        <w:drawing>
          <wp:inline distT="0" distB="0" distL="0" distR="0" wp14:anchorId="5A7CE7C8" wp14:editId="69C493D3">
            <wp:extent cx="4555331" cy="28575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DAF0E9D" w14:textId="77777777" w:rsidR="00C01A50" w:rsidRDefault="00C01A50" w:rsidP="006F1745">
      <w:pPr>
        <w:pStyle w:val="Caption"/>
      </w:pPr>
      <w:bookmarkStart w:id="32" w:name="_Ref342653825"/>
      <w:r>
        <w:t xml:space="preserve">Figure </w:t>
      </w:r>
      <w:r>
        <w:fldChar w:fldCharType="begin"/>
      </w:r>
      <w:r>
        <w:instrText xml:space="preserve"> SEQ Figure \* ARABIC </w:instrText>
      </w:r>
      <w:r>
        <w:fldChar w:fldCharType="separate"/>
      </w:r>
      <w:r w:rsidR="008E5D7A">
        <w:rPr>
          <w:noProof/>
        </w:rPr>
        <w:t>5</w:t>
      </w:r>
      <w:r>
        <w:fldChar w:fldCharType="end"/>
      </w:r>
      <w:bookmarkEnd w:id="32"/>
      <w:r>
        <w:t xml:space="preserve">: </w:t>
      </w:r>
      <w:r w:rsidR="00F61D67">
        <w:rPr>
          <w:lang w:val="en-AU"/>
        </w:rPr>
        <w:t xml:space="preserve">Water use in </w:t>
      </w:r>
      <w:r>
        <w:rPr>
          <w:lang w:val="en-AU"/>
        </w:rPr>
        <w:t xml:space="preserve">GMW </w:t>
      </w:r>
      <w:r w:rsidR="00F61D67">
        <w:rPr>
          <w:lang w:val="en-AU"/>
        </w:rPr>
        <w:t>irrigation districts with and without the Basin Plan</w:t>
      </w:r>
    </w:p>
    <w:p w14:paraId="0FD059BB" w14:textId="77777777" w:rsidR="00C01A50" w:rsidRDefault="002A0AFC" w:rsidP="006F1745">
      <w:r>
        <w:rPr>
          <w:lang w:val="en-AU"/>
        </w:rPr>
        <w:t xml:space="preserve">As explained in Chapter </w:t>
      </w:r>
      <w:r>
        <w:rPr>
          <w:lang w:val="en-AU"/>
        </w:rPr>
        <w:fldChar w:fldCharType="begin"/>
      </w:r>
      <w:r>
        <w:rPr>
          <w:lang w:val="en-AU"/>
        </w:rPr>
        <w:instrText xml:space="preserve"> REF _Ref342381415 \r \h </w:instrText>
      </w:r>
      <w:r>
        <w:rPr>
          <w:lang w:val="en-AU"/>
        </w:rPr>
      </w:r>
      <w:r>
        <w:rPr>
          <w:lang w:val="en-AU"/>
        </w:rPr>
        <w:fldChar w:fldCharType="separate"/>
      </w:r>
      <w:r w:rsidR="008E5D7A">
        <w:rPr>
          <w:lang w:val="en-AU"/>
        </w:rPr>
        <w:t>6</w:t>
      </w:r>
      <w:r>
        <w:rPr>
          <w:lang w:val="en-AU"/>
        </w:rPr>
        <w:fldChar w:fldCharType="end"/>
      </w:r>
      <w:r>
        <w:rPr>
          <w:lang w:val="en-AU"/>
        </w:rPr>
        <w:t xml:space="preserve">, the </w:t>
      </w:r>
      <w:r w:rsidR="00C01A50">
        <w:rPr>
          <w:lang w:val="en-AU"/>
        </w:rPr>
        <w:t xml:space="preserve">net result of all this </w:t>
      </w:r>
      <w:r>
        <w:rPr>
          <w:lang w:val="en-AU"/>
        </w:rPr>
        <w:t>is</w:t>
      </w:r>
      <w:r w:rsidR="00C01A50">
        <w:rPr>
          <w:lang w:val="en-AU"/>
        </w:rPr>
        <w:t xml:space="preserve"> to push dairy farmers towards the more </w:t>
      </w:r>
      <w:r w:rsidR="006B0C76">
        <w:rPr>
          <w:lang w:val="en-AU"/>
        </w:rPr>
        <w:t>complex feeding systems they ado</w:t>
      </w:r>
      <w:r w:rsidR="00C01A50">
        <w:rPr>
          <w:lang w:val="en-AU"/>
        </w:rPr>
        <w:t>pted as a loss minimisation strategy during the drought. Because t</w:t>
      </w:r>
      <w:r w:rsidR="00C01A50">
        <w:t>hose alternative feeding strategies are more complex than pasture grazing, they carry more risk. Dairy farmers</w:t>
      </w:r>
      <w:r w:rsidR="00016435">
        <w:t>’</w:t>
      </w:r>
      <w:r w:rsidR="00C01A50">
        <w:t xml:space="preserve"> indebtedn</w:t>
      </w:r>
      <w:r w:rsidR="004A2875">
        <w:t>ess increased during the drought</w:t>
      </w:r>
      <w:r w:rsidR="00016435">
        <w:t>. T</w:t>
      </w:r>
      <w:r w:rsidR="004A2875">
        <w:t>his suggest</w:t>
      </w:r>
      <w:r w:rsidR="00016435">
        <w:t>s</w:t>
      </w:r>
      <w:r w:rsidR="004A2875">
        <w:t xml:space="preserve"> that if dairy farmers are to adopt these strategies for the long term, they will need to increase their skills in managing these production systems.</w:t>
      </w:r>
      <w:r w:rsidR="00C01A50">
        <w:t xml:space="preserve"> </w:t>
      </w:r>
    </w:p>
    <w:p w14:paraId="470F135B" w14:textId="77777777" w:rsidR="00C01A50" w:rsidRPr="00205849" w:rsidRDefault="00C01A50" w:rsidP="006F1745">
      <w:pPr>
        <w:rPr>
          <w:lang w:val="en-AU"/>
        </w:rPr>
      </w:pPr>
      <w:r w:rsidRPr="00205849">
        <w:rPr>
          <w:lang w:val="en-AU"/>
        </w:rPr>
        <w:t xml:space="preserve">Milk production </w:t>
      </w:r>
      <w:r w:rsidR="004A2875">
        <w:rPr>
          <w:lang w:val="en-AU"/>
        </w:rPr>
        <w:t>would have been</w:t>
      </w:r>
      <w:r>
        <w:rPr>
          <w:lang w:val="en-AU"/>
        </w:rPr>
        <w:t xml:space="preserve"> expected to</w:t>
      </w:r>
      <w:r w:rsidRPr="00205849">
        <w:rPr>
          <w:lang w:val="en-AU"/>
        </w:rPr>
        <w:t xml:space="preserve"> have been greater </w:t>
      </w:r>
      <w:r w:rsidRPr="00205849">
        <w:rPr>
          <w:i/>
          <w:lang w:val="en-AU"/>
        </w:rPr>
        <w:t>but for</w:t>
      </w:r>
      <w:r w:rsidRPr="00205849">
        <w:rPr>
          <w:lang w:val="en-AU"/>
        </w:rPr>
        <w:t xml:space="preserve"> the water recovery </w:t>
      </w:r>
      <w:r w:rsidR="004A2875">
        <w:rPr>
          <w:lang w:val="en-AU"/>
        </w:rPr>
        <w:t>under</w:t>
      </w:r>
      <w:r w:rsidRPr="00205849">
        <w:rPr>
          <w:lang w:val="en-AU"/>
        </w:rPr>
        <w:t xml:space="preserve"> the Basin Plan</w:t>
      </w:r>
      <w:r>
        <w:rPr>
          <w:lang w:val="en-AU"/>
        </w:rPr>
        <w:t xml:space="preserve">. </w:t>
      </w:r>
      <w:r w:rsidR="004512CB">
        <w:rPr>
          <w:lang w:val="en-AU"/>
        </w:rPr>
        <w:fldChar w:fldCharType="begin"/>
      </w:r>
      <w:r w:rsidR="004512CB">
        <w:rPr>
          <w:lang w:val="en-AU"/>
        </w:rPr>
        <w:instrText xml:space="preserve"> REF _Ref346348164 \h </w:instrText>
      </w:r>
      <w:r w:rsidR="004512CB">
        <w:rPr>
          <w:lang w:val="en-AU"/>
        </w:rPr>
      </w:r>
      <w:r w:rsidR="004512CB">
        <w:rPr>
          <w:lang w:val="en-AU"/>
        </w:rPr>
        <w:fldChar w:fldCharType="separate"/>
      </w:r>
      <w:r w:rsidR="008E5D7A">
        <w:t xml:space="preserve">Figure </w:t>
      </w:r>
      <w:r w:rsidR="008E5D7A">
        <w:rPr>
          <w:noProof/>
        </w:rPr>
        <w:t>6</w:t>
      </w:r>
      <w:r w:rsidR="004512CB">
        <w:rPr>
          <w:lang w:val="en-AU"/>
        </w:rPr>
        <w:fldChar w:fldCharType="end"/>
      </w:r>
      <w:r w:rsidR="004512CB">
        <w:rPr>
          <w:lang w:val="en-AU"/>
        </w:rPr>
        <w:t xml:space="preserve"> </w:t>
      </w:r>
      <w:r w:rsidRPr="00205849">
        <w:rPr>
          <w:lang w:val="en-AU"/>
        </w:rPr>
        <w:t xml:space="preserve">presents milk production </w:t>
      </w:r>
      <w:r w:rsidR="002908A3">
        <w:rPr>
          <w:lang w:val="en-AU"/>
        </w:rPr>
        <w:t>in</w:t>
      </w:r>
      <w:r w:rsidRPr="00205849">
        <w:rPr>
          <w:lang w:val="en-AU"/>
        </w:rPr>
        <w:t xml:space="preserve"> the GMID</w:t>
      </w:r>
      <w:r w:rsidR="002908A3">
        <w:rPr>
          <w:lang w:val="en-AU"/>
        </w:rPr>
        <w:t xml:space="preserve"> as it was with the Basin Plan and as it might reasonably have been expected to be without the Basin Plan</w:t>
      </w:r>
      <w:r w:rsidR="004512CB">
        <w:rPr>
          <w:lang w:val="en-AU"/>
        </w:rPr>
        <w:t xml:space="preserve"> – </w:t>
      </w:r>
      <w:r w:rsidR="002908A3">
        <w:rPr>
          <w:lang w:val="en-AU"/>
        </w:rPr>
        <w:t xml:space="preserve">assuming that </w:t>
      </w:r>
      <w:r w:rsidR="007534C2">
        <w:rPr>
          <w:lang w:val="en-AU"/>
        </w:rPr>
        <w:t xml:space="preserve">the </w:t>
      </w:r>
      <w:r w:rsidR="002908A3">
        <w:rPr>
          <w:lang w:val="en-AU"/>
        </w:rPr>
        <w:t xml:space="preserve">ratio of </w:t>
      </w:r>
      <w:r w:rsidRPr="00205849">
        <w:rPr>
          <w:lang w:val="en-AU"/>
        </w:rPr>
        <w:t xml:space="preserve">milk </w:t>
      </w:r>
      <w:r w:rsidR="002908A3">
        <w:rPr>
          <w:lang w:val="en-AU"/>
        </w:rPr>
        <w:t xml:space="preserve">production to </w:t>
      </w:r>
      <w:r w:rsidRPr="00205849">
        <w:rPr>
          <w:lang w:val="en-AU"/>
        </w:rPr>
        <w:t>irrigation water</w:t>
      </w:r>
      <w:r w:rsidR="004512CB">
        <w:rPr>
          <w:lang w:val="en-AU"/>
        </w:rPr>
        <w:t xml:space="preserve"> use remained the same. </w:t>
      </w:r>
      <w:r>
        <w:rPr>
          <w:lang w:val="en-AU"/>
        </w:rPr>
        <w:t xml:space="preserve">The difference between </w:t>
      </w:r>
      <w:r w:rsidR="004512CB">
        <w:rPr>
          <w:lang w:val="en-AU"/>
        </w:rPr>
        <w:t>the two</w:t>
      </w:r>
      <w:r>
        <w:rPr>
          <w:lang w:val="en-AU"/>
        </w:rPr>
        <w:t xml:space="preserve"> would be less if it </w:t>
      </w:r>
      <w:r w:rsidR="002A7A4A">
        <w:rPr>
          <w:lang w:val="en-AU"/>
        </w:rPr>
        <w:t>were</w:t>
      </w:r>
      <w:r>
        <w:rPr>
          <w:lang w:val="en-AU"/>
        </w:rPr>
        <w:t xml:space="preserve"> assumed the additional water use was less efficient than the observed average.</w:t>
      </w:r>
    </w:p>
    <w:p w14:paraId="28665B48" w14:textId="77777777" w:rsidR="00C01A50" w:rsidRPr="00205849" w:rsidRDefault="001B21E3" w:rsidP="00DC2C6F">
      <w:pPr>
        <w:keepNext/>
        <w:jc w:val="center"/>
        <w:rPr>
          <w:lang w:val="en-AU"/>
        </w:rPr>
      </w:pPr>
      <w:r>
        <w:rPr>
          <w:noProof/>
          <w:lang w:val="en-AU" w:eastAsia="en-AU" w:bidi="ar-SA"/>
        </w:rPr>
        <w:lastRenderedPageBreak/>
        <w:drawing>
          <wp:inline distT="0" distB="0" distL="0" distR="0" wp14:anchorId="70FABCDB" wp14:editId="6F263D39">
            <wp:extent cx="4467225" cy="2857500"/>
            <wp:effectExtent l="0" t="0" r="317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C8AF19" w14:textId="77777777" w:rsidR="00C01A50" w:rsidRPr="00074ABB" w:rsidRDefault="004512CB" w:rsidP="004512CB">
      <w:pPr>
        <w:pStyle w:val="Caption"/>
        <w:rPr>
          <w:b w:val="0"/>
          <w:bCs w:val="0"/>
        </w:rPr>
      </w:pPr>
      <w:bookmarkStart w:id="33" w:name="_Ref346348164"/>
      <w:bookmarkStart w:id="34" w:name="_Ref342654426"/>
      <w:r>
        <w:t xml:space="preserve">Figure </w:t>
      </w:r>
      <w:r>
        <w:fldChar w:fldCharType="begin"/>
      </w:r>
      <w:r>
        <w:instrText xml:space="preserve"> SEQ Figure \* ARABIC </w:instrText>
      </w:r>
      <w:r>
        <w:fldChar w:fldCharType="separate"/>
      </w:r>
      <w:r w:rsidR="008E5D7A">
        <w:rPr>
          <w:noProof/>
        </w:rPr>
        <w:t>6</w:t>
      </w:r>
      <w:r>
        <w:fldChar w:fldCharType="end"/>
      </w:r>
      <w:bookmarkEnd w:id="33"/>
      <w:r>
        <w:t xml:space="preserve">: </w:t>
      </w:r>
      <w:r w:rsidRPr="004512CB">
        <w:t>GMID milk production (with and without the Basin Plan)</w:t>
      </w:r>
      <w:r>
        <w:t xml:space="preserve"> </w:t>
      </w:r>
      <w:bookmarkEnd w:id="34"/>
    </w:p>
    <w:p w14:paraId="22F23909" w14:textId="77777777" w:rsidR="00C01A50" w:rsidRDefault="00C01A50" w:rsidP="006F1745">
      <w:pPr>
        <w:rPr>
          <w:lang w:val="en-AU"/>
        </w:rPr>
      </w:pPr>
      <w:r>
        <w:rPr>
          <w:lang w:val="en-AU"/>
        </w:rPr>
        <w:t xml:space="preserve">RMCG (2016) estimated a similar reduction and equated this to a reduction in an annual farm-gate value of $200 million per year. It is important to note however that output value is not just attributable to the additional water volumes; it is also attributable to the other inputs to production — </w:t>
      </w:r>
      <w:r w:rsidR="00016435">
        <w:rPr>
          <w:lang w:val="en-AU"/>
        </w:rPr>
        <w:t xml:space="preserve">and therefore </w:t>
      </w:r>
      <w:r>
        <w:rPr>
          <w:lang w:val="en-AU"/>
        </w:rPr>
        <w:t>is not a measure of the economic value added by the water.</w:t>
      </w:r>
      <w:r w:rsidRPr="008F6922">
        <w:t xml:space="preserve"> </w:t>
      </w:r>
      <w:r>
        <w:t>It is also important to note that despite high allocation levels and low allocation prices at the time of writing, milk production was being strongly influenced by low milk prices with dairy farmers reducing inputs of purchased feed and fertiliser in the short-term.</w:t>
      </w:r>
    </w:p>
    <w:p w14:paraId="4182D7ED" w14:textId="77777777" w:rsidR="00C01A50" w:rsidRPr="00205849" w:rsidRDefault="00C01A50" w:rsidP="006F1745">
      <w:pPr>
        <w:rPr>
          <w:lang w:val="en-AU"/>
        </w:rPr>
      </w:pPr>
      <w:r w:rsidRPr="00205849">
        <w:rPr>
          <w:lang w:val="en-AU"/>
        </w:rPr>
        <w:t xml:space="preserve">This reduced supply has reduced throughput in dairy processing. Although milk processing is not reported by factory, milk is generally processed in the region of production. For example, </w:t>
      </w:r>
      <w:r w:rsidR="00A30AAF">
        <w:rPr>
          <w:lang w:val="en-AU"/>
        </w:rPr>
        <w:t>Murray-Goulburn Cooperative (MG</w:t>
      </w:r>
      <w:r w:rsidRPr="00205849">
        <w:rPr>
          <w:lang w:val="en-AU"/>
        </w:rPr>
        <w:t>) have milk processing sites in northern Victoria at Cobram (</w:t>
      </w:r>
      <w:r w:rsidR="002A4DEF" w:rsidRPr="00205849">
        <w:rPr>
          <w:lang w:val="en-AU"/>
        </w:rPr>
        <w:t>cheese</w:t>
      </w:r>
      <w:r w:rsidRPr="00205849">
        <w:rPr>
          <w:lang w:val="en-AU"/>
        </w:rPr>
        <w:t>, milk powders, infant formula) Kiewa (</w:t>
      </w:r>
      <w:r w:rsidR="002A4DEF" w:rsidRPr="00205849">
        <w:rPr>
          <w:lang w:val="en-AU"/>
        </w:rPr>
        <w:t xml:space="preserve">daily </w:t>
      </w:r>
      <w:r w:rsidRPr="00205849">
        <w:rPr>
          <w:lang w:val="en-AU"/>
        </w:rPr>
        <w:t>pasteurised milk, cream cheese, yoghurt, cream) and Rochester (</w:t>
      </w:r>
      <w:r w:rsidR="002A4DEF" w:rsidRPr="00205849">
        <w:rPr>
          <w:lang w:val="en-AU"/>
        </w:rPr>
        <w:t>cheese</w:t>
      </w:r>
      <w:r w:rsidRPr="00205849">
        <w:rPr>
          <w:lang w:val="en-AU"/>
        </w:rPr>
        <w:t>, milk powders), as well as elsewhere in Victoria (Koroit, Laverton, Leongatha and Maffra).</w:t>
      </w:r>
    </w:p>
    <w:p w14:paraId="53A267C7" w14:textId="77777777" w:rsidR="00C01A50" w:rsidRPr="00285268" w:rsidRDefault="00C01A50" w:rsidP="006F1745">
      <w:pPr>
        <w:rPr>
          <w:lang w:val="en-AU"/>
        </w:rPr>
      </w:pPr>
      <w:r w:rsidRPr="00285268">
        <w:rPr>
          <w:lang w:val="en-AU"/>
        </w:rPr>
        <w:t xml:space="preserve">Commonwealth </w:t>
      </w:r>
      <w:r>
        <w:rPr>
          <w:lang w:val="en-AU"/>
        </w:rPr>
        <w:t>buybacks</w:t>
      </w:r>
      <w:r w:rsidRPr="00285268">
        <w:rPr>
          <w:lang w:val="en-AU"/>
        </w:rPr>
        <w:t xml:space="preserve"> undoubtedly helped dairy farmers to adjust to the combined effects of the high cost of feed and the high cost of allocations during the drought. Many </w:t>
      </w:r>
      <w:r>
        <w:rPr>
          <w:lang w:val="en-AU"/>
        </w:rPr>
        <w:t>farmers</w:t>
      </w:r>
      <w:r w:rsidRPr="00285268">
        <w:rPr>
          <w:lang w:val="en-AU"/>
        </w:rPr>
        <w:t xml:space="preserve"> took the opportunity to exit the industry with better financial resources than they would have done without the Basin Plan. Others managed to </w:t>
      </w:r>
      <w:r>
        <w:rPr>
          <w:lang w:val="en-AU"/>
        </w:rPr>
        <w:t>keep operating their</w:t>
      </w:r>
      <w:r w:rsidRPr="00285268">
        <w:rPr>
          <w:lang w:val="en-AU"/>
        </w:rPr>
        <w:t xml:space="preserve"> business</w:t>
      </w:r>
      <w:r>
        <w:rPr>
          <w:lang w:val="en-AU"/>
        </w:rPr>
        <w:t>es</w:t>
      </w:r>
      <w:r w:rsidRPr="00285268">
        <w:rPr>
          <w:lang w:val="en-AU"/>
        </w:rPr>
        <w:t xml:space="preserve"> </w:t>
      </w:r>
      <w:r>
        <w:rPr>
          <w:lang w:val="en-AU"/>
        </w:rPr>
        <w:t>based on allocation purchases. Buyback</w:t>
      </w:r>
      <w:r w:rsidRPr="00285268">
        <w:rPr>
          <w:lang w:val="en-AU"/>
        </w:rPr>
        <w:t xml:space="preserve"> </w:t>
      </w:r>
      <w:r>
        <w:rPr>
          <w:lang w:val="en-AU"/>
        </w:rPr>
        <w:t xml:space="preserve">also </w:t>
      </w:r>
      <w:r w:rsidRPr="00285268">
        <w:rPr>
          <w:lang w:val="en-AU"/>
        </w:rPr>
        <w:t>helped many dairy farmers reduce their debts</w:t>
      </w:r>
      <w:r>
        <w:rPr>
          <w:lang w:val="en-AU"/>
        </w:rPr>
        <w:t xml:space="preserve">. </w:t>
      </w:r>
    </w:p>
    <w:p w14:paraId="18741E7A" w14:textId="393D474D" w:rsidR="00C01A50" w:rsidRDefault="00C01A50" w:rsidP="006F1745">
      <w:pPr>
        <w:rPr>
          <w:lang w:val="en-AU"/>
        </w:rPr>
      </w:pPr>
      <w:r>
        <w:rPr>
          <w:lang w:val="en-AU"/>
        </w:rPr>
        <w:t xml:space="preserve">More than half of all dairy farmers are now net purchasers of allocations, with 60% </w:t>
      </w:r>
      <w:r w:rsidR="004A2875">
        <w:rPr>
          <w:lang w:val="en-AU"/>
        </w:rPr>
        <w:t>purchasing allocations</w:t>
      </w:r>
      <w:r>
        <w:rPr>
          <w:lang w:val="en-AU"/>
        </w:rPr>
        <w:t xml:space="preserve"> in 2013/14. However, </w:t>
      </w:r>
      <w:r w:rsidR="00166B39" w:rsidRPr="008311EA">
        <w:rPr>
          <w:lang w:val="en-AU"/>
        </w:rPr>
        <w:t>as discussed in Chapter 4,</w:t>
      </w:r>
      <w:r w:rsidR="00166B39">
        <w:rPr>
          <w:lang w:val="en-AU"/>
        </w:rPr>
        <w:t xml:space="preserve"> </w:t>
      </w:r>
      <w:r>
        <w:rPr>
          <w:lang w:val="en-AU"/>
        </w:rPr>
        <w:t xml:space="preserve">the limits to this strategy </w:t>
      </w:r>
      <w:r w:rsidR="00166B39">
        <w:rPr>
          <w:lang w:val="en-AU"/>
        </w:rPr>
        <w:t xml:space="preserve">were </w:t>
      </w:r>
      <w:r>
        <w:rPr>
          <w:lang w:val="en-AU"/>
        </w:rPr>
        <w:t xml:space="preserve">revealed in 2015/16 once the extraordinary levels of carryover built up </w:t>
      </w:r>
      <w:r w:rsidR="004A2875">
        <w:rPr>
          <w:lang w:val="en-AU"/>
        </w:rPr>
        <w:t>during</w:t>
      </w:r>
      <w:r>
        <w:rPr>
          <w:lang w:val="en-AU"/>
        </w:rPr>
        <w:t xml:space="preserve"> the La Ni</w:t>
      </w:r>
      <w:r w:rsidR="004671DD">
        <w:rPr>
          <w:lang w:val="en-AU"/>
        </w:rPr>
        <w:t>ñ</w:t>
      </w:r>
      <w:r>
        <w:rPr>
          <w:lang w:val="en-AU"/>
        </w:rPr>
        <w:t xml:space="preserve">a years were finally </w:t>
      </w:r>
      <w:r w:rsidR="00192E8B">
        <w:rPr>
          <w:lang w:val="en-AU"/>
        </w:rPr>
        <w:t>run down to lower level</w:t>
      </w:r>
      <w:r w:rsidR="00166B39">
        <w:rPr>
          <w:lang w:val="en-AU"/>
        </w:rPr>
        <w:t>, and the return to dry conditions led to higher allocation prices.</w:t>
      </w:r>
      <w:r>
        <w:rPr>
          <w:lang w:val="en-AU"/>
        </w:rPr>
        <w:t xml:space="preserve"> Many of the irrigators that pursued this strategy are still coming to terms with the risk </w:t>
      </w:r>
      <w:r w:rsidR="00016435">
        <w:rPr>
          <w:lang w:val="en-AU"/>
        </w:rPr>
        <w:t xml:space="preserve">to which </w:t>
      </w:r>
      <w:r>
        <w:rPr>
          <w:lang w:val="en-AU"/>
        </w:rPr>
        <w:t xml:space="preserve">this has exposed them. </w:t>
      </w:r>
    </w:p>
    <w:p w14:paraId="39C1F85A" w14:textId="77777777" w:rsidR="00C01A50" w:rsidRDefault="00C01A50" w:rsidP="006F1745">
      <w:pPr>
        <w:rPr>
          <w:lang w:val="en-AU"/>
        </w:rPr>
      </w:pPr>
      <w:r>
        <w:rPr>
          <w:lang w:val="en-AU"/>
        </w:rPr>
        <w:lastRenderedPageBreak/>
        <w:t>On-farm improvements in irrigation layouts and irrigation management strategies over the past 30 years have helped dairy farmers adapt to the changes. Dairy farmers whose business models depend on allocation purchases are now confronting decisions about their willingness and ability to adopt the more complex feeding strategies associated with further improvements in irrigation technology.</w:t>
      </w:r>
    </w:p>
    <w:p w14:paraId="616159DA" w14:textId="77777777" w:rsidR="00C01A50" w:rsidRDefault="00C01A50" w:rsidP="006F1745">
      <w:r>
        <w:t xml:space="preserve">Irrigated dairying has in the past relied on access to abundant, cheap water. Water has become </w:t>
      </w:r>
      <w:r w:rsidR="00FE306B">
        <w:t xml:space="preserve">more </w:t>
      </w:r>
      <w:r>
        <w:t>scarce as a result of horticultural expansion and the Basin Plan. Further sources of scarcity include climate change and continued horticultural expansion and the potential for further water to be recovered for the environment under the Basin Plan. For example, the Socioeconomic Analysis that accompanied the Regulatory Impact Statement for the Basin Plan (MDBA, 2011</w:t>
      </w:r>
      <w:r w:rsidR="000C1D6C">
        <w:t>c</w:t>
      </w:r>
      <w:r w:rsidR="009E652A">
        <w:t>) warned at page 78</w:t>
      </w:r>
      <w:r>
        <w:t xml:space="preserve"> that “for the </w:t>
      </w:r>
      <w:r w:rsidR="00A34F27">
        <w:t>Goulburn Broken</w:t>
      </w:r>
      <w:r>
        <w:t xml:space="preserve"> Region GVIAP (gross value of irrigated agricultural production) will be reduced by 12.9 per cent ($88.2 million) with the largest reductions experienced by dairy, meat cattle and hay”. The net result of these changes has been increased farming risk in Victoria’s irrigated dairy industry.</w:t>
      </w:r>
    </w:p>
    <w:p w14:paraId="6EC0F322" w14:textId="12D4DC4D" w:rsidR="00C01A50" w:rsidRPr="00867773" w:rsidRDefault="00C01A50" w:rsidP="006F1745">
      <w:pPr>
        <w:rPr>
          <w:lang w:val="en-AU"/>
        </w:rPr>
      </w:pPr>
      <w:r>
        <w:t xml:space="preserve">The levels of indebtedness outlined above, and the experience with the Campaspe Irrigation District, highlight that irrigated dairying is semi-interruptible only for so long. </w:t>
      </w:r>
      <w:r w:rsidRPr="00285268">
        <w:rPr>
          <w:lang w:val="en-AU"/>
        </w:rPr>
        <w:t>The limits to the strategy of substituti</w:t>
      </w:r>
      <w:r>
        <w:rPr>
          <w:lang w:val="en-AU"/>
        </w:rPr>
        <w:t xml:space="preserve">ng feed for water </w:t>
      </w:r>
      <w:r w:rsidRPr="00285268">
        <w:rPr>
          <w:lang w:val="en-AU"/>
        </w:rPr>
        <w:t>were revealed in the Campaspe Irrigation District in 2010</w:t>
      </w:r>
      <w:r>
        <w:rPr>
          <w:lang w:val="en-AU"/>
        </w:rPr>
        <w:t>.</w:t>
      </w:r>
      <w:r w:rsidRPr="00285268">
        <w:rPr>
          <w:lang w:val="en-AU"/>
        </w:rPr>
        <w:t xml:space="preserve"> After four out five years </w:t>
      </w:r>
      <w:r>
        <w:rPr>
          <w:lang w:val="en-AU"/>
        </w:rPr>
        <w:t>with 0% water allocations, that district’s</w:t>
      </w:r>
      <w:r w:rsidRPr="00285268">
        <w:rPr>
          <w:lang w:val="en-AU"/>
        </w:rPr>
        <w:t xml:space="preserve"> irrigators agreed to close</w:t>
      </w:r>
      <w:r>
        <w:rPr>
          <w:lang w:val="en-AU"/>
        </w:rPr>
        <w:t xml:space="preserve"> down</w:t>
      </w:r>
      <w:r w:rsidRPr="00285268">
        <w:rPr>
          <w:lang w:val="en-AU"/>
        </w:rPr>
        <w:t xml:space="preserve"> the irrigation district and sell all of their entitlements.</w:t>
      </w:r>
    </w:p>
    <w:p w14:paraId="7B3C519D" w14:textId="77777777" w:rsidR="00C01A50" w:rsidRDefault="00C01A50" w:rsidP="009A33C1">
      <w:pPr>
        <w:pStyle w:val="Heading2"/>
        <w:numPr>
          <w:ilvl w:val="0"/>
          <w:numId w:val="0"/>
        </w:numPr>
        <w:ind w:left="576" w:hanging="576"/>
      </w:pPr>
      <w:bookmarkStart w:id="35" w:name="_Toc342658312"/>
      <w:bookmarkStart w:id="36" w:name="_Toc347747783"/>
      <w:r>
        <w:t>Impacts in the GMID</w:t>
      </w:r>
      <w:bookmarkEnd w:id="35"/>
      <w:bookmarkEnd w:id="36"/>
    </w:p>
    <w:p w14:paraId="5413F463" w14:textId="77777777" w:rsidR="00C01A50" w:rsidRDefault="00813BBE" w:rsidP="006F1745">
      <w:r>
        <w:t>Dairying is the main form of farming in the</w:t>
      </w:r>
      <w:r w:rsidR="00C01A50">
        <w:t xml:space="preserve"> GMID. Dairying can be outcompeted by irrigated industries that can pay more for water, and it can b</w:t>
      </w:r>
      <w:r w:rsidR="00FE306B">
        <w:t>e</w:t>
      </w:r>
      <w:r w:rsidR="00C01A50">
        <w:t xml:space="preserve"> outlasted by industries better adapted to variable water availability. Concerns about the future of dairy are a major contributor to doubts about the business model in the GMID. </w:t>
      </w:r>
      <w:r w:rsidR="00856850">
        <w:t>By contrast,</w:t>
      </w:r>
      <w:r w:rsidR="00C01A50">
        <w:t xml:space="preserve"> </w:t>
      </w:r>
      <w:r w:rsidR="00856850">
        <w:t>there is</w:t>
      </w:r>
      <w:r w:rsidR="00C01A50">
        <w:t xml:space="preserve"> growing confidence in the future of LMW’s </w:t>
      </w:r>
      <w:r w:rsidR="00856850">
        <w:t xml:space="preserve">irrigation </w:t>
      </w:r>
      <w:r w:rsidR="00C01A50">
        <w:t xml:space="preserve">districts </w:t>
      </w:r>
      <w:r>
        <w:t xml:space="preserve">– </w:t>
      </w:r>
      <w:r w:rsidR="00C01A50">
        <w:t>based on recent horticultural rejuvenation.</w:t>
      </w:r>
    </w:p>
    <w:p w14:paraId="1C9359A7" w14:textId="77777777" w:rsidR="00C01A50" w:rsidRDefault="009A33C1" w:rsidP="006F1745">
      <w:r>
        <w:t xml:space="preserve">Since 2007, a </w:t>
      </w:r>
      <w:r w:rsidR="00C01A50">
        <w:t xml:space="preserve">total of 539 GL of entitlements has been traded out of the GMID as a result of horticultural expansion and the Basin Plan. </w:t>
      </w:r>
      <w:r w:rsidR="00426A1A">
        <w:t xml:space="preserve">As discussed in Chapter </w:t>
      </w:r>
      <w:r w:rsidR="00426A1A">
        <w:fldChar w:fldCharType="begin"/>
      </w:r>
      <w:r w:rsidR="00426A1A">
        <w:instrText xml:space="preserve"> REF _Ref342381195 \r \h </w:instrText>
      </w:r>
      <w:r w:rsidR="00426A1A">
        <w:fldChar w:fldCharType="separate"/>
      </w:r>
      <w:r w:rsidR="008E5D7A">
        <w:t>8</w:t>
      </w:r>
      <w:r w:rsidR="00426A1A">
        <w:fldChar w:fldCharType="end"/>
      </w:r>
      <w:r w:rsidR="00426A1A">
        <w:t xml:space="preserve">, this represents a 33% decrease </w:t>
      </w:r>
      <w:r w:rsidR="00FE306B">
        <w:t xml:space="preserve">in the volume of entitlement held in the GMID </w:t>
      </w:r>
      <w:r w:rsidR="00426A1A">
        <w:t>since 2001. The volume of the reduction</w:t>
      </w:r>
      <w:r w:rsidR="00C01A50">
        <w:t xml:space="preserve"> is greater than the volume of all high reliability entitlements held in the Murray Valley and Loddon Valley Irrigation Districts in 2001. The key difference in this comparison is that rather than being concentrated in a small number of locations, the purchases have been scattered throughout the GMID (</w:t>
      </w:r>
      <w:r w:rsidR="00C01A50">
        <w:fldChar w:fldCharType="begin"/>
      </w:r>
      <w:r w:rsidR="00C01A50">
        <w:instrText xml:space="preserve"> REF _Ref342656244 \h </w:instrText>
      </w:r>
      <w:r w:rsidR="00C01A50">
        <w:fldChar w:fldCharType="separate"/>
      </w:r>
      <w:r w:rsidR="008E5D7A">
        <w:t xml:space="preserve">Figure </w:t>
      </w:r>
      <w:r w:rsidR="008E5D7A">
        <w:rPr>
          <w:noProof/>
        </w:rPr>
        <w:t>7</w:t>
      </w:r>
      <w:r w:rsidR="00C01A50">
        <w:fldChar w:fldCharType="end"/>
      </w:r>
      <w:r w:rsidR="00C01A50">
        <w:t>). Because the changes in GMW customers’ water demands are spread throughout the network, opportunities to rationalise the network are much harder to identify and realise than they would have been had the transfers been concentrated in discrete areas</w:t>
      </w:r>
      <w:r w:rsidR="00FE306B">
        <w:t>.</w:t>
      </w:r>
    </w:p>
    <w:p w14:paraId="5BE30D6B" w14:textId="77777777" w:rsidR="00C01A50" w:rsidRDefault="00C01A50" w:rsidP="006F1745">
      <w:r>
        <w:t>Average deliveries in the GMID are likely to be around 1,200 GL in the future, 41% lower than long-term average modelled for Stage 1 of the Connections Project. In effect the Commonwealth’s buybacks and its on-farm infrastructure investments have worked at cross-purposes with its off-farm infrastructure projects.</w:t>
      </w:r>
    </w:p>
    <w:p w14:paraId="3086B317" w14:textId="77777777" w:rsidR="00C01A50" w:rsidRDefault="00C01A50" w:rsidP="006F1745">
      <w:r>
        <w:lastRenderedPageBreak/>
        <w:t>Reduced deliveries are a major challenge to GMW</w:t>
      </w:r>
      <w:r w:rsidRPr="00BC47B6">
        <w:t xml:space="preserve"> </w:t>
      </w:r>
      <w:r>
        <w:t xml:space="preserve">because its </w:t>
      </w:r>
      <w:r w:rsidRPr="00BC47B6">
        <w:t>extensive asset base requires routine annual maintenance, operations and renewal</w:t>
      </w:r>
      <w:r>
        <w:t>.</w:t>
      </w:r>
      <w:r w:rsidRPr="00BC47B6">
        <w:t xml:space="preserve"> </w:t>
      </w:r>
      <w:r>
        <w:t>T</w:t>
      </w:r>
      <w:r w:rsidRPr="00BC47B6">
        <w:t xml:space="preserve">herefore, </w:t>
      </w:r>
      <w:r>
        <w:t xml:space="preserve">its costs are </w:t>
      </w:r>
      <w:r w:rsidRPr="00BC47B6">
        <w:t>largely fixed</w:t>
      </w:r>
      <w:r>
        <w:t>. Consequently, the marginal cost of delivering water goes up as the volumes being delivered go down.</w:t>
      </w:r>
    </w:p>
    <w:p w14:paraId="3A913E71" w14:textId="16F31AFC" w:rsidR="00C01A50" w:rsidRDefault="00C01A50" w:rsidP="006F1745">
      <w:r>
        <w:t xml:space="preserve">The effective costs of delivering water will increase significantly unless up to </w:t>
      </w:r>
      <w:r w:rsidR="00DA2CCE">
        <w:t>4</w:t>
      </w:r>
      <w:r>
        <w:t xml:space="preserve">0% of </w:t>
      </w:r>
      <w:r w:rsidR="00A750E2">
        <w:t xml:space="preserve">the </w:t>
      </w:r>
      <w:r>
        <w:t xml:space="preserve">delivery system infrastructure </w:t>
      </w:r>
      <w:r w:rsidR="00DA2CCE">
        <w:t xml:space="preserve">in place before the GMW Connections Project began </w:t>
      </w:r>
      <w:r>
        <w:t>can be rationalised</w:t>
      </w:r>
      <w:r w:rsidR="00DA2CCE">
        <w:t xml:space="preserve"> (GMW 2009)</w:t>
      </w:r>
      <w:r>
        <w:t xml:space="preserve">. </w:t>
      </w:r>
      <w:r w:rsidR="00AD5398">
        <w:t xml:space="preserve">The spatially random nature of </w:t>
      </w:r>
      <w:r>
        <w:t xml:space="preserve">Commonwealth water purchases </w:t>
      </w:r>
      <w:r w:rsidR="00FE306B">
        <w:t xml:space="preserve">has </w:t>
      </w:r>
      <w:r>
        <w:t>contribute</w:t>
      </w:r>
      <w:r w:rsidR="00AD5398">
        <w:t>d</w:t>
      </w:r>
      <w:r>
        <w:t xml:space="preserve"> to the difficulty of rationalising infrastructure. </w:t>
      </w:r>
    </w:p>
    <w:p w14:paraId="71153AA8" w14:textId="77777777" w:rsidR="00C01A50" w:rsidRDefault="00C01A50" w:rsidP="006F1745">
      <w:r>
        <w:t xml:space="preserve">The effect of lower deliveries is difficult to see on GMW’s bottom line as the business is protected by largely fixed tariffs against their delivery shares. But more and more irrigators are paying for delivery share they do not use, and they are either unable or unwilling to pay to terminate them. The Victorian Government has committed to reviewing this issue.  </w:t>
      </w:r>
    </w:p>
    <w:p w14:paraId="0C807D5B" w14:textId="4F259F79" w:rsidR="001B4405" w:rsidRDefault="001B4405" w:rsidP="001B4405">
      <w:pPr>
        <w:jc w:val="center"/>
      </w:pPr>
      <w:r>
        <w:rPr>
          <w:rFonts w:ascii="Helvetica" w:hAnsi="Helvetica" w:cs="Helvetica"/>
          <w:noProof/>
          <w:lang w:val="en-AU" w:eastAsia="en-AU" w:bidi="ar-SA"/>
        </w:rPr>
        <w:drawing>
          <wp:inline distT="0" distB="0" distL="0" distR="0" wp14:anchorId="7163BBF2" wp14:editId="1A2E2EB3">
            <wp:extent cx="5270500" cy="3726594"/>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726594"/>
                    </a:xfrm>
                    <a:prstGeom prst="rect">
                      <a:avLst/>
                    </a:prstGeom>
                    <a:noFill/>
                    <a:ln>
                      <a:noFill/>
                    </a:ln>
                  </pic:spPr>
                </pic:pic>
              </a:graphicData>
            </a:graphic>
          </wp:inline>
        </w:drawing>
      </w:r>
    </w:p>
    <w:p w14:paraId="5CA62369" w14:textId="77777777" w:rsidR="00C01A50" w:rsidRDefault="00C01A50" w:rsidP="006F1745">
      <w:pPr>
        <w:pStyle w:val="Caption"/>
      </w:pPr>
      <w:bookmarkStart w:id="37" w:name="_Ref342656244"/>
      <w:r>
        <w:t xml:space="preserve">Figure </w:t>
      </w:r>
      <w:r>
        <w:fldChar w:fldCharType="begin"/>
      </w:r>
      <w:r>
        <w:instrText xml:space="preserve"> SEQ Figure \* ARABIC </w:instrText>
      </w:r>
      <w:r>
        <w:fldChar w:fldCharType="separate"/>
      </w:r>
      <w:r w:rsidR="008E5D7A">
        <w:rPr>
          <w:noProof/>
        </w:rPr>
        <w:t>7</w:t>
      </w:r>
      <w:r>
        <w:rPr>
          <w:noProof/>
        </w:rPr>
        <w:fldChar w:fldCharType="end"/>
      </w:r>
      <w:bookmarkEnd w:id="37"/>
      <w:r>
        <w:t xml:space="preserve"> – Spatial distribution of water </w:t>
      </w:r>
      <w:r w:rsidR="00BD2F20">
        <w:t>entitlements</w:t>
      </w:r>
      <w:r>
        <w:t xml:space="preserve"> trade</w:t>
      </w:r>
      <w:r w:rsidR="00BD2F20">
        <w:t>d</w:t>
      </w:r>
      <w:r>
        <w:t xml:space="preserve"> to the Commonwealth from farms </w:t>
      </w:r>
      <w:r w:rsidR="00BD2F20">
        <w:t>in the GMID</w:t>
      </w:r>
    </w:p>
    <w:p w14:paraId="6CA94F4E" w14:textId="77777777" w:rsidR="00C01A50" w:rsidRDefault="00C01A50" w:rsidP="009A33C1">
      <w:pPr>
        <w:pStyle w:val="Heading2"/>
        <w:numPr>
          <w:ilvl w:val="0"/>
          <w:numId w:val="0"/>
        </w:numPr>
      </w:pPr>
      <w:bookmarkStart w:id="38" w:name="_Toc342658313"/>
      <w:bookmarkStart w:id="39" w:name="_Toc347747784"/>
      <w:r>
        <w:t>Impacts in NSW</w:t>
      </w:r>
      <w:bookmarkEnd w:id="38"/>
      <w:bookmarkEnd w:id="39"/>
    </w:p>
    <w:p w14:paraId="36544D36" w14:textId="77777777" w:rsidR="00C01A50" w:rsidRPr="00CF0A21" w:rsidRDefault="00C01A50" w:rsidP="006F1745">
      <w:pPr>
        <w:rPr>
          <w:lang w:val="en-AU"/>
        </w:rPr>
      </w:pPr>
      <w:r w:rsidRPr="00CF0A21">
        <w:rPr>
          <w:lang w:val="en-AU"/>
        </w:rPr>
        <w:t xml:space="preserve">Annual water use in southern NSW has declined by a volume similar to the </w:t>
      </w:r>
      <w:r>
        <w:rPr>
          <w:lang w:val="en-AU"/>
        </w:rPr>
        <w:t>extra</w:t>
      </w:r>
      <w:r w:rsidRPr="00CF0A21">
        <w:rPr>
          <w:lang w:val="en-AU"/>
        </w:rPr>
        <w:t xml:space="preserve"> allocation</w:t>
      </w:r>
      <w:r>
        <w:rPr>
          <w:lang w:val="en-AU"/>
        </w:rPr>
        <w:t>s</w:t>
      </w:r>
      <w:r w:rsidRPr="00CF0A21">
        <w:rPr>
          <w:lang w:val="en-AU"/>
        </w:rPr>
        <w:t xml:space="preserve"> </w:t>
      </w:r>
      <w:r>
        <w:rPr>
          <w:lang w:val="en-AU"/>
        </w:rPr>
        <w:t xml:space="preserve">that would have been available in the absence of the buyback. This indicates </w:t>
      </w:r>
      <w:r w:rsidRPr="00CF0A21">
        <w:rPr>
          <w:lang w:val="en-AU"/>
        </w:rPr>
        <w:t>that net trade from Victoria and Sout</w:t>
      </w:r>
      <w:r>
        <w:rPr>
          <w:lang w:val="en-AU"/>
        </w:rPr>
        <w:t>h</w:t>
      </w:r>
      <w:r w:rsidRPr="00CF0A21">
        <w:rPr>
          <w:lang w:val="en-AU"/>
        </w:rPr>
        <w:t xml:space="preserve"> Australia has not changed.</w:t>
      </w:r>
    </w:p>
    <w:p w14:paraId="5B22DD6B" w14:textId="77777777" w:rsidR="00C01A50" w:rsidRPr="00CF0A21" w:rsidRDefault="00C01A50" w:rsidP="006F1745">
      <w:pPr>
        <w:rPr>
          <w:lang w:val="en-AU"/>
        </w:rPr>
      </w:pPr>
      <w:r>
        <w:rPr>
          <w:lang w:val="en-AU"/>
        </w:rPr>
        <w:t>The changes there have</w:t>
      </w:r>
      <w:r w:rsidRPr="00CF0A21">
        <w:rPr>
          <w:lang w:val="en-AU"/>
        </w:rPr>
        <w:t xml:space="preserve"> driven structural adjustment at the farm, industry and regional scales. Irrigators have shift</w:t>
      </w:r>
      <w:r>
        <w:rPr>
          <w:lang w:val="en-AU"/>
        </w:rPr>
        <w:t>ed</w:t>
      </w:r>
      <w:r w:rsidRPr="00CF0A21">
        <w:rPr>
          <w:lang w:val="en-AU"/>
        </w:rPr>
        <w:t xml:space="preserve"> water away from rice towards other summer crops and winter crops. Corn and cotton </w:t>
      </w:r>
      <w:r w:rsidRPr="00CF0A21">
        <w:rPr>
          <w:lang w:val="en-AU"/>
        </w:rPr>
        <w:lastRenderedPageBreak/>
        <w:t>plantings have increased,</w:t>
      </w:r>
      <w:r>
        <w:rPr>
          <w:lang w:val="en-AU"/>
        </w:rPr>
        <w:t xml:space="preserve"> and </w:t>
      </w:r>
      <w:r w:rsidRPr="00CF0A21">
        <w:rPr>
          <w:lang w:val="en-AU"/>
        </w:rPr>
        <w:t>NSW irrigators are increasingly using f</w:t>
      </w:r>
      <w:r w:rsidR="00CF3BAC">
        <w:rPr>
          <w:lang w:val="en-AU"/>
        </w:rPr>
        <w:t>orward markets to reduce season-to-</w:t>
      </w:r>
      <w:r w:rsidRPr="00CF0A21">
        <w:rPr>
          <w:lang w:val="en-AU"/>
        </w:rPr>
        <w:t>season business variability.</w:t>
      </w:r>
    </w:p>
    <w:p w14:paraId="639532AD" w14:textId="77777777" w:rsidR="00C01A50" w:rsidRPr="00CF0A21" w:rsidRDefault="00C01A50" w:rsidP="006F1745">
      <w:pPr>
        <w:rPr>
          <w:lang w:val="en-AU"/>
        </w:rPr>
      </w:pPr>
      <w:r w:rsidRPr="00CF0A21">
        <w:rPr>
          <w:lang w:val="en-AU"/>
        </w:rPr>
        <w:t xml:space="preserve">Annual water use is evolving in southern NSW as irrigators consider how best to respond to the changed business environment. Irrigators and industries will seek to increase the returns per </w:t>
      </w:r>
      <w:r w:rsidR="00FF192A">
        <w:rPr>
          <w:lang w:val="en-AU"/>
        </w:rPr>
        <w:t>ML</w:t>
      </w:r>
      <w:r w:rsidRPr="00CF0A21">
        <w:rPr>
          <w:lang w:val="en-AU"/>
        </w:rPr>
        <w:t xml:space="preserve"> through improved management and through research and development. Recent developments in the ric</w:t>
      </w:r>
      <w:r>
        <w:rPr>
          <w:lang w:val="en-AU"/>
        </w:rPr>
        <w:t>e industry are an example. Such</w:t>
      </w:r>
      <w:r w:rsidRPr="00CF0A21">
        <w:rPr>
          <w:lang w:val="en-AU"/>
        </w:rPr>
        <w:t xml:space="preserve"> structural adjustment may result in less water being traded into Victoria in the future especially if the marginal returns per </w:t>
      </w:r>
      <w:r w:rsidR="00FF192A">
        <w:rPr>
          <w:lang w:val="en-AU"/>
        </w:rPr>
        <w:t>ML</w:t>
      </w:r>
      <w:r w:rsidRPr="00CF0A21">
        <w:rPr>
          <w:lang w:val="en-AU"/>
        </w:rPr>
        <w:t xml:space="preserve"> approach those for dairying and horticulture. </w:t>
      </w:r>
    </w:p>
    <w:p w14:paraId="6DC60AC2" w14:textId="77777777" w:rsidR="00C01A50" w:rsidRPr="00783410" w:rsidRDefault="00C01A50" w:rsidP="006F1745">
      <w:pPr>
        <w:rPr>
          <w:highlight w:val="yellow"/>
          <w:lang w:val="en-AU"/>
        </w:rPr>
      </w:pPr>
      <w:r w:rsidRPr="00CF0A21">
        <w:rPr>
          <w:lang w:val="en-AU"/>
        </w:rPr>
        <w:t xml:space="preserve">In the short to medium term water is likely to trade into Victoria in low allocation years when allocation prices exceed $200 per </w:t>
      </w:r>
      <w:r w:rsidR="00FF192A">
        <w:rPr>
          <w:lang w:val="en-AU"/>
        </w:rPr>
        <w:t>ML</w:t>
      </w:r>
      <w:r w:rsidRPr="00CF0A21">
        <w:rPr>
          <w:lang w:val="en-AU"/>
        </w:rPr>
        <w:t>. In medium to high availability years there will be greater demand for allocation trade within NSW valleys as demonstrated in 2013/14, 2014/15 and 2016/17. The future demand for allocations in NSW will be determined by the relative profitability of the enterprises adopted by irrigators, irrespective of regional boundaries. As an example, the expansion of horticulture in the Murrumbidgee valley is likely to compete for water currently traded from the Murrumbidgee valley to the horticultural sector in northern Victoria, in years of low water availability.</w:t>
      </w:r>
    </w:p>
    <w:p w14:paraId="6197B49A" w14:textId="77777777" w:rsidR="00C01A50" w:rsidRDefault="00C01A50" w:rsidP="009A33C1">
      <w:pPr>
        <w:pStyle w:val="Heading2"/>
        <w:numPr>
          <w:ilvl w:val="0"/>
          <w:numId w:val="0"/>
        </w:numPr>
      </w:pPr>
      <w:bookmarkStart w:id="40" w:name="_Toc342658314"/>
      <w:bookmarkStart w:id="41" w:name="_Toc347747785"/>
      <w:r>
        <w:t>Impacts in South Australia</w:t>
      </w:r>
      <w:bookmarkEnd w:id="40"/>
      <w:bookmarkEnd w:id="41"/>
    </w:p>
    <w:p w14:paraId="13F8692A" w14:textId="77777777" w:rsidR="00C01A50" w:rsidRDefault="00C01A50" w:rsidP="006F1745">
      <w:pPr>
        <w:rPr>
          <w:lang w:val="en-AU"/>
        </w:rPr>
      </w:pPr>
      <w:r>
        <w:rPr>
          <w:lang w:val="en-AU"/>
        </w:rPr>
        <w:t>South Australia’s irrigated horticultural centres, especially those in the Mallee region have much in common with both the pumped districts and LMW diverters; there is much shared history. The low allocations in 2007/08 hit South Australian irrigators every bit as hard as it did Victoria’s horticulturalists.</w:t>
      </w:r>
    </w:p>
    <w:p w14:paraId="3BE73558" w14:textId="49882AA4" w:rsidR="00C01A50" w:rsidRPr="00077F93" w:rsidRDefault="00A557B4" w:rsidP="006F1745">
      <w:r>
        <w:rPr>
          <w:lang w:val="en-AU"/>
        </w:rPr>
        <w:t xml:space="preserve">Based on the experience of 2007/08, </w:t>
      </w:r>
      <w:r w:rsidR="00DF7D38">
        <w:rPr>
          <w:lang w:val="en-AU"/>
        </w:rPr>
        <w:t xml:space="preserve">the </w:t>
      </w:r>
      <w:r w:rsidR="00C01A50">
        <w:rPr>
          <w:lang w:val="en-AU"/>
        </w:rPr>
        <w:t xml:space="preserve">Basin Plan </w:t>
      </w:r>
      <w:r w:rsidR="00DF7D38">
        <w:rPr>
          <w:lang w:val="en-AU"/>
        </w:rPr>
        <w:t>would seem to expose</w:t>
      </w:r>
      <w:r w:rsidR="00C01A50">
        <w:rPr>
          <w:lang w:val="en-AU"/>
        </w:rPr>
        <w:t xml:space="preserve"> South Australia’s horticulturalists to the same risks as those described above for Victoria.</w:t>
      </w:r>
      <w:r>
        <w:rPr>
          <w:lang w:val="en-AU"/>
        </w:rPr>
        <w:t xml:space="preserve"> However, </w:t>
      </w:r>
      <w:r w:rsidR="00DF7D38">
        <w:rPr>
          <w:lang w:val="en-AU"/>
        </w:rPr>
        <w:t xml:space="preserve">as </w:t>
      </w:r>
      <w:r w:rsidR="00266E56">
        <w:rPr>
          <w:lang w:val="en-AU"/>
        </w:rPr>
        <w:t xml:space="preserve">noted </w:t>
      </w:r>
      <w:r w:rsidR="00DF7D38">
        <w:rPr>
          <w:lang w:val="en-AU"/>
        </w:rPr>
        <w:t xml:space="preserve">in Chapter </w:t>
      </w:r>
      <w:r w:rsidR="00DF7D38">
        <w:rPr>
          <w:lang w:val="en-AU"/>
        </w:rPr>
        <w:fldChar w:fldCharType="begin"/>
      </w:r>
      <w:r w:rsidR="00DF7D38">
        <w:rPr>
          <w:lang w:val="en-AU"/>
        </w:rPr>
        <w:instrText xml:space="preserve"> REF _Ref342404866 \r \h </w:instrText>
      </w:r>
      <w:r w:rsidR="00DF7D38">
        <w:rPr>
          <w:lang w:val="en-AU"/>
        </w:rPr>
      </w:r>
      <w:r w:rsidR="00DF7D38">
        <w:rPr>
          <w:lang w:val="en-AU"/>
        </w:rPr>
        <w:fldChar w:fldCharType="separate"/>
      </w:r>
      <w:r w:rsidR="008E5D7A">
        <w:rPr>
          <w:lang w:val="en-AU"/>
        </w:rPr>
        <w:t>2</w:t>
      </w:r>
      <w:r w:rsidR="00DF7D38">
        <w:rPr>
          <w:lang w:val="en-AU"/>
        </w:rPr>
        <w:fldChar w:fldCharType="end"/>
      </w:r>
      <w:r w:rsidR="004C52E6">
        <w:rPr>
          <w:lang w:val="en-AU"/>
        </w:rPr>
        <w:t xml:space="preserve">, South Australia has changed its water allocation framework, at least temporarily, to ensure that its irrigators receive 100% allocations </w:t>
      </w:r>
      <w:r w:rsidR="00221443">
        <w:rPr>
          <w:lang w:val="en-AU"/>
        </w:rPr>
        <w:t xml:space="preserve">until actual flows into South Australia fall 16% below entitlement flows. </w:t>
      </w:r>
      <w:r w:rsidR="00AD5398">
        <w:rPr>
          <w:lang w:val="en-AU"/>
        </w:rPr>
        <w:t>The effect of this change has not be</w:t>
      </w:r>
      <w:r w:rsidR="00266E56">
        <w:rPr>
          <w:lang w:val="en-AU"/>
        </w:rPr>
        <w:t>e</w:t>
      </w:r>
      <w:r w:rsidR="00AD5398">
        <w:rPr>
          <w:lang w:val="en-AU"/>
        </w:rPr>
        <w:t>n evaluated for this report.</w:t>
      </w:r>
    </w:p>
    <w:p w14:paraId="2FF63694" w14:textId="77777777" w:rsidR="00C01A50" w:rsidRDefault="00C01A50" w:rsidP="009A33C1">
      <w:pPr>
        <w:pStyle w:val="Heading2"/>
        <w:numPr>
          <w:ilvl w:val="0"/>
          <w:numId w:val="0"/>
        </w:numPr>
      </w:pPr>
      <w:bookmarkStart w:id="42" w:name="_Toc342658315"/>
      <w:bookmarkStart w:id="43" w:name="_Toc347747786"/>
      <w:r>
        <w:t>Socio-economic impacts</w:t>
      </w:r>
      <w:bookmarkEnd w:id="42"/>
      <w:bookmarkEnd w:id="43"/>
    </w:p>
    <w:p w14:paraId="13989BCB" w14:textId="77777777" w:rsidR="00C01A50" w:rsidRDefault="00266E56" w:rsidP="00C16D1E">
      <w:pPr>
        <w:rPr>
          <w:lang w:val="en-AU"/>
        </w:rPr>
      </w:pPr>
      <w:r>
        <w:t xml:space="preserve">Evidence on social impacts </w:t>
      </w:r>
      <w:r w:rsidR="00C01A50">
        <w:t xml:space="preserve">is obtained </w:t>
      </w:r>
      <w:r w:rsidR="00DF7D38">
        <w:t xml:space="preserve">primarily </w:t>
      </w:r>
      <w:r w:rsidR="00C01A50">
        <w:t>from the ABS Population Census. Although a census was conducted in 2016, the latest available census data is from the 2011 census. This means that much of the available social data is useful for understanding the context of potential social change, rather than providing evidence that the water recovery under the Basin Plan has resulted in particular types of change in particular localities. To provide additional socio-economic context for the regions o</w:t>
      </w:r>
      <w:r w:rsidR="00302BD9">
        <w:t>f</w:t>
      </w:r>
      <w:r w:rsidR="00C01A50">
        <w:t xml:space="preserve"> northern Victoria, summary charts are provided in Appendix </w:t>
      </w:r>
      <w:r w:rsidR="00C01A50">
        <w:fldChar w:fldCharType="begin"/>
      </w:r>
      <w:r w:rsidR="00C01A50">
        <w:instrText xml:space="preserve"> REF _Ref342040812 \r \h </w:instrText>
      </w:r>
      <w:r w:rsidR="00C01A50">
        <w:fldChar w:fldCharType="separate"/>
      </w:r>
      <w:r w:rsidR="008E5D7A">
        <w:t>1</w:t>
      </w:r>
      <w:r w:rsidR="00C01A50">
        <w:fldChar w:fldCharType="end"/>
      </w:r>
      <w:r w:rsidR="00C01A50">
        <w:t xml:space="preserve">. </w:t>
      </w:r>
      <w:r w:rsidR="00C01A50">
        <w:rPr>
          <w:lang w:val="en-AU"/>
        </w:rPr>
        <w:t>A common trend is the declining role of agricultural jobs in total employment, over the period to 1991 to 2011.</w:t>
      </w:r>
    </w:p>
    <w:p w14:paraId="609D6DEC" w14:textId="77777777" w:rsidR="00C01A50" w:rsidRDefault="007534C2" w:rsidP="006F1745">
      <w:r>
        <w:rPr>
          <w:lang w:val="en-AU"/>
        </w:rPr>
        <w:t xml:space="preserve">The </w:t>
      </w:r>
      <w:r w:rsidR="00C01A50">
        <w:rPr>
          <w:lang w:val="en-AU"/>
        </w:rPr>
        <w:t xml:space="preserve">2015 Regional Wellbeing Survey collected </w:t>
      </w:r>
      <w:r w:rsidR="00C01A50" w:rsidRPr="006A2571">
        <w:t xml:space="preserve">the responses </w:t>
      </w:r>
      <w:r w:rsidR="00C01A50">
        <w:t>of</w:t>
      </w:r>
      <w:r w:rsidR="00C01A50" w:rsidRPr="006A2571">
        <w:t xml:space="preserve"> 285 Victorian irrigators in north-west and north central Victoria</w:t>
      </w:r>
      <w:r w:rsidR="00C01A50">
        <w:t xml:space="preserve"> on the </w:t>
      </w:r>
      <w:r w:rsidR="00C01A50" w:rsidRPr="006A2571">
        <w:rPr>
          <w:i/>
          <w:lang w:val="en-AU"/>
        </w:rPr>
        <w:t>expected</w:t>
      </w:r>
      <w:r w:rsidR="00C01A50">
        <w:rPr>
          <w:lang w:val="en-AU"/>
        </w:rPr>
        <w:t xml:space="preserve"> impact of the Basin Plan</w:t>
      </w:r>
      <w:r w:rsidR="00C01A50" w:rsidRPr="006A2571">
        <w:t>.</w:t>
      </w:r>
      <w:r>
        <w:t xml:space="preserve"> The results are presented in Appendix </w:t>
      </w:r>
      <w:r>
        <w:fldChar w:fldCharType="begin"/>
      </w:r>
      <w:r>
        <w:instrText xml:space="preserve"> REF _Ref342040812 \r \h </w:instrText>
      </w:r>
      <w:r>
        <w:fldChar w:fldCharType="separate"/>
      </w:r>
      <w:r w:rsidR="008E5D7A">
        <w:t>1</w:t>
      </w:r>
      <w:r>
        <w:fldChar w:fldCharType="end"/>
      </w:r>
      <w:r>
        <w:t>.</w:t>
      </w:r>
      <w:r w:rsidR="00C01A50" w:rsidRPr="006A2571">
        <w:t xml:space="preserve"> A high proportion of responses considered that the Basin Plan would have a ‘very negative’ impact on the economy and communities of the MDB and the household/business/community that the respondent worked in.</w:t>
      </w:r>
    </w:p>
    <w:p w14:paraId="128ED2E6" w14:textId="77777777" w:rsidR="008F04D7" w:rsidRDefault="008F04D7" w:rsidP="009A33C1">
      <w:pPr>
        <w:pStyle w:val="Heading2"/>
        <w:numPr>
          <w:ilvl w:val="0"/>
          <w:numId w:val="0"/>
        </w:numPr>
        <w:rPr>
          <w:lang w:val="en-AU"/>
        </w:rPr>
      </w:pPr>
      <w:bookmarkStart w:id="44" w:name="_Toc347747787"/>
      <w:bookmarkStart w:id="45" w:name="_Toc342658316"/>
      <w:r>
        <w:rPr>
          <w:lang w:val="en-AU"/>
        </w:rPr>
        <w:lastRenderedPageBreak/>
        <w:t>Environmental benefits</w:t>
      </w:r>
      <w:bookmarkEnd w:id="44"/>
    </w:p>
    <w:p w14:paraId="0C3D8512" w14:textId="77777777" w:rsidR="00021D41" w:rsidRPr="00B852AB" w:rsidRDefault="00021D41" w:rsidP="00021D41">
      <w:pPr>
        <w:rPr>
          <w:lang w:val="en-AU"/>
        </w:rPr>
      </w:pPr>
      <w:r w:rsidRPr="00B852AB">
        <w:rPr>
          <w:lang w:val="en-AU"/>
        </w:rPr>
        <w:t xml:space="preserve">It will take some time for the full </w:t>
      </w:r>
      <w:r>
        <w:rPr>
          <w:lang w:val="en-AU"/>
        </w:rPr>
        <w:t>benefits</w:t>
      </w:r>
      <w:r w:rsidRPr="00B852AB">
        <w:rPr>
          <w:lang w:val="en-AU"/>
        </w:rPr>
        <w:t xml:space="preserve"> of</w:t>
      </w:r>
      <w:r>
        <w:rPr>
          <w:lang w:val="en-AU"/>
        </w:rPr>
        <w:t xml:space="preserve"> the</w:t>
      </w:r>
      <w:r w:rsidRPr="00B852AB">
        <w:rPr>
          <w:lang w:val="en-AU"/>
        </w:rPr>
        <w:t xml:space="preserve"> Basin Plan </w:t>
      </w:r>
      <w:r>
        <w:rPr>
          <w:lang w:val="en-AU"/>
        </w:rPr>
        <w:t>to become apparent</w:t>
      </w:r>
      <w:r w:rsidRPr="00B852AB">
        <w:rPr>
          <w:lang w:val="en-AU"/>
        </w:rPr>
        <w:t xml:space="preserve"> because of lags in biological responses and because the Basin Plan, and associated water recovery, will not be implemented in full until 2024 (MDBA 2015</w:t>
      </w:r>
      <w:r w:rsidR="00575D3E">
        <w:rPr>
          <w:lang w:val="en-AU"/>
        </w:rPr>
        <w:t>a</w:t>
      </w:r>
      <w:r w:rsidRPr="00B852AB">
        <w:rPr>
          <w:lang w:val="en-AU"/>
        </w:rPr>
        <w:t xml:space="preserve">). Other complicating </w:t>
      </w:r>
      <w:r w:rsidR="00266E56">
        <w:rPr>
          <w:lang w:val="en-AU"/>
        </w:rPr>
        <w:t xml:space="preserve">factors </w:t>
      </w:r>
      <w:r w:rsidRPr="00B852AB">
        <w:rPr>
          <w:lang w:val="en-AU"/>
        </w:rPr>
        <w:t xml:space="preserve">include </w:t>
      </w:r>
      <w:r>
        <w:rPr>
          <w:lang w:val="en-AU"/>
        </w:rPr>
        <w:t xml:space="preserve">the </w:t>
      </w:r>
      <w:r w:rsidRPr="00B852AB">
        <w:rPr>
          <w:lang w:val="en-AU"/>
        </w:rPr>
        <w:t xml:space="preserve">natural variability in system condition and </w:t>
      </w:r>
      <w:r>
        <w:rPr>
          <w:lang w:val="en-AU"/>
        </w:rPr>
        <w:t xml:space="preserve">the fact that the </w:t>
      </w:r>
      <w:r w:rsidRPr="00B852AB">
        <w:rPr>
          <w:lang w:val="en-AU"/>
        </w:rPr>
        <w:t xml:space="preserve">Basin Plan </w:t>
      </w:r>
      <w:r>
        <w:rPr>
          <w:lang w:val="en-AU"/>
        </w:rPr>
        <w:t xml:space="preserve">is </w:t>
      </w:r>
      <w:r w:rsidRPr="00B852AB">
        <w:rPr>
          <w:lang w:val="en-AU"/>
        </w:rPr>
        <w:t>only part, although a signification part, of a much broader integrated program of waterway and catchment management across the Basin.</w:t>
      </w:r>
    </w:p>
    <w:p w14:paraId="2F26A9E7" w14:textId="77777777" w:rsidR="008F04D7" w:rsidRPr="008F04D7" w:rsidRDefault="00021D41" w:rsidP="008F04D7">
      <w:r w:rsidRPr="00B852AB">
        <w:rPr>
          <w:lang w:val="en-AU"/>
        </w:rPr>
        <w:t xml:space="preserve">At this stage the reporting of environmental outcomes is generally short-term and site or event specific. It is also almost as much about learning how river and wetland ecosystems will respond to environmental watering as reporting on responses. </w:t>
      </w:r>
    </w:p>
    <w:p w14:paraId="7950DCC1" w14:textId="77777777" w:rsidR="00C01A50" w:rsidRDefault="00C01A50" w:rsidP="009A33C1">
      <w:pPr>
        <w:pStyle w:val="Heading2"/>
        <w:numPr>
          <w:ilvl w:val="0"/>
          <w:numId w:val="0"/>
        </w:numPr>
        <w:rPr>
          <w:lang w:val="en-AU"/>
        </w:rPr>
      </w:pPr>
      <w:bookmarkStart w:id="46" w:name="_Toc347747788"/>
      <w:r>
        <w:rPr>
          <w:lang w:val="en-AU"/>
        </w:rPr>
        <w:t>Conclusions</w:t>
      </w:r>
      <w:bookmarkEnd w:id="45"/>
      <w:bookmarkEnd w:id="46"/>
    </w:p>
    <w:p w14:paraId="2E31D026" w14:textId="77777777" w:rsidR="007534C2" w:rsidRDefault="004F718D" w:rsidP="007534C2">
      <w:pPr>
        <w:rPr>
          <w:lang w:val="en-AU"/>
        </w:rPr>
      </w:pPr>
      <w:r>
        <w:t>The Victorian Government is committed to achiev</w:t>
      </w:r>
      <w:r w:rsidR="008F04D7">
        <w:t>ing</w:t>
      </w:r>
      <w:r>
        <w:t xml:space="preserve"> balanced outcomes from the Basin Plan</w:t>
      </w:r>
      <w:r w:rsidR="008F04D7">
        <w:t>. On top of the environmental outcomes described</w:t>
      </w:r>
      <w:r w:rsidR="00052709">
        <w:t xml:space="preserve"> in Chapter </w:t>
      </w:r>
      <w:r w:rsidR="00720728">
        <w:fldChar w:fldCharType="begin"/>
      </w:r>
      <w:r w:rsidR="00720728">
        <w:instrText xml:space="preserve"> REF _Ref347093607 \r \h </w:instrText>
      </w:r>
      <w:r w:rsidR="00720728">
        <w:fldChar w:fldCharType="separate"/>
      </w:r>
      <w:r w:rsidR="008E5D7A">
        <w:t>12</w:t>
      </w:r>
      <w:r w:rsidR="00720728">
        <w:fldChar w:fldCharType="end"/>
      </w:r>
      <w:r w:rsidR="00720728">
        <w:t xml:space="preserve">, the </w:t>
      </w:r>
      <w:r w:rsidR="007534C2" w:rsidRPr="003B34D4">
        <w:rPr>
          <w:lang w:val="en-AU"/>
        </w:rPr>
        <w:t xml:space="preserve">Commonwealth buyback of water entitlements provided timely assistance to many </w:t>
      </w:r>
      <w:r w:rsidR="00720728">
        <w:rPr>
          <w:lang w:val="en-AU"/>
        </w:rPr>
        <w:t>farmers</w:t>
      </w:r>
      <w:r w:rsidR="007534C2" w:rsidRPr="003B34D4">
        <w:rPr>
          <w:lang w:val="en-AU"/>
        </w:rPr>
        <w:t xml:space="preserve"> with high levels of debt</w:t>
      </w:r>
      <w:r w:rsidR="000B73DF" w:rsidRPr="003B34D4">
        <w:rPr>
          <w:lang w:val="en-AU"/>
        </w:rPr>
        <w:t xml:space="preserve">. </w:t>
      </w:r>
      <w:r w:rsidR="008F04D7">
        <w:rPr>
          <w:lang w:val="en-AU"/>
        </w:rPr>
        <w:t xml:space="preserve">It is also aware however, that </w:t>
      </w:r>
      <w:r w:rsidR="00720728" w:rsidRPr="003B34D4">
        <w:rPr>
          <w:lang w:val="en-AU"/>
        </w:rPr>
        <w:t xml:space="preserve">most </w:t>
      </w:r>
      <w:r w:rsidR="000B73DF" w:rsidRPr="003B34D4">
        <w:rPr>
          <w:lang w:val="en-AU"/>
        </w:rPr>
        <w:t xml:space="preserve">of the buyback was from Victoria, and more particularly the </w:t>
      </w:r>
      <w:r w:rsidR="007534C2" w:rsidRPr="003B34D4">
        <w:rPr>
          <w:lang w:val="en-AU"/>
        </w:rPr>
        <w:t xml:space="preserve">vast majority of high reliability entitlements secured though buyback were </w:t>
      </w:r>
      <w:r w:rsidR="000B73DF" w:rsidRPr="003B34D4">
        <w:rPr>
          <w:lang w:val="en-AU"/>
        </w:rPr>
        <w:t xml:space="preserve">from </w:t>
      </w:r>
      <w:r w:rsidR="007534C2" w:rsidRPr="003B34D4">
        <w:rPr>
          <w:lang w:val="en-AU"/>
        </w:rPr>
        <w:t>Victoria</w:t>
      </w:r>
      <w:r w:rsidR="000B73DF" w:rsidRPr="003B34D4">
        <w:rPr>
          <w:lang w:val="en-AU"/>
        </w:rPr>
        <w:t xml:space="preserve">. </w:t>
      </w:r>
    </w:p>
    <w:p w14:paraId="480B1B58" w14:textId="77777777" w:rsidR="00720728" w:rsidRPr="003B34D4" w:rsidRDefault="00720728" w:rsidP="007534C2">
      <w:pPr>
        <w:rPr>
          <w:lang w:val="en-AU"/>
        </w:rPr>
      </w:pPr>
      <w:r>
        <w:rPr>
          <w:lang w:val="en-AU"/>
        </w:rPr>
        <w:t xml:space="preserve">This has left Victoria’s irrigated dairy industry particularly exposed to </w:t>
      </w:r>
      <w:r w:rsidR="00837A34">
        <w:rPr>
          <w:lang w:val="en-AU"/>
        </w:rPr>
        <w:t>increase</w:t>
      </w:r>
      <w:r w:rsidR="00266E56">
        <w:rPr>
          <w:lang w:val="en-AU"/>
        </w:rPr>
        <w:t>d</w:t>
      </w:r>
      <w:r w:rsidR="00837A34">
        <w:rPr>
          <w:lang w:val="en-AU"/>
        </w:rPr>
        <w:t xml:space="preserve"> reliance on allocation purchases. It has also left Victorian horticulturalists exposed to the risk of low allocations. In a repeat of 2008/09 allocations, more horticultural land would be exposed to the risk of being dried</w:t>
      </w:r>
      <w:r w:rsidR="00266E56">
        <w:rPr>
          <w:lang w:val="en-AU"/>
        </w:rPr>
        <w:t xml:space="preserve"> </w:t>
      </w:r>
      <w:r w:rsidR="00837A34">
        <w:rPr>
          <w:lang w:val="en-AU"/>
        </w:rPr>
        <w:t>off.</w:t>
      </w:r>
    </w:p>
    <w:p w14:paraId="6D24DB21" w14:textId="77777777" w:rsidR="000D7243" w:rsidRPr="003B34D4" w:rsidRDefault="007534C2" w:rsidP="000D7243">
      <w:pPr>
        <w:rPr>
          <w:lang w:val="en-AU"/>
        </w:rPr>
      </w:pPr>
      <w:r w:rsidRPr="003B34D4">
        <w:rPr>
          <w:lang w:val="en-AU"/>
        </w:rPr>
        <w:t>The characteristics of water use in t</w:t>
      </w:r>
      <w:r w:rsidR="000B73DF" w:rsidRPr="003B34D4">
        <w:rPr>
          <w:lang w:val="en-AU"/>
        </w:rPr>
        <w:t xml:space="preserve">he southern-connected Basin </w:t>
      </w:r>
      <w:r w:rsidRPr="003B34D4">
        <w:rPr>
          <w:lang w:val="en-AU"/>
        </w:rPr>
        <w:t xml:space="preserve">have changed significantly </w:t>
      </w:r>
      <w:r w:rsidR="000B73DF" w:rsidRPr="003B34D4">
        <w:rPr>
          <w:lang w:val="en-AU"/>
        </w:rPr>
        <w:t xml:space="preserve">as a result of the </w:t>
      </w:r>
      <w:r w:rsidRPr="003B34D4">
        <w:rPr>
          <w:lang w:val="en-AU"/>
        </w:rPr>
        <w:t>Basin Plan. The consumptive pool has decreased significantly and the mix of industries has changed</w:t>
      </w:r>
      <w:r w:rsidR="00266E56">
        <w:rPr>
          <w:lang w:val="en-AU"/>
        </w:rPr>
        <w:t>. In particular,</w:t>
      </w:r>
      <w:r w:rsidR="000D7243" w:rsidRPr="003B34D4">
        <w:rPr>
          <w:lang w:val="en-AU"/>
        </w:rPr>
        <w:t xml:space="preserve"> horticulture, with its relatively fixed water demands now accounts for a larger proportion of the consumptive pool. </w:t>
      </w:r>
      <w:r w:rsidR="0056327E" w:rsidRPr="003B34D4">
        <w:rPr>
          <w:lang w:val="en-AU"/>
        </w:rPr>
        <w:t>It is now at the point where in a repeat of 2008/09 allocation levels, horticultural use could account for all the available water. The</w:t>
      </w:r>
      <w:r w:rsidRPr="003B34D4">
        <w:rPr>
          <w:lang w:val="en-AU"/>
        </w:rPr>
        <w:t xml:space="preserve"> </w:t>
      </w:r>
      <w:r w:rsidR="000D7243" w:rsidRPr="003B34D4">
        <w:rPr>
          <w:lang w:val="en-AU"/>
        </w:rPr>
        <w:t xml:space="preserve">proportion </w:t>
      </w:r>
      <w:r w:rsidR="0056327E" w:rsidRPr="003B34D4">
        <w:rPr>
          <w:lang w:val="en-AU"/>
        </w:rPr>
        <w:t xml:space="preserve">of the consumptive pool dedicated to horticulture </w:t>
      </w:r>
      <w:r w:rsidR="000D7243" w:rsidRPr="003B34D4">
        <w:rPr>
          <w:lang w:val="en-AU"/>
        </w:rPr>
        <w:t xml:space="preserve">will increase as horticulture continues to expand. </w:t>
      </w:r>
      <w:r w:rsidR="00720728">
        <w:rPr>
          <w:lang w:val="en-AU"/>
        </w:rPr>
        <w:t>It would increase further still under the 2750 GL and 3200 GL water recovery scenarios.</w:t>
      </w:r>
    </w:p>
    <w:p w14:paraId="39F76ADD" w14:textId="77777777" w:rsidR="007534C2" w:rsidRPr="003B34D4" w:rsidRDefault="000D7243" w:rsidP="007534C2">
      <w:pPr>
        <w:rPr>
          <w:lang w:val="en-AU"/>
        </w:rPr>
      </w:pPr>
      <w:r w:rsidRPr="003B34D4">
        <w:rPr>
          <w:lang w:val="en-AU"/>
        </w:rPr>
        <w:t xml:space="preserve">Because buyback was weighted towards high reliability entitlements, the remaining consumptive </w:t>
      </w:r>
      <w:r w:rsidR="007534C2" w:rsidRPr="003B34D4">
        <w:rPr>
          <w:lang w:val="en-AU"/>
        </w:rPr>
        <w:t xml:space="preserve">pool </w:t>
      </w:r>
      <w:r w:rsidRPr="003B34D4">
        <w:rPr>
          <w:lang w:val="en-AU"/>
        </w:rPr>
        <w:t xml:space="preserve">will yield more variable allocations at the Basin-scale. This has changed the risk profile for those irrigators who must compete with horticulturalists for allocations in dry years. </w:t>
      </w:r>
    </w:p>
    <w:p w14:paraId="63CB6D16" w14:textId="77777777" w:rsidR="007534C2" w:rsidRPr="003B34D4" w:rsidRDefault="007534C2" w:rsidP="007534C2">
      <w:pPr>
        <w:rPr>
          <w:lang w:val="en-AU"/>
        </w:rPr>
      </w:pPr>
      <w:r w:rsidRPr="003B34D4">
        <w:rPr>
          <w:lang w:val="en-AU"/>
        </w:rPr>
        <w:t>If water recovery had not occurred, water use in the GMID would have been 29-31% higher in the past three years (2013</w:t>
      </w:r>
      <w:r w:rsidR="00CE148E">
        <w:rPr>
          <w:lang w:val="en-AU"/>
        </w:rPr>
        <w:t>/</w:t>
      </w:r>
      <w:r w:rsidRPr="003B34D4">
        <w:rPr>
          <w:lang w:val="en-AU"/>
        </w:rPr>
        <w:t>14 to 2015</w:t>
      </w:r>
      <w:r w:rsidR="00CE148E">
        <w:rPr>
          <w:lang w:val="en-AU"/>
        </w:rPr>
        <w:t>/</w:t>
      </w:r>
      <w:r w:rsidRPr="003B34D4">
        <w:rPr>
          <w:lang w:val="en-AU"/>
        </w:rPr>
        <w:t xml:space="preserve">16). </w:t>
      </w:r>
      <w:r w:rsidR="0056327E" w:rsidRPr="003B34D4">
        <w:rPr>
          <w:lang w:val="en-AU"/>
        </w:rPr>
        <w:t xml:space="preserve">Accordingly, GMID milk production could be expected to have been about 30% higher than was observed. The foregone production would </w:t>
      </w:r>
      <w:r w:rsidR="003B34D4" w:rsidRPr="003B34D4">
        <w:rPr>
          <w:lang w:val="en-AU"/>
        </w:rPr>
        <w:t xml:space="preserve">otherwise </w:t>
      </w:r>
      <w:r w:rsidR="0056327E" w:rsidRPr="003B34D4">
        <w:rPr>
          <w:lang w:val="en-AU"/>
        </w:rPr>
        <w:t>have had significant flow-on effects in towns and communities w</w:t>
      </w:r>
      <w:r w:rsidR="003B34D4" w:rsidRPr="003B34D4">
        <w:rPr>
          <w:lang w:val="en-AU"/>
        </w:rPr>
        <w:t>h</w:t>
      </w:r>
      <w:r w:rsidR="0056327E" w:rsidRPr="003B34D4">
        <w:rPr>
          <w:lang w:val="en-AU"/>
        </w:rPr>
        <w:t>ere farm inputs are sourced and where dairy manufacturing occurs.</w:t>
      </w:r>
      <w:r w:rsidR="00EF5BBA">
        <w:rPr>
          <w:lang w:val="en-AU"/>
        </w:rPr>
        <w:t xml:space="preserve"> </w:t>
      </w:r>
      <w:r w:rsidR="007C147A" w:rsidRPr="003B34D4">
        <w:rPr>
          <w:lang w:val="en-AU"/>
        </w:rPr>
        <w:t>Water use by horticulturalists</w:t>
      </w:r>
      <w:r w:rsidRPr="003B34D4">
        <w:rPr>
          <w:lang w:val="en-AU"/>
        </w:rPr>
        <w:t xml:space="preserve"> </w:t>
      </w:r>
      <w:r w:rsidR="007C147A" w:rsidRPr="003B34D4">
        <w:rPr>
          <w:lang w:val="en-AU"/>
        </w:rPr>
        <w:t>would have been largely the same with and without the Basin Plan.</w:t>
      </w:r>
    </w:p>
    <w:p w14:paraId="0E24C5CE" w14:textId="36059DDF" w:rsidR="007534C2" w:rsidRPr="003B34D4" w:rsidRDefault="007534C2" w:rsidP="007534C2">
      <w:pPr>
        <w:rPr>
          <w:lang w:val="en-AU"/>
        </w:rPr>
      </w:pPr>
      <w:r w:rsidRPr="003B34D4">
        <w:rPr>
          <w:lang w:val="en-AU"/>
        </w:rPr>
        <w:t>Irrigators have been adapting, but the relative abundance of water</w:t>
      </w:r>
      <w:r w:rsidR="003B34D4" w:rsidRPr="003B34D4">
        <w:rPr>
          <w:lang w:val="en-AU"/>
        </w:rPr>
        <w:t xml:space="preserve"> since buyback was completed, with the notable exception of 2015/16,</w:t>
      </w:r>
      <w:r w:rsidRPr="003B34D4">
        <w:rPr>
          <w:lang w:val="en-AU"/>
        </w:rPr>
        <w:t xml:space="preserve"> has enabled many </w:t>
      </w:r>
      <w:r w:rsidR="003B34D4" w:rsidRPr="003B34D4">
        <w:rPr>
          <w:lang w:val="en-AU"/>
        </w:rPr>
        <w:t xml:space="preserve">irrigators </w:t>
      </w:r>
      <w:r w:rsidRPr="003B34D4">
        <w:rPr>
          <w:lang w:val="en-AU"/>
        </w:rPr>
        <w:t xml:space="preserve">to maintain water use though water </w:t>
      </w:r>
      <w:r w:rsidRPr="003B34D4">
        <w:rPr>
          <w:lang w:val="en-AU"/>
        </w:rPr>
        <w:lastRenderedPageBreak/>
        <w:t xml:space="preserve">allocation purchases. </w:t>
      </w:r>
      <w:r w:rsidR="003B34D4" w:rsidRPr="003B34D4">
        <w:rPr>
          <w:lang w:val="en-AU"/>
        </w:rPr>
        <w:t xml:space="preserve">Consequently many of the </w:t>
      </w:r>
      <w:r w:rsidRPr="003B34D4">
        <w:rPr>
          <w:lang w:val="en-AU"/>
        </w:rPr>
        <w:t xml:space="preserve">socio-economic impacts of the </w:t>
      </w:r>
      <w:r w:rsidR="003B34D4" w:rsidRPr="003B34D4">
        <w:rPr>
          <w:lang w:val="en-AU"/>
        </w:rPr>
        <w:t xml:space="preserve">Basin Plan </w:t>
      </w:r>
      <w:r w:rsidRPr="003B34D4">
        <w:rPr>
          <w:lang w:val="en-AU"/>
        </w:rPr>
        <w:t>may not be observed until the next drought.</w:t>
      </w:r>
    </w:p>
    <w:p w14:paraId="33C51706" w14:textId="1086411E" w:rsidR="007534C2" w:rsidRPr="003B34D4" w:rsidRDefault="007534C2" w:rsidP="007534C2">
      <w:pPr>
        <w:rPr>
          <w:lang w:val="en-AU"/>
        </w:rPr>
      </w:pPr>
      <w:r w:rsidRPr="003B34D4">
        <w:rPr>
          <w:lang w:val="en-AU"/>
        </w:rPr>
        <w:t xml:space="preserve">Further water recovery </w:t>
      </w:r>
      <w:r w:rsidR="003B34D4" w:rsidRPr="003B34D4">
        <w:rPr>
          <w:lang w:val="en-AU"/>
        </w:rPr>
        <w:t>through government investment in</w:t>
      </w:r>
      <w:r w:rsidRPr="003B34D4">
        <w:rPr>
          <w:lang w:val="en-AU"/>
        </w:rPr>
        <w:t xml:space="preserve"> on-farm </w:t>
      </w:r>
      <w:r w:rsidR="003B34D4" w:rsidRPr="003B34D4">
        <w:rPr>
          <w:lang w:val="en-AU"/>
        </w:rPr>
        <w:t>efficiency savings</w:t>
      </w:r>
      <w:r w:rsidRPr="003B34D4">
        <w:rPr>
          <w:lang w:val="en-AU"/>
        </w:rPr>
        <w:t xml:space="preserve"> may be positive for the farm enterprise being funded, however the effects on other water users and irrigation communities may be negative. </w:t>
      </w:r>
    </w:p>
    <w:p w14:paraId="2B111AF2" w14:textId="77777777" w:rsidR="003B34D4" w:rsidRPr="003B34D4" w:rsidRDefault="003B34D4" w:rsidP="007534C2">
      <w:pPr>
        <w:rPr>
          <w:lang w:val="en-AU"/>
        </w:rPr>
      </w:pPr>
      <w:r w:rsidRPr="003B34D4">
        <w:rPr>
          <w:lang w:val="en-AU"/>
        </w:rPr>
        <w:t xml:space="preserve">As explored in more detail in Chapter </w:t>
      </w:r>
      <w:r w:rsidRPr="003B34D4">
        <w:rPr>
          <w:lang w:val="en-AU"/>
        </w:rPr>
        <w:fldChar w:fldCharType="begin"/>
      </w:r>
      <w:r w:rsidRPr="003B34D4">
        <w:rPr>
          <w:lang w:val="en-AU"/>
        </w:rPr>
        <w:instrText xml:space="preserve"> REF _Ref342400627 \r \h </w:instrText>
      </w:r>
      <w:r w:rsidRPr="003B34D4">
        <w:rPr>
          <w:lang w:val="en-AU"/>
        </w:rPr>
      </w:r>
      <w:r w:rsidRPr="003B34D4">
        <w:rPr>
          <w:lang w:val="en-AU"/>
        </w:rPr>
        <w:fldChar w:fldCharType="separate"/>
      </w:r>
      <w:r w:rsidR="008E5D7A">
        <w:rPr>
          <w:lang w:val="en-AU"/>
        </w:rPr>
        <w:t>3</w:t>
      </w:r>
      <w:r w:rsidRPr="003B34D4">
        <w:rPr>
          <w:lang w:val="en-AU"/>
        </w:rPr>
        <w:fldChar w:fldCharType="end"/>
      </w:r>
      <w:r w:rsidRPr="003B34D4">
        <w:rPr>
          <w:lang w:val="en-AU"/>
        </w:rPr>
        <w:t>,</w:t>
      </w:r>
      <w:r w:rsidR="007534C2" w:rsidRPr="003B34D4">
        <w:rPr>
          <w:lang w:val="en-AU"/>
        </w:rPr>
        <w:t xml:space="preserve"> on-farm water savings have similar characteristics to off-farm water savings in wet-to-average years. However, </w:t>
      </w:r>
      <w:r w:rsidRPr="003B34D4">
        <w:rPr>
          <w:lang w:val="en-AU"/>
        </w:rPr>
        <w:t xml:space="preserve">because most of the investments have occurred on farms that support interruptible and semi-interruptible enterprises, </w:t>
      </w:r>
      <w:r w:rsidR="007534C2" w:rsidRPr="003B34D4">
        <w:rPr>
          <w:lang w:val="en-AU"/>
        </w:rPr>
        <w:t xml:space="preserve">in dry and extreme dry years the on-farm projects </w:t>
      </w:r>
      <w:r w:rsidRPr="003B34D4">
        <w:rPr>
          <w:lang w:val="en-AU"/>
        </w:rPr>
        <w:t>serve to reduce the consumptive pool; those irrigators have less water to sell to non-interruptible horticulturalists in</w:t>
      </w:r>
      <w:r w:rsidR="007534C2" w:rsidRPr="003B34D4">
        <w:rPr>
          <w:lang w:val="en-AU"/>
        </w:rPr>
        <w:t xml:space="preserve"> </w:t>
      </w:r>
      <w:r w:rsidRPr="003B34D4">
        <w:rPr>
          <w:lang w:val="en-AU"/>
        </w:rPr>
        <w:t>dry sequences. This will elevate allocation prices in dry years.</w:t>
      </w:r>
    </w:p>
    <w:p w14:paraId="48CA9C1C" w14:textId="77777777" w:rsidR="00FD2991" w:rsidRDefault="004A0908" w:rsidP="003B34D4">
      <w:pPr>
        <w:rPr>
          <w:lang w:val="en-AU"/>
        </w:rPr>
      </w:pPr>
      <w:r w:rsidRPr="003B34D4">
        <w:rPr>
          <w:lang w:val="en-AU"/>
        </w:rPr>
        <w:t xml:space="preserve">A key finding </w:t>
      </w:r>
      <w:r w:rsidR="003B34D4" w:rsidRPr="003B34D4">
        <w:rPr>
          <w:lang w:val="en-AU"/>
        </w:rPr>
        <w:t xml:space="preserve">of this report </w:t>
      </w:r>
      <w:r w:rsidRPr="003B34D4">
        <w:rPr>
          <w:lang w:val="en-AU"/>
        </w:rPr>
        <w:t>is that Victorian irrigators who sold water entitlements to the Commonwealth are now more reliant on allocation purchases than they would have been without the Basin Plan. As explained</w:t>
      </w:r>
      <w:r w:rsidR="003B34D4" w:rsidRPr="003B34D4">
        <w:rPr>
          <w:lang w:val="en-AU"/>
        </w:rPr>
        <w:t xml:space="preserve"> in Chapter </w:t>
      </w:r>
      <w:r w:rsidR="003B34D4" w:rsidRPr="003B34D4">
        <w:rPr>
          <w:lang w:val="en-AU"/>
        </w:rPr>
        <w:fldChar w:fldCharType="begin"/>
      </w:r>
      <w:r w:rsidR="003B34D4" w:rsidRPr="003B34D4">
        <w:rPr>
          <w:lang w:val="en-AU"/>
        </w:rPr>
        <w:instrText xml:space="preserve"> REF _Ref342381415 \r \h </w:instrText>
      </w:r>
      <w:r w:rsidR="003B34D4" w:rsidRPr="003B34D4">
        <w:rPr>
          <w:lang w:val="en-AU"/>
        </w:rPr>
      </w:r>
      <w:r w:rsidR="003B34D4" w:rsidRPr="003B34D4">
        <w:rPr>
          <w:lang w:val="en-AU"/>
        </w:rPr>
        <w:fldChar w:fldCharType="separate"/>
      </w:r>
      <w:r w:rsidR="008E5D7A">
        <w:rPr>
          <w:lang w:val="en-AU"/>
        </w:rPr>
        <w:t>6</w:t>
      </w:r>
      <w:r w:rsidR="003B34D4" w:rsidRPr="003B34D4">
        <w:rPr>
          <w:lang w:val="en-AU"/>
        </w:rPr>
        <w:fldChar w:fldCharType="end"/>
      </w:r>
      <w:r w:rsidRPr="003B34D4">
        <w:rPr>
          <w:lang w:val="en-AU"/>
        </w:rPr>
        <w:t>, this</w:t>
      </w:r>
      <w:r w:rsidR="003B34D4" w:rsidRPr="003B34D4">
        <w:rPr>
          <w:lang w:val="en-AU"/>
        </w:rPr>
        <w:t xml:space="preserve"> has</w:t>
      </w:r>
      <w:r w:rsidRPr="003B34D4">
        <w:rPr>
          <w:lang w:val="en-AU"/>
        </w:rPr>
        <w:t xml:space="preserve"> increased their farming risk. The nature of this risk was masked for four years by the high level of carryover resulting from the extraordinarily high rainfal</w:t>
      </w:r>
      <w:r w:rsidR="00F61D67" w:rsidRPr="003B34D4">
        <w:rPr>
          <w:lang w:val="en-AU"/>
        </w:rPr>
        <w:t xml:space="preserve">l years of 2010/11 and 2011/12. The issue here is that, as discussed in Chapter </w:t>
      </w:r>
      <w:r w:rsidR="002908A3" w:rsidRPr="003B34D4">
        <w:rPr>
          <w:lang w:val="en-AU"/>
        </w:rPr>
        <w:fldChar w:fldCharType="begin"/>
      </w:r>
      <w:r w:rsidR="002908A3" w:rsidRPr="003B34D4">
        <w:rPr>
          <w:lang w:val="en-AU"/>
        </w:rPr>
        <w:instrText xml:space="preserve"> REF _Ref342381415 \r \h </w:instrText>
      </w:r>
      <w:r w:rsidR="002908A3" w:rsidRPr="003B34D4">
        <w:rPr>
          <w:lang w:val="en-AU"/>
        </w:rPr>
      </w:r>
      <w:r w:rsidR="002908A3" w:rsidRPr="003B34D4">
        <w:rPr>
          <w:lang w:val="en-AU"/>
        </w:rPr>
        <w:fldChar w:fldCharType="separate"/>
      </w:r>
      <w:r w:rsidR="008E5D7A">
        <w:rPr>
          <w:lang w:val="en-AU"/>
        </w:rPr>
        <w:t>6</w:t>
      </w:r>
      <w:r w:rsidR="002908A3" w:rsidRPr="003B34D4">
        <w:rPr>
          <w:lang w:val="en-AU"/>
        </w:rPr>
        <w:fldChar w:fldCharType="end"/>
      </w:r>
      <w:r w:rsidR="002908A3" w:rsidRPr="003B34D4">
        <w:rPr>
          <w:lang w:val="en-AU"/>
        </w:rPr>
        <w:t>, dairying is semi-interruptible for only so long.</w:t>
      </w:r>
      <w:r w:rsidR="003B34D4" w:rsidRPr="003B34D4">
        <w:rPr>
          <w:lang w:val="en-AU"/>
        </w:rPr>
        <w:t xml:space="preserve"> Compounding this, as explained in Chapter </w:t>
      </w:r>
      <w:r w:rsidR="003B34D4" w:rsidRPr="003B34D4">
        <w:rPr>
          <w:lang w:val="en-AU"/>
        </w:rPr>
        <w:fldChar w:fldCharType="begin"/>
      </w:r>
      <w:r w:rsidR="003B34D4" w:rsidRPr="003B34D4">
        <w:rPr>
          <w:lang w:val="en-AU"/>
        </w:rPr>
        <w:instrText xml:space="preserve"> REF _Ref342381195 \r \h </w:instrText>
      </w:r>
      <w:r w:rsidR="003B34D4" w:rsidRPr="003B34D4">
        <w:rPr>
          <w:lang w:val="en-AU"/>
        </w:rPr>
      </w:r>
      <w:r w:rsidR="003B34D4" w:rsidRPr="003B34D4">
        <w:rPr>
          <w:lang w:val="en-AU"/>
        </w:rPr>
        <w:fldChar w:fldCharType="separate"/>
      </w:r>
      <w:r w:rsidR="008E5D7A">
        <w:rPr>
          <w:lang w:val="en-AU"/>
        </w:rPr>
        <w:t>8</w:t>
      </w:r>
      <w:r w:rsidR="003B34D4" w:rsidRPr="003B34D4">
        <w:rPr>
          <w:lang w:val="en-AU"/>
        </w:rPr>
        <w:fldChar w:fldCharType="end"/>
      </w:r>
      <w:r w:rsidR="003B34D4" w:rsidRPr="003B34D4">
        <w:rPr>
          <w:lang w:val="en-AU"/>
        </w:rPr>
        <w:t>, as a result of the</w:t>
      </w:r>
      <w:r w:rsidR="003B34D4">
        <w:rPr>
          <w:lang w:val="en-AU"/>
        </w:rPr>
        <w:t xml:space="preserve"> spatially random nature of the</w:t>
      </w:r>
      <w:r w:rsidR="003B34D4" w:rsidRPr="003B34D4">
        <w:rPr>
          <w:lang w:val="en-AU"/>
        </w:rPr>
        <w:t xml:space="preserve"> </w:t>
      </w:r>
      <w:r w:rsidR="00096FC3">
        <w:rPr>
          <w:lang w:val="en-AU"/>
        </w:rPr>
        <w:t xml:space="preserve">Commonwealth </w:t>
      </w:r>
      <w:r w:rsidR="003B34D4" w:rsidRPr="003B34D4">
        <w:rPr>
          <w:lang w:val="en-AU"/>
        </w:rPr>
        <w:t xml:space="preserve">buyback, the </w:t>
      </w:r>
      <w:r w:rsidR="00AD5398" w:rsidRPr="003B34D4">
        <w:rPr>
          <w:lang w:val="en-AU"/>
        </w:rPr>
        <w:t xml:space="preserve">effective costs of delivering water </w:t>
      </w:r>
      <w:r w:rsidR="003B34D4" w:rsidRPr="003B34D4">
        <w:rPr>
          <w:lang w:val="en-AU"/>
        </w:rPr>
        <w:t xml:space="preserve">in the GMID, where most irrigated dairying occurs </w:t>
      </w:r>
      <w:r w:rsidR="00AD5398" w:rsidRPr="003B34D4">
        <w:rPr>
          <w:lang w:val="en-AU"/>
        </w:rPr>
        <w:t xml:space="preserve">will increase significantly unless up to </w:t>
      </w:r>
      <w:r w:rsidR="00A44B56">
        <w:rPr>
          <w:lang w:val="en-AU"/>
        </w:rPr>
        <w:t>4</w:t>
      </w:r>
      <w:r w:rsidR="00AD5398" w:rsidRPr="003B34D4">
        <w:rPr>
          <w:lang w:val="en-AU"/>
        </w:rPr>
        <w:t xml:space="preserve">0% of delivery system infrastructure </w:t>
      </w:r>
      <w:r w:rsidR="00A44B56">
        <w:rPr>
          <w:lang w:val="en-AU"/>
        </w:rPr>
        <w:t xml:space="preserve">in place before the GMW Connections Project began </w:t>
      </w:r>
      <w:r w:rsidR="00AD5398" w:rsidRPr="003B34D4">
        <w:rPr>
          <w:lang w:val="en-AU"/>
        </w:rPr>
        <w:t>can be rationalised</w:t>
      </w:r>
      <w:r w:rsidR="00A44B56">
        <w:rPr>
          <w:lang w:val="en-AU"/>
        </w:rPr>
        <w:t xml:space="preserve"> (GMW 2009)</w:t>
      </w:r>
      <w:r w:rsidR="00AD5398" w:rsidRPr="003B34D4">
        <w:rPr>
          <w:lang w:val="en-AU"/>
        </w:rPr>
        <w:t>.</w:t>
      </w:r>
    </w:p>
    <w:p w14:paraId="1AAA0AE9" w14:textId="1FD3BA30" w:rsidR="00C01A50" w:rsidRPr="003B34D4" w:rsidRDefault="00C01A50" w:rsidP="003B34D4">
      <w:pPr>
        <w:rPr>
          <w:lang w:val="en-AU"/>
        </w:rPr>
      </w:pPr>
      <w:r w:rsidRPr="003B34D4">
        <w:rPr>
          <w:lang w:val="en-AU"/>
        </w:rPr>
        <w:br w:type="page"/>
      </w:r>
    </w:p>
    <w:p w14:paraId="08715A80" w14:textId="77777777" w:rsidR="00C01A50" w:rsidRDefault="00C01A50" w:rsidP="00302BD9">
      <w:pPr>
        <w:pStyle w:val="Heading1"/>
        <w:numPr>
          <w:ilvl w:val="0"/>
          <w:numId w:val="33"/>
        </w:numPr>
      </w:pPr>
      <w:bookmarkStart w:id="47" w:name="_Toc347747789"/>
      <w:r w:rsidRPr="00731AF0">
        <w:lastRenderedPageBreak/>
        <w:t>Introduction</w:t>
      </w:r>
      <w:bookmarkEnd w:id="47"/>
    </w:p>
    <w:p w14:paraId="7FA98968" w14:textId="77777777" w:rsidR="00C01A50" w:rsidRDefault="00C01A50" w:rsidP="00565364">
      <w:pPr>
        <w:pStyle w:val="Heading2"/>
        <w:rPr>
          <w:lang w:val="en-AU"/>
        </w:rPr>
      </w:pPr>
      <w:bookmarkStart w:id="48" w:name="_Toc347747790"/>
      <w:r w:rsidRPr="003B1DA3">
        <w:rPr>
          <w:lang w:val="en-AU"/>
        </w:rPr>
        <w:t>About the Basin Plan</w:t>
      </w:r>
      <w:bookmarkEnd w:id="48"/>
    </w:p>
    <w:p w14:paraId="260961BB" w14:textId="77777777" w:rsidR="00C01A50" w:rsidRPr="00A003F4" w:rsidRDefault="00C01A50" w:rsidP="00A003F4">
      <w:pPr>
        <w:rPr>
          <w:lang w:val="en-US"/>
        </w:rPr>
      </w:pPr>
      <w:r w:rsidRPr="00A003F4">
        <w:rPr>
          <w:lang w:val="en-US"/>
        </w:rPr>
        <w:t>The Murray-Darling Basin Plan formally commenced in November 2012. The Basin</w:t>
      </w:r>
      <w:r>
        <w:rPr>
          <w:lang w:val="en-US"/>
        </w:rPr>
        <w:t xml:space="preserve"> </w:t>
      </w:r>
      <w:r w:rsidRPr="00A003F4">
        <w:rPr>
          <w:lang w:val="en-US"/>
        </w:rPr>
        <w:t>Plan aims to achieve a healthy, working Murray-Darling Basin that includes communities with access to sufficient and reliable water supplies, productive and resilient water-dependent industries, and healthy and resilient ecosystems.</w:t>
      </w:r>
    </w:p>
    <w:p w14:paraId="50F6FBA7" w14:textId="77777777" w:rsidR="00C01A50" w:rsidRDefault="00C01A50" w:rsidP="00A003F4">
      <w:pPr>
        <w:rPr>
          <w:lang w:val="en-US"/>
        </w:rPr>
      </w:pPr>
      <w:r w:rsidRPr="00A003F4">
        <w:rPr>
          <w:lang w:val="en-US"/>
        </w:rPr>
        <w:t>The Basin Plan sets limits on the amount</w:t>
      </w:r>
      <w:r>
        <w:rPr>
          <w:lang w:val="en-US"/>
        </w:rPr>
        <w:t xml:space="preserve"> </w:t>
      </w:r>
      <w:r w:rsidRPr="00A003F4">
        <w:rPr>
          <w:lang w:val="en-US"/>
        </w:rPr>
        <w:t>of water that can be extracted from the Basin</w:t>
      </w:r>
      <w:r>
        <w:rPr>
          <w:lang w:val="en-US"/>
        </w:rPr>
        <w:t>; it</w:t>
      </w:r>
      <w:r w:rsidRPr="00A003F4">
        <w:rPr>
          <w:lang w:val="en-US"/>
        </w:rPr>
        <w:t xml:space="preserve"> comes into effect in 2019. The</w:t>
      </w:r>
      <w:r>
        <w:rPr>
          <w:lang w:val="en-US"/>
        </w:rPr>
        <w:t xml:space="preserve"> Basin Plan’s overall</w:t>
      </w:r>
      <w:r w:rsidRPr="00A003F4">
        <w:rPr>
          <w:lang w:val="en-US"/>
        </w:rPr>
        <w:t xml:space="preserve"> </w:t>
      </w:r>
      <w:r>
        <w:rPr>
          <w:lang w:val="en-US"/>
        </w:rPr>
        <w:t>Sustainable Diversion Limit (SDL)</w:t>
      </w:r>
      <w:r w:rsidRPr="00A003F4">
        <w:rPr>
          <w:lang w:val="en-US"/>
        </w:rPr>
        <w:t xml:space="preserve"> </w:t>
      </w:r>
      <w:r>
        <w:rPr>
          <w:lang w:val="en-US"/>
        </w:rPr>
        <w:t>aims</w:t>
      </w:r>
      <w:r w:rsidRPr="00A003F4">
        <w:rPr>
          <w:lang w:val="en-US"/>
        </w:rPr>
        <w:t xml:space="preserve"> to recover</w:t>
      </w:r>
      <w:r>
        <w:rPr>
          <w:lang w:val="en-US"/>
        </w:rPr>
        <w:t xml:space="preserve"> </w:t>
      </w:r>
      <w:r w:rsidRPr="00A003F4">
        <w:rPr>
          <w:lang w:val="en-US"/>
        </w:rPr>
        <w:t>2750 gigalitres</w:t>
      </w:r>
      <w:r>
        <w:rPr>
          <w:lang w:val="en-US"/>
        </w:rPr>
        <w:t xml:space="preserve"> (GL)</w:t>
      </w:r>
      <w:r w:rsidRPr="00A003F4">
        <w:rPr>
          <w:lang w:val="en-US"/>
        </w:rPr>
        <w:t xml:space="preserve"> of water for the environment. </w:t>
      </w:r>
      <w:r>
        <w:rPr>
          <w:lang w:val="en-US"/>
        </w:rPr>
        <w:t>The recovered</w:t>
      </w:r>
      <w:r w:rsidRPr="00A003F4">
        <w:rPr>
          <w:lang w:val="en-US"/>
        </w:rPr>
        <w:t xml:space="preserve"> water will be used to help improve the environmental health of Basin rivers, wetlands and floodplains and the habitats of plants and animals that rely on the river system.</w:t>
      </w:r>
    </w:p>
    <w:p w14:paraId="2E2122C4" w14:textId="77777777" w:rsidR="00C01A50" w:rsidRDefault="00C01A50" w:rsidP="00A003F4">
      <w:pPr>
        <w:rPr>
          <w:lang w:val="en-US"/>
        </w:rPr>
      </w:pPr>
      <w:r>
        <w:rPr>
          <w:lang w:val="en-US"/>
        </w:rPr>
        <w:t xml:space="preserve">There is scope within the Basin Plan for the SDL to be </w:t>
      </w:r>
      <w:r w:rsidR="009C564F">
        <w:rPr>
          <w:lang w:val="en-US"/>
        </w:rPr>
        <w:t>increased</w:t>
      </w:r>
      <w:r>
        <w:rPr>
          <w:lang w:val="en-US"/>
        </w:rPr>
        <w:t xml:space="preserve"> to embrace a total recovery of only 2100 GL, </w:t>
      </w:r>
      <w:r w:rsidR="00C747BC">
        <w:rPr>
          <w:lang w:val="en-US"/>
        </w:rPr>
        <w:t>provided</w:t>
      </w:r>
      <w:r>
        <w:rPr>
          <w:lang w:val="en-US"/>
        </w:rPr>
        <w:t xml:space="preserve"> offsetting measures, such as pumping water, or removing sills, can deliver water into floodplain wetlands (in ways that mimic natural cycles) without the need to flood those wetlands through high flows.</w:t>
      </w:r>
    </w:p>
    <w:p w14:paraId="483F7EA9" w14:textId="77777777" w:rsidR="00C01A50" w:rsidRPr="00A003F4" w:rsidRDefault="00C01A50" w:rsidP="00A003F4">
      <w:pPr>
        <w:rPr>
          <w:lang w:val="en-US"/>
        </w:rPr>
      </w:pPr>
      <w:r>
        <w:rPr>
          <w:lang w:val="en-US"/>
        </w:rPr>
        <w:t xml:space="preserve">On the other hand, there is scope for the SDLs to be further reduced, through the recovery of up to 3200 GL, by including the recovery of an additional 450 GL through on-farm efficiency measures aimed at recovering water for the environment without reducing on-farm productivity. Importantly however, </w:t>
      </w:r>
      <w:r w:rsidR="001B42A8">
        <w:rPr>
          <w:lang w:val="en-US"/>
        </w:rPr>
        <w:t xml:space="preserve">the additional 450 GL is contingent upon it being obtained through measures that have neutral or </w:t>
      </w:r>
      <w:r w:rsidR="00FC7267">
        <w:rPr>
          <w:lang w:val="en-US"/>
        </w:rPr>
        <w:t>positive social and economic impacts.</w:t>
      </w:r>
    </w:p>
    <w:p w14:paraId="46EB01D8" w14:textId="77777777" w:rsidR="00C01A50" w:rsidRPr="00A003F4" w:rsidRDefault="00C01A50" w:rsidP="00A003F4">
      <w:pPr>
        <w:rPr>
          <w:lang w:val="en-US"/>
        </w:rPr>
      </w:pPr>
      <w:r w:rsidRPr="00A003F4">
        <w:rPr>
          <w:lang w:val="en-US"/>
        </w:rPr>
        <w:t xml:space="preserve">Victoria’s share of </w:t>
      </w:r>
      <w:r>
        <w:rPr>
          <w:lang w:val="en-US"/>
        </w:rPr>
        <w:t xml:space="preserve">the </w:t>
      </w:r>
      <w:r w:rsidRPr="00A003F4">
        <w:rPr>
          <w:lang w:val="en-US"/>
        </w:rPr>
        <w:t>2750</w:t>
      </w:r>
      <w:r>
        <w:rPr>
          <w:lang w:val="en-US"/>
        </w:rPr>
        <w:t xml:space="preserve"> GL</w:t>
      </w:r>
      <w:r w:rsidRPr="00A003F4">
        <w:rPr>
          <w:lang w:val="en-US"/>
        </w:rPr>
        <w:t xml:space="preserve"> target is 1075</w:t>
      </w:r>
      <w:r>
        <w:rPr>
          <w:lang w:val="en-US"/>
        </w:rPr>
        <w:t xml:space="preserve"> GL, and it has </w:t>
      </w:r>
      <w:r w:rsidRPr="00A003F4">
        <w:rPr>
          <w:lang w:val="en-US"/>
        </w:rPr>
        <w:t xml:space="preserve">already transferred 711 </w:t>
      </w:r>
      <w:r>
        <w:rPr>
          <w:lang w:val="en-US"/>
        </w:rPr>
        <w:t>GL</w:t>
      </w:r>
      <w:r w:rsidRPr="00A003F4">
        <w:rPr>
          <w:lang w:val="en-US"/>
        </w:rPr>
        <w:t xml:space="preserve"> to the environment. The Victorian Government is committed to balancing its obligations under the Basin Plan with any associated impacts on Victorian industries and communities. </w:t>
      </w:r>
    </w:p>
    <w:p w14:paraId="40B29D40" w14:textId="77777777" w:rsidR="00C01A50" w:rsidRDefault="00C01A50" w:rsidP="00627B56">
      <w:pPr>
        <w:rPr>
          <w:lang w:val="en-AU"/>
        </w:rPr>
      </w:pPr>
      <w:r w:rsidRPr="00A003F4">
        <w:rPr>
          <w:lang w:val="en-US"/>
        </w:rPr>
        <w:t>The Basin Plan also supports engagement with Indigenous communities in water resource planning and the consideration of Indigenous values and uses. Victoria will need to prepare water resource plans to manage Basin water resources in the long-term</w:t>
      </w:r>
      <w:r>
        <w:rPr>
          <w:lang w:val="en-US"/>
        </w:rPr>
        <w:t xml:space="preserve"> </w:t>
      </w:r>
      <w:r>
        <w:rPr>
          <w:lang w:val="en-AU"/>
        </w:rPr>
        <w:t>(DELWP</w:t>
      </w:r>
      <w:r w:rsidR="006A18CB">
        <w:rPr>
          <w:lang w:val="en-AU"/>
        </w:rPr>
        <w:t>,</w:t>
      </w:r>
      <w:r>
        <w:rPr>
          <w:lang w:val="en-AU"/>
        </w:rPr>
        <w:t xml:space="preserve"> 2016</w:t>
      </w:r>
      <w:r w:rsidR="004D3C4E">
        <w:rPr>
          <w:lang w:val="en-AU"/>
        </w:rPr>
        <w:t>b</w:t>
      </w:r>
      <w:r>
        <w:rPr>
          <w:lang w:val="en-AU"/>
        </w:rPr>
        <w:t>)</w:t>
      </w:r>
      <w:r w:rsidRPr="00285105">
        <w:rPr>
          <w:lang w:val="en-AU"/>
        </w:rPr>
        <w:t>.</w:t>
      </w:r>
      <w:r>
        <w:rPr>
          <w:lang w:val="en-AU"/>
        </w:rPr>
        <w:t xml:space="preserve"> </w:t>
      </w:r>
    </w:p>
    <w:p w14:paraId="1F477BAA" w14:textId="77777777" w:rsidR="00C01A50" w:rsidRDefault="00C01A50" w:rsidP="0035583A">
      <w:r>
        <w:t>The Victorian Government has committed itself, in partnership with water corporations and catchment management authorities, to work to achieve balanced outcomes from implementing the Murray-Darling Basin Plan in Victoria by:</w:t>
      </w:r>
    </w:p>
    <w:p w14:paraId="145FF351" w14:textId="77777777" w:rsidR="00C01A50" w:rsidRDefault="00C01A50" w:rsidP="00302BD9">
      <w:pPr>
        <w:pStyle w:val="ListParagraph"/>
        <w:numPr>
          <w:ilvl w:val="0"/>
          <w:numId w:val="36"/>
        </w:numPr>
      </w:pPr>
      <w:r>
        <w:t>continuing to prioritise projects to help meet its 1075 GL obligation under the Basin Plan with water savings and environmental offsets, rather than further reducing the consumptive pool</w:t>
      </w:r>
    </w:p>
    <w:p w14:paraId="400613A3" w14:textId="77777777" w:rsidR="00C01A50" w:rsidRDefault="00C01A50" w:rsidP="00302BD9">
      <w:pPr>
        <w:pStyle w:val="ListParagraph"/>
        <w:numPr>
          <w:ilvl w:val="0"/>
          <w:numId w:val="36"/>
        </w:numPr>
      </w:pPr>
      <w:r>
        <w:t>publishing a yearly online update on Victoria’s progress toward meeting Basin Plan water recovery targets</w:t>
      </w:r>
    </w:p>
    <w:p w14:paraId="442C2A4F" w14:textId="77777777" w:rsidR="00C01A50" w:rsidRDefault="00C01A50" w:rsidP="00302BD9">
      <w:pPr>
        <w:pStyle w:val="ListParagraph"/>
        <w:numPr>
          <w:ilvl w:val="0"/>
          <w:numId w:val="36"/>
        </w:numPr>
      </w:pPr>
      <w:r>
        <w:t>working with the Commonwealth Government, other Basin jurisdictions and the Murray-Darling Basin Authority to ensure effective governance of the process to deliver environmental offsets</w:t>
      </w:r>
    </w:p>
    <w:p w14:paraId="6D5FE739" w14:textId="77777777" w:rsidR="00C01A50" w:rsidRDefault="00C01A50" w:rsidP="00302BD9">
      <w:pPr>
        <w:pStyle w:val="ListParagraph"/>
        <w:numPr>
          <w:ilvl w:val="0"/>
          <w:numId w:val="36"/>
        </w:numPr>
      </w:pPr>
      <w:r>
        <w:t xml:space="preserve">undertaking its own socio-economic analysis into the impact of water recovery to inform discussions with the Federal Government and make sure that any further water recovery above </w:t>
      </w:r>
      <w:r>
        <w:lastRenderedPageBreak/>
        <w:t>2750 GL from Victoria is based on robust evidence that it can be done with neutral or positive social and economic impacts</w:t>
      </w:r>
    </w:p>
    <w:p w14:paraId="13365D56" w14:textId="77777777" w:rsidR="00C01A50" w:rsidRDefault="00C01A50" w:rsidP="00302BD9">
      <w:pPr>
        <w:pStyle w:val="ListParagraph"/>
        <w:numPr>
          <w:ilvl w:val="0"/>
          <w:numId w:val="36"/>
        </w:numPr>
      </w:pPr>
      <w:r>
        <w:t>participating in a coordinated interstate process to investigate the feasibility of addressing constraints to environmental water delivery in the southern Murray-Darling Basin, with strong community involvement (DELWP, 2016</w:t>
      </w:r>
      <w:r w:rsidR="004D3C4E">
        <w:t>b</w:t>
      </w:r>
      <w:r>
        <w:t>).</w:t>
      </w:r>
    </w:p>
    <w:p w14:paraId="27A767D0" w14:textId="77777777" w:rsidR="00C01A50" w:rsidRDefault="00C01A50" w:rsidP="00627B56">
      <w:pPr>
        <w:pStyle w:val="Heading2"/>
        <w:rPr>
          <w:lang w:val="en-AU"/>
        </w:rPr>
      </w:pPr>
      <w:bookmarkStart w:id="49" w:name="_Toc347747791"/>
      <w:r w:rsidRPr="003B1DA3">
        <w:rPr>
          <w:lang w:val="en-AU"/>
        </w:rPr>
        <w:t>Purpose of this report</w:t>
      </w:r>
      <w:bookmarkEnd w:id="49"/>
    </w:p>
    <w:p w14:paraId="5C46598C" w14:textId="77777777" w:rsidR="00C01A50" w:rsidRDefault="00C01A50" w:rsidP="00627B56">
      <w:pPr>
        <w:rPr>
          <w:lang w:val="en-AU"/>
        </w:rPr>
      </w:pPr>
      <w:r>
        <w:rPr>
          <w:lang w:val="en-AU"/>
        </w:rPr>
        <w:t xml:space="preserve">This report was commissioned to assist the Victorian Government in </w:t>
      </w:r>
      <w:r w:rsidRPr="00A64245">
        <w:rPr>
          <w:lang w:val="en-AU"/>
        </w:rPr>
        <w:t>undertaking its own socio-economic analysis into the impact</w:t>
      </w:r>
      <w:r>
        <w:rPr>
          <w:lang w:val="en-AU"/>
        </w:rPr>
        <w:t>s in Victoria</w:t>
      </w:r>
      <w:r w:rsidRPr="00A64245">
        <w:rPr>
          <w:lang w:val="en-AU"/>
        </w:rPr>
        <w:t xml:space="preserve"> of water recovery</w:t>
      </w:r>
      <w:r>
        <w:rPr>
          <w:lang w:val="en-AU"/>
        </w:rPr>
        <w:t xml:space="preserve"> through the Basin Plan. It will </w:t>
      </w:r>
      <w:r w:rsidRPr="00A64245">
        <w:rPr>
          <w:lang w:val="en-AU"/>
        </w:rPr>
        <w:t xml:space="preserve">inform discussions with the </w:t>
      </w:r>
      <w:r>
        <w:rPr>
          <w:lang w:val="en-AU"/>
        </w:rPr>
        <w:t>Commonwealth</w:t>
      </w:r>
      <w:r w:rsidRPr="00A64245">
        <w:rPr>
          <w:lang w:val="en-AU"/>
        </w:rPr>
        <w:t xml:space="preserve"> Government and </w:t>
      </w:r>
      <w:r>
        <w:rPr>
          <w:lang w:val="en-AU"/>
        </w:rPr>
        <w:t xml:space="preserve">help to </w:t>
      </w:r>
      <w:r w:rsidRPr="00A64245">
        <w:rPr>
          <w:lang w:val="en-AU"/>
        </w:rPr>
        <w:t xml:space="preserve">make sure that </w:t>
      </w:r>
      <w:r w:rsidR="004E462E">
        <w:rPr>
          <w:lang w:val="en-AU"/>
        </w:rPr>
        <w:t>all future</w:t>
      </w:r>
      <w:r w:rsidRPr="00A64245">
        <w:rPr>
          <w:lang w:val="en-AU"/>
        </w:rPr>
        <w:t xml:space="preserve"> water recovery from Victoria is based on robust evidence that it can be done with neutral or positive social and economic impacts</w:t>
      </w:r>
      <w:r>
        <w:rPr>
          <w:lang w:val="en-AU"/>
        </w:rPr>
        <w:t>.</w:t>
      </w:r>
    </w:p>
    <w:p w14:paraId="11E6388A" w14:textId="77777777" w:rsidR="00C01A50" w:rsidRDefault="00387C3F" w:rsidP="00766877">
      <w:pPr>
        <w:pStyle w:val="Heading2"/>
        <w:rPr>
          <w:lang w:val="en-AU"/>
        </w:rPr>
      </w:pPr>
      <w:bookmarkStart w:id="50" w:name="_Toc347747792"/>
      <w:r>
        <w:rPr>
          <w:lang w:val="en-AU"/>
        </w:rPr>
        <w:t>S</w:t>
      </w:r>
      <w:r w:rsidR="00C01A50">
        <w:rPr>
          <w:lang w:val="en-AU"/>
        </w:rPr>
        <w:t>tructure of this report</w:t>
      </w:r>
      <w:bookmarkEnd w:id="50"/>
    </w:p>
    <w:p w14:paraId="4813B018" w14:textId="77777777" w:rsidR="00C01A50" w:rsidRDefault="00C01A50" w:rsidP="00F37FA3">
      <w:r>
        <w:t>This report is essentially in four parts:</w:t>
      </w:r>
    </w:p>
    <w:p w14:paraId="365757C5" w14:textId="77777777" w:rsidR="00F37FA3" w:rsidRPr="00F37FA3" w:rsidRDefault="00F37FA3" w:rsidP="00302BD9">
      <w:pPr>
        <w:pStyle w:val="ListParagraph"/>
        <w:numPr>
          <w:ilvl w:val="0"/>
          <w:numId w:val="48"/>
        </w:numPr>
        <w:rPr>
          <w:b/>
        </w:rPr>
      </w:pPr>
      <w:r w:rsidRPr="00F37FA3">
        <w:rPr>
          <w:b/>
        </w:rPr>
        <w:t xml:space="preserve">Orientation: </w:t>
      </w:r>
      <w:r w:rsidRPr="00F37FA3">
        <w:t>The first part of the report provides the context for its development and the methodology used in preparing the report. It then explains why it is important to view water use in northern Victoria as part of a greater whole – the southern-connected Murray-Darling Basin. Changes in water use in any part of the southern-connected Basin can, through the mediation of one large water market, translate into changes in other parts of the system as a whole</w:t>
      </w:r>
      <w:r>
        <w:t>.</w:t>
      </w:r>
    </w:p>
    <w:p w14:paraId="4FCEEC3E" w14:textId="77777777" w:rsidR="00F37FA3" w:rsidRPr="008E1997" w:rsidRDefault="00F37FA3" w:rsidP="00302BD9">
      <w:pPr>
        <w:pStyle w:val="ListParagraph"/>
        <w:numPr>
          <w:ilvl w:val="0"/>
          <w:numId w:val="48"/>
        </w:numPr>
        <w:rPr>
          <w:b/>
        </w:rPr>
      </w:pPr>
      <w:r w:rsidRPr="00F37FA3">
        <w:rPr>
          <w:b/>
        </w:rPr>
        <w:t>Analysis:</w:t>
      </w:r>
      <w:r w:rsidRPr="00F37FA3">
        <w:t xml:space="preserve"> The second part considers data on actual water use by irrigators since the Commonwealth began to recover water under the Basin Plan. Having determined what happened with the Plan, it then sets out the ‘counterfactual’, a logical construction of what could reasonably have been expected to happen without the Basin Plan. The MDBA’s preferred approach for analysing the expected outcomes of the Basin Plan is then used to compare expected with actual outcomes. The outcomes are considered at the farm scale, the industry scale and the system scale.</w:t>
      </w:r>
    </w:p>
    <w:p w14:paraId="5049F1E5" w14:textId="77777777" w:rsidR="00F37FA3" w:rsidRPr="008E1997" w:rsidRDefault="00F37FA3" w:rsidP="00302BD9">
      <w:pPr>
        <w:pStyle w:val="ListParagraph"/>
        <w:numPr>
          <w:ilvl w:val="0"/>
          <w:numId w:val="48"/>
        </w:numPr>
        <w:rPr>
          <w:b/>
        </w:rPr>
      </w:pPr>
      <w:r w:rsidRPr="00F37FA3">
        <w:rPr>
          <w:b/>
        </w:rPr>
        <w:t>Interpretation:</w:t>
      </w:r>
      <w:r w:rsidRPr="00F37FA3">
        <w:t xml:space="preserve"> The analysis is carried further to consider the socio-economic outcomes of the Basin Plan in the context of human landscapes, the geographic centres of the major irrigated industries in the southern-connected Basin. Particular attention is paid to the Basin Plan’s implications for the future viability of the Goulburn-Murray Irrigation District. The environmental outcomes of the Basin Plan are also considered.</w:t>
      </w:r>
    </w:p>
    <w:p w14:paraId="3FD1C332" w14:textId="77777777" w:rsidR="00F37FA3" w:rsidRPr="008E1997" w:rsidRDefault="00F37FA3" w:rsidP="00302BD9">
      <w:pPr>
        <w:pStyle w:val="ListParagraph"/>
        <w:numPr>
          <w:ilvl w:val="0"/>
          <w:numId w:val="48"/>
        </w:numPr>
        <w:rPr>
          <w:b/>
        </w:rPr>
      </w:pPr>
      <w:r w:rsidRPr="00F37FA3">
        <w:rPr>
          <w:b/>
        </w:rPr>
        <w:t>Conclusion:</w:t>
      </w:r>
      <w:r w:rsidRPr="00F37FA3">
        <w:t xml:space="preserve"> The report finishes with a series of conclusions about the socio-economic impacts of the Basin Plan in Victoria</w:t>
      </w:r>
      <w:r w:rsidR="008E1997">
        <w:t>.</w:t>
      </w:r>
    </w:p>
    <w:p w14:paraId="6D3A294E" w14:textId="77777777" w:rsidR="00C01A50" w:rsidRDefault="00C01A50" w:rsidP="00766877">
      <w:pPr>
        <w:pStyle w:val="Heading2"/>
        <w:rPr>
          <w:lang w:val="en-AU"/>
        </w:rPr>
      </w:pPr>
      <w:bookmarkStart w:id="51" w:name="_Toc347747793"/>
      <w:r w:rsidRPr="003B1DA3">
        <w:rPr>
          <w:lang w:val="en-AU"/>
        </w:rPr>
        <w:t>Methodology</w:t>
      </w:r>
      <w:bookmarkEnd w:id="51"/>
    </w:p>
    <w:p w14:paraId="6B4F94DD" w14:textId="77777777" w:rsidR="00C01A50" w:rsidRDefault="00C01A50" w:rsidP="003B1DA3">
      <w:r>
        <w:rPr>
          <w:lang w:val="en-AU"/>
        </w:rPr>
        <w:t>The approach taken in assessing the impacts of the Basin Plan is intended to be systematic, methodical</w:t>
      </w:r>
      <w:r w:rsidRPr="00B23DDF">
        <w:rPr>
          <w:lang w:val="en-AU"/>
        </w:rPr>
        <w:t xml:space="preserve"> </w:t>
      </w:r>
      <w:r>
        <w:rPr>
          <w:lang w:val="en-AU"/>
        </w:rPr>
        <w:t xml:space="preserve">and repeatable. It is not a comparison of irrigation before and after the Basin Plan. Rather it is a comparison </w:t>
      </w:r>
      <w:r>
        <w:t xml:space="preserve">of what happened after the Basin Plan was implemented with what could reasonably have </w:t>
      </w:r>
      <w:r>
        <w:lastRenderedPageBreak/>
        <w:t xml:space="preserve">been expected to happen if the Basin Plan had not been implemented. Such comparisons with the ‘counterfactual’ are standard practice in economics. </w:t>
      </w:r>
    </w:p>
    <w:p w14:paraId="670EC21E" w14:textId="77777777" w:rsidR="00052F1E" w:rsidRDefault="00480514" w:rsidP="00480514">
      <w:pPr>
        <w:pStyle w:val="CommentText"/>
      </w:pPr>
      <w:r>
        <w:t>The complexity of the socio</w:t>
      </w:r>
      <w:r w:rsidR="000143B5">
        <w:t>-</w:t>
      </w:r>
      <w:r w:rsidR="0050359D">
        <w:t>economic systems in the southern-</w:t>
      </w:r>
      <w:r>
        <w:t>connected Basin</w:t>
      </w:r>
      <w:r w:rsidR="001B21E3">
        <w:t xml:space="preserve"> mitig</w:t>
      </w:r>
      <w:r w:rsidR="0050359D">
        <w:t xml:space="preserve">ate against the use of a </w:t>
      </w:r>
      <w:r w:rsidR="00BD2C75" w:rsidRPr="00BD2C75">
        <w:t>computable general equilibrium</w:t>
      </w:r>
      <w:r w:rsidR="00BD2C75">
        <w:t xml:space="preserve"> modelling approach to assessing the impacts because </w:t>
      </w:r>
      <w:r w:rsidR="001B21E3">
        <w:t>communities are subject to a range of localised and broad scale changes and not just the ‘shock’</w:t>
      </w:r>
      <w:r w:rsidR="00BD2C75">
        <w:t xml:space="preserve"> </w:t>
      </w:r>
      <w:r w:rsidR="001B21E3">
        <w:t>imposed by the Basin Plan.</w:t>
      </w:r>
      <w:r>
        <w:t xml:space="preserve"> </w:t>
      </w:r>
      <w:r w:rsidR="000143B5">
        <w:t>Similarly, it is not possible to assess the impacts</w:t>
      </w:r>
      <w:r>
        <w:t xml:space="preserve"> by </w:t>
      </w:r>
      <w:r w:rsidR="000143B5">
        <w:t xml:space="preserve">simply referring </w:t>
      </w:r>
      <w:r>
        <w:t>to</w:t>
      </w:r>
      <w:r w:rsidR="000143B5">
        <w:t xml:space="preserve"> a range of socio-economic indicators, for one thing, as discussed in Chapter </w:t>
      </w:r>
      <w:r w:rsidR="000143B5">
        <w:fldChar w:fldCharType="begin"/>
      </w:r>
      <w:r w:rsidR="000143B5">
        <w:instrText xml:space="preserve"> REF _Ref347075952 \r \h </w:instrText>
      </w:r>
      <w:r w:rsidR="000143B5">
        <w:fldChar w:fldCharType="separate"/>
      </w:r>
      <w:r w:rsidR="008E5D7A">
        <w:t>10</w:t>
      </w:r>
      <w:r w:rsidR="000143B5">
        <w:fldChar w:fldCharType="end"/>
      </w:r>
      <w:r w:rsidR="000143B5">
        <w:t>, that approach would depend on access to 2016 census data and ideally would involve 2021 census data also.</w:t>
      </w:r>
    </w:p>
    <w:p w14:paraId="3C39DF07" w14:textId="77777777" w:rsidR="00130ED8" w:rsidRDefault="00052F1E" w:rsidP="00480514">
      <w:pPr>
        <w:pStyle w:val="CommentText"/>
      </w:pPr>
      <w:r>
        <w:t xml:space="preserve">In </w:t>
      </w:r>
      <w:r w:rsidR="00480514">
        <w:t xml:space="preserve">recognition of </w:t>
      </w:r>
      <w:r>
        <w:t>those issues</w:t>
      </w:r>
      <w:r w:rsidR="00480514">
        <w:t>,</w:t>
      </w:r>
      <w:r>
        <w:t xml:space="preserve"> we have</w:t>
      </w:r>
      <w:r w:rsidR="00480514">
        <w:t xml:space="preserve"> instead constructed a syste</w:t>
      </w:r>
      <w:r>
        <w:t xml:space="preserve">matic organising framework for </w:t>
      </w:r>
      <w:r w:rsidR="00480514">
        <w:t xml:space="preserve">our analysis, with a logic </w:t>
      </w:r>
      <w:r>
        <w:t>gr</w:t>
      </w:r>
      <w:r w:rsidR="00480514">
        <w:t>ounded in a</w:t>
      </w:r>
      <w:r>
        <w:t xml:space="preserve"> deep</w:t>
      </w:r>
      <w:r w:rsidR="00480514">
        <w:t xml:space="preserve"> understanding of the way </w:t>
      </w:r>
      <w:r>
        <w:t>the different irrigated industries have</w:t>
      </w:r>
      <w:r w:rsidR="00480514">
        <w:t xml:space="preserve"> respond</w:t>
      </w:r>
      <w:r>
        <w:t>ed</w:t>
      </w:r>
      <w:r w:rsidR="00480514">
        <w:t xml:space="preserve"> to variable water availability</w:t>
      </w:r>
      <w:r>
        <w:t xml:space="preserve">. Building from this we have considered </w:t>
      </w:r>
      <w:r w:rsidR="00480514">
        <w:t>the implications for</w:t>
      </w:r>
      <w:r>
        <w:t xml:space="preserve"> different geographic centres,</w:t>
      </w:r>
      <w:r w:rsidR="00480514">
        <w:t xml:space="preserve"> </w:t>
      </w:r>
      <w:r>
        <w:t>in the context of the vagaries in</w:t>
      </w:r>
      <w:r w:rsidR="00480514">
        <w:t xml:space="preserve"> commodit</w:t>
      </w:r>
      <w:r>
        <w:t xml:space="preserve">y prices and production levels. </w:t>
      </w:r>
    </w:p>
    <w:p w14:paraId="132DD920" w14:textId="77777777" w:rsidR="004C5DCC" w:rsidRDefault="004C5DCC" w:rsidP="00480514">
      <w:pPr>
        <w:pStyle w:val="CommentText"/>
      </w:pPr>
      <w:r>
        <w:t>There are of course limitations to our analysis. For example, we have not factor</w:t>
      </w:r>
      <w:r w:rsidR="00B35A46">
        <w:t>ed</w:t>
      </w:r>
      <w:r>
        <w:t xml:space="preserve"> the human</w:t>
      </w:r>
      <w:r w:rsidR="00B35A46">
        <w:t xml:space="preserve"> capacity to</w:t>
      </w:r>
      <w:r>
        <w:t xml:space="preserve"> adapt to difficult circumstances</w:t>
      </w:r>
      <w:r w:rsidR="00B35A46">
        <w:t>, we do however make clear our assumptions</w:t>
      </w:r>
      <w:r>
        <w:t xml:space="preserve"> </w:t>
      </w:r>
      <w:r w:rsidR="00B35A46">
        <w:t xml:space="preserve">about </w:t>
      </w:r>
      <w:r>
        <w:t>current</w:t>
      </w:r>
      <w:r w:rsidR="00B35A46">
        <w:t xml:space="preserve"> trends in</w:t>
      </w:r>
      <w:r>
        <w:t xml:space="preserve"> development and </w:t>
      </w:r>
      <w:r w:rsidR="00B35A46">
        <w:t xml:space="preserve">current rates of </w:t>
      </w:r>
      <w:r>
        <w:t xml:space="preserve">water use. </w:t>
      </w:r>
      <w:r w:rsidR="00B35A46">
        <w:t>Similarly, because this is not a modelling exercise we have</w:t>
      </w:r>
      <w:r>
        <w:t xml:space="preserve"> assumed constant commodity prices – </w:t>
      </w:r>
      <w:r w:rsidR="00B35A46">
        <w:t>a future collapse in almond prices or jump in milk prices would result in outcomes different to those we describe</w:t>
      </w:r>
      <w:r w:rsidR="0056764F">
        <w:t>. Conversely, a jump in almond prices and a further deterioration in milk prices would also result in different outcomes.</w:t>
      </w:r>
      <w:r w:rsidR="00B35A46">
        <w:t xml:space="preserve"> </w:t>
      </w:r>
    </w:p>
    <w:p w14:paraId="60EF6256" w14:textId="77777777" w:rsidR="00C01A50" w:rsidRDefault="00D85286" w:rsidP="003B1DA3">
      <w:pPr>
        <w:rPr>
          <w:lang w:val="en-AU"/>
        </w:rPr>
      </w:pPr>
      <w:r>
        <w:rPr>
          <w:lang w:val="en-AU"/>
        </w:rPr>
        <w:t>Our</w:t>
      </w:r>
      <w:r w:rsidR="00C01A50">
        <w:rPr>
          <w:lang w:val="en-AU"/>
        </w:rPr>
        <w:t xml:space="preserve"> approach rests on a series of steps:</w:t>
      </w:r>
    </w:p>
    <w:p w14:paraId="5A9C628B" w14:textId="77777777" w:rsidR="00677C90" w:rsidRPr="002410F5" w:rsidRDefault="00444470" w:rsidP="00302BD9">
      <w:pPr>
        <w:pStyle w:val="ListParagraph"/>
        <w:numPr>
          <w:ilvl w:val="0"/>
          <w:numId w:val="49"/>
        </w:numPr>
        <w:spacing w:before="0"/>
        <w:contextualSpacing w:val="0"/>
        <w:rPr>
          <w:lang w:val="en-AU"/>
        </w:rPr>
      </w:pPr>
      <w:r>
        <w:rPr>
          <w:lang w:val="en-AU"/>
        </w:rPr>
        <w:t xml:space="preserve">In Chapter </w:t>
      </w:r>
      <w:r w:rsidR="00EF59F4">
        <w:rPr>
          <w:lang w:val="en-AU"/>
        </w:rPr>
        <w:fldChar w:fldCharType="begin"/>
      </w:r>
      <w:r w:rsidR="00EF59F4">
        <w:rPr>
          <w:lang w:val="en-AU"/>
        </w:rPr>
        <w:instrText xml:space="preserve"> REF _Ref342404866 \r \h </w:instrText>
      </w:r>
      <w:r w:rsidR="00EF59F4">
        <w:rPr>
          <w:lang w:val="en-AU"/>
        </w:rPr>
      </w:r>
      <w:r w:rsidR="00EF59F4">
        <w:rPr>
          <w:lang w:val="en-AU"/>
        </w:rPr>
        <w:fldChar w:fldCharType="separate"/>
      </w:r>
      <w:r w:rsidR="008E5D7A">
        <w:rPr>
          <w:lang w:val="en-AU"/>
        </w:rPr>
        <w:t>2</w:t>
      </w:r>
      <w:r w:rsidR="00EF59F4">
        <w:rPr>
          <w:lang w:val="en-AU"/>
        </w:rPr>
        <w:fldChar w:fldCharType="end"/>
      </w:r>
      <w:r>
        <w:rPr>
          <w:lang w:val="en-AU"/>
        </w:rPr>
        <w:t xml:space="preserve"> </w:t>
      </w:r>
      <w:r w:rsidRPr="002410F5">
        <w:rPr>
          <w:lang w:val="en-AU"/>
        </w:rPr>
        <w:t xml:space="preserve">we </w:t>
      </w:r>
      <w:r w:rsidR="00677C90" w:rsidRPr="002410F5">
        <w:rPr>
          <w:lang w:val="en-AU"/>
        </w:rPr>
        <w:t>establish the need to understand irrigation in northern Victoria in the context of irrigation in the southern-connected Murray-Darling Basin as a whole.</w:t>
      </w:r>
    </w:p>
    <w:p w14:paraId="3C7D5E84" w14:textId="77777777" w:rsidR="00C01A50" w:rsidRPr="002410F5" w:rsidRDefault="00C01A50" w:rsidP="002410F5">
      <w:pPr>
        <w:spacing w:before="0"/>
        <w:ind w:left="720"/>
        <w:rPr>
          <w:lang w:val="en-AU"/>
        </w:rPr>
      </w:pPr>
      <w:r w:rsidRPr="002410F5">
        <w:rPr>
          <w:lang w:val="en-AU"/>
        </w:rPr>
        <w:t>We show that by trade or by substitution, there is one large water market operating in the southern-connected Basin. We illustrate that between the three states in the southern Basin there are five water entitlement types used by irrigators and that the probability of receiving allocations against each of the entitlements varies considerably. We demonstrate that an understanding of the socio-economic impacts of the Basin plan rests on an understanding of the interactions between the variability of water supply and the relative constancy of demand for water by different irrigation industries.</w:t>
      </w:r>
    </w:p>
    <w:p w14:paraId="309FB6A3" w14:textId="77777777" w:rsidR="00C01A50" w:rsidRPr="002410F5" w:rsidRDefault="00C01A50" w:rsidP="002410F5">
      <w:pPr>
        <w:spacing w:before="0"/>
        <w:ind w:left="720"/>
        <w:rPr>
          <w:lang w:val="en-AU"/>
        </w:rPr>
      </w:pPr>
      <w:r w:rsidRPr="002410F5">
        <w:rPr>
          <w:lang w:val="en-AU"/>
        </w:rPr>
        <w:t xml:space="preserve">The northern Basin is not considered in this analysis because the highly variable stream flows and relatively small storages there mean that </w:t>
      </w:r>
      <w:r w:rsidR="00D85286">
        <w:rPr>
          <w:lang w:val="en-AU"/>
        </w:rPr>
        <w:t>the northern Basin</w:t>
      </w:r>
      <w:r w:rsidRPr="002410F5">
        <w:rPr>
          <w:lang w:val="en-AU"/>
        </w:rPr>
        <w:t xml:space="preserve"> embraces several small water markets that are not integrated and do not have a material bearing on water use in Victoria.</w:t>
      </w:r>
    </w:p>
    <w:p w14:paraId="7A2E4608" w14:textId="77777777" w:rsidR="00677C90" w:rsidRPr="002410F5" w:rsidRDefault="00EF59F4" w:rsidP="00302BD9">
      <w:pPr>
        <w:pStyle w:val="ListParagraph"/>
        <w:numPr>
          <w:ilvl w:val="0"/>
          <w:numId w:val="49"/>
        </w:numPr>
        <w:spacing w:before="0"/>
        <w:contextualSpacing w:val="0"/>
        <w:rPr>
          <w:lang w:val="en-AU"/>
        </w:rPr>
      </w:pPr>
      <w:r>
        <w:rPr>
          <w:lang w:val="en-AU"/>
        </w:rPr>
        <w:t xml:space="preserve">In Chapter </w:t>
      </w:r>
      <w:r>
        <w:rPr>
          <w:lang w:val="en-AU"/>
        </w:rPr>
        <w:fldChar w:fldCharType="begin"/>
      </w:r>
      <w:r>
        <w:rPr>
          <w:lang w:val="en-AU"/>
        </w:rPr>
        <w:instrText xml:space="preserve"> REF _Ref342400627 \r \h </w:instrText>
      </w:r>
      <w:r>
        <w:rPr>
          <w:lang w:val="en-AU"/>
        </w:rPr>
      </w:r>
      <w:r>
        <w:rPr>
          <w:lang w:val="en-AU"/>
        </w:rPr>
        <w:fldChar w:fldCharType="separate"/>
      </w:r>
      <w:r w:rsidR="008E5D7A">
        <w:rPr>
          <w:lang w:val="en-AU"/>
        </w:rPr>
        <w:t>3</w:t>
      </w:r>
      <w:r>
        <w:rPr>
          <w:lang w:val="en-AU"/>
        </w:rPr>
        <w:fldChar w:fldCharType="end"/>
      </w:r>
      <w:r>
        <w:rPr>
          <w:lang w:val="en-AU"/>
        </w:rPr>
        <w:t xml:space="preserve"> </w:t>
      </w:r>
      <w:r w:rsidRPr="002410F5">
        <w:rPr>
          <w:lang w:val="en-AU"/>
        </w:rPr>
        <w:t xml:space="preserve">we </w:t>
      </w:r>
      <w:r w:rsidR="00677C90" w:rsidRPr="002410F5">
        <w:rPr>
          <w:lang w:val="en-AU"/>
        </w:rPr>
        <w:t>analyse the data on actual water use in Victoria from when the Commonwealth began to recover water for the environment in 2007/08 until the end of 2015/16. We deliberately take a different approach to that used by RMCG (2016) in their recent analysis. We do this for two reasons. One is to help in triangulating their forensic analysis of ABARES data. The other is to make use of more accurate data made available to us from the Victorian Water Register.</w:t>
      </w:r>
    </w:p>
    <w:p w14:paraId="5C41914C" w14:textId="77777777" w:rsidR="00677C90" w:rsidRPr="002410F5" w:rsidRDefault="00677C90" w:rsidP="00302BD9">
      <w:pPr>
        <w:pStyle w:val="ListParagraph"/>
        <w:numPr>
          <w:ilvl w:val="0"/>
          <w:numId w:val="49"/>
        </w:numPr>
        <w:spacing w:before="0"/>
        <w:contextualSpacing w:val="0"/>
        <w:rPr>
          <w:lang w:val="en-AU"/>
        </w:rPr>
      </w:pPr>
      <w:r w:rsidRPr="002410F5">
        <w:rPr>
          <w:lang w:val="en-AU"/>
        </w:rPr>
        <w:lastRenderedPageBreak/>
        <w:t>Having established the pattern of water use with the Basin Plan, we then set out</w:t>
      </w:r>
      <w:r w:rsidR="00EF59F4">
        <w:rPr>
          <w:lang w:val="en-AU"/>
        </w:rPr>
        <w:t xml:space="preserve">, in </w:t>
      </w:r>
      <w:r w:rsidR="00CB4735">
        <w:rPr>
          <w:lang w:val="en-AU"/>
        </w:rPr>
        <w:t xml:space="preserve">Section </w:t>
      </w:r>
      <w:r w:rsidR="00EF59F4">
        <w:rPr>
          <w:lang w:val="en-AU"/>
        </w:rPr>
        <w:fldChar w:fldCharType="begin"/>
      </w:r>
      <w:r w:rsidR="00EF59F4">
        <w:rPr>
          <w:lang w:val="en-AU"/>
        </w:rPr>
        <w:instrText xml:space="preserve"> REF _Ref346107629 \r \h </w:instrText>
      </w:r>
      <w:r w:rsidR="00EF59F4">
        <w:rPr>
          <w:lang w:val="en-AU"/>
        </w:rPr>
      </w:r>
      <w:r w:rsidR="00EF59F4">
        <w:rPr>
          <w:lang w:val="en-AU"/>
        </w:rPr>
        <w:fldChar w:fldCharType="separate"/>
      </w:r>
      <w:r w:rsidR="008E5D7A">
        <w:rPr>
          <w:lang w:val="en-AU"/>
        </w:rPr>
        <w:t>3.5</w:t>
      </w:r>
      <w:r w:rsidR="00EF59F4">
        <w:rPr>
          <w:lang w:val="en-AU"/>
        </w:rPr>
        <w:fldChar w:fldCharType="end"/>
      </w:r>
      <w:r w:rsidR="00EF59F4">
        <w:rPr>
          <w:lang w:val="en-AU"/>
        </w:rPr>
        <w:t>,</w:t>
      </w:r>
      <w:r w:rsidRPr="002410F5">
        <w:rPr>
          <w:lang w:val="en-AU"/>
        </w:rPr>
        <w:t xml:space="preserve"> our logic for constructing the ‘counterfactual’ – what could reasonably have been expected to happen if the Basin Plan had not been implemented.</w:t>
      </w:r>
      <w:r w:rsidR="00EF59F4">
        <w:rPr>
          <w:lang w:val="en-AU"/>
        </w:rPr>
        <w:t xml:space="preserve"> We do this in explicit recognition </w:t>
      </w:r>
      <w:r w:rsidR="007F1F4D">
        <w:rPr>
          <w:lang w:val="en-AU"/>
        </w:rPr>
        <w:t xml:space="preserve">of the underlying trend in Australia for population declines and job contractions in small towns (Chapter </w:t>
      </w:r>
      <w:r w:rsidR="007F1F4D">
        <w:rPr>
          <w:lang w:val="en-AU"/>
        </w:rPr>
        <w:fldChar w:fldCharType="begin"/>
      </w:r>
      <w:r w:rsidR="007F1F4D">
        <w:rPr>
          <w:lang w:val="en-AU"/>
        </w:rPr>
        <w:instrText xml:space="preserve"> REF _Ref346107943 \r \h </w:instrText>
      </w:r>
      <w:r w:rsidR="007F1F4D">
        <w:rPr>
          <w:lang w:val="en-AU"/>
        </w:rPr>
      </w:r>
      <w:r w:rsidR="007F1F4D">
        <w:rPr>
          <w:lang w:val="en-AU"/>
        </w:rPr>
        <w:fldChar w:fldCharType="separate"/>
      </w:r>
      <w:r w:rsidR="008E5D7A">
        <w:rPr>
          <w:lang w:val="en-AU"/>
        </w:rPr>
        <w:t>10</w:t>
      </w:r>
      <w:r w:rsidR="007F1F4D">
        <w:rPr>
          <w:lang w:val="en-AU"/>
        </w:rPr>
        <w:fldChar w:fldCharType="end"/>
      </w:r>
      <w:r w:rsidR="007F1F4D">
        <w:rPr>
          <w:lang w:val="en-AU"/>
        </w:rPr>
        <w:t xml:space="preserve">). We also explicitly account for the vagaries of commodity prices, climate variability and the underlying trends for structural adjustment in various irrigated industries (Chapters </w:t>
      </w:r>
      <w:r w:rsidR="007F1F4D">
        <w:rPr>
          <w:lang w:val="en-AU"/>
        </w:rPr>
        <w:fldChar w:fldCharType="begin"/>
      </w:r>
      <w:r w:rsidR="007F1F4D">
        <w:rPr>
          <w:lang w:val="en-AU"/>
        </w:rPr>
        <w:instrText xml:space="preserve"> REF _Ref342482626 \r \h </w:instrText>
      </w:r>
      <w:r w:rsidR="007F1F4D">
        <w:rPr>
          <w:lang w:val="en-AU"/>
        </w:rPr>
      </w:r>
      <w:r w:rsidR="007F1F4D">
        <w:rPr>
          <w:lang w:val="en-AU"/>
        </w:rPr>
        <w:fldChar w:fldCharType="separate"/>
      </w:r>
      <w:r w:rsidR="008E5D7A">
        <w:rPr>
          <w:lang w:val="en-AU"/>
        </w:rPr>
        <w:t>4</w:t>
      </w:r>
      <w:r w:rsidR="007F1F4D">
        <w:rPr>
          <w:lang w:val="en-AU"/>
        </w:rPr>
        <w:fldChar w:fldCharType="end"/>
      </w:r>
      <w:r w:rsidR="007F1F4D">
        <w:rPr>
          <w:lang w:val="en-AU"/>
        </w:rPr>
        <w:t xml:space="preserve">, </w:t>
      </w:r>
      <w:r w:rsidR="007F1F4D">
        <w:rPr>
          <w:lang w:val="en-AU"/>
        </w:rPr>
        <w:fldChar w:fldCharType="begin"/>
      </w:r>
      <w:r w:rsidR="007F1F4D">
        <w:rPr>
          <w:lang w:val="en-AU"/>
        </w:rPr>
        <w:instrText xml:space="preserve"> REF _Ref346108198 \r \h </w:instrText>
      </w:r>
      <w:r w:rsidR="007F1F4D">
        <w:rPr>
          <w:lang w:val="en-AU"/>
        </w:rPr>
      </w:r>
      <w:r w:rsidR="007F1F4D">
        <w:rPr>
          <w:lang w:val="en-AU"/>
        </w:rPr>
        <w:fldChar w:fldCharType="separate"/>
      </w:r>
      <w:r w:rsidR="008E5D7A">
        <w:rPr>
          <w:lang w:val="en-AU"/>
        </w:rPr>
        <w:t>5</w:t>
      </w:r>
      <w:r w:rsidR="007F1F4D">
        <w:rPr>
          <w:lang w:val="en-AU"/>
        </w:rPr>
        <w:fldChar w:fldCharType="end"/>
      </w:r>
      <w:r w:rsidR="007F1F4D">
        <w:rPr>
          <w:lang w:val="en-AU"/>
        </w:rPr>
        <w:t xml:space="preserve">, </w:t>
      </w:r>
      <w:r w:rsidR="007F1F4D">
        <w:rPr>
          <w:lang w:val="en-AU"/>
        </w:rPr>
        <w:fldChar w:fldCharType="begin"/>
      </w:r>
      <w:r w:rsidR="007F1F4D">
        <w:rPr>
          <w:lang w:val="en-AU"/>
        </w:rPr>
        <w:instrText xml:space="preserve"> REF _Ref342381415 \r \h </w:instrText>
      </w:r>
      <w:r w:rsidR="007F1F4D">
        <w:rPr>
          <w:lang w:val="en-AU"/>
        </w:rPr>
      </w:r>
      <w:r w:rsidR="007F1F4D">
        <w:rPr>
          <w:lang w:val="en-AU"/>
        </w:rPr>
        <w:fldChar w:fldCharType="separate"/>
      </w:r>
      <w:r w:rsidR="008E5D7A">
        <w:rPr>
          <w:lang w:val="en-AU"/>
        </w:rPr>
        <w:t>6</w:t>
      </w:r>
      <w:r w:rsidR="007F1F4D">
        <w:rPr>
          <w:lang w:val="en-AU"/>
        </w:rPr>
        <w:fldChar w:fldCharType="end"/>
      </w:r>
      <w:r w:rsidR="007F1F4D">
        <w:rPr>
          <w:lang w:val="en-AU"/>
        </w:rPr>
        <w:t xml:space="preserve"> and </w:t>
      </w:r>
      <w:r w:rsidR="007F1F4D">
        <w:rPr>
          <w:lang w:val="en-AU"/>
        </w:rPr>
        <w:fldChar w:fldCharType="begin"/>
      </w:r>
      <w:r w:rsidR="007F1F4D">
        <w:rPr>
          <w:lang w:val="en-AU"/>
        </w:rPr>
        <w:instrText xml:space="preserve"> REF _Ref346108243 \r \h </w:instrText>
      </w:r>
      <w:r w:rsidR="007F1F4D">
        <w:rPr>
          <w:lang w:val="en-AU"/>
        </w:rPr>
      </w:r>
      <w:r w:rsidR="007F1F4D">
        <w:rPr>
          <w:lang w:val="en-AU"/>
        </w:rPr>
        <w:fldChar w:fldCharType="separate"/>
      </w:r>
      <w:r w:rsidR="008E5D7A">
        <w:rPr>
          <w:lang w:val="en-AU"/>
        </w:rPr>
        <w:t>7</w:t>
      </w:r>
      <w:r w:rsidR="007F1F4D">
        <w:rPr>
          <w:lang w:val="en-AU"/>
        </w:rPr>
        <w:fldChar w:fldCharType="end"/>
      </w:r>
      <w:r w:rsidR="007F1F4D">
        <w:rPr>
          <w:lang w:val="en-AU"/>
        </w:rPr>
        <w:t>).</w:t>
      </w:r>
    </w:p>
    <w:p w14:paraId="5A6FFC21" w14:textId="77777777" w:rsidR="00677C90" w:rsidRPr="002410F5" w:rsidRDefault="00677C90" w:rsidP="00302BD9">
      <w:pPr>
        <w:pStyle w:val="ListParagraph"/>
        <w:numPr>
          <w:ilvl w:val="0"/>
          <w:numId w:val="49"/>
        </w:numPr>
        <w:spacing w:before="0"/>
        <w:contextualSpacing w:val="0"/>
        <w:rPr>
          <w:lang w:val="en-AU"/>
        </w:rPr>
      </w:pPr>
      <w:r w:rsidRPr="002410F5">
        <w:rPr>
          <w:lang w:val="en-AU"/>
        </w:rPr>
        <w:t xml:space="preserve">We analyse the different elements of socio-economic risk — vulnerability, exposure and impact — at the different scales of the region, the farm enterprise and the community, using the metrics outlined in Appendix </w:t>
      </w:r>
      <w:r w:rsidRPr="002410F5">
        <w:rPr>
          <w:lang w:val="en-AU"/>
        </w:rPr>
        <w:fldChar w:fldCharType="begin"/>
      </w:r>
      <w:r w:rsidRPr="002410F5">
        <w:rPr>
          <w:lang w:val="en-AU"/>
        </w:rPr>
        <w:instrText xml:space="preserve"> REF _Ref342040812 \r \h </w:instrText>
      </w:r>
      <w:r w:rsidRPr="002410F5">
        <w:rPr>
          <w:lang w:val="en-AU"/>
        </w:rPr>
      </w:r>
      <w:r w:rsidRPr="002410F5">
        <w:rPr>
          <w:lang w:val="en-AU"/>
        </w:rPr>
        <w:fldChar w:fldCharType="separate"/>
      </w:r>
      <w:r w:rsidR="008E5D7A">
        <w:rPr>
          <w:lang w:val="en-AU"/>
        </w:rPr>
        <w:t>1</w:t>
      </w:r>
      <w:r w:rsidRPr="002410F5">
        <w:rPr>
          <w:lang w:val="en-AU"/>
        </w:rPr>
        <w:fldChar w:fldCharType="end"/>
      </w:r>
      <w:r w:rsidRPr="002410F5">
        <w:rPr>
          <w:lang w:val="en-AU"/>
        </w:rPr>
        <w:t xml:space="preserve"> to inform that analysis.</w:t>
      </w:r>
    </w:p>
    <w:p w14:paraId="152870EE" w14:textId="77777777" w:rsidR="00677C90" w:rsidRPr="002410F5" w:rsidRDefault="00747CE0" w:rsidP="00302BD9">
      <w:pPr>
        <w:pStyle w:val="ListParagraph"/>
        <w:numPr>
          <w:ilvl w:val="0"/>
          <w:numId w:val="49"/>
        </w:numPr>
        <w:spacing w:before="0"/>
        <w:contextualSpacing w:val="0"/>
        <w:rPr>
          <w:lang w:val="en-AU"/>
        </w:rPr>
      </w:pPr>
      <w:r w:rsidRPr="002410F5">
        <w:rPr>
          <w:lang w:val="en-AU"/>
        </w:rPr>
        <w:t>We are transparent, careful and judicious in our efforts to establish causal links because we are aware that a range of other contributing factors may affect the same metric thereby complicating the link between water recovery and a given metric.</w:t>
      </w:r>
      <w:r w:rsidR="007F1F4D">
        <w:rPr>
          <w:lang w:val="en-AU"/>
        </w:rPr>
        <w:t xml:space="preserve"> Much of the detailed quantitative analysis to support our conclusions is provided in the Appendices.</w:t>
      </w:r>
    </w:p>
    <w:p w14:paraId="4B81265D" w14:textId="77777777" w:rsidR="00677C90" w:rsidRPr="002410F5" w:rsidRDefault="00130ED8" w:rsidP="00302BD9">
      <w:pPr>
        <w:pStyle w:val="ListParagraph"/>
        <w:numPr>
          <w:ilvl w:val="0"/>
          <w:numId w:val="49"/>
        </w:numPr>
        <w:spacing w:before="0"/>
        <w:contextualSpacing w:val="0"/>
        <w:rPr>
          <w:lang w:val="en-AU"/>
        </w:rPr>
      </w:pPr>
      <w:bookmarkStart w:id="52" w:name="_Ref347076629"/>
      <w:r>
        <w:rPr>
          <w:lang w:val="en-AU"/>
        </w:rPr>
        <w:t xml:space="preserve">In Chapter </w:t>
      </w:r>
      <w:r>
        <w:rPr>
          <w:lang w:val="en-AU"/>
        </w:rPr>
        <w:fldChar w:fldCharType="begin"/>
      </w:r>
      <w:r>
        <w:rPr>
          <w:lang w:val="en-AU"/>
        </w:rPr>
        <w:instrText xml:space="preserve"> REF _Ref342482626 \r \h </w:instrText>
      </w:r>
      <w:r>
        <w:rPr>
          <w:lang w:val="en-AU"/>
        </w:rPr>
      </w:r>
      <w:r>
        <w:rPr>
          <w:lang w:val="en-AU"/>
        </w:rPr>
        <w:fldChar w:fldCharType="separate"/>
      </w:r>
      <w:r w:rsidR="008E5D7A">
        <w:rPr>
          <w:lang w:val="en-AU"/>
        </w:rPr>
        <w:t>4</w:t>
      </w:r>
      <w:r>
        <w:rPr>
          <w:lang w:val="en-AU"/>
        </w:rPr>
        <w:fldChar w:fldCharType="end"/>
      </w:r>
      <w:r>
        <w:rPr>
          <w:lang w:val="en-AU"/>
        </w:rPr>
        <w:t xml:space="preserve"> </w:t>
      </w:r>
      <w:r w:rsidRPr="002410F5">
        <w:rPr>
          <w:lang w:val="en-AU"/>
        </w:rPr>
        <w:t xml:space="preserve">we </w:t>
      </w:r>
      <w:r w:rsidR="00747CE0" w:rsidRPr="002410F5">
        <w:rPr>
          <w:lang w:val="en-AU"/>
        </w:rPr>
        <w:t>review the MDBA</w:t>
      </w:r>
      <w:r w:rsidR="009E652A">
        <w:rPr>
          <w:lang w:val="en-AU"/>
        </w:rPr>
        <w:t>’s</w:t>
      </w:r>
      <w:r w:rsidR="00747CE0" w:rsidRPr="002410F5">
        <w:rPr>
          <w:lang w:val="en-AU"/>
        </w:rPr>
        <w:t xml:space="preserve"> preferred approach to explaining the expected outcomes of the Basin Plan and over several chapters we compare the actual outcomes with the expected outcomes. We do this at a range of scales:</w:t>
      </w:r>
      <w:bookmarkEnd w:id="52"/>
    </w:p>
    <w:p w14:paraId="34A997B3" w14:textId="77777777" w:rsidR="00747CE0" w:rsidRPr="002410F5" w:rsidRDefault="00747CE0" w:rsidP="00302BD9">
      <w:pPr>
        <w:pStyle w:val="ListParagraph"/>
        <w:numPr>
          <w:ilvl w:val="1"/>
          <w:numId w:val="49"/>
        </w:numPr>
        <w:spacing w:before="0"/>
        <w:ind w:left="1434" w:hanging="357"/>
        <w:rPr>
          <w:lang w:val="en-AU"/>
        </w:rPr>
      </w:pPr>
      <w:r w:rsidRPr="002410F5">
        <w:rPr>
          <w:lang w:val="en-AU"/>
        </w:rPr>
        <w:t>the farm scale</w:t>
      </w:r>
    </w:p>
    <w:p w14:paraId="692D86AA" w14:textId="77777777" w:rsidR="00747CE0" w:rsidRPr="002410F5" w:rsidRDefault="00747CE0" w:rsidP="00302BD9">
      <w:pPr>
        <w:pStyle w:val="ListParagraph"/>
        <w:numPr>
          <w:ilvl w:val="1"/>
          <w:numId w:val="49"/>
        </w:numPr>
        <w:spacing w:before="0"/>
        <w:ind w:left="1434" w:hanging="357"/>
        <w:rPr>
          <w:lang w:val="en-AU"/>
        </w:rPr>
      </w:pPr>
      <w:r w:rsidRPr="002410F5">
        <w:rPr>
          <w:lang w:val="en-AU"/>
        </w:rPr>
        <w:t>the industry scale</w:t>
      </w:r>
    </w:p>
    <w:p w14:paraId="12942365" w14:textId="77777777" w:rsidR="00747CE0" w:rsidRPr="002410F5" w:rsidRDefault="00747CE0" w:rsidP="00302BD9">
      <w:pPr>
        <w:pStyle w:val="ListParagraph"/>
        <w:numPr>
          <w:ilvl w:val="2"/>
          <w:numId w:val="49"/>
        </w:numPr>
        <w:spacing w:before="0"/>
        <w:rPr>
          <w:lang w:val="en-AU"/>
        </w:rPr>
      </w:pPr>
      <w:r w:rsidRPr="002410F5">
        <w:rPr>
          <w:lang w:val="en-AU"/>
        </w:rPr>
        <w:t>horticultural industries</w:t>
      </w:r>
    </w:p>
    <w:p w14:paraId="581E81ED" w14:textId="77777777" w:rsidR="00747CE0" w:rsidRPr="002410F5" w:rsidRDefault="00747CE0" w:rsidP="00302BD9">
      <w:pPr>
        <w:pStyle w:val="ListParagraph"/>
        <w:numPr>
          <w:ilvl w:val="2"/>
          <w:numId w:val="49"/>
        </w:numPr>
        <w:spacing w:before="0"/>
        <w:rPr>
          <w:lang w:val="en-AU"/>
        </w:rPr>
      </w:pPr>
      <w:r w:rsidRPr="002410F5">
        <w:rPr>
          <w:lang w:val="en-AU"/>
        </w:rPr>
        <w:t>the dairy industry</w:t>
      </w:r>
    </w:p>
    <w:p w14:paraId="256B4FB2" w14:textId="77777777" w:rsidR="00747CE0" w:rsidRPr="002410F5" w:rsidRDefault="00747CE0" w:rsidP="00302BD9">
      <w:pPr>
        <w:pStyle w:val="ListParagraph"/>
        <w:numPr>
          <w:ilvl w:val="2"/>
          <w:numId w:val="49"/>
        </w:numPr>
        <w:spacing w:before="0"/>
        <w:rPr>
          <w:lang w:val="en-AU"/>
        </w:rPr>
      </w:pPr>
      <w:r w:rsidRPr="002410F5">
        <w:rPr>
          <w:lang w:val="en-AU"/>
        </w:rPr>
        <w:t>cropping industries in NSW – including their implications for Victoria</w:t>
      </w:r>
    </w:p>
    <w:p w14:paraId="20DD170A" w14:textId="77777777" w:rsidR="00747CE0" w:rsidRPr="002410F5" w:rsidRDefault="00747CE0" w:rsidP="00302BD9">
      <w:pPr>
        <w:pStyle w:val="ListParagraph"/>
        <w:numPr>
          <w:ilvl w:val="1"/>
          <w:numId w:val="49"/>
        </w:numPr>
        <w:spacing w:before="0"/>
        <w:ind w:left="1434" w:hanging="357"/>
        <w:rPr>
          <w:lang w:val="en-AU"/>
        </w:rPr>
      </w:pPr>
      <w:r w:rsidRPr="002410F5">
        <w:rPr>
          <w:lang w:val="en-AU"/>
        </w:rPr>
        <w:t>the regional scale – with a particular focus on the Goulburn-Murray Irrigation District</w:t>
      </w:r>
    </w:p>
    <w:p w14:paraId="5CC99706" w14:textId="77777777" w:rsidR="00747CE0" w:rsidRPr="002410F5" w:rsidRDefault="00747CE0" w:rsidP="00302BD9">
      <w:pPr>
        <w:pStyle w:val="ListParagraph"/>
        <w:numPr>
          <w:ilvl w:val="1"/>
          <w:numId w:val="49"/>
        </w:numPr>
        <w:spacing w:before="0"/>
        <w:ind w:left="1434" w:hanging="357"/>
        <w:contextualSpacing w:val="0"/>
        <w:rPr>
          <w:lang w:val="en-AU"/>
        </w:rPr>
      </w:pPr>
      <w:r w:rsidRPr="002410F5">
        <w:rPr>
          <w:lang w:val="en-AU"/>
        </w:rPr>
        <w:t>the system scale</w:t>
      </w:r>
      <w:r w:rsidR="009D20B7">
        <w:rPr>
          <w:lang w:val="en-AU"/>
        </w:rPr>
        <w:t>.</w:t>
      </w:r>
    </w:p>
    <w:p w14:paraId="3CB3AA74" w14:textId="77777777" w:rsidR="00747CE0" w:rsidRDefault="00CB4735" w:rsidP="00302BD9">
      <w:pPr>
        <w:pStyle w:val="ListParagraph"/>
        <w:numPr>
          <w:ilvl w:val="0"/>
          <w:numId w:val="49"/>
        </w:numPr>
        <w:spacing w:before="0"/>
        <w:contextualSpacing w:val="0"/>
        <w:rPr>
          <w:lang w:val="en-AU"/>
        </w:rPr>
      </w:pPr>
      <w:r>
        <w:rPr>
          <w:lang w:val="en-AU"/>
        </w:rPr>
        <w:t xml:space="preserve">In Chapter </w:t>
      </w:r>
      <w:r>
        <w:rPr>
          <w:lang w:val="en-AU"/>
        </w:rPr>
        <w:fldChar w:fldCharType="begin"/>
      </w:r>
      <w:r>
        <w:rPr>
          <w:lang w:val="en-AU"/>
        </w:rPr>
        <w:instrText xml:space="preserve"> REF _Ref342457448 \r \h </w:instrText>
      </w:r>
      <w:r>
        <w:rPr>
          <w:lang w:val="en-AU"/>
        </w:rPr>
      </w:r>
      <w:r>
        <w:rPr>
          <w:lang w:val="en-AU"/>
        </w:rPr>
        <w:fldChar w:fldCharType="separate"/>
      </w:r>
      <w:r w:rsidR="008E5D7A">
        <w:rPr>
          <w:lang w:val="en-AU"/>
        </w:rPr>
        <w:t>11</w:t>
      </w:r>
      <w:r>
        <w:rPr>
          <w:lang w:val="en-AU"/>
        </w:rPr>
        <w:fldChar w:fldCharType="end"/>
      </w:r>
      <w:r>
        <w:rPr>
          <w:lang w:val="en-AU"/>
        </w:rPr>
        <w:t xml:space="preserve"> </w:t>
      </w:r>
      <w:r w:rsidR="00130ED8" w:rsidRPr="002410F5">
        <w:rPr>
          <w:lang w:val="en-AU"/>
        </w:rPr>
        <w:t xml:space="preserve">we </w:t>
      </w:r>
      <w:r w:rsidR="00747CE0" w:rsidRPr="002410F5">
        <w:rPr>
          <w:lang w:val="en-AU"/>
        </w:rPr>
        <w:t xml:space="preserve">then </w:t>
      </w:r>
      <w:r w:rsidR="00130ED8">
        <w:rPr>
          <w:lang w:val="en-AU"/>
        </w:rPr>
        <w:t xml:space="preserve">use the approach outlined in Step </w:t>
      </w:r>
      <w:r w:rsidR="00130ED8">
        <w:rPr>
          <w:lang w:val="en-AU"/>
        </w:rPr>
        <w:fldChar w:fldCharType="begin"/>
      </w:r>
      <w:r w:rsidR="00130ED8">
        <w:rPr>
          <w:lang w:val="en-AU"/>
        </w:rPr>
        <w:instrText xml:space="preserve"> REF _Ref347076629 \r \h </w:instrText>
      </w:r>
      <w:r w:rsidR="00130ED8">
        <w:rPr>
          <w:lang w:val="en-AU"/>
        </w:rPr>
      </w:r>
      <w:r w:rsidR="00130ED8">
        <w:rPr>
          <w:lang w:val="en-AU"/>
        </w:rPr>
        <w:fldChar w:fldCharType="separate"/>
      </w:r>
      <w:r w:rsidR="008E5D7A">
        <w:rPr>
          <w:lang w:val="en-AU"/>
        </w:rPr>
        <w:t>6</w:t>
      </w:r>
      <w:r w:rsidR="00130ED8">
        <w:rPr>
          <w:lang w:val="en-AU"/>
        </w:rPr>
        <w:fldChar w:fldCharType="end"/>
      </w:r>
      <w:r w:rsidR="00130ED8">
        <w:rPr>
          <w:lang w:val="en-AU"/>
        </w:rPr>
        <w:t xml:space="preserve"> to </w:t>
      </w:r>
      <w:r w:rsidR="00747CE0" w:rsidRPr="002410F5">
        <w:rPr>
          <w:lang w:val="en-AU"/>
        </w:rPr>
        <w:t>analyse the likely impacts of three different future water recovery scenarios.</w:t>
      </w:r>
      <w:r>
        <w:rPr>
          <w:lang w:val="en-AU"/>
        </w:rPr>
        <w:t xml:space="preserve"> As explained </w:t>
      </w:r>
      <w:r w:rsidR="00130ED8">
        <w:rPr>
          <w:lang w:val="en-AU"/>
        </w:rPr>
        <w:t>previously</w:t>
      </w:r>
      <w:r>
        <w:rPr>
          <w:lang w:val="en-AU"/>
        </w:rPr>
        <w:t>, the different recovery volumes for these scenarios are:</w:t>
      </w:r>
    </w:p>
    <w:p w14:paraId="539F05D9" w14:textId="77777777" w:rsidR="00CB4735" w:rsidRDefault="00CB4735" w:rsidP="00302BD9">
      <w:pPr>
        <w:pStyle w:val="ListParagraph"/>
        <w:numPr>
          <w:ilvl w:val="1"/>
          <w:numId w:val="49"/>
        </w:numPr>
        <w:spacing w:before="0"/>
        <w:ind w:left="1434" w:hanging="357"/>
        <w:rPr>
          <w:lang w:val="en-AU"/>
        </w:rPr>
      </w:pPr>
      <w:r>
        <w:rPr>
          <w:lang w:val="en-AU"/>
        </w:rPr>
        <w:t>2100 GL if offsetting measures were to account for the full volume allowable</w:t>
      </w:r>
    </w:p>
    <w:p w14:paraId="16B02A47" w14:textId="77777777" w:rsidR="00CB4735" w:rsidRDefault="00CB4735" w:rsidP="00302BD9">
      <w:pPr>
        <w:pStyle w:val="ListParagraph"/>
        <w:numPr>
          <w:ilvl w:val="1"/>
          <w:numId w:val="49"/>
        </w:numPr>
        <w:spacing w:before="0"/>
        <w:ind w:left="1434" w:hanging="357"/>
        <w:rPr>
          <w:lang w:val="en-AU"/>
        </w:rPr>
      </w:pPr>
      <w:r>
        <w:rPr>
          <w:lang w:val="en-AU"/>
        </w:rPr>
        <w:t xml:space="preserve">2750 GL if no offsetting measures were to be taken into account </w:t>
      </w:r>
    </w:p>
    <w:p w14:paraId="7F52B477" w14:textId="77777777" w:rsidR="00CB4735" w:rsidRPr="002410F5" w:rsidRDefault="00CB4735" w:rsidP="00302BD9">
      <w:pPr>
        <w:pStyle w:val="ListParagraph"/>
        <w:numPr>
          <w:ilvl w:val="1"/>
          <w:numId w:val="49"/>
        </w:numPr>
        <w:spacing w:before="0"/>
        <w:ind w:left="1434" w:hanging="357"/>
        <w:contextualSpacing w:val="0"/>
        <w:rPr>
          <w:lang w:val="en-AU"/>
        </w:rPr>
      </w:pPr>
      <w:r>
        <w:rPr>
          <w:lang w:val="en-AU"/>
        </w:rPr>
        <w:t>3200 GL if no offsetting measures were taken into account and an additional 450 GL were recovered through on-farm efficiency measures having neutral or positive socio-economic impacts</w:t>
      </w:r>
      <w:r w:rsidR="009D20B7">
        <w:rPr>
          <w:lang w:val="en-AU"/>
        </w:rPr>
        <w:t>.</w:t>
      </w:r>
    </w:p>
    <w:p w14:paraId="22E22ECC" w14:textId="77777777" w:rsidR="00C01A50" w:rsidRPr="0056764F" w:rsidRDefault="00CB4735" w:rsidP="00302BD9">
      <w:pPr>
        <w:pStyle w:val="ListParagraph"/>
        <w:numPr>
          <w:ilvl w:val="0"/>
          <w:numId w:val="49"/>
        </w:numPr>
        <w:spacing w:before="0"/>
        <w:contextualSpacing w:val="0"/>
        <w:rPr>
          <w:b/>
          <w:bCs/>
          <w:caps/>
          <w:color w:val="FFFFFF"/>
          <w:spacing w:val="15"/>
          <w:szCs w:val="22"/>
          <w:lang w:val="en-AU"/>
        </w:rPr>
      </w:pPr>
      <w:r w:rsidRPr="0056764F">
        <w:rPr>
          <w:lang w:val="en-AU"/>
        </w:rPr>
        <w:t>Finally,</w:t>
      </w:r>
      <w:r w:rsidR="00130ED8" w:rsidRPr="0056764F">
        <w:rPr>
          <w:lang w:val="en-AU"/>
        </w:rPr>
        <w:t xml:space="preserve"> </w:t>
      </w:r>
      <w:r w:rsidRPr="0056764F">
        <w:rPr>
          <w:lang w:val="en-AU"/>
        </w:rPr>
        <w:t xml:space="preserve">in Chapter </w:t>
      </w:r>
      <w:r w:rsidRPr="0056764F">
        <w:rPr>
          <w:lang w:val="en-AU"/>
        </w:rPr>
        <w:fldChar w:fldCharType="begin"/>
      </w:r>
      <w:r w:rsidRPr="0056764F">
        <w:rPr>
          <w:lang w:val="en-AU"/>
        </w:rPr>
        <w:instrText xml:space="preserve"> REF _Ref346110089 \r \h </w:instrText>
      </w:r>
      <w:r w:rsidRPr="0056764F">
        <w:rPr>
          <w:lang w:val="en-AU"/>
        </w:rPr>
      </w:r>
      <w:r w:rsidRPr="0056764F">
        <w:rPr>
          <w:lang w:val="en-AU"/>
        </w:rPr>
        <w:fldChar w:fldCharType="separate"/>
      </w:r>
      <w:r w:rsidR="008E5D7A">
        <w:rPr>
          <w:lang w:val="en-AU"/>
        </w:rPr>
        <w:t>12</w:t>
      </w:r>
      <w:r w:rsidRPr="0056764F">
        <w:rPr>
          <w:lang w:val="en-AU"/>
        </w:rPr>
        <w:fldChar w:fldCharType="end"/>
      </w:r>
      <w:r w:rsidRPr="0056764F">
        <w:rPr>
          <w:lang w:val="en-AU"/>
        </w:rPr>
        <w:t xml:space="preserve">, </w:t>
      </w:r>
      <w:r w:rsidR="00130ED8" w:rsidRPr="0056764F">
        <w:rPr>
          <w:lang w:val="en-AU"/>
        </w:rPr>
        <w:t xml:space="preserve">even though this is not a review of the environmental impacts of the Basin Plan, for the sake of putting the socio-economic impacts in context, </w:t>
      </w:r>
      <w:r w:rsidRPr="0056764F">
        <w:rPr>
          <w:lang w:val="en-AU"/>
        </w:rPr>
        <w:t>we review the available information about the environmental outcomes and benefits of the Basin Plan</w:t>
      </w:r>
      <w:r w:rsidR="007B5693" w:rsidRPr="0056764F">
        <w:rPr>
          <w:lang w:val="en-AU"/>
        </w:rPr>
        <w:t xml:space="preserve">. </w:t>
      </w:r>
      <w:r w:rsidR="00C01A50" w:rsidRPr="0056764F">
        <w:rPr>
          <w:lang w:val="en-AU"/>
        </w:rPr>
        <w:br w:type="page"/>
      </w:r>
    </w:p>
    <w:p w14:paraId="5A29FB6F" w14:textId="77777777" w:rsidR="00C01A50" w:rsidRDefault="00C01A50" w:rsidP="00766877">
      <w:pPr>
        <w:pStyle w:val="Heading1"/>
        <w:rPr>
          <w:lang w:val="en-AU"/>
        </w:rPr>
      </w:pPr>
      <w:bookmarkStart w:id="53" w:name="_Ref342404866"/>
      <w:bookmarkStart w:id="54" w:name="_Toc347747794"/>
      <w:r w:rsidRPr="003B1DA3">
        <w:rPr>
          <w:lang w:val="en-AU"/>
        </w:rPr>
        <w:lastRenderedPageBreak/>
        <w:t>An overview of irrigation in the southern-connected Murray-Darling Basin</w:t>
      </w:r>
      <w:bookmarkEnd w:id="53"/>
      <w:bookmarkEnd w:id="54"/>
    </w:p>
    <w:p w14:paraId="179FBB6D" w14:textId="77777777" w:rsidR="00C01A50" w:rsidRDefault="00C01A50" w:rsidP="00AB082F">
      <w:pPr>
        <w:pStyle w:val="Heading2"/>
      </w:pPr>
      <w:bookmarkStart w:id="55" w:name="_Toc347747795"/>
      <w:r>
        <w:t>Overview</w:t>
      </w:r>
      <w:bookmarkEnd w:id="55"/>
    </w:p>
    <w:p w14:paraId="65E5FFDD" w14:textId="77777777" w:rsidR="00C01A50" w:rsidRDefault="00C01A50" w:rsidP="00AB082F">
      <w:r>
        <w:t xml:space="preserve">To understand the socio-economic impacts of the Basin Plan in Victoria, it is first necessary to understand the linkages between the supplies of water in each southern Basin state and the demands for water in each of those states. Water recovery under the Basin Plan affects the supply of water in each state differently, and the socio-economic impacts of those changes in available water depend on how water </w:t>
      </w:r>
      <w:r w:rsidRPr="00AB082F">
        <w:rPr>
          <w:lang w:val="en-AU"/>
        </w:rPr>
        <w:t>demands</w:t>
      </w:r>
      <w:r>
        <w:t xml:space="preserve"> adjust in response.</w:t>
      </w:r>
    </w:p>
    <w:p w14:paraId="4395B520" w14:textId="77777777" w:rsidR="00C01A50" w:rsidRPr="00DE413F" w:rsidRDefault="00C01A50" w:rsidP="00AB082F">
      <w:r>
        <w:t>This chapter explains how the different water allocation frameworks in each state affect total water supplies, the probability of those supplies being fully available in each year, and the types of irrigated enterprises that are common in different geographical centres. It then explains the interactions between the main irrigated industries.</w:t>
      </w:r>
    </w:p>
    <w:p w14:paraId="61525F6B" w14:textId="77777777" w:rsidR="00C01A50" w:rsidRDefault="00C01A50" w:rsidP="00766877">
      <w:pPr>
        <w:pStyle w:val="Heading2"/>
        <w:rPr>
          <w:lang w:val="en-AU"/>
        </w:rPr>
      </w:pPr>
      <w:bookmarkStart w:id="56" w:name="_Toc347747796"/>
      <w:r>
        <w:rPr>
          <w:lang w:val="en-AU"/>
        </w:rPr>
        <w:t>U</w:t>
      </w:r>
      <w:r w:rsidRPr="003B1DA3">
        <w:rPr>
          <w:lang w:val="en-AU"/>
        </w:rPr>
        <w:t>nderstanding the southern-connected Basin as a system</w:t>
      </w:r>
      <w:bookmarkEnd w:id="56"/>
    </w:p>
    <w:p w14:paraId="3023810F" w14:textId="77777777" w:rsidR="00C01A50" w:rsidRPr="00404711" w:rsidRDefault="00C01A50" w:rsidP="00404711">
      <w:pPr>
        <w:rPr>
          <w:lang w:val="en-AU"/>
        </w:rPr>
      </w:pPr>
      <w:r w:rsidRPr="00404711">
        <w:rPr>
          <w:lang w:val="en-AU"/>
        </w:rPr>
        <w:t xml:space="preserve">Joint management of the River Murray dates back </w:t>
      </w:r>
      <w:r>
        <w:rPr>
          <w:lang w:val="en-AU"/>
        </w:rPr>
        <w:t>to</w:t>
      </w:r>
      <w:r w:rsidRPr="00404711">
        <w:rPr>
          <w:lang w:val="en-AU"/>
        </w:rPr>
        <w:t xml:space="preserve"> the</w:t>
      </w:r>
      <w:r>
        <w:rPr>
          <w:lang w:val="en-AU"/>
        </w:rPr>
        <w:t xml:space="preserve"> River Murray Waters</w:t>
      </w:r>
      <w:r w:rsidRPr="00404711">
        <w:rPr>
          <w:lang w:val="en-AU"/>
        </w:rPr>
        <w:t xml:space="preserve"> Agreement</w:t>
      </w:r>
      <w:r>
        <w:rPr>
          <w:lang w:val="en-AU"/>
        </w:rPr>
        <w:t xml:space="preserve"> of</w:t>
      </w:r>
      <w:r w:rsidRPr="00404711">
        <w:rPr>
          <w:lang w:val="en-AU"/>
        </w:rPr>
        <w:t xml:space="preserve"> 1914</w:t>
      </w:r>
      <w:r>
        <w:rPr>
          <w:lang w:val="en-AU"/>
        </w:rPr>
        <w:t>,</w:t>
      </w:r>
      <w:r w:rsidRPr="00404711">
        <w:rPr>
          <w:lang w:val="en-AU"/>
        </w:rPr>
        <w:t xml:space="preserve"> </w:t>
      </w:r>
      <w:r>
        <w:rPr>
          <w:lang w:val="en-AU"/>
        </w:rPr>
        <w:t>in which</w:t>
      </w:r>
      <w:r w:rsidRPr="00404711">
        <w:rPr>
          <w:lang w:val="en-AU"/>
        </w:rPr>
        <w:t xml:space="preserve"> </w:t>
      </w:r>
      <w:r>
        <w:rPr>
          <w:lang w:val="en-AU"/>
        </w:rPr>
        <w:t xml:space="preserve">the </w:t>
      </w:r>
      <w:r w:rsidRPr="00404711">
        <w:rPr>
          <w:lang w:val="en-AU"/>
        </w:rPr>
        <w:t>New South Wales</w:t>
      </w:r>
      <w:r w:rsidR="0060664F">
        <w:rPr>
          <w:lang w:val="en-AU"/>
        </w:rPr>
        <w:t xml:space="preserve"> (NSW)</w:t>
      </w:r>
      <w:r w:rsidRPr="00404711">
        <w:rPr>
          <w:lang w:val="en-AU"/>
        </w:rPr>
        <w:t>, Vi</w:t>
      </w:r>
      <w:r>
        <w:rPr>
          <w:lang w:val="en-AU"/>
        </w:rPr>
        <w:t xml:space="preserve">ctorian, South Australian and Commonwealth </w:t>
      </w:r>
      <w:r w:rsidRPr="00404711">
        <w:rPr>
          <w:lang w:val="en-AU"/>
        </w:rPr>
        <w:t>Government</w:t>
      </w:r>
      <w:r>
        <w:rPr>
          <w:lang w:val="en-AU"/>
        </w:rPr>
        <w:t>s</w:t>
      </w:r>
      <w:r w:rsidRPr="00404711">
        <w:rPr>
          <w:lang w:val="en-AU"/>
        </w:rPr>
        <w:t xml:space="preserve"> </w:t>
      </w:r>
      <w:r>
        <w:rPr>
          <w:lang w:val="en-AU"/>
        </w:rPr>
        <w:t xml:space="preserve">agreed </w:t>
      </w:r>
      <w:r w:rsidRPr="00404711">
        <w:rPr>
          <w:lang w:val="en-AU"/>
        </w:rPr>
        <w:t>to share the waters</w:t>
      </w:r>
      <w:r>
        <w:rPr>
          <w:lang w:val="en-AU"/>
        </w:rPr>
        <w:t>,</w:t>
      </w:r>
      <w:r w:rsidRPr="00404711">
        <w:rPr>
          <w:lang w:val="en-AU"/>
        </w:rPr>
        <w:t xml:space="preserve"> build </w:t>
      </w:r>
      <w:r>
        <w:rPr>
          <w:lang w:val="en-AU"/>
        </w:rPr>
        <w:t>dams and weirs,</w:t>
      </w:r>
      <w:r w:rsidRPr="00404711">
        <w:rPr>
          <w:lang w:val="en-AU"/>
        </w:rPr>
        <w:t xml:space="preserve"> and </w:t>
      </w:r>
      <w:r>
        <w:rPr>
          <w:lang w:val="en-AU"/>
        </w:rPr>
        <w:t>operate the river in accordance with a set of rules</w:t>
      </w:r>
      <w:r w:rsidRPr="00404711">
        <w:rPr>
          <w:lang w:val="en-AU"/>
        </w:rPr>
        <w:t>.</w:t>
      </w:r>
      <w:r>
        <w:rPr>
          <w:lang w:val="en-AU"/>
        </w:rPr>
        <w:t xml:space="preserve"> </w:t>
      </w:r>
      <w:r w:rsidRPr="00404711">
        <w:rPr>
          <w:lang w:val="en-AU"/>
        </w:rPr>
        <w:t>Today</w:t>
      </w:r>
      <w:r>
        <w:rPr>
          <w:lang w:val="en-AU"/>
        </w:rPr>
        <w:t>’s</w:t>
      </w:r>
      <w:r w:rsidRPr="00404711">
        <w:rPr>
          <w:lang w:val="en-AU"/>
        </w:rPr>
        <w:t xml:space="preserve"> arrangements for managing the River Murray are set out in the Murray–Darling Basin Agreement</w:t>
      </w:r>
      <w:r>
        <w:rPr>
          <w:lang w:val="en-AU"/>
        </w:rPr>
        <w:t>, to which</w:t>
      </w:r>
      <w:r w:rsidRPr="00404711">
        <w:rPr>
          <w:lang w:val="en-AU"/>
        </w:rPr>
        <w:t xml:space="preserve"> the Basin states and the </w:t>
      </w:r>
      <w:r>
        <w:rPr>
          <w:lang w:val="en-AU"/>
        </w:rPr>
        <w:t>Commonwealth</w:t>
      </w:r>
      <w:r w:rsidRPr="00404711">
        <w:rPr>
          <w:lang w:val="en-AU"/>
        </w:rPr>
        <w:t xml:space="preserve"> are all signatories</w:t>
      </w:r>
      <w:r>
        <w:rPr>
          <w:lang w:val="en-AU"/>
        </w:rPr>
        <w:t>.</w:t>
      </w:r>
      <w:r w:rsidRPr="00404711">
        <w:rPr>
          <w:lang w:val="en-AU"/>
        </w:rPr>
        <w:t xml:space="preserve"> </w:t>
      </w:r>
      <w:r>
        <w:rPr>
          <w:lang w:val="en-AU"/>
        </w:rPr>
        <w:t xml:space="preserve">They each </w:t>
      </w:r>
      <w:r w:rsidRPr="00404711">
        <w:rPr>
          <w:lang w:val="en-AU"/>
        </w:rPr>
        <w:t>contribute funding to the joint management of the River Murray</w:t>
      </w:r>
      <w:r>
        <w:rPr>
          <w:lang w:val="en-AU"/>
        </w:rPr>
        <w:t>.</w:t>
      </w:r>
      <w:r w:rsidRPr="00404711">
        <w:rPr>
          <w:lang w:val="en-AU"/>
        </w:rPr>
        <w:t xml:space="preserve"> </w:t>
      </w:r>
    </w:p>
    <w:p w14:paraId="5D1AF995" w14:textId="77777777" w:rsidR="00C01A50" w:rsidRPr="006769FF" w:rsidRDefault="00C01A50" w:rsidP="006769FF">
      <w:pPr>
        <w:rPr>
          <w:lang w:val="en-AU"/>
        </w:rPr>
      </w:pPr>
      <w:r w:rsidRPr="00D34D5F">
        <w:rPr>
          <w:lang w:val="en-AU"/>
        </w:rPr>
        <w:t xml:space="preserve">In operating the River Murray, the </w:t>
      </w:r>
      <w:r w:rsidR="009E652A">
        <w:rPr>
          <w:lang w:val="en-AU"/>
        </w:rPr>
        <w:t>MDBA</w:t>
      </w:r>
      <w:r w:rsidRPr="00D34D5F">
        <w:t xml:space="preserve"> must take account of and accommodate inflows from a number of tributary systems, but its operations role under the Agreement does not extend into any of these tributaries. That responsibility lies with the relevant states, and operations on those rivers are undertaken by state water agencies.</w:t>
      </w:r>
    </w:p>
    <w:p w14:paraId="6EE5C0DD" w14:textId="77777777" w:rsidR="00C01A50" w:rsidRPr="00D62D9B" w:rsidRDefault="00C01A50" w:rsidP="00D2451F">
      <w:r w:rsidRPr="00DB75C1">
        <w:t xml:space="preserve">The general principle for water sharing between the states is that </w:t>
      </w:r>
      <w:r w:rsidR="0060664F">
        <w:t>NSW</w:t>
      </w:r>
      <w:r w:rsidRPr="00DB75C1">
        <w:t xml:space="preserve"> and Victoria each receive 50</w:t>
      </w:r>
      <w:r>
        <w:t>%</w:t>
      </w:r>
      <w:r w:rsidRPr="00DB75C1">
        <w:t xml:space="preserve"> of the flow upstream of Albury (including inflows to the Hume and Dartmouth storages and inflows from the Kiewa River). They also receive 50% of inflows to the Menindee Lakes (except when storage in the lakes falls below 480 GL, </w:t>
      </w:r>
      <w:r>
        <w:t>then</w:t>
      </w:r>
      <w:r w:rsidRPr="00DB75C1">
        <w:t xml:space="preserve"> all inflows revert to NSW until the storage </w:t>
      </w:r>
      <w:r>
        <w:t>returns to</w:t>
      </w:r>
      <w:r w:rsidRPr="00D62D9B">
        <w:t xml:space="preserve"> 640 GL).</w:t>
      </w:r>
    </w:p>
    <w:p w14:paraId="7F24C229" w14:textId="77777777" w:rsidR="00C01A50" w:rsidRPr="00D62D9B" w:rsidRDefault="00C01A50" w:rsidP="00D62D9B">
      <w:r w:rsidRPr="00D62D9B">
        <w:t xml:space="preserve">The volume of water held by either state in a joint storage must not exceed half of the capacity of the reservoir in </w:t>
      </w:r>
      <w:r>
        <w:t>question</w:t>
      </w:r>
      <w:r w:rsidRPr="00D62D9B">
        <w:t xml:space="preserve">, otherwise it is deemed to have been 'spilt' within the reservoir to the other state. In other words, spilt water is added to one state's storage account and </w:t>
      </w:r>
      <w:r>
        <w:t>removed</w:t>
      </w:r>
      <w:r w:rsidRPr="00D62D9B">
        <w:t xml:space="preserve"> from the 'spilling' state's account.</w:t>
      </w:r>
    </w:p>
    <w:p w14:paraId="4039A40B" w14:textId="77777777" w:rsidR="00C01A50" w:rsidRPr="00D62D9B" w:rsidRDefault="0060664F" w:rsidP="00D2451F">
      <w:r>
        <w:t>NSW</w:t>
      </w:r>
      <w:r w:rsidR="00C01A50" w:rsidRPr="00D62D9B">
        <w:t xml:space="preserve"> and Victoria </w:t>
      </w:r>
      <w:r w:rsidR="00C01A50">
        <w:t xml:space="preserve">jointly </w:t>
      </w:r>
      <w:r w:rsidR="00C01A50" w:rsidRPr="00D62D9B">
        <w:t>provide South Australia with its entitlement, which varies from month to month as stipulated in the</w:t>
      </w:r>
      <w:r w:rsidR="00C01A50">
        <w:t xml:space="preserve"> Murray–Darling Basin Agreement. Victoria and NSW provide water to South Australia</w:t>
      </w:r>
      <w:r w:rsidR="00C01A50" w:rsidRPr="00D62D9B">
        <w:t xml:space="preserve"> through a comb</w:t>
      </w:r>
      <w:r w:rsidR="00C01A50">
        <w:t>ination of their share</w:t>
      </w:r>
      <w:r w:rsidR="00C01A50" w:rsidRPr="00D62D9B">
        <w:t xml:space="preserve"> of water held in </w:t>
      </w:r>
      <w:r w:rsidR="00C01A50">
        <w:t>the</w:t>
      </w:r>
      <w:r w:rsidR="00C01A50" w:rsidRPr="00D62D9B">
        <w:t xml:space="preserve"> joint storages and from inflows into the Murray from the tributaries assigned to </w:t>
      </w:r>
      <w:r w:rsidR="00C01A50">
        <w:t>each.</w:t>
      </w:r>
      <w:r w:rsidR="00C01A50" w:rsidRPr="00D62D9B">
        <w:t xml:space="preserve"> In 2011, approval was given for South Australia to store its share of water resources in </w:t>
      </w:r>
      <w:r w:rsidR="00C01A50">
        <w:t>the joint</w:t>
      </w:r>
      <w:r w:rsidR="00C01A50" w:rsidRPr="00D62D9B">
        <w:t xml:space="preserve"> storages for the purposes of meeting its critical human water needs and </w:t>
      </w:r>
      <w:r w:rsidR="00C01A50">
        <w:t>allowing its water users to</w:t>
      </w:r>
      <w:r w:rsidR="00C01A50" w:rsidRPr="00D62D9B">
        <w:t xml:space="preserve"> carryover</w:t>
      </w:r>
      <w:r w:rsidR="00C01A50">
        <w:t xml:space="preserve"> their allocations</w:t>
      </w:r>
      <w:r w:rsidR="00C01A50" w:rsidRPr="00D62D9B">
        <w:t>.</w:t>
      </w:r>
    </w:p>
    <w:p w14:paraId="7E570B4A" w14:textId="77777777" w:rsidR="00C01A50" w:rsidRDefault="00C01A50" w:rsidP="00F66B86">
      <w:pPr>
        <w:rPr>
          <w:lang w:val="en-AU"/>
        </w:rPr>
      </w:pPr>
      <w:r>
        <w:rPr>
          <w:lang w:val="en-AU"/>
        </w:rPr>
        <w:lastRenderedPageBreak/>
        <w:t>With regard to making water available to individual water users, each state has its own property rights regime for water, a</w:t>
      </w:r>
      <w:r w:rsidRPr="003B1DA3">
        <w:rPr>
          <w:lang w:val="en-AU"/>
        </w:rPr>
        <w:t>nd there are some important differences in the water entitlement and allocation frameworks</w:t>
      </w:r>
      <w:r>
        <w:rPr>
          <w:lang w:val="en-AU"/>
        </w:rPr>
        <w:t xml:space="preserve"> that underpin those property rights. For example, even though </w:t>
      </w:r>
      <w:r w:rsidR="0060664F">
        <w:rPr>
          <w:lang w:val="en-AU"/>
        </w:rPr>
        <w:t>NSW</w:t>
      </w:r>
      <w:r>
        <w:rPr>
          <w:lang w:val="en-AU"/>
        </w:rPr>
        <w:t xml:space="preserve"> and Victorian share the capacity of the joint storages equally, there are significant differences in the total volumes of entitlements issued to water users in either state from those storages. </w:t>
      </w:r>
    </w:p>
    <w:p w14:paraId="6C591928" w14:textId="77777777" w:rsidR="00C01A50" w:rsidRDefault="00C01A50" w:rsidP="00F66B86">
      <w:pPr>
        <w:rPr>
          <w:lang w:val="en-AU"/>
        </w:rPr>
      </w:pPr>
      <w:r w:rsidRPr="00B17571">
        <w:rPr>
          <w:lang w:val="en-AU"/>
        </w:rPr>
        <w:t xml:space="preserve">The differences arise because </w:t>
      </w:r>
      <w:r w:rsidR="0060664F">
        <w:rPr>
          <w:lang w:val="en-AU"/>
        </w:rPr>
        <w:t>NSW</w:t>
      </w:r>
      <w:r w:rsidRPr="00B17571">
        <w:rPr>
          <w:lang w:val="en-AU"/>
        </w:rPr>
        <w:t xml:space="preserve"> operates an annual water budget, while Victoria’s water budget is calculated over a two-year period</w:t>
      </w:r>
      <w:r>
        <w:rPr>
          <w:lang w:val="en-AU"/>
        </w:rPr>
        <w:t xml:space="preserve"> and South Australia receives a fixed volume in all but the driest of years</w:t>
      </w:r>
      <w:r w:rsidRPr="00B17571">
        <w:rPr>
          <w:lang w:val="en-AU"/>
        </w:rPr>
        <w:t xml:space="preserve">. </w:t>
      </w:r>
      <w:r>
        <w:rPr>
          <w:lang w:val="en-AU"/>
        </w:rPr>
        <w:t>The key features of each state’s allocation framework are outlined below.</w:t>
      </w:r>
    </w:p>
    <w:p w14:paraId="3126F65D" w14:textId="77777777" w:rsidR="00C01A50" w:rsidRDefault="0060664F" w:rsidP="00CD325F">
      <w:pPr>
        <w:pStyle w:val="Heading3"/>
        <w:rPr>
          <w:lang w:val="en-AU"/>
        </w:rPr>
      </w:pPr>
      <w:r>
        <w:rPr>
          <w:lang w:val="en-AU"/>
        </w:rPr>
        <w:t>NSW</w:t>
      </w:r>
      <w:r w:rsidR="00C01A50">
        <w:rPr>
          <w:lang w:val="en-AU"/>
        </w:rPr>
        <w:t xml:space="preserve"> water allocation framework</w:t>
      </w:r>
    </w:p>
    <w:p w14:paraId="3EC617BD" w14:textId="77777777" w:rsidR="00C01A50" w:rsidRPr="003915F9" w:rsidRDefault="00C01A50" w:rsidP="001A591F">
      <w:pPr>
        <w:rPr>
          <w:lang w:val="en-AU"/>
        </w:rPr>
      </w:pPr>
      <w:r w:rsidRPr="003915F9">
        <w:rPr>
          <w:lang w:val="en-AU"/>
        </w:rPr>
        <w:t xml:space="preserve">At the start of each new water year on 1 July, </w:t>
      </w:r>
      <w:r>
        <w:rPr>
          <w:lang w:val="en-AU"/>
        </w:rPr>
        <w:t>NSW entitlement holders</w:t>
      </w:r>
      <w:r w:rsidRPr="003915F9">
        <w:rPr>
          <w:lang w:val="en-AU"/>
        </w:rPr>
        <w:t xml:space="preserve"> are provided with an opening allocation for each entitlement type, and there are minimal efforts to reserve water supplies for the following season. Opening allocations for Domestic and Stock and Town Water Supply are generally 100</w:t>
      </w:r>
      <w:r>
        <w:rPr>
          <w:lang w:val="en-AU"/>
        </w:rPr>
        <w:t>%</w:t>
      </w:r>
      <w:r w:rsidRPr="003915F9">
        <w:rPr>
          <w:lang w:val="en-AU"/>
        </w:rPr>
        <w:t xml:space="preserve"> unless conditions are very dry </w:t>
      </w:r>
      <w:r>
        <w:rPr>
          <w:lang w:val="en-AU"/>
        </w:rPr>
        <w:t>and storages are</w:t>
      </w:r>
      <w:r w:rsidRPr="003915F9">
        <w:rPr>
          <w:lang w:val="en-AU"/>
        </w:rPr>
        <w:t xml:space="preserve"> low. High Security allocations of near 100</w:t>
      </w:r>
      <w:r>
        <w:rPr>
          <w:lang w:val="en-AU"/>
        </w:rPr>
        <w:t>%</w:t>
      </w:r>
      <w:r w:rsidRPr="003915F9">
        <w:rPr>
          <w:lang w:val="en-AU"/>
        </w:rPr>
        <w:t xml:space="preserve"> are made at the start of all but the very dry years and Conveyance allocations are commensurate with </w:t>
      </w:r>
      <w:r w:rsidR="009D20B7">
        <w:rPr>
          <w:lang w:val="en-AU"/>
        </w:rPr>
        <w:t xml:space="preserve">total </w:t>
      </w:r>
      <w:r w:rsidRPr="003915F9">
        <w:rPr>
          <w:lang w:val="en-AU"/>
        </w:rPr>
        <w:t>allocations</w:t>
      </w:r>
      <w:r w:rsidR="009D20B7">
        <w:rPr>
          <w:lang w:val="en-AU"/>
        </w:rPr>
        <w:t xml:space="preserve"> against the other entitlements</w:t>
      </w:r>
      <w:r w:rsidRPr="003915F9">
        <w:rPr>
          <w:lang w:val="en-AU"/>
        </w:rPr>
        <w:t>.</w:t>
      </w:r>
    </w:p>
    <w:p w14:paraId="50899237" w14:textId="77777777" w:rsidR="00C01A50" w:rsidRDefault="00C01A50" w:rsidP="001A591F">
      <w:pPr>
        <w:rPr>
          <w:lang w:val="en-AU"/>
        </w:rPr>
      </w:pPr>
      <w:r w:rsidRPr="003915F9">
        <w:rPr>
          <w:lang w:val="en-AU"/>
        </w:rPr>
        <w:t xml:space="preserve">General Security entitlements are the last to receive allocations and are therefore the least secure </w:t>
      </w:r>
      <w:r>
        <w:rPr>
          <w:lang w:val="en-AU"/>
        </w:rPr>
        <w:t>NSW entitlement</w:t>
      </w:r>
      <w:r w:rsidRPr="003915F9">
        <w:rPr>
          <w:lang w:val="en-AU"/>
        </w:rPr>
        <w:t xml:space="preserve"> category. They can start the year with low or zero allocation and typically receive incremental improvement as the year unfolds commensurate with rainfall and runoff. </w:t>
      </w:r>
    </w:p>
    <w:p w14:paraId="48BB18AE" w14:textId="77777777" w:rsidR="00C01A50" w:rsidRPr="008B6ADC" w:rsidRDefault="00C01A50" w:rsidP="001A591F">
      <w:pPr>
        <w:rPr>
          <w:lang w:val="en-AU"/>
        </w:rPr>
      </w:pPr>
      <w:r w:rsidRPr="003915F9">
        <w:rPr>
          <w:lang w:val="en-AU"/>
        </w:rPr>
        <w:t xml:space="preserve">General security </w:t>
      </w:r>
      <w:r>
        <w:rPr>
          <w:lang w:val="en-AU"/>
        </w:rPr>
        <w:t>entitlements</w:t>
      </w:r>
      <w:r w:rsidRPr="003915F9">
        <w:rPr>
          <w:lang w:val="en-AU"/>
        </w:rPr>
        <w:t xml:space="preserve"> are the most susceptible to seasonal climatic variations. But as will be explained further below, they are suitable </w:t>
      </w:r>
      <w:r>
        <w:rPr>
          <w:lang w:val="en-AU"/>
        </w:rPr>
        <w:t xml:space="preserve">as a water supply source </w:t>
      </w:r>
      <w:r w:rsidRPr="003915F9">
        <w:rPr>
          <w:lang w:val="en-AU"/>
        </w:rPr>
        <w:t>for the annual cropping systems that dominate irrigated agriculture in NSW</w:t>
      </w:r>
      <w:r>
        <w:rPr>
          <w:lang w:val="en-AU"/>
        </w:rPr>
        <w:t xml:space="preserve">. </w:t>
      </w:r>
      <w:r w:rsidRPr="00E214A5">
        <w:t xml:space="preserve">This is a case of chicken and egg; </w:t>
      </w:r>
      <w:r w:rsidR="00E214A5" w:rsidRPr="00E214A5">
        <w:t xml:space="preserve">the development of different farming systems at the time of settlement influenced the development of the allocation framework and </w:t>
      </w:r>
      <w:r w:rsidR="00E214A5" w:rsidRPr="00E214A5">
        <w:rPr>
          <w:i/>
        </w:rPr>
        <w:t>vice versa</w:t>
      </w:r>
      <w:r w:rsidR="00E214A5" w:rsidRPr="00E214A5">
        <w:t xml:space="preserve">. The </w:t>
      </w:r>
      <w:r w:rsidRPr="00E214A5">
        <w:t>differences between the states are artefacts of settlement history and its consequence for farm size, and labour use.</w:t>
      </w:r>
      <w:r>
        <w:t xml:space="preserve"> </w:t>
      </w:r>
    </w:p>
    <w:p w14:paraId="4CAE96BD" w14:textId="77777777" w:rsidR="00C01A50" w:rsidRDefault="00C01A50" w:rsidP="00FB547C">
      <w:pPr>
        <w:pStyle w:val="Heading3"/>
        <w:rPr>
          <w:lang w:val="en-AU"/>
        </w:rPr>
      </w:pPr>
      <w:r>
        <w:rPr>
          <w:lang w:val="en-AU"/>
        </w:rPr>
        <w:t>Victorian water allocation framework</w:t>
      </w:r>
    </w:p>
    <w:p w14:paraId="60D9AE18" w14:textId="77777777" w:rsidR="00C01A50" w:rsidRPr="008B6ADC" w:rsidRDefault="00C01A50" w:rsidP="00EF23F9">
      <w:pPr>
        <w:rPr>
          <w:lang w:val="en-AU"/>
        </w:rPr>
      </w:pPr>
      <w:r w:rsidRPr="00B17571">
        <w:rPr>
          <w:lang w:val="en-AU"/>
        </w:rPr>
        <w:t xml:space="preserve">Victoria considers its inflows and commitments </w:t>
      </w:r>
      <w:r>
        <w:rPr>
          <w:lang w:val="en-AU"/>
        </w:rPr>
        <w:t>over a two-year period</w:t>
      </w:r>
      <w:r w:rsidRPr="00B17571">
        <w:rPr>
          <w:lang w:val="en-AU"/>
        </w:rPr>
        <w:t xml:space="preserve"> to make sure reserves are established to secure </w:t>
      </w:r>
      <w:r>
        <w:rPr>
          <w:lang w:val="en-AU"/>
        </w:rPr>
        <w:t>at least partial allocations against high reliability water shares</w:t>
      </w:r>
      <w:r w:rsidRPr="00B17571">
        <w:rPr>
          <w:lang w:val="en-AU"/>
        </w:rPr>
        <w:t xml:space="preserve"> in the following </w:t>
      </w:r>
      <w:r w:rsidRPr="00F359BC">
        <w:rPr>
          <w:lang w:val="en-AU"/>
        </w:rPr>
        <w:t xml:space="preserve">year if conditions turn dry. Victoria's allocation policy has always been to secure next year's allocation </w:t>
      </w:r>
      <w:r>
        <w:rPr>
          <w:lang w:val="en-AU"/>
        </w:rPr>
        <w:t>against</w:t>
      </w:r>
      <w:r w:rsidRPr="00F359BC">
        <w:rPr>
          <w:lang w:val="en-AU"/>
        </w:rPr>
        <w:t xml:space="preserve"> high-reliability </w:t>
      </w:r>
      <w:r>
        <w:rPr>
          <w:lang w:val="en-AU"/>
        </w:rPr>
        <w:t>water shares</w:t>
      </w:r>
      <w:r w:rsidRPr="00F359BC">
        <w:rPr>
          <w:lang w:val="en-AU"/>
        </w:rPr>
        <w:t xml:space="preserve"> before making </w:t>
      </w:r>
      <w:r>
        <w:rPr>
          <w:lang w:val="en-AU"/>
        </w:rPr>
        <w:t xml:space="preserve">allocations against </w:t>
      </w:r>
      <w:r w:rsidRPr="00F359BC">
        <w:rPr>
          <w:lang w:val="en-AU"/>
        </w:rPr>
        <w:t xml:space="preserve">low-reliability </w:t>
      </w:r>
      <w:r>
        <w:rPr>
          <w:lang w:val="en-AU"/>
        </w:rPr>
        <w:t xml:space="preserve">water shares. </w:t>
      </w:r>
      <w:r w:rsidRPr="00F359BC">
        <w:rPr>
          <w:lang w:val="en-AU"/>
        </w:rPr>
        <w:t xml:space="preserve"> As will be explained further below, this trade-off between reliability over the long term and maximum water availability in the short term suits the demands of the dairy and horticulture industries that dominate irrigated agriculture in northern Victoria</w:t>
      </w:r>
      <w:r>
        <w:rPr>
          <w:lang w:val="en-AU"/>
        </w:rPr>
        <w:t>.</w:t>
      </w:r>
      <w:r w:rsidRPr="00F359BC">
        <w:rPr>
          <w:lang w:val="en-AU"/>
        </w:rPr>
        <w:t xml:space="preserve"> High-reliability </w:t>
      </w:r>
      <w:r>
        <w:rPr>
          <w:lang w:val="en-AU"/>
        </w:rPr>
        <w:t>water shares have</w:t>
      </w:r>
      <w:r w:rsidRPr="00F359BC">
        <w:rPr>
          <w:lang w:val="en-AU"/>
        </w:rPr>
        <w:t xml:space="preserve"> supported the development of high-value irrigated agriculture in Victoria.</w:t>
      </w:r>
      <w:r w:rsidRPr="00F359BC">
        <w:rPr>
          <w:rStyle w:val="FootnoteReference"/>
          <w:lang w:val="en-AU"/>
        </w:rPr>
        <w:t xml:space="preserve"> </w:t>
      </w:r>
      <w:r w:rsidRPr="00F359BC">
        <w:rPr>
          <w:rStyle w:val="FootnoteReference"/>
          <w:lang w:val="en-AU"/>
        </w:rPr>
        <w:footnoteReference w:id="4"/>
      </w:r>
    </w:p>
    <w:p w14:paraId="19F8BBF8" w14:textId="77777777" w:rsidR="00C01A50" w:rsidRDefault="00C01A50" w:rsidP="00FB547C">
      <w:pPr>
        <w:pStyle w:val="Heading3"/>
        <w:rPr>
          <w:lang w:val="en-AU"/>
        </w:rPr>
      </w:pPr>
      <w:r>
        <w:rPr>
          <w:lang w:val="en-AU"/>
        </w:rPr>
        <w:lastRenderedPageBreak/>
        <w:t>South Australian water allocation framework</w:t>
      </w:r>
    </w:p>
    <w:p w14:paraId="764FC61F" w14:textId="77777777" w:rsidR="00C01A50" w:rsidRPr="00F359BC" w:rsidRDefault="00C01A50" w:rsidP="00F66B86">
      <w:pPr>
        <w:rPr>
          <w:lang w:val="en-AU"/>
        </w:rPr>
      </w:pPr>
      <w:r w:rsidRPr="00F359BC">
        <w:rPr>
          <w:lang w:val="en-AU"/>
        </w:rPr>
        <w:t>Under normal conditions, the River Murray in South Australia receives up to 1,850 GL of water per year (Entitlement Flow). Under these conditions, water access entitlement holders receive 100</w:t>
      </w:r>
      <w:r>
        <w:rPr>
          <w:lang w:val="en-AU"/>
        </w:rPr>
        <w:t>%</w:t>
      </w:r>
      <w:r w:rsidRPr="00F359BC">
        <w:rPr>
          <w:lang w:val="en-AU"/>
        </w:rPr>
        <w:t xml:space="preserve"> of their water allocation. Under dry conditions, South Australia’s Entitlement Flow is reduced. If South Australia receives less than 1,850 GL in a year, then the reduced volume is shared between entitlement holders.</w:t>
      </w:r>
    </w:p>
    <w:p w14:paraId="6D7099D5" w14:textId="77777777" w:rsidR="00C01A50" w:rsidRPr="00F359BC" w:rsidRDefault="00C01A50" w:rsidP="00F66B86">
      <w:pPr>
        <w:rPr>
          <w:lang w:val="en-AU"/>
        </w:rPr>
      </w:pPr>
      <w:r w:rsidRPr="00F359BC">
        <w:rPr>
          <w:lang w:val="en-AU"/>
        </w:rPr>
        <w:t>For the 2016</w:t>
      </w:r>
      <w:r w:rsidR="00CE148E">
        <w:rPr>
          <w:lang w:val="en-AU"/>
        </w:rPr>
        <w:t>/</w:t>
      </w:r>
      <w:r w:rsidRPr="00F359BC">
        <w:rPr>
          <w:lang w:val="en-AU"/>
        </w:rPr>
        <w:t>17 water year, the South Australian Government has approved a change to the River Murray Water Allocation Framework to allow 100</w:t>
      </w:r>
      <w:r>
        <w:rPr>
          <w:lang w:val="en-AU"/>
        </w:rPr>
        <w:t>%</w:t>
      </w:r>
      <w:r w:rsidRPr="00F359BC">
        <w:rPr>
          <w:lang w:val="en-AU"/>
        </w:rPr>
        <w:t xml:space="preserve"> allocations for entitlement holders when Entitlement Flow reaches 1,546 GL (DEWNR, 2016a).</w:t>
      </w:r>
    </w:p>
    <w:p w14:paraId="13CA62EA" w14:textId="77777777" w:rsidR="00C01A50" w:rsidRDefault="00C01A50" w:rsidP="003915F9">
      <w:pPr>
        <w:pStyle w:val="Heading3"/>
        <w:rPr>
          <w:lang w:val="en-AU"/>
        </w:rPr>
      </w:pPr>
      <w:r>
        <w:rPr>
          <w:lang w:val="en-AU"/>
        </w:rPr>
        <w:t>Implications of the differences between allocation frameworks</w:t>
      </w:r>
    </w:p>
    <w:p w14:paraId="56415916" w14:textId="77777777" w:rsidR="00C01A50" w:rsidRPr="001D7149" w:rsidRDefault="00C01A50" w:rsidP="00B17571">
      <w:pPr>
        <w:rPr>
          <w:lang w:val="en-AU"/>
        </w:rPr>
      </w:pPr>
      <w:r w:rsidRPr="001D7149">
        <w:rPr>
          <w:lang w:val="en-AU"/>
        </w:rPr>
        <w:t xml:space="preserve">The states’ different water allocation frameworks result in a suite of different water entitlements, each of which has different reliability characteristics combined with a cap on the total volume that can be made available. This is easiest to understand if we first consider the Murray in isolation – where Victoria and </w:t>
      </w:r>
      <w:r w:rsidR="0060664F">
        <w:rPr>
          <w:lang w:val="en-AU"/>
        </w:rPr>
        <w:t>NSW</w:t>
      </w:r>
      <w:r w:rsidRPr="001D7149">
        <w:rPr>
          <w:lang w:val="en-AU"/>
        </w:rPr>
        <w:t xml:space="preserve"> share the storages equally.</w:t>
      </w:r>
      <w:r>
        <w:rPr>
          <w:lang w:val="en-AU"/>
        </w:rPr>
        <w:t xml:space="preserve"> Despite having equal storage space, for the reasons outlined above, the total volume of NSW entitlement held by irrigators before water recovery commenced (1,872 GL) was higher than the volume held by Victorian irrigators (1,459 GL) (</w:t>
      </w:r>
      <w:r>
        <w:rPr>
          <w:lang w:val="en-AU"/>
        </w:rPr>
        <w:fldChar w:fldCharType="begin"/>
      </w:r>
      <w:r>
        <w:rPr>
          <w:lang w:val="en-AU"/>
        </w:rPr>
        <w:instrText xml:space="preserve"> REF _Ref337048584 \h </w:instrText>
      </w:r>
      <w:r>
        <w:rPr>
          <w:lang w:val="en-AU"/>
        </w:rPr>
      </w:r>
      <w:r>
        <w:rPr>
          <w:lang w:val="en-AU"/>
        </w:rPr>
        <w:fldChar w:fldCharType="separate"/>
      </w:r>
      <w:r w:rsidR="008E5D7A" w:rsidRPr="00FB1C9E">
        <w:t xml:space="preserve">Table </w:t>
      </w:r>
      <w:r w:rsidR="008E5D7A">
        <w:rPr>
          <w:noProof/>
        </w:rPr>
        <w:t>1</w:t>
      </w:r>
      <w:r>
        <w:rPr>
          <w:lang w:val="en-AU"/>
        </w:rPr>
        <w:fldChar w:fldCharType="end"/>
      </w:r>
      <w:r>
        <w:rPr>
          <w:lang w:val="en-AU"/>
        </w:rPr>
        <w:t>).</w:t>
      </w:r>
    </w:p>
    <w:p w14:paraId="24039608" w14:textId="77777777" w:rsidR="00C01A50" w:rsidRPr="00FB1C9E" w:rsidRDefault="00C01A50" w:rsidP="006540A1">
      <w:pPr>
        <w:pStyle w:val="Caption"/>
        <w:rPr>
          <w:lang w:val="en-AU"/>
        </w:rPr>
      </w:pPr>
      <w:bookmarkStart w:id="57" w:name="_Ref337048584"/>
      <w:r w:rsidRPr="00FB1C9E">
        <w:t xml:space="preserve">Table </w:t>
      </w:r>
      <w:r w:rsidRPr="00FB1C9E">
        <w:fldChar w:fldCharType="begin"/>
      </w:r>
      <w:r w:rsidRPr="00FB1C9E">
        <w:instrText xml:space="preserve"> SEQ Table \* ARABIC </w:instrText>
      </w:r>
      <w:r w:rsidRPr="00FB1C9E">
        <w:fldChar w:fldCharType="separate"/>
      </w:r>
      <w:r w:rsidR="008E5D7A">
        <w:rPr>
          <w:noProof/>
        </w:rPr>
        <w:t>1</w:t>
      </w:r>
      <w:r w:rsidRPr="00FB1C9E">
        <w:fldChar w:fldCharType="end"/>
      </w:r>
      <w:bookmarkEnd w:id="57"/>
      <w:r w:rsidRPr="00FB1C9E">
        <w:t xml:space="preserve">: </w:t>
      </w:r>
      <w:r w:rsidRPr="00FB1C9E">
        <w:rPr>
          <w:lang w:val="en-AU"/>
        </w:rPr>
        <w:t>Maximum allocation volumes available for different entitlement types on the Murray</w:t>
      </w:r>
      <w:r>
        <w:rPr>
          <w:lang w:val="en-AU"/>
        </w:rPr>
        <w:t xml:space="preserve"> as at June 2007</w:t>
      </w:r>
      <w:r>
        <w:rPr>
          <w:rStyle w:val="FootnoteReference"/>
          <w:lang w:val="en-AU"/>
        </w:rPr>
        <w:footnoteReference w:id="5"/>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2"/>
        <w:gridCol w:w="2099"/>
        <w:gridCol w:w="2098"/>
        <w:gridCol w:w="2099"/>
      </w:tblGrid>
      <w:tr w:rsidR="00C01A50" w:rsidRPr="00FB1C9E" w14:paraId="7D8FF73B" w14:textId="77777777">
        <w:tc>
          <w:tcPr>
            <w:tcW w:w="1566" w:type="pct"/>
            <w:shd w:val="clear" w:color="auto" w:fill="auto"/>
          </w:tcPr>
          <w:p w14:paraId="389F801B" w14:textId="77777777" w:rsidR="00C01A50" w:rsidRPr="00FB1C9E" w:rsidRDefault="00C01A50" w:rsidP="00FB1C9E">
            <w:pPr>
              <w:spacing w:before="40" w:after="40"/>
              <w:jc w:val="center"/>
              <w:rPr>
                <w:b/>
                <w:sz w:val="18"/>
                <w:szCs w:val="18"/>
                <w:lang w:val="en-AU"/>
              </w:rPr>
            </w:pPr>
            <w:r w:rsidRPr="00FB1C9E">
              <w:rPr>
                <w:b/>
                <w:sz w:val="18"/>
                <w:szCs w:val="18"/>
                <w:lang w:val="en-AU"/>
              </w:rPr>
              <w:t>Entitlement type</w:t>
            </w:r>
          </w:p>
        </w:tc>
        <w:tc>
          <w:tcPr>
            <w:tcW w:w="1144" w:type="pct"/>
            <w:shd w:val="clear" w:color="auto" w:fill="auto"/>
          </w:tcPr>
          <w:p w14:paraId="5A02656C" w14:textId="77777777" w:rsidR="00C01A50" w:rsidRPr="00FB1C9E" w:rsidRDefault="00C01A50" w:rsidP="00FB1C9E">
            <w:pPr>
              <w:spacing w:before="40" w:after="40"/>
              <w:jc w:val="center"/>
              <w:rPr>
                <w:b/>
                <w:sz w:val="18"/>
                <w:szCs w:val="18"/>
                <w:lang w:val="en-AU"/>
              </w:rPr>
            </w:pPr>
            <w:r w:rsidRPr="00FB1C9E">
              <w:rPr>
                <w:b/>
                <w:sz w:val="18"/>
                <w:szCs w:val="18"/>
                <w:lang w:val="en-AU"/>
              </w:rPr>
              <w:t>NSW (GL)</w:t>
            </w:r>
          </w:p>
        </w:tc>
        <w:tc>
          <w:tcPr>
            <w:tcW w:w="1144" w:type="pct"/>
            <w:shd w:val="clear" w:color="auto" w:fill="auto"/>
          </w:tcPr>
          <w:p w14:paraId="28F9C35E" w14:textId="77777777" w:rsidR="00C01A50" w:rsidRPr="00FB1C9E" w:rsidRDefault="00C01A50" w:rsidP="00FB1C9E">
            <w:pPr>
              <w:spacing w:before="40" w:after="40"/>
              <w:jc w:val="center"/>
              <w:rPr>
                <w:b/>
                <w:sz w:val="18"/>
                <w:szCs w:val="18"/>
                <w:lang w:val="en-AU"/>
              </w:rPr>
            </w:pPr>
            <w:r w:rsidRPr="00FB1C9E">
              <w:rPr>
                <w:b/>
                <w:sz w:val="18"/>
                <w:szCs w:val="18"/>
                <w:lang w:val="en-AU"/>
              </w:rPr>
              <w:t>Victoria (GL</w:t>
            </w:r>
            <w:r>
              <w:rPr>
                <w:b/>
                <w:sz w:val="18"/>
                <w:szCs w:val="18"/>
                <w:lang w:val="en-AU"/>
              </w:rPr>
              <w:t>)</w:t>
            </w:r>
          </w:p>
        </w:tc>
        <w:tc>
          <w:tcPr>
            <w:tcW w:w="1145" w:type="pct"/>
          </w:tcPr>
          <w:p w14:paraId="10C8AC8A" w14:textId="77777777" w:rsidR="00C01A50" w:rsidRPr="00FB1C9E" w:rsidRDefault="00C01A50" w:rsidP="00FB1C9E">
            <w:pPr>
              <w:spacing w:before="40" w:after="40"/>
              <w:jc w:val="center"/>
              <w:rPr>
                <w:b/>
                <w:sz w:val="18"/>
                <w:szCs w:val="18"/>
                <w:lang w:val="en-AU"/>
              </w:rPr>
            </w:pPr>
            <w:r w:rsidRPr="00FB1C9E">
              <w:rPr>
                <w:b/>
                <w:sz w:val="18"/>
                <w:szCs w:val="18"/>
                <w:lang w:val="en-AU"/>
              </w:rPr>
              <w:t>South Australia</w:t>
            </w:r>
            <w:r>
              <w:rPr>
                <w:b/>
                <w:sz w:val="18"/>
                <w:szCs w:val="18"/>
                <w:lang w:val="en-AU"/>
              </w:rPr>
              <w:t xml:space="preserve"> (GL)</w:t>
            </w:r>
          </w:p>
        </w:tc>
      </w:tr>
      <w:tr w:rsidR="00BC38B9" w:rsidRPr="00FB1C9E" w14:paraId="36F0106E" w14:textId="77777777">
        <w:tc>
          <w:tcPr>
            <w:tcW w:w="1566" w:type="pct"/>
            <w:shd w:val="clear" w:color="auto" w:fill="auto"/>
          </w:tcPr>
          <w:p w14:paraId="170C8F1E" w14:textId="77777777" w:rsidR="00BC38B9" w:rsidRPr="00FB1C9E" w:rsidRDefault="00BC38B9" w:rsidP="00793CA8">
            <w:pPr>
              <w:spacing w:before="40" w:after="40"/>
              <w:rPr>
                <w:caps/>
                <w:color w:val="243F60"/>
                <w:spacing w:val="15"/>
                <w:sz w:val="18"/>
                <w:szCs w:val="18"/>
                <w:lang w:val="en-AU"/>
              </w:rPr>
            </w:pPr>
            <w:r w:rsidRPr="00FB1C9E">
              <w:rPr>
                <w:sz w:val="18"/>
                <w:szCs w:val="18"/>
                <w:lang w:val="en-AU"/>
              </w:rPr>
              <w:t>Low Reliability</w:t>
            </w:r>
            <w:r>
              <w:rPr>
                <w:sz w:val="18"/>
                <w:szCs w:val="18"/>
                <w:lang w:val="en-AU"/>
              </w:rPr>
              <w:t xml:space="preserve"> Water Shares</w:t>
            </w:r>
          </w:p>
        </w:tc>
        <w:tc>
          <w:tcPr>
            <w:tcW w:w="1144" w:type="pct"/>
            <w:shd w:val="clear" w:color="auto" w:fill="auto"/>
          </w:tcPr>
          <w:p w14:paraId="57DB2EF7" w14:textId="77777777" w:rsidR="00BC38B9" w:rsidRPr="003432E5" w:rsidRDefault="00BC38B9" w:rsidP="00090F9D">
            <w:pPr>
              <w:spacing w:before="40" w:after="40"/>
              <w:jc w:val="right"/>
              <w:rPr>
                <w:sz w:val="18"/>
                <w:szCs w:val="18"/>
                <w:lang w:val="en-AU"/>
              </w:rPr>
            </w:pPr>
          </w:p>
        </w:tc>
        <w:tc>
          <w:tcPr>
            <w:tcW w:w="1144" w:type="pct"/>
            <w:shd w:val="clear" w:color="auto" w:fill="auto"/>
          </w:tcPr>
          <w:p w14:paraId="0EA594FF" w14:textId="77777777" w:rsidR="00BC38B9" w:rsidRPr="00FB1C9E" w:rsidRDefault="00BC38B9" w:rsidP="00090F9D">
            <w:pPr>
              <w:spacing w:before="40" w:after="40"/>
              <w:jc w:val="right"/>
              <w:rPr>
                <w:sz w:val="18"/>
                <w:szCs w:val="18"/>
                <w:lang w:val="en-AU"/>
              </w:rPr>
            </w:pPr>
            <w:r>
              <w:rPr>
                <w:sz w:val="18"/>
                <w:szCs w:val="18"/>
                <w:lang w:val="en-AU"/>
              </w:rPr>
              <w:t>292</w:t>
            </w:r>
          </w:p>
        </w:tc>
        <w:tc>
          <w:tcPr>
            <w:tcW w:w="1145" w:type="pct"/>
          </w:tcPr>
          <w:p w14:paraId="0151B742" w14:textId="77777777" w:rsidR="00BC38B9" w:rsidRPr="00FB1C9E" w:rsidRDefault="00BC38B9" w:rsidP="00090F9D">
            <w:pPr>
              <w:spacing w:before="40" w:after="40"/>
              <w:jc w:val="right"/>
              <w:rPr>
                <w:sz w:val="18"/>
                <w:szCs w:val="18"/>
                <w:lang w:val="en-AU"/>
              </w:rPr>
            </w:pPr>
          </w:p>
        </w:tc>
      </w:tr>
      <w:tr w:rsidR="00BC38B9" w:rsidRPr="00FB1C9E" w14:paraId="5BD51AF1" w14:textId="77777777">
        <w:tc>
          <w:tcPr>
            <w:tcW w:w="1566" w:type="pct"/>
            <w:shd w:val="clear" w:color="auto" w:fill="auto"/>
          </w:tcPr>
          <w:p w14:paraId="32B3214E" w14:textId="77777777" w:rsidR="00BC38B9" w:rsidRPr="00FB1C9E" w:rsidRDefault="00BC38B9" w:rsidP="00793CA8">
            <w:pPr>
              <w:spacing w:before="40" w:after="40"/>
              <w:rPr>
                <w:caps/>
                <w:color w:val="243F60"/>
                <w:spacing w:val="15"/>
                <w:sz w:val="18"/>
                <w:szCs w:val="18"/>
                <w:lang w:val="en-AU"/>
              </w:rPr>
            </w:pPr>
            <w:r w:rsidRPr="00FB1C9E">
              <w:rPr>
                <w:sz w:val="18"/>
                <w:szCs w:val="18"/>
                <w:lang w:val="en-AU"/>
              </w:rPr>
              <w:t>General Security</w:t>
            </w:r>
            <w:r>
              <w:rPr>
                <w:sz w:val="18"/>
                <w:szCs w:val="18"/>
                <w:lang w:val="en-AU"/>
              </w:rPr>
              <w:t xml:space="preserve"> Access Licences</w:t>
            </w:r>
          </w:p>
        </w:tc>
        <w:tc>
          <w:tcPr>
            <w:tcW w:w="1144" w:type="pct"/>
            <w:shd w:val="clear" w:color="auto" w:fill="auto"/>
          </w:tcPr>
          <w:p w14:paraId="1D118E5F" w14:textId="77777777" w:rsidR="00BC38B9" w:rsidRPr="003432E5" w:rsidRDefault="00BC38B9">
            <w:pPr>
              <w:spacing w:before="40" w:after="40"/>
              <w:jc w:val="right"/>
              <w:rPr>
                <w:sz w:val="18"/>
                <w:szCs w:val="18"/>
                <w:lang w:val="en-AU"/>
              </w:rPr>
            </w:pPr>
            <w:r>
              <w:rPr>
                <w:sz w:val="18"/>
                <w:szCs w:val="18"/>
                <w:lang w:val="en-AU"/>
              </w:rPr>
              <w:t>1,668</w:t>
            </w:r>
          </w:p>
        </w:tc>
        <w:tc>
          <w:tcPr>
            <w:tcW w:w="1144" w:type="pct"/>
            <w:shd w:val="clear" w:color="auto" w:fill="auto"/>
          </w:tcPr>
          <w:p w14:paraId="458F8E9B" w14:textId="77777777" w:rsidR="00BC38B9" w:rsidRPr="00FB1C9E" w:rsidRDefault="00BC38B9" w:rsidP="00090F9D">
            <w:pPr>
              <w:spacing w:before="40" w:after="40"/>
              <w:jc w:val="right"/>
              <w:rPr>
                <w:sz w:val="18"/>
                <w:szCs w:val="18"/>
                <w:lang w:val="en-AU"/>
              </w:rPr>
            </w:pPr>
          </w:p>
        </w:tc>
        <w:tc>
          <w:tcPr>
            <w:tcW w:w="1145" w:type="pct"/>
          </w:tcPr>
          <w:p w14:paraId="2F5E9DB6" w14:textId="77777777" w:rsidR="00BC38B9" w:rsidRPr="00FB1C9E" w:rsidRDefault="00BC38B9" w:rsidP="00090F9D">
            <w:pPr>
              <w:spacing w:before="40" w:after="40"/>
              <w:jc w:val="right"/>
              <w:rPr>
                <w:sz w:val="18"/>
                <w:szCs w:val="18"/>
                <w:lang w:val="en-AU"/>
              </w:rPr>
            </w:pPr>
          </w:p>
        </w:tc>
      </w:tr>
      <w:tr w:rsidR="00BC38B9" w:rsidRPr="00FB1C9E" w14:paraId="1499EC52" w14:textId="77777777">
        <w:tc>
          <w:tcPr>
            <w:tcW w:w="1566" w:type="pct"/>
            <w:shd w:val="clear" w:color="auto" w:fill="auto"/>
          </w:tcPr>
          <w:p w14:paraId="197788DD" w14:textId="77777777" w:rsidR="00BC38B9" w:rsidRPr="00FB1C9E" w:rsidRDefault="00BC38B9" w:rsidP="00793CA8">
            <w:pPr>
              <w:spacing w:before="40" w:after="40"/>
              <w:rPr>
                <w:sz w:val="18"/>
                <w:szCs w:val="18"/>
                <w:lang w:val="en-AU"/>
              </w:rPr>
            </w:pPr>
            <w:r w:rsidRPr="00F377D0">
              <w:rPr>
                <w:sz w:val="18"/>
                <w:szCs w:val="18"/>
                <w:lang w:val="en-AU"/>
              </w:rPr>
              <w:t>Water Access Entitlement</w:t>
            </w:r>
            <w:r>
              <w:rPr>
                <w:sz w:val="18"/>
                <w:szCs w:val="18"/>
                <w:lang w:val="en-AU"/>
              </w:rPr>
              <w:t>s</w:t>
            </w:r>
          </w:p>
        </w:tc>
        <w:tc>
          <w:tcPr>
            <w:tcW w:w="1144" w:type="pct"/>
            <w:shd w:val="clear" w:color="auto" w:fill="auto"/>
          </w:tcPr>
          <w:p w14:paraId="19CA3CB0" w14:textId="77777777" w:rsidR="00BC38B9" w:rsidRDefault="00BC38B9" w:rsidP="00B95B63">
            <w:pPr>
              <w:spacing w:before="40" w:after="40"/>
              <w:jc w:val="right"/>
              <w:rPr>
                <w:sz w:val="18"/>
                <w:szCs w:val="18"/>
                <w:lang w:val="en-AU"/>
              </w:rPr>
            </w:pPr>
          </w:p>
        </w:tc>
        <w:tc>
          <w:tcPr>
            <w:tcW w:w="1144" w:type="pct"/>
            <w:shd w:val="clear" w:color="auto" w:fill="auto"/>
          </w:tcPr>
          <w:p w14:paraId="7E86DA77" w14:textId="77777777" w:rsidR="00BC38B9" w:rsidRPr="00FB1C9E" w:rsidRDefault="00BC38B9" w:rsidP="00090F9D">
            <w:pPr>
              <w:spacing w:before="40" w:after="40"/>
              <w:jc w:val="right"/>
              <w:rPr>
                <w:sz w:val="18"/>
                <w:szCs w:val="18"/>
                <w:lang w:val="en-AU"/>
              </w:rPr>
            </w:pPr>
          </w:p>
        </w:tc>
        <w:tc>
          <w:tcPr>
            <w:tcW w:w="1145" w:type="pct"/>
          </w:tcPr>
          <w:p w14:paraId="1677FFB8" w14:textId="77777777" w:rsidR="00BC38B9" w:rsidRPr="00FB1C9E" w:rsidRDefault="00BC38B9" w:rsidP="00090F9D">
            <w:pPr>
              <w:spacing w:before="40" w:after="40"/>
              <w:jc w:val="right"/>
              <w:rPr>
                <w:sz w:val="18"/>
                <w:szCs w:val="18"/>
                <w:lang w:val="en-AU"/>
              </w:rPr>
            </w:pPr>
            <w:r>
              <w:rPr>
                <w:sz w:val="18"/>
                <w:szCs w:val="18"/>
                <w:lang w:val="en-AU"/>
              </w:rPr>
              <w:t>565</w:t>
            </w:r>
          </w:p>
        </w:tc>
      </w:tr>
      <w:tr w:rsidR="00BC38B9" w:rsidRPr="00FB1C9E" w14:paraId="1D2E0C12" w14:textId="77777777">
        <w:tc>
          <w:tcPr>
            <w:tcW w:w="1566" w:type="pct"/>
            <w:shd w:val="clear" w:color="auto" w:fill="auto"/>
          </w:tcPr>
          <w:p w14:paraId="700BBB49" w14:textId="77777777" w:rsidR="00BC38B9" w:rsidRPr="00FB1C9E" w:rsidRDefault="00BC38B9" w:rsidP="00793CA8">
            <w:pPr>
              <w:spacing w:before="40" w:after="40"/>
              <w:rPr>
                <w:caps/>
                <w:color w:val="243F60"/>
                <w:spacing w:val="15"/>
                <w:sz w:val="18"/>
                <w:szCs w:val="18"/>
                <w:lang w:val="en-AU"/>
              </w:rPr>
            </w:pPr>
            <w:r w:rsidRPr="00FB1C9E">
              <w:rPr>
                <w:sz w:val="18"/>
                <w:szCs w:val="18"/>
                <w:lang w:val="en-AU"/>
              </w:rPr>
              <w:t>High Reliability</w:t>
            </w:r>
            <w:r>
              <w:rPr>
                <w:sz w:val="18"/>
                <w:szCs w:val="18"/>
                <w:lang w:val="en-AU"/>
              </w:rPr>
              <w:t xml:space="preserve"> Water Shares</w:t>
            </w:r>
          </w:p>
        </w:tc>
        <w:tc>
          <w:tcPr>
            <w:tcW w:w="1144" w:type="pct"/>
            <w:shd w:val="clear" w:color="auto" w:fill="auto"/>
          </w:tcPr>
          <w:p w14:paraId="0D1CD3E3" w14:textId="77777777" w:rsidR="00BC38B9" w:rsidRPr="003432E5" w:rsidRDefault="00BC38B9" w:rsidP="00090F9D">
            <w:pPr>
              <w:spacing w:before="40" w:after="40"/>
              <w:jc w:val="right"/>
              <w:rPr>
                <w:sz w:val="18"/>
                <w:szCs w:val="18"/>
                <w:lang w:val="en-AU"/>
              </w:rPr>
            </w:pPr>
          </w:p>
        </w:tc>
        <w:tc>
          <w:tcPr>
            <w:tcW w:w="1144" w:type="pct"/>
            <w:shd w:val="clear" w:color="auto" w:fill="auto"/>
          </w:tcPr>
          <w:p w14:paraId="25F96264" w14:textId="77777777" w:rsidR="00BC38B9" w:rsidRPr="00FB1C9E" w:rsidRDefault="00BC38B9" w:rsidP="00090F9D">
            <w:pPr>
              <w:spacing w:before="40" w:after="40"/>
              <w:jc w:val="right"/>
              <w:rPr>
                <w:sz w:val="18"/>
                <w:szCs w:val="18"/>
                <w:lang w:val="en-AU"/>
              </w:rPr>
            </w:pPr>
            <w:r>
              <w:rPr>
                <w:sz w:val="18"/>
                <w:szCs w:val="18"/>
                <w:lang w:val="en-AU"/>
              </w:rPr>
              <w:t>1,167</w:t>
            </w:r>
          </w:p>
        </w:tc>
        <w:tc>
          <w:tcPr>
            <w:tcW w:w="1145" w:type="pct"/>
          </w:tcPr>
          <w:p w14:paraId="6B404F45" w14:textId="77777777" w:rsidR="00BC38B9" w:rsidRPr="00FB1C9E" w:rsidRDefault="00BC38B9" w:rsidP="00090F9D">
            <w:pPr>
              <w:spacing w:before="40" w:after="40"/>
              <w:jc w:val="right"/>
              <w:rPr>
                <w:sz w:val="18"/>
                <w:szCs w:val="18"/>
                <w:lang w:val="en-AU"/>
              </w:rPr>
            </w:pPr>
          </w:p>
        </w:tc>
      </w:tr>
      <w:tr w:rsidR="00BC38B9" w:rsidRPr="00FB1C9E" w14:paraId="00A34003" w14:textId="77777777">
        <w:tc>
          <w:tcPr>
            <w:tcW w:w="1566" w:type="pct"/>
            <w:shd w:val="clear" w:color="auto" w:fill="auto"/>
          </w:tcPr>
          <w:p w14:paraId="0A91C7B7" w14:textId="77777777" w:rsidR="00BC38B9" w:rsidRPr="00FB1C9E" w:rsidRDefault="00BC38B9" w:rsidP="00793CA8">
            <w:pPr>
              <w:spacing w:before="40" w:after="40"/>
              <w:rPr>
                <w:sz w:val="18"/>
                <w:szCs w:val="18"/>
                <w:lang w:val="en-AU"/>
              </w:rPr>
            </w:pPr>
            <w:r>
              <w:rPr>
                <w:sz w:val="18"/>
                <w:szCs w:val="18"/>
                <w:lang w:val="en-AU"/>
              </w:rPr>
              <w:t>High Security Access Licences</w:t>
            </w:r>
          </w:p>
        </w:tc>
        <w:tc>
          <w:tcPr>
            <w:tcW w:w="1144" w:type="pct"/>
            <w:shd w:val="clear" w:color="auto" w:fill="auto"/>
          </w:tcPr>
          <w:p w14:paraId="15A75B4D" w14:textId="77777777" w:rsidR="00BC38B9" w:rsidRDefault="00BC38B9">
            <w:pPr>
              <w:spacing w:before="40" w:after="40"/>
              <w:jc w:val="right"/>
              <w:rPr>
                <w:sz w:val="18"/>
                <w:szCs w:val="18"/>
                <w:lang w:val="en-AU"/>
              </w:rPr>
            </w:pPr>
            <w:r>
              <w:rPr>
                <w:sz w:val="18"/>
                <w:szCs w:val="18"/>
                <w:lang w:val="en-AU"/>
              </w:rPr>
              <w:t>204</w:t>
            </w:r>
          </w:p>
        </w:tc>
        <w:tc>
          <w:tcPr>
            <w:tcW w:w="1144" w:type="pct"/>
            <w:shd w:val="clear" w:color="auto" w:fill="auto"/>
          </w:tcPr>
          <w:p w14:paraId="506645B4" w14:textId="77777777" w:rsidR="00BC38B9" w:rsidRDefault="00BC38B9" w:rsidP="00090F9D">
            <w:pPr>
              <w:spacing w:before="40" w:after="40"/>
              <w:jc w:val="right"/>
              <w:rPr>
                <w:sz w:val="18"/>
                <w:szCs w:val="18"/>
                <w:lang w:val="en-AU"/>
              </w:rPr>
            </w:pPr>
          </w:p>
        </w:tc>
        <w:tc>
          <w:tcPr>
            <w:tcW w:w="1145" w:type="pct"/>
          </w:tcPr>
          <w:p w14:paraId="7E8CF516" w14:textId="77777777" w:rsidR="00BC38B9" w:rsidRDefault="00BC38B9" w:rsidP="00090F9D">
            <w:pPr>
              <w:spacing w:before="40" w:after="40"/>
              <w:jc w:val="right"/>
              <w:rPr>
                <w:sz w:val="18"/>
                <w:szCs w:val="18"/>
                <w:lang w:val="en-AU"/>
              </w:rPr>
            </w:pPr>
          </w:p>
        </w:tc>
      </w:tr>
      <w:tr w:rsidR="00C01A50" w:rsidRPr="00C903DB" w14:paraId="6AC27A58" w14:textId="77777777">
        <w:tc>
          <w:tcPr>
            <w:tcW w:w="1566" w:type="pct"/>
            <w:shd w:val="clear" w:color="auto" w:fill="auto"/>
          </w:tcPr>
          <w:p w14:paraId="11DB5FAD" w14:textId="77777777" w:rsidR="00C01A50" w:rsidRPr="00FB1C9E" w:rsidRDefault="00C01A50" w:rsidP="00793CA8">
            <w:pPr>
              <w:spacing w:before="40" w:after="40"/>
              <w:rPr>
                <w:caps/>
                <w:color w:val="243F60"/>
                <w:spacing w:val="15"/>
                <w:sz w:val="18"/>
                <w:szCs w:val="18"/>
                <w:lang w:val="en-AU"/>
              </w:rPr>
            </w:pPr>
            <w:r w:rsidRPr="00FB1C9E">
              <w:rPr>
                <w:sz w:val="18"/>
                <w:szCs w:val="18"/>
                <w:lang w:val="en-AU"/>
              </w:rPr>
              <w:t>Total</w:t>
            </w:r>
          </w:p>
        </w:tc>
        <w:tc>
          <w:tcPr>
            <w:tcW w:w="1144" w:type="pct"/>
            <w:shd w:val="clear" w:color="auto" w:fill="auto"/>
          </w:tcPr>
          <w:p w14:paraId="27F22640" w14:textId="77777777" w:rsidR="00C01A50" w:rsidRPr="003432E5" w:rsidRDefault="00C01A50" w:rsidP="00090F9D">
            <w:pPr>
              <w:spacing w:before="40" w:after="40"/>
              <w:jc w:val="right"/>
              <w:rPr>
                <w:sz w:val="18"/>
                <w:szCs w:val="18"/>
                <w:lang w:val="en-AU"/>
              </w:rPr>
            </w:pPr>
            <w:r>
              <w:rPr>
                <w:sz w:val="18"/>
                <w:szCs w:val="18"/>
                <w:lang w:val="en-AU"/>
              </w:rPr>
              <w:t>1,872</w:t>
            </w:r>
          </w:p>
        </w:tc>
        <w:tc>
          <w:tcPr>
            <w:tcW w:w="1144" w:type="pct"/>
            <w:shd w:val="clear" w:color="auto" w:fill="auto"/>
          </w:tcPr>
          <w:p w14:paraId="0FB21F49" w14:textId="77777777" w:rsidR="00C01A50" w:rsidRPr="00FB1C9E" w:rsidRDefault="00C01A50" w:rsidP="00090F9D">
            <w:pPr>
              <w:spacing w:before="40" w:after="40"/>
              <w:jc w:val="right"/>
              <w:rPr>
                <w:sz w:val="18"/>
                <w:szCs w:val="18"/>
                <w:lang w:val="en-AU"/>
              </w:rPr>
            </w:pPr>
            <w:r>
              <w:rPr>
                <w:sz w:val="18"/>
                <w:szCs w:val="18"/>
                <w:lang w:val="en-AU"/>
              </w:rPr>
              <w:t>1,459</w:t>
            </w:r>
          </w:p>
        </w:tc>
        <w:tc>
          <w:tcPr>
            <w:tcW w:w="1145" w:type="pct"/>
          </w:tcPr>
          <w:p w14:paraId="3F66EDED" w14:textId="77777777" w:rsidR="00C01A50" w:rsidRPr="00FB1C9E" w:rsidRDefault="00C01A50" w:rsidP="00090F9D">
            <w:pPr>
              <w:spacing w:before="40" w:after="40"/>
              <w:jc w:val="right"/>
              <w:rPr>
                <w:sz w:val="18"/>
                <w:szCs w:val="18"/>
                <w:lang w:val="en-AU"/>
              </w:rPr>
            </w:pPr>
            <w:r>
              <w:rPr>
                <w:sz w:val="18"/>
                <w:szCs w:val="18"/>
                <w:lang w:val="en-AU"/>
              </w:rPr>
              <w:t>565</w:t>
            </w:r>
          </w:p>
        </w:tc>
      </w:tr>
    </w:tbl>
    <w:p w14:paraId="41DC7103" w14:textId="77777777" w:rsidR="00C01A50" w:rsidRDefault="00C01A50" w:rsidP="005504DA">
      <w:pPr>
        <w:rPr>
          <w:lang w:val="en-US"/>
        </w:rPr>
      </w:pPr>
      <w:bookmarkStart w:id="58" w:name="_Ref341791824"/>
      <w:r w:rsidRPr="008E38E1">
        <w:rPr>
          <w:lang w:val="en-US"/>
        </w:rPr>
        <w:t xml:space="preserve">Having looked in isolation at the implications of having different allocation frameworks on the Murray, it is important to understand the implications for the southern-connected Basin as a whole. The first thing to note is that there are five main entitlement types, but the total volumes associated with each, after subtracting the entitlements recovered for the environment, vary by an order of magnitude from 465 GL for South Australian water access entitlements to 2,673 GL for </w:t>
      </w:r>
      <w:r w:rsidR="00BC38B9">
        <w:rPr>
          <w:lang w:val="en-US"/>
        </w:rPr>
        <w:t>NSW</w:t>
      </w:r>
      <w:r w:rsidRPr="008E38E1">
        <w:rPr>
          <w:lang w:val="en-US"/>
        </w:rPr>
        <w:t xml:space="preserve"> </w:t>
      </w:r>
      <w:r w:rsidR="00BC38B9" w:rsidRPr="008E38E1">
        <w:rPr>
          <w:lang w:val="en-US"/>
        </w:rPr>
        <w:t xml:space="preserve">General Security </w:t>
      </w:r>
      <w:r w:rsidRPr="008E38E1">
        <w:rPr>
          <w:lang w:val="en-US"/>
        </w:rPr>
        <w:t>entitlements (</w:t>
      </w:r>
      <w:r w:rsidRPr="008E38E1">
        <w:t xml:space="preserve">Table </w:t>
      </w:r>
      <w:r w:rsidRPr="008E38E1">
        <w:rPr>
          <w:noProof/>
        </w:rPr>
        <w:t>2</w:t>
      </w:r>
      <w:r w:rsidRPr="008E38E1">
        <w:rPr>
          <w:lang w:val="en-US"/>
        </w:rPr>
        <w:t>).</w:t>
      </w:r>
    </w:p>
    <w:p w14:paraId="40E86146" w14:textId="77777777" w:rsidR="00C01A50" w:rsidRDefault="00C01A50">
      <w:pPr>
        <w:spacing w:before="0" w:after="0" w:line="240" w:lineRule="auto"/>
        <w:rPr>
          <w:lang w:val="en-US"/>
        </w:rPr>
      </w:pPr>
      <w:r>
        <w:rPr>
          <w:lang w:val="en-US"/>
        </w:rPr>
        <w:br w:type="page"/>
      </w:r>
    </w:p>
    <w:p w14:paraId="2DE88476" w14:textId="77777777" w:rsidR="00C01A50" w:rsidRDefault="00C01A50" w:rsidP="005504DA">
      <w:pPr>
        <w:rPr>
          <w:lang w:val="en-US"/>
        </w:rPr>
      </w:pPr>
    </w:p>
    <w:p w14:paraId="4C2E6807" w14:textId="77777777" w:rsidR="00C01A50" w:rsidRPr="00FB1C9E" w:rsidRDefault="00C01A50" w:rsidP="00F377D0">
      <w:pPr>
        <w:pStyle w:val="Caption"/>
        <w:rPr>
          <w:lang w:val="en-AU"/>
        </w:rPr>
      </w:pPr>
      <w:bookmarkStart w:id="59" w:name="_Ref341793804"/>
      <w:r w:rsidRPr="00FB1C9E">
        <w:t xml:space="preserve">Table </w:t>
      </w:r>
      <w:r w:rsidRPr="00FB1C9E">
        <w:fldChar w:fldCharType="begin"/>
      </w:r>
      <w:r w:rsidRPr="00FB1C9E">
        <w:instrText xml:space="preserve"> SEQ Table \* ARABIC </w:instrText>
      </w:r>
      <w:r w:rsidRPr="00FB1C9E">
        <w:fldChar w:fldCharType="separate"/>
      </w:r>
      <w:r w:rsidR="008E5D7A">
        <w:rPr>
          <w:noProof/>
        </w:rPr>
        <w:t>2</w:t>
      </w:r>
      <w:r w:rsidRPr="00FB1C9E">
        <w:fldChar w:fldCharType="end"/>
      </w:r>
      <w:bookmarkEnd w:id="58"/>
      <w:bookmarkEnd w:id="59"/>
      <w:r w:rsidRPr="00FB1C9E">
        <w:t xml:space="preserve">: </w:t>
      </w:r>
      <w:r>
        <w:rPr>
          <w:lang w:val="en-AU"/>
        </w:rPr>
        <w:t xml:space="preserve">Maximum </w:t>
      </w:r>
      <w:r w:rsidRPr="00FB1C9E">
        <w:rPr>
          <w:lang w:val="en-AU"/>
        </w:rPr>
        <w:t xml:space="preserve">volumes </w:t>
      </w:r>
      <w:r w:rsidR="009E6150">
        <w:rPr>
          <w:lang w:val="en-AU"/>
        </w:rPr>
        <w:t xml:space="preserve">remaining in the consumptive pool </w:t>
      </w:r>
      <w:r w:rsidR="00BE0EE1">
        <w:rPr>
          <w:lang w:val="en-AU"/>
        </w:rPr>
        <w:t>at</w:t>
      </w:r>
      <w:r w:rsidRPr="00FB1C9E">
        <w:rPr>
          <w:lang w:val="en-AU"/>
        </w:rPr>
        <w:t xml:space="preserve"> </w:t>
      </w:r>
      <w:r w:rsidR="009E6150">
        <w:rPr>
          <w:lang w:val="en-AU"/>
        </w:rPr>
        <w:t xml:space="preserve">100% allocations against each </w:t>
      </w:r>
      <w:r w:rsidRPr="00FB1C9E">
        <w:rPr>
          <w:lang w:val="en-AU"/>
        </w:rPr>
        <w:t xml:space="preserve">entitlement type </w:t>
      </w:r>
      <w:r w:rsidR="00BE0EE1">
        <w:rPr>
          <w:lang w:val="en-AU"/>
        </w:rPr>
        <w:t xml:space="preserve">in </w:t>
      </w:r>
      <w:r w:rsidRPr="00FB1C9E">
        <w:rPr>
          <w:lang w:val="en-AU"/>
        </w:rPr>
        <w:t xml:space="preserve">the </w:t>
      </w:r>
      <w:r>
        <w:rPr>
          <w:lang w:val="en-AU"/>
        </w:rPr>
        <w:t>southern-connected Basin as at October 2016.</w:t>
      </w:r>
      <w:r>
        <w:rPr>
          <w:rStyle w:val="FootnoteReference"/>
          <w:lang w:val="en-AU"/>
        </w:rPr>
        <w:footnoteReference w:id="6"/>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4"/>
        <w:gridCol w:w="1841"/>
        <w:gridCol w:w="1887"/>
        <w:gridCol w:w="1791"/>
        <w:gridCol w:w="1605"/>
      </w:tblGrid>
      <w:tr w:rsidR="00C01A50" w:rsidRPr="00FB1C9E" w14:paraId="355A1B4B" w14:textId="77777777">
        <w:tc>
          <w:tcPr>
            <w:tcW w:w="2084" w:type="dxa"/>
            <w:shd w:val="clear" w:color="auto" w:fill="auto"/>
          </w:tcPr>
          <w:p w14:paraId="2B59A11F" w14:textId="77777777" w:rsidR="00C01A50" w:rsidRPr="00FB1C9E" w:rsidRDefault="00C01A50" w:rsidP="005504DA">
            <w:pPr>
              <w:spacing w:before="40" w:after="40"/>
              <w:jc w:val="center"/>
              <w:rPr>
                <w:b/>
                <w:sz w:val="18"/>
                <w:szCs w:val="18"/>
                <w:lang w:val="en-AU"/>
              </w:rPr>
            </w:pPr>
            <w:r w:rsidRPr="00FB1C9E">
              <w:rPr>
                <w:b/>
                <w:sz w:val="18"/>
                <w:szCs w:val="18"/>
                <w:lang w:val="en-AU"/>
              </w:rPr>
              <w:t>Entitlement type</w:t>
            </w:r>
          </w:p>
        </w:tc>
        <w:tc>
          <w:tcPr>
            <w:tcW w:w="1895" w:type="dxa"/>
            <w:shd w:val="clear" w:color="auto" w:fill="auto"/>
          </w:tcPr>
          <w:p w14:paraId="2886EE2A" w14:textId="77777777" w:rsidR="00C01A50" w:rsidRPr="00FB1C9E" w:rsidRDefault="00C01A50" w:rsidP="005504DA">
            <w:pPr>
              <w:spacing w:before="40" w:after="40"/>
              <w:jc w:val="center"/>
              <w:rPr>
                <w:b/>
                <w:sz w:val="18"/>
                <w:szCs w:val="18"/>
                <w:lang w:val="en-AU"/>
              </w:rPr>
            </w:pPr>
            <w:r w:rsidRPr="00FB1C9E">
              <w:rPr>
                <w:b/>
                <w:sz w:val="18"/>
                <w:szCs w:val="18"/>
                <w:lang w:val="en-AU"/>
              </w:rPr>
              <w:t>NSW (GL)</w:t>
            </w:r>
          </w:p>
        </w:tc>
        <w:tc>
          <w:tcPr>
            <w:tcW w:w="1935" w:type="dxa"/>
            <w:shd w:val="clear" w:color="auto" w:fill="auto"/>
          </w:tcPr>
          <w:p w14:paraId="5B6B9B2C" w14:textId="77777777" w:rsidR="00C01A50" w:rsidRPr="00FB1C9E" w:rsidRDefault="00C01A50" w:rsidP="005504DA">
            <w:pPr>
              <w:spacing w:before="40" w:after="40"/>
              <w:jc w:val="center"/>
              <w:rPr>
                <w:b/>
                <w:sz w:val="18"/>
                <w:szCs w:val="18"/>
                <w:lang w:val="en-AU"/>
              </w:rPr>
            </w:pPr>
            <w:r w:rsidRPr="00FB1C9E">
              <w:rPr>
                <w:b/>
                <w:sz w:val="18"/>
                <w:szCs w:val="18"/>
                <w:lang w:val="en-AU"/>
              </w:rPr>
              <w:t>Victoria (GL</w:t>
            </w:r>
            <w:r>
              <w:rPr>
                <w:b/>
                <w:sz w:val="18"/>
                <w:szCs w:val="18"/>
                <w:lang w:val="en-AU"/>
              </w:rPr>
              <w:t>)</w:t>
            </w:r>
          </w:p>
        </w:tc>
        <w:tc>
          <w:tcPr>
            <w:tcW w:w="1831" w:type="dxa"/>
          </w:tcPr>
          <w:p w14:paraId="4A2CBFA0" w14:textId="77777777" w:rsidR="00C01A50" w:rsidRPr="00FB1C9E" w:rsidRDefault="00C01A50" w:rsidP="005504DA">
            <w:pPr>
              <w:spacing w:before="40" w:after="40"/>
              <w:jc w:val="center"/>
              <w:rPr>
                <w:b/>
                <w:sz w:val="18"/>
                <w:szCs w:val="18"/>
                <w:lang w:val="en-AU"/>
              </w:rPr>
            </w:pPr>
            <w:r w:rsidRPr="00FB1C9E">
              <w:rPr>
                <w:b/>
                <w:sz w:val="18"/>
                <w:szCs w:val="18"/>
                <w:lang w:val="en-AU"/>
              </w:rPr>
              <w:t>South Australia</w:t>
            </w:r>
            <w:r>
              <w:rPr>
                <w:b/>
                <w:sz w:val="18"/>
                <w:szCs w:val="18"/>
                <w:lang w:val="en-AU"/>
              </w:rPr>
              <w:t xml:space="preserve"> (GL)</w:t>
            </w:r>
          </w:p>
        </w:tc>
        <w:tc>
          <w:tcPr>
            <w:tcW w:w="1649" w:type="dxa"/>
          </w:tcPr>
          <w:p w14:paraId="31C03265" w14:textId="77777777" w:rsidR="00C01A50" w:rsidRPr="00FB1C9E" w:rsidRDefault="00C01A50" w:rsidP="005504DA">
            <w:pPr>
              <w:spacing w:before="40" w:after="40"/>
              <w:jc w:val="center"/>
              <w:rPr>
                <w:b/>
                <w:sz w:val="18"/>
                <w:szCs w:val="18"/>
                <w:lang w:val="en-AU"/>
              </w:rPr>
            </w:pPr>
            <w:r>
              <w:rPr>
                <w:b/>
                <w:sz w:val="18"/>
                <w:szCs w:val="18"/>
                <w:lang w:val="en-AU"/>
              </w:rPr>
              <w:t>Total (GL)</w:t>
            </w:r>
          </w:p>
        </w:tc>
      </w:tr>
      <w:tr w:rsidR="00C01A50" w:rsidRPr="00FB1C9E" w14:paraId="676ECB5C" w14:textId="77777777">
        <w:tc>
          <w:tcPr>
            <w:tcW w:w="2084" w:type="dxa"/>
            <w:shd w:val="clear" w:color="auto" w:fill="auto"/>
          </w:tcPr>
          <w:p w14:paraId="5CD5D47A" w14:textId="77777777" w:rsidR="00C01A50" w:rsidRPr="00FB1C9E" w:rsidRDefault="00BC38B9" w:rsidP="008B1EE1">
            <w:pPr>
              <w:spacing w:before="40" w:after="40"/>
              <w:jc w:val="left"/>
              <w:rPr>
                <w:sz w:val="18"/>
                <w:szCs w:val="18"/>
                <w:lang w:val="en-AU"/>
              </w:rPr>
            </w:pPr>
            <w:r w:rsidRPr="00FB1C9E">
              <w:rPr>
                <w:sz w:val="18"/>
                <w:szCs w:val="18"/>
                <w:lang w:val="en-AU"/>
              </w:rPr>
              <w:t>Low Reliability</w:t>
            </w:r>
            <w:r>
              <w:rPr>
                <w:sz w:val="18"/>
                <w:szCs w:val="18"/>
                <w:lang w:val="en-AU"/>
              </w:rPr>
              <w:t xml:space="preserve"> Water Shares</w:t>
            </w:r>
          </w:p>
        </w:tc>
        <w:tc>
          <w:tcPr>
            <w:tcW w:w="1895" w:type="dxa"/>
            <w:shd w:val="clear" w:color="auto" w:fill="auto"/>
          </w:tcPr>
          <w:p w14:paraId="12452A0F" w14:textId="77777777" w:rsidR="00C01A50" w:rsidRPr="00493939" w:rsidRDefault="00C01A50" w:rsidP="005504DA">
            <w:pPr>
              <w:spacing w:before="40" w:after="40"/>
              <w:jc w:val="right"/>
              <w:rPr>
                <w:sz w:val="18"/>
                <w:szCs w:val="18"/>
                <w:lang w:val="en-AU"/>
              </w:rPr>
            </w:pPr>
          </w:p>
        </w:tc>
        <w:tc>
          <w:tcPr>
            <w:tcW w:w="1935" w:type="dxa"/>
            <w:shd w:val="clear" w:color="auto" w:fill="auto"/>
          </w:tcPr>
          <w:p w14:paraId="026B3DD8" w14:textId="77777777" w:rsidR="00C01A50" w:rsidRPr="00493939" w:rsidRDefault="00C01A50" w:rsidP="005504DA">
            <w:pPr>
              <w:spacing w:before="40" w:after="40"/>
              <w:jc w:val="right"/>
              <w:rPr>
                <w:sz w:val="18"/>
                <w:szCs w:val="18"/>
                <w:lang w:val="en-AU"/>
              </w:rPr>
            </w:pPr>
            <w:r>
              <w:rPr>
                <w:sz w:val="18"/>
                <w:szCs w:val="18"/>
                <w:lang w:val="en-AU"/>
              </w:rPr>
              <w:t>731</w:t>
            </w:r>
          </w:p>
        </w:tc>
        <w:tc>
          <w:tcPr>
            <w:tcW w:w="1831" w:type="dxa"/>
          </w:tcPr>
          <w:p w14:paraId="67304A61" w14:textId="77777777" w:rsidR="00C01A50" w:rsidRPr="00493939" w:rsidRDefault="00C01A50" w:rsidP="005504DA">
            <w:pPr>
              <w:spacing w:before="40" w:after="40"/>
              <w:jc w:val="right"/>
              <w:rPr>
                <w:sz w:val="18"/>
                <w:szCs w:val="18"/>
                <w:lang w:val="en-AU"/>
              </w:rPr>
            </w:pPr>
          </w:p>
        </w:tc>
        <w:tc>
          <w:tcPr>
            <w:tcW w:w="1649" w:type="dxa"/>
          </w:tcPr>
          <w:p w14:paraId="42A24CF3" w14:textId="77777777" w:rsidR="00C01A50" w:rsidRPr="00493939" w:rsidRDefault="00C01A50" w:rsidP="005504DA">
            <w:pPr>
              <w:spacing w:before="40" w:after="40"/>
              <w:jc w:val="right"/>
              <w:rPr>
                <w:sz w:val="18"/>
                <w:szCs w:val="18"/>
                <w:lang w:val="en-AU"/>
              </w:rPr>
            </w:pPr>
            <w:r>
              <w:rPr>
                <w:sz w:val="18"/>
                <w:szCs w:val="18"/>
                <w:lang w:val="en-AU"/>
              </w:rPr>
              <w:t>731</w:t>
            </w:r>
          </w:p>
        </w:tc>
      </w:tr>
      <w:tr w:rsidR="00C01A50" w:rsidRPr="00FB1C9E" w14:paraId="05E16065" w14:textId="77777777">
        <w:tc>
          <w:tcPr>
            <w:tcW w:w="2084" w:type="dxa"/>
            <w:shd w:val="clear" w:color="auto" w:fill="auto"/>
          </w:tcPr>
          <w:p w14:paraId="207C7465" w14:textId="77777777" w:rsidR="00C01A50" w:rsidRPr="00FB1C9E" w:rsidRDefault="00BC38B9" w:rsidP="008B1EE1">
            <w:pPr>
              <w:spacing w:before="40" w:after="40"/>
              <w:jc w:val="left"/>
              <w:rPr>
                <w:sz w:val="18"/>
                <w:szCs w:val="18"/>
                <w:lang w:val="en-AU"/>
              </w:rPr>
            </w:pPr>
            <w:r w:rsidRPr="00FB1C9E">
              <w:rPr>
                <w:sz w:val="18"/>
                <w:szCs w:val="18"/>
                <w:lang w:val="en-AU"/>
              </w:rPr>
              <w:t>General Security</w:t>
            </w:r>
            <w:r>
              <w:rPr>
                <w:sz w:val="18"/>
                <w:szCs w:val="18"/>
                <w:lang w:val="en-AU"/>
              </w:rPr>
              <w:t xml:space="preserve"> Access Licences</w:t>
            </w:r>
          </w:p>
        </w:tc>
        <w:tc>
          <w:tcPr>
            <w:tcW w:w="1895" w:type="dxa"/>
            <w:shd w:val="clear" w:color="auto" w:fill="auto"/>
          </w:tcPr>
          <w:p w14:paraId="618A16B7" w14:textId="77777777" w:rsidR="00C01A50" w:rsidRPr="00493939" w:rsidRDefault="00C01A50" w:rsidP="005504DA">
            <w:pPr>
              <w:spacing w:before="40" w:after="40"/>
              <w:jc w:val="right"/>
              <w:rPr>
                <w:sz w:val="18"/>
                <w:szCs w:val="18"/>
                <w:lang w:val="en-AU"/>
              </w:rPr>
            </w:pPr>
            <w:r>
              <w:rPr>
                <w:sz w:val="18"/>
                <w:szCs w:val="18"/>
                <w:lang w:val="en-AU"/>
              </w:rPr>
              <w:t>2,673</w:t>
            </w:r>
          </w:p>
        </w:tc>
        <w:tc>
          <w:tcPr>
            <w:tcW w:w="1935" w:type="dxa"/>
            <w:shd w:val="clear" w:color="auto" w:fill="auto"/>
          </w:tcPr>
          <w:p w14:paraId="09964406" w14:textId="77777777" w:rsidR="00C01A50" w:rsidRPr="00493939" w:rsidRDefault="00C01A50" w:rsidP="005504DA">
            <w:pPr>
              <w:spacing w:before="40" w:after="40"/>
              <w:jc w:val="right"/>
              <w:rPr>
                <w:sz w:val="18"/>
                <w:szCs w:val="18"/>
                <w:lang w:val="en-AU"/>
              </w:rPr>
            </w:pPr>
          </w:p>
        </w:tc>
        <w:tc>
          <w:tcPr>
            <w:tcW w:w="1831" w:type="dxa"/>
          </w:tcPr>
          <w:p w14:paraId="64BC4FFA" w14:textId="77777777" w:rsidR="00C01A50" w:rsidRPr="00493939" w:rsidRDefault="00C01A50" w:rsidP="005504DA">
            <w:pPr>
              <w:spacing w:before="40" w:after="40"/>
              <w:jc w:val="right"/>
              <w:rPr>
                <w:sz w:val="18"/>
                <w:szCs w:val="18"/>
                <w:lang w:val="en-AU"/>
              </w:rPr>
            </w:pPr>
          </w:p>
        </w:tc>
        <w:tc>
          <w:tcPr>
            <w:tcW w:w="1649" w:type="dxa"/>
          </w:tcPr>
          <w:p w14:paraId="275513B2" w14:textId="77777777" w:rsidR="00C01A50" w:rsidRPr="00493939" w:rsidRDefault="00C01A50" w:rsidP="005504DA">
            <w:pPr>
              <w:spacing w:before="40" w:after="40"/>
              <w:jc w:val="right"/>
              <w:rPr>
                <w:sz w:val="18"/>
                <w:szCs w:val="18"/>
                <w:lang w:val="en-AU"/>
              </w:rPr>
            </w:pPr>
            <w:r>
              <w:rPr>
                <w:sz w:val="18"/>
                <w:szCs w:val="18"/>
                <w:lang w:val="en-AU"/>
              </w:rPr>
              <w:t>2,673</w:t>
            </w:r>
          </w:p>
        </w:tc>
      </w:tr>
      <w:tr w:rsidR="00C01A50" w:rsidRPr="00FB1C9E" w14:paraId="74A52ECF" w14:textId="77777777">
        <w:tc>
          <w:tcPr>
            <w:tcW w:w="2084" w:type="dxa"/>
            <w:shd w:val="clear" w:color="auto" w:fill="auto"/>
          </w:tcPr>
          <w:p w14:paraId="323BB62B" w14:textId="77777777" w:rsidR="00C01A50" w:rsidRPr="00FB1C9E" w:rsidRDefault="00BC38B9" w:rsidP="008B1EE1">
            <w:pPr>
              <w:spacing w:before="40" w:after="40"/>
              <w:jc w:val="left"/>
              <w:rPr>
                <w:sz w:val="18"/>
                <w:szCs w:val="18"/>
                <w:lang w:val="en-AU"/>
              </w:rPr>
            </w:pPr>
            <w:r w:rsidRPr="00F377D0">
              <w:rPr>
                <w:sz w:val="18"/>
                <w:szCs w:val="18"/>
                <w:lang w:val="en-AU"/>
              </w:rPr>
              <w:t>Water Access Entitlement</w:t>
            </w:r>
            <w:r>
              <w:rPr>
                <w:sz w:val="18"/>
                <w:szCs w:val="18"/>
                <w:lang w:val="en-AU"/>
              </w:rPr>
              <w:t>s</w:t>
            </w:r>
          </w:p>
        </w:tc>
        <w:tc>
          <w:tcPr>
            <w:tcW w:w="1895" w:type="dxa"/>
            <w:shd w:val="clear" w:color="auto" w:fill="auto"/>
          </w:tcPr>
          <w:p w14:paraId="37C8614B" w14:textId="77777777" w:rsidR="00C01A50" w:rsidRDefault="00C01A50" w:rsidP="005504DA">
            <w:pPr>
              <w:spacing w:before="40" w:after="40"/>
              <w:jc w:val="right"/>
              <w:rPr>
                <w:sz w:val="18"/>
                <w:szCs w:val="18"/>
                <w:lang w:val="en-AU"/>
              </w:rPr>
            </w:pPr>
          </w:p>
        </w:tc>
        <w:tc>
          <w:tcPr>
            <w:tcW w:w="1935" w:type="dxa"/>
            <w:shd w:val="clear" w:color="auto" w:fill="auto"/>
          </w:tcPr>
          <w:p w14:paraId="1D4953A3" w14:textId="77777777" w:rsidR="00C01A50" w:rsidRPr="00493939" w:rsidRDefault="00C01A50" w:rsidP="005504DA">
            <w:pPr>
              <w:spacing w:before="40" w:after="40"/>
              <w:jc w:val="right"/>
              <w:rPr>
                <w:sz w:val="18"/>
                <w:szCs w:val="18"/>
                <w:lang w:val="en-AU"/>
              </w:rPr>
            </w:pPr>
          </w:p>
        </w:tc>
        <w:tc>
          <w:tcPr>
            <w:tcW w:w="1831" w:type="dxa"/>
          </w:tcPr>
          <w:p w14:paraId="211A6271" w14:textId="77777777" w:rsidR="00C01A50" w:rsidRPr="00493939" w:rsidRDefault="00C01A50" w:rsidP="005504DA">
            <w:pPr>
              <w:spacing w:before="40" w:after="40"/>
              <w:jc w:val="right"/>
              <w:rPr>
                <w:sz w:val="18"/>
                <w:szCs w:val="18"/>
                <w:lang w:val="en-AU"/>
              </w:rPr>
            </w:pPr>
            <w:r>
              <w:rPr>
                <w:sz w:val="18"/>
                <w:szCs w:val="18"/>
                <w:lang w:val="en-AU"/>
              </w:rPr>
              <w:t>465</w:t>
            </w:r>
          </w:p>
        </w:tc>
        <w:tc>
          <w:tcPr>
            <w:tcW w:w="1649" w:type="dxa"/>
          </w:tcPr>
          <w:p w14:paraId="0C3F54CF" w14:textId="77777777" w:rsidR="00C01A50" w:rsidRDefault="00C01A50" w:rsidP="005504DA">
            <w:pPr>
              <w:spacing w:before="40" w:after="40"/>
              <w:jc w:val="right"/>
              <w:rPr>
                <w:sz w:val="18"/>
                <w:szCs w:val="18"/>
                <w:lang w:val="en-AU"/>
              </w:rPr>
            </w:pPr>
            <w:r>
              <w:rPr>
                <w:sz w:val="18"/>
                <w:szCs w:val="18"/>
                <w:lang w:val="en-AU"/>
              </w:rPr>
              <w:t>465</w:t>
            </w:r>
          </w:p>
        </w:tc>
      </w:tr>
      <w:tr w:rsidR="00C01A50" w:rsidRPr="00FB1C9E" w14:paraId="78A805B4" w14:textId="77777777">
        <w:tc>
          <w:tcPr>
            <w:tcW w:w="2084" w:type="dxa"/>
            <w:shd w:val="clear" w:color="auto" w:fill="auto"/>
          </w:tcPr>
          <w:p w14:paraId="0001C273" w14:textId="77777777" w:rsidR="00C01A50" w:rsidRPr="00FB1C9E" w:rsidRDefault="00BC38B9" w:rsidP="008B1EE1">
            <w:pPr>
              <w:spacing w:before="40" w:after="40"/>
              <w:jc w:val="left"/>
              <w:rPr>
                <w:sz w:val="18"/>
                <w:szCs w:val="18"/>
                <w:lang w:val="en-AU"/>
              </w:rPr>
            </w:pPr>
            <w:r w:rsidRPr="00FB1C9E">
              <w:rPr>
                <w:sz w:val="18"/>
                <w:szCs w:val="18"/>
                <w:lang w:val="en-AU"/>
              </w:rPr>
              <w:t>High Reliability</w:t>
            </w:r>
            <w:r>
              <w:rPr>
                <w:sz w:val="18"/>
                <w:szCs w:val="18"/>
                <w:lang w:val="en-AU"/>
              </w:rPr>
              <w:t xml:space="preserve"> Water Shares</w:t>
            </w:r>
          </w:p>
        </w:tc>
        <w:tc>
          <w:tcPr>
            <w:tcW w:w="1895" w:type="dxa"/>
            <w:shd w:val="clear" w:color="auto" w:fill="auto"/>
          </w:tcPr>
          <w:p w14:paraId="5E8D6402" w14:textId="77777777" w:rsidR="00C01A50" w:rsidRPr="00493939" w:rsidRDefault="00C01A50" w:rsidP="005504DA">
            <w:pPr>
              <w:spacing w:before="40" w:after="40"/>
              <w:jc w:val="right"/>
              <w:rPr>
                <w:sz w:val="18"/>
                <w:szCs w:val="18"/>
                <w:lang w:val="en-AU"/>
              </w:rPr>
            </w:pPr>
          </w:p>
        </w:tc>
        <w:tc>
          <w:tcPr>
            <w:tcW w:w="1935" w:type="dxa"/>
            <w:shd w:val="clear" w:color="auto" w:fill="auto"/>
          </w:tcPr>
          <w:p w14:paraId="71427D56" w14:textId="77777777" w:rsidR="00C01A50" w:rsidRPr="00493939" w:rsidRDefault="00C01A50" w:rsidP="005504DA">
            <w:pPr>
              <w:spacing w:before="40" w:after="40"/>
              <w:jc w:val="right"/>
              <w:rPr>
                <w:sz w:val="18"/>
                <w:szCs w:val="18"/>
                <w:lang w:val="en-AU"/>
              </w:rPr>
            </w:pPr>
            <w:r>
              <w:rPr>
                <w:sz w:val="18"/>
                <w:szCs w:val="18"/>
                <w:lang w:val="en-AU"/>
              </w:rPr>
              <w:t>1,749</w:t>
            </w:r>
          </w:p>
        </w:tc>
        <w:tc>
          <w:tcPr>
            <w:tcW w:w="1831" w:type="dxa"/>
          </w:tcPr>
          <w:p w14:paraId="1ECF476D" w14:textId="77777777" w:rsidR="00C01A50" w:rsidRPr="00493939" w:rsidRDefault="00C01A50" w:rsidP="005504DA">
            <w:pPr>
              <w:spacing w:before="40" w:after="40"/>
              <w:jc w:val="right"/>
              <w:rPr>
                <w:sz w:val="18"/>
                <w:szCs w:val="18"/>
                <w:lang w:val="en-AU"/>
              </w:rPr>
            </w:pPr>
          </w:p>
        </w:tc>
        <w:tc>
          <w:tcPr>
            <w:tcW w:w="1649" w:type="dxa"/>
          </w:tcPr>
          <w:p w14:paraId="10F3EBC1" w14:textId="77777777" w:rsidR="00C01A50" w:rsidRPr="00493939" w:rsidRDefault="00C01A50" w:rsidP="005504DA">
            <w:pPr>
              <w:spacing w:before="40" w:after="40"/>
              <w:jc w:val="right"/>
              <w:rPr>
                <w:sz w:val="18"/>
                <w:szCs w:val="18"/>
                <w:lang w:val="en-AU"/>
              </w:rPr>
            </w:pPr>
            <w:r>
              <w:rPr>
                <w:sz w:val="18"/>
                <w:szCs w:val="18"/>
                <w:lang w:val="en-AU"/>
              </w:rPr>
              <w:t>1,749</w:t>
            </w:r>
          </w:p>
        </w:tc>
      </w:tr>
      <w:tr w:rsidR="00C01A50" w:rsidRPr="00FB1C9E" w14:paraId="3EDCBB09" w14:textId="77777777">
        <w:tc>
          <w:tcPr>
            <w:tcW w:w="2084" w:type="dxa"/>
            <w:shd w:val="clear" w:color="auto" w:fill="auto"/>
          </w:tcPr>
          <w:p w14:paraId="60EFCC3D" w14:textId="77777777" w:rsidR="00C01A50" w:rsidRPr="00FB1C9E" w:rsidRDefault="00BC38B9" w:rsidP="008B1EE1">
            <w:pPr>
              <w:spacing w:before="40" w:after="40"/>
              <w:jc w:val="left"/>
              <w:rPr>
                <w:sz w:val="18"/>
                <w:szCs w:val="18"/>
                <w:lang w:val="en-AU"/>
              </w:rPr>
            </w:pPr>
            <w:r>
              <w:rPr>
                <w:sz w:val="18"/>
                <w:szCs w:val="18"/>
                <w:lang w:val="en-AU"/>
              </w:rPr>
              <w:t>High Security Access Licences</w:t>
            </w:r>
          </w:p>
        </w:tc>
        <w:tc>
          <w:tcPr>
            <w:tcW w:w="1895" w:type="dxa"/>
            <w:shd w:val="clear" w:color="auto" w:fill="auto"/>
          </w:tcPr>
          <w:p w14:paraId="6A7B381E" w14:textId="77777777" w:rsidR="00C01A50" w:rsidRDefault="00C01A50" w:rsidP="005504DA">
            <w:pPr>
              <w:spacing w:before="40" w:after="40"/>
              <w:jc w:val="right"/>
              <w:rPr>
                <w:sz w:val="18"/>
                <w:szCs w:val="18"/>
                <w:lang w:val="en-AU"/>
              </w:rPr>
            </w:pPr>
            <w:r>
              <w:rPr>
                <w:sz w:val="18"/>
                <w:szCs w:val="18"/>
                <w:lang w:val="en-AU"/>
              </w:rPr>
              <w:t>558</w:t>
            </w:r>
          </w:p>
        </w:tc>
        <w:tc>
          <w:tcPr>
            <w:tcW w:w="1935" w:type="dxa"/>
            <w:shd w:val="clear" w:color="auto" w:fill="auto"/>
          </w:tcPr>
          <w:p w14:paraId="1424CFB0" w14:textId="77777777" w:rsidR="00C01A50" w:rsidRDefault="00C01A50" w:rsidP="005504DA">
            <w:pPr>
              <w:spacing w:before="40" w:after="40"/>
              <w:jc w:val="right"/>
              <w:rPr>
                <w:sz w:val="18"/>
                <w:szCs w:val="18"/>
                <w:lang w:val="en-AU"/>
              </w:rPr>
            </w:pPr>
          </w:p>
        </w:tc>
        <w:tc>
          <w:tcPr>
            <w:tcW w:w="1831" w:type="dxa"/>
          </w:tcPr>
          <w:p w14:paraId="63403EEB" w14:textId="77777777" w:rsidR="00C01A50" w:rsidRDefault="00C01A50" w:rsidP="005504DA">
            <w:pPr>
              <w:spacing w:before="40" w:after="40"/>
              <w:jc w:val="right"/>
              <w:rPr>
                <w:sz w:val="18"/>
                <w:szCs w:val="18"/>
                <w:lang w:val="en-AU"/>
              </w:rPr>
            </w:pPr>
          </w:p>
        </w:tc>
        <w:tc>
          <w:tcPr>
            <w:tcW w:w="1649" w:type="dxa"/>
          </w:tcPr>
          <w:p w14:paraId="32BAAF1D" w14:textId="77777777" w:rsidR="00C01A50" w:rsidRDefault="00C01A50" w:rsidP="005504DA">
            <w:pPr>
              <w:spacing w:before="40" w:after="40"/>
              <w:jc w:val="right"/>
              <w:rPr>
                <w:sz w:val="18"/>
                <w:szCs w:val="18"/>
                <w:lang w:val="en-AU"/>
              </w:rPr>
            </w:pPr>
          </w:p>
        </w:tc>
      </w:tr>
      <w:tr w:rsidR="00C01A50" w:rsidRPr="00C903DB" w14:paraId="6173992D" w14:textId="77777777">
        <w:tc>
          <w:tcPr>
            <w:tcW w:w="2084" w:type="dxa"/>
            <w:shd w:val="clear" w:color="auto" w:fill="auto"/>
          </w:tcPr>
          <w:p w14:paraId="35001765" w14:textId="77777777" w:rsidR="00C01A50" w:rsidRPr="00FB1C9E" w:rsidRDefault="00C01A50" w:rsidP="008B1EE1">
            <w:pPr>
              <w:spacing w:before="40" w:after="40"/>
              <w:jc w:val="left"/>
              <w:rPr>
                <w:sz w:val="18"/>
                <w:szCs w:val="18"/>
                <w:lang w:val="en-AU"/>
              </w:rPr>
            </w:pPr>
            <w:r w:rsidRPr="00FB1C9E">
              <w:rPr>
                <w:sz w:val="18"/>
                <w:szCs w:val="18"/>
                <w:lang w:val="en-AU"/>
              </w:rPr>
              <w:t>Total</w:t>
            </w:r>
          </w:p>
        </w:tc>
        <w:tc>
          <w:tcPr>
            <w:tcW w:w="1895" w:type="dxa"/>
            <w:shd w:val="clear" w:color="auto" w:fill="auto"/>
          </w:tcPr>
          <w:p w14:paraId="5F8E5056" w14:textId="77777777" w:rsidR="00C01A50" w:rsidRPr="00493939" w:rsidRDefault="00C01A50" w:rsidP="005504DA">
            <w:pPr>
              <w:spacing w:before="40" w:after="40"/>
              <w:jc w:val="right"/>
              <w:rPr>
                <w:sz w:val="18"/>
                <w:szCs w:val="18"/>
                <w:lang w:val="en-AU"/>
              </w:rPr>
            </w:pPr>
            <w:r>
              <w:rPr>
                <w:sz w:val="18"/>
                <w:szCs w:val="18"/>
                <w:lang w:val="en-AU"/>
              </w:rPr>
              <w:t>3,231</w:t>
            </w:r>
          </w:p>
        </w:tc>
        <w:tc>
          <w:tcPr>
            <w:tcW w:w="1935" w:type="dxa"/>
            <w:shd w:val="clear" w:color="auto" w:fill="auto"/>
          </w:tcPr>
          <w:p w14:paraId="71ACDA7E" w14:textId="77777777" w:rsidR="00C01A50" w:rsidRPr="00493939" w:rsidRDefault="00C01A50" w:rsidP="005504DA">
            <w:pPr>
              <w:spacing w:before="40" w:after="40"/>
              <w:jc w:val="right"/>
              <w:rPr>
                <w:sz w:val="18"/>
                <w:szCs w:val="18"/>
                <w:lang w:val="en-AU"/>
              </w:rPr>
            </w:pPr>
            <w:r>
              <w:rPr>
                <w:sz w:val="18"/>
                <w:szCs w:val="18"/>
                <w:lang w:val="en-AU"/>
              </w:rPr>
              <w:t>2,480</w:t>
            </w:r>
          </w:p>
        </w:tc>
        <w:tc>
          <w:tcPr>
            <w:tcW w:w="1831" w:type="dxa"/>
          </w:tcPr>
          <w:p w14:paraId="0F46F928" w14:textId="77777777" w:rsidR="00C01A50" w:rsidRPr="00493939" w:rsidRDefault="00C01A50" w:rsidP="005504DA">
            <w:pPr>
              <w:spacing w:before="40" w:after="40"/>
              <w:jc w:val="right"/>
              <w:rPr>
                <w:sz w:val="18"/>
                <w:szCs w:val="18"/>
                <w:lang w:val="en-AU"/>
              </w:rPr>
            </w:pPr>
            <w:r>
              <w:rPr>
                <w:sz w:val="18"/>
                <w:szCs w:val="18"/>
                <w:lang w:val="en-AU"/>
              </w:rPr>
              <w:t>465</w:t>
            </w:r>
          </w:p>
        </w:tc>
        <w:tc>
          <w:tcPr>
            <w:tcW w:w="1649" w:type="dxa"/>
          </w:tcPr>
          <w:p w14:paraId="30D11DDE" w14:textId="77777777" w:rsidR="00C01A50" w:rsidRPr="00493939" w:rsidRDefault="00C01A50" w:rsidP="005504DA">
            <w:pPr>
              <w:spacing w:before="40" w:after="40"/>
              <w:jc w:val="right"/>
              <w:rPr>
                <w:sz w:val="18"/>
                <w:szCs w:val="18"/>
                <w:lang w:val="en-AU"/>
              </w:rPr>
            </w:pPr>
            <w:r>
              <w:rPr>
                <w:sz w:val="18"/>
                <w:szCs w:val="18"/>
                <w:lang w:val="en-AU"/>
              </w:rPr>
              <w:t>6,176</w:t>
            </w:r>
          </w:p>
        </w:tc>
      </w:tr>
    </w:tbl>
    <w:p w14:paraId="2AC830C9" w14:textId="77777777" w:rsidR="00C01A50" w:rsidRDefault="00C01A50" w:rsidP="00F66B86">
      <w:pPr>
        <w:rPr>
          <w:lang w:val="en-AU"/>
        </w:rPr>
      </w:pPr>
      <w:r w:rsidRPr="0001419D">
        <w:rPr>
          <w:lang w:val="en-AU"/>
        </w:rPr>
        <w:t>The second thing to note is that the different allocation frameworks in each state mean that the allocations against the different types of entitlements vary markedly from year to year</w:t>
      </w:r>
      <w:r>
        <w:rPr>
          <w:lang w:val="en-AU"/>
        </w:rPr>
        <w:t xml:space="preserve"> (</w:t>
      </w:r>
      <w:r>
        <w:rPr>
          <w:lang w:val="en-AU"/>
        </w:rPr>
        <w:fldChar w:fldCharType="begin"/>
      </w:r>
      <w:r>
        <w:rPr>
          <w:lang w:val="en-AU"/>
        </w:rPr>
        <w:instrText xml:space="preserve"> REF _Ref346032945 \h </w:instrText>
      </w:r>
      <w:r>
        <w:rPr>
          <w:lang w:val="en-AU"/>
        </w:rPr>
      </w:r>
      <w:r>
        <w:rPr>
          <w:lang w:val="en-AU"/>
        </w:rPr>
        <w:fldChar w:fldCharType="separate"/>
      </w:r>
      <w:r w:rsidR="008E5D7A">
        <w:t xml:space="preserve">Figure </w:t>
      </w:r>
      <w:r w:rsidR="008E5D7A">
        <w:rPr>
          <w:noProof/>
        </w:rPr>
        <w:t>8</w:t>
      </w:r>
      <w:r>
        <w:rPr>
          <w:lang w:val="en-AU"/>
        </w:rPr>
        <w:fldChar w:fldCharType="end"/>
      </w:r>
      <w:r>
        <w:rPr>
          <w:lang w:val="en-AU"/>
        </w:rPr>
        <w:t>)</w:t>
      </w:r>
      <w:r w:rsidRPr="00793CA8">
        <w:rPr>
          <w:lang w:val="en-US"/>
        </w:rPr>
        <w:t xml:space="preserve">. Because they constitute the largest pool of entitlements, allocations against </w:t>
      </w:r>
      <w:r w:rsidRPr="0001419D">
        <w:rPr>
          <w:lang w:val="en-US"/>
        </w:rPr>
        <w:t xml:space="preserve">NSW </w:t>
      </w:r>
      <w:r w:rsidR="00BC38B9" w:rsidRPr="0001419D">
        <w:rPr>
          <w:lang w:val="en-US"/>
        </w:rPr>
        <w:t xml:space="preserve">General Security </w:t>
      </w:r>
      <w:r w:rsidRPr="0001419D">
        <w:rPr>
          <w:lang w:val="en-US"/>
        </w:rPr>
        <w:t>entitlements have the most impact on the market price for allocations</w:t>
      </w:r>
      <w:r>
        <w:rPr>
          <w:lang w:val="en-US"/>
        </w:rPr>
        <w:t xml:space="preserve">. Irrigators in each state therefore take an interest in the allocation levels in each of the major tributary systems, but they pay particular attention to allocations against NSW </w:t>
      </w:r>
      <w:r w:rsidR="00BC38B9">
        <w:rPr>
          <w:lang w:val="en-US"/>
        </w:rPr>
        <w:t xml:space="preserve">General Security </w:t>
      </w:r>
      <w:r>
        <w:rPr>
          <w:lang w:val="en-US"/>
        </w:rPr>
        <w:t>entitlements.</w:t>
      </w:r>
    </w:p>
    <w:p w14:paraId="5D0455E6" w14:textId="77777777" w:rsidR="00C01A50" w:rsidRDefault="001B21E3" w:rsidP="00B640B4">
      <w:pPr>
        <w:jc w:val="center"/>
        <w:rPr>
          <w:lang w:val="en-AU"/>
        </w:rPr>
      </w:pPr>
      <w:r>
        <w:rPr>
          <w:noProof/>
          <w:lang w:val="en-AU" w:eastAsia="en-AU" w:bidi="ar-SA"/>
        </w:rPr>
        <w:drawing>
          <wp:inline distT="0" distB="0" distL="0" distR="0" wp14:anchorId="0D71172B" wp14:editId="2907B57C">
            <wp:extent cx="40386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605251" w14:textId="77777777" w:rsidR="00C01A50" w:rsidRPr="00740DFF" w:rsidRDefault="00C01A50" w:rsidP="00E45742">
      <w:pPr>
        <w:pStyle w:val="Caption"/>
        <w:rPr>
          <w:b w:val="0"/>
          <w:bCs w:val="0"/>
        </w:rPr>
      </w:pPr>
      <w:bookmarkStart w:id="60" w:name="_Ref346032945"/>
      <w:bookmarkStart w:id="61" w:name="_Ref341794398"/>
      <w:r>
        <w:t xml:space="preserve">Figure </w:t>
      </w:r>
      <w:r>
        <w:fldChar w:fldCharType="begin"/>
      </w:r>
      <w:r>
        <w:instrText xml:space="preserve"> SEQ Figure \* ARABIC </w:instrText>
      </w:r>
      <w:r>
        <w:fldChar w:fldCharType="separate"/>
      </w:r>
      <w:r w:rsidR="008E5D7A">
        <w:rPr>
          <w:noProof/>
        </w:rPr>
        <w:t>8</w:t>
      </w:r>
      <w:r>
        <w:fldChar w:fldCharType="end"/>
      </w:r>
      <w:bookmarkEnd w:id="60"/>
      <w:r>
        <w:t xml:space="preserve">: </w:t>
      </w:r>
      <w:r w:rsidR="002410F5">
        <w:t xml:space="preserve">Seasonal </w:t>
      </w:r>
      <w:r w:rsidRPr="00E45742">
        <w:t>allocations against the five main entitlement types in the southern-connected Basin since water recovery commenced</w:t>
      </w:r>
      <w:r>
        <w:t xml:space="preserve"> </w:t>
      </w:r>
      <w:bookmarkEnd w:id="61"/>
    </w:p>
    <w:p w14:paraId="2C42A746" w14:textId="77777777" w:rsidR="00C01A50" w:rsidRDefault="00C01A50" w:rsidP="00F66B86">
      <w:pPr>
        <w:rPr>
          <w:lang w:val="en-AU"/>
        </w:rPr>
      </w:pPr>
    </w:p>
    <w:p w14:paraId="1417E49A" w14:textId="77777777" w:rsidR="00C01A50" w:rsidRDefault="00C01A50" w:rsidP="00812A90">
      <w:pPr>
        <w:pStyle w:val="Heading3"/>
        <w:rPr>
          <w:lang w:val="en-AU"/>
        </w:rPr>
      </w:pPr>
      <w:r>
        <w:rPr>
          <w:lang w:val="en-AU"/>
        </w:rPr>
        <w:t xml:space="preserve">One large water market </w:t>
      </w:r>
    </w:p>
    <w:p w14:paraId="73A995F3" w14:textId="77777777" w:rsidR="00C01A50" w:rsidRDefault="00C01A50" w:rsidP="00E4035D">
      <w:pPr>
        <w:rPr>
          <w:lang w:val="en-US"/>
        </w:rPr>
      </w:pPr>
      <w:r>
        <w:rPr>
          <w:lang w:val="en-US"/>
        </w:rPr>
        <w:t xml:space="preserve">Each state in the southern-connected basin started to develop its own </w:t>
      </w:r>
      <w:r w:rsidRPr="00E479E2">
        <w:rPr>
          <w:lang w:val="en-US"/>
        </w:rPr>
        <w:t>water market</w:t>
      </w:r>
      <w:r>
        <w:rPr>
          <w:lang w:val="en-US"/>
        </w:rPr>
        <w:t xml:space="preserve"> in the 1980s. Over time, these were progressively integrated,</w:t>
      </w:r>
      <w:r w:rsidRPr="00E479E2">
        <w:rPr>
          <w:lang w:val="en-US"/>
        </w:rPr>
        <w:t xml:space="preserve"> based on the concept of a ‘cap and trade’ system</w:t>
      </w:r>
      <w:r>
        <w:rPr>
          <w:lang w:val="en-US"/>
        </w:rPr>
        <w:t xml:space="preserve">, to the point where under the Commonwealth </w:t>
      </w:r>
      <w:r>
        <w:rPr>
          <w:i/>
          <w:lang w:val="en-US"/>
        </w:rPr>
        <w:t>Water Act 2007</w:t>
      </w:r>
      <w:r>
        <w:rPr>
          <w:lang w:val="en-US"/>
        </w:rPr>
        <w:t xml:space="preserve"> the </w:t>
      </w:r>
      <w:r w:rsidRPr="00D97F6F">
        <w:rPr>
          <w:bCs/>
          <w:lang w:val="en-AU"/>
        </w:rPr>
        <w:t>Australian Competition and Consumer Commission</w:t>
      </w:r>
      <w:r>
        <w:rPr>
          <w:bCs/>
          <w:lang w:val="en-AU"/>
        </w:rPr>
        <w:t xml:space="preserve"> (ACCC) now </w:t>
      </w:r>
      <w:r w:rsidRPr="00E4035D">
        <w:rPr>
          <w:lang w:val="en-US"/>
        </w:rPr>
        <w:t>enforce</w:t>
      </w:r>
      <w:r>
        <w:rPr>
          <w:lang w:val="en-US"/>
        </w:rPr>
        <w:t>s</w:t>
      </w:r>
      <w:r w:rsidRPr="00E4035D">
        <w:rPr>
          <w:lang w:val="en-US"/>
        </w:rPr>
        <w:t xml:space="preserve"> water market</w:t>
      </w:r>
      <w:r>
        <w:rPr>
          <w:lang w:val="en-US"/>
        </w:rPr>
        <w:t xml:space="preserve"> rules,</w:t>
      </w:r>
      <w:r w:rsidRPr="00E4035D">
        <w:rPr>
          <w:lang w:val="en-US"/>
        </w:rPr>
        <w:t xml:space="preserve"> provide</w:t>
      </w:r>
      <w:r>
        <w:rPr>
          <w:lang w:val="en-US"/>
        </w:rPr>
        <w:t>s</w:t>
      </w:r>
      <w:r w:rsidRPr="00E4035D">
        <w:rPr>
          <w:lang w:val="en-US"/>
        </w:rPr>
        <w:t xml:space="preserve"> advice to the Commonwealth Minister responsible for water on </w:t>
      </w:r>
      <w:r>
        <w:rPr>
          <w:lang w:val="en-US"/>
        </w:rPr>
        <w:t xml:space="preserve">the </w:t>
      </w:r>
      <w:r w:rsidRPr="00E4035D">
        <w:rPr>
          <w:lang w:val="en-US"/>
        </w:rPr>
        <w:t>development of water market</w:t>
      </w:r>
      <w:r>
        <w:rPr>
          <w:lang w:val="en-US"/>
        </w:rPr>
        <w:t xml:space="preserve"> rules</w:t>
      </w:r>
      <w:r w:rsidRPr="00E4035D">
        <w:rPr>
          <w:lang w:val="en-US"/>
        </w:rPr>
        <w:t xml:space="preserve"> </w:t>
      </w:r>
      <w:r>
        <w:rPr>
          <w:lang w:val="en-US"/>
        </w:rPr>
        <w:t xml:space="preserve">and </w:t>
      </w:r>
      <w:r w:rsidRPr="00E4035D">
        <w:rPr>
          <w:lang w:val="en-US"/>
        </w:rPr>
        <w:t>advise</w:t>
      </w:r>
      <w:r>
        <w:rPr>
          <w:lang w:val="en-US"/>
        </w:rPr>
        <w:t>s</w:t>
      </w:r>
      <w:r w:rsidRPr="00E4035D">
        <w:rPr>
          <w:lang w:val="en-US"/>
        </w:rPr>
        <w:t xml:space="preserve"> the MDBA on the development of water trading rules.</w:t>
      </w:r>
    </w:p>
    <w:p w14:paraId="4BEA7959" w14:textId="77777777" w:rsidR="00C01A50" w:rsidRPr="00ED5205" w:rsidRDefault="00C01A50" w:rsidP="00372E13">
      <w:pPr>
        <w:rPr>
          <w:lang w:val="en-US"/>
        </w:rPr>
      </w:pPr>
      <w:r w:rsidRPr="00ED5205">
        <w:rPr>
          <w:lang w:val="en-US"/>
        </w:rPr>
        <w:t xml:space="preserve">Caps on water extraction enable the scarcity value of water to be revealed. When water is plentiful there may be enough for all users, but when it is scarce, it is not possible to meet all users’ </w:t>
      </w:r>
      <w:r>
        <w:rPr>
          <w:lang w:val="en-US"/>
        </w:rPr>
        <w:t>demands</w:t>
      </w:r>
      <w:r w:rsidRPr="00ED5205">
        <w:rPr>
          <w:lang w:val="en-US"/>
        </w:rPr>
        <w:t xml:space="preserve">. The water market enables water to be reallocated between users depending on their needs and circumstances. Consequently, water trading has become a vital business tool for many irrigators; it provides them with the flexibility to respond to variable water availability. The water market allows water to flow to where it can be used most productively. </w:t>
      </w:r>
      <w:r>
        <w:rPr>
          <w:lang w:val="en-US"/>
        </w:rPr>
        <w:t>It also allows for major changes in how businesses manage their capital (e.g. whether they hold or sell entitlements).</w:t>
      </w:r>
    </w:p>
    <w:p w14:paraId="7D3E1EB9" w14:textId="77777777" w:rsidR="00C01A50" w:rsidRPr="00E479E2" w:rsidRDefault="00C01A50" w:rsidP="00636214">
      <w:pPr>
        <w:rPr>
          <w:lang w:val="en-US"/>
        </w:rPr>
      </w:pPr>
      <w:r>
        <w:rPr>
          <w:lang w:val="en-US"/>
        </w:rPr>
        <w:t>Although there are varying degrees of connectivity between different parts of the southern-connected basin, there is now in effect one large water market covering the entire system. The heterogeneity of different irrigation enterprises throughout the system, combined with the varying degrees of reliability associated with different water entitlements, makes for a very active market.</w:t>
      </w:r>
    </w:p>
    <w:p w14:paraId="532DA5C7" w14:textId="77777777" w:rsidR="00C01A50" w:rsidRDefault="00487C54" w:rsidP="00812A90">
      <w:pPr>
        <w:pStyle w:val="Heading3"/>
        <w:rPr>
          <w:lang w:val="en-AU"/>
        </w:rPr>
      </w:pPr>
      <w:r>
        <w:rPr>
          <w:lang w:val="en-AU"/>
        </w:rPr>
        <w:t>Some physical c</w:t>
      </w:r>
      <w:r w:rsidR="00C01A50">
        <w:rPr>
          <w:lang w:val="en-AU"/>
        </w:rPr>
        <w:t>onstraints to water trade</w:t>
      </w:r>
    </w:p>
    <w:p w14:paraId="193DA5D4" w14:textId="77777777" w:rsidR="00C01A50" w:rsidRPr="00577457" w:rsidRDefault="00C01A50" w:rsidP="009704E6">
      <w:pPr>
        <w:rPr>
          <w:lang w:val="en-AU"/>
        </w:rPr>
      </w:pPr>
      <w:r w:rsidRPr="00577457">
        <w:rPr>
          <w:lang w:val="en-AU"/>
        </w:rPr>
        <w:t xml:space="preserve">There are </w:t>
      </w:r>
      <w:r>
        <w:rPr>
          <w:lang w:val="en-AU"/>
        </w:rPr>
        <w:t>several</w:t>
      </w:r>
      <w:r w:rsidRPr="00577457">
        <w:rPr>
          <w:lang w:val="en-AU"/>
        </w:rPr>
        <w:t xml:space="preserve"> locations in the river system, such as the Barmah Choke, where channel capacity is naturally restricted and flows need to be limited if all the water is to remain within the river’s banks. Overbank flows occur naturally, typically in winter and spring, and they are critical to the ecological health of the riverine environment, including connected wetlands and forests, but unseasonal overbank flows can incur environmental, social and economic costs depending on their duration and the time of year they occur.</w:t>
      </w:r>
    </w:p>
    <w:p w14:paraId="6D0F6405" w14:textId="77777777" w:rsidR="00C01A50" w:rsidRPr="009704E6" w:rsidRDefault="00C01A50" w:rsidP="009704E6">
      <w:pPr>
        <w:rPr>
          <w:lang w:val="en-AU"/>
        </w:rPr>
      </w:pPr>
      <w:r w:rsidRPr="00577457">
        <w:rPr>
          <w:lang w:val="en-AU"/>
        </w:rPr>
        <w:t>Channel capacity limitations at the Barmah Choke, the lower Goulburn, the lower Murrumbidgee and other locations are a major influence on the way the system is operated. They require an understanding of, and the ability to anticipate, downstream demands well ahead of time. To ensure timely access to water in the lower parts of the Basin, storage releases are sometimes necessary several months in advance to deliver water downstream to balancing-storages so that the rates of delivery later in the season can be maintained within channel capacity.</w:t>
      </w:r>
    </w:p>
    <w:p w14:paraId="027D01E4" w14:textId="77777777" w:rsidR="00C01A50" w:rsidRDefault="00C01A50" w:rsidP="003B1DA3">
      <w:pPr>
        <w:rPr>
          <w:lang w:val="en-AU"/>
        </w:rPr>
      </w:pPr>
      <w:r>
        <w:rPr>
          <w:lang w:val="en-AU"/>
        </w:rPr>
        <w:t xml:space="preserve">Water trading rules can help to manage system constraints. Over time, water trade can also cause changes to demand patterns to the point where river management rules may need to be reviewed to ensure they remain fit-for-purpose. </w:t>
      </w:r>
    </w:p>
    <w:p w14:paraId="10BE34DD" w14:textId="77777777" w:rsidR="00C01A50" w:rsidRPr="00317F08" w:rsidRDefault="00C01A50" w:rsidP="00917F39">
      <w:pPr>
        <w:pStyle w:val="Heading3"/>
        <w:rPr>
          <w:lang w:val="en-AU"/>
        </w:rPr>
      </w:pPr>
      <w:r>
        <w:rPr>
          <w:lang w:val="en-AU"/>
        </w:rPr>
        <w:lastRenderedPageBreak/>
        <w:t>Inter-Valley Transfer</w:t>
      </w:r>
      <w:r w:rsidRPr="00317F08">
        <w:rPr>
          <w:lang w:val="en-AU"/>
        </w:rPr>
        <w:t xml:space="preserve"> Rules and </w:t>
      </w:r>
      <w:r>
        <w:rPr>
          <w:lang w:val="en-AU"/>
        </w:rPr>
        <w:t xml:space="preserve">their </w:t>
      </w:r>
      <w:r w:rsidRPr="00317F08">
        <w:rPr>
          <w:lang w:val="en-AU"/>
        </w:rPr>
        <w:t>implications</w:t>
      </w:r>
    </w:p>
    <w:p w14:paraId="6BFEBC21" w14:textId="77777777" w:rsidR="00C01A50" w:rsidRPr="00317F08" w:rsidRDefault="00C01A50" w:rsidP="0049702E">
      <w:pPr>
        <w:rPr>
          <w:lang w:val="en-AU"/>
        </w:rPr>
      </w:pPr>
      <w:r w:rsidRPr="00317F08">
        <w:rPr>
          <w:lang w:val="en-AU"/>
        </w:rPr>
        <w:t>Water trade between the Murrumbidgee, Murray and Goulburn Valley systems</w:t>
      </w:r>
      <w:r>
        <w:rPr>
          <w:lang w:val="en-AU"/>
        </w:rPr>
        <w:t xml:space="preserve"> is subject to “inter-valley transfer rules”</w:t>
      </w:r>
      <w:r w:rsidRPr="00317F08">
        <w:rPr>
          <w:lang w:val="en-AU"/>
        </w:rPr>
        <w:t xml:space="preserve">. These trading rules </w:t>
      </w:r>
      <w:r>
        <w:rPr>
          <w:lang w:val="en-AU"/>
        </w:rPr>
        <w:t>were designed to protect against third-party impacts to other entitlement holders in each of the systems. In Victoria, these rules ensure that the resource set aside for the traded commitment can be preserved in storage without spilling. The guiding principle is that trading rules should be as liberal as possible while also protecting against third-party impacts.</w:t>
      </w:r>
    </w:p>
    <w:p w14:paraId="26843786" w14:textId="77777777" w:rsidR="00C01A50" w:rsidRPr="00317F08" w:rsidRDefault="00C01A50" w:rsidP="0049702E">
      <w:pPr>
        <w:rPr>
          <w:lang w:val="en-AU"/>
        </w:rPr>
      </w:pPr>
      <w:r w:rsidRPr="00317F08">
        <w:rPr>
          <w:lang w:val="en-AU"/>
        </w:rPr>
        <w:t xml:space="preserve">The </w:t>
      </w:r>
      <w:r>
        <w:rPr>
          <w:lang w:val="en-AU"/>
        </w:rPr>
        <w:t xml:space="preserve">current </w:t>
      </w:r>
      <w:r w:rsidRPr="00317F08">
        <w:rPr>
          <w:lang w:val="en-AU"/>
        </w:rPr>
        <w:t>Inter-Valley Transfer (IVT) rules are summarised below</w:t>
      </w:r>
      <w:r>
        <w:rPr>
          <w:lang w:val="en-AU"/>
        </w:rPr>
        <w:t>:</w:t>
      </w:r>
    </w:p>
    <w:p w14:paraId="3952DB22" w14:textId="77777777" w:rsidR="00C01A50" w:rsidRPr="005E0B4E" w:rsidRDefault="00C01A50" w:rsidP="00302BD9">
      <w:pPr>
        <w:pStyle w:val="ListParagraph"/>
        <w:numPr>
          <w:ilvl w:val="0"/>
          <w:numId w:val="23"/>
        </w:numPr>
        <w:rPr>
          <w:lang w:val="en-AU"/>
        </w:rPr>
      </w:pPr>
      <w:r w:rsidRPr="005E0B4E">
        <w:rPr>
          <w:b/>
          <w:lang w:val="en-AU"/>
        </w:rPr>
        <w:t>Murrumbidgee to Murray:</w:t>
      </w:r>
      <w:r w:rsidRPr="005E0B4E">
        <w:rPr>
          <w:lang w:val="en-AU"/>
        </w:rPr>
        <w:t xml:space="preserve"> The</w:t>
      </w:r>
      <w:r>
        <w:rPr>
          <w:lang w:val="en-AU"/>
        </w:rPr>
        <w:t>re</w:t>
      </w:r>
      <w:r w:rsidRPr="005E0B4E">
        <w:rPr>
          <w:lang w:val="en-AU"/>
        </w:rPr>
        <w:t xml:space="preserve"> cannot </w:t>
      </w:r>
      <w:r>
        <w:rPr>
          <w:lang w:val="en-AU"/>
        </w:rPr>
        <w:t xml:space="preserve">be </w:t>
      </w:r>
      <w:r w:rsidRPr="005E0B4E">
        <w:rPr>
          <w:lang w:val="en-AU"/>
        </w:rPr>
        <w:t xml:space="preserve">more than 100 GL of undelivered water in the IVT account at any given time. As such the IVT is closed when the account balance reaches 100 GL and </w:t>
      </w:r>
      <w:r>
        <w:rPr>
          <w:lang w:val="en-AU"/>
        </w:rPr>
        <w:t xml:space="preserve">it </w:t>
      </w:r>
      <w:r w:rsidRPr="005E0B4E">
        <w:rPr>
          <w:lang w:val="en-AU"/>
        </w:rPr>
        <w:t>is reopened when it drops to 85GL. The account is live and is accessible on the web. There is no annual maximum volume that can be transferred. The end of season balance carries across to the following water season.</w:t>
      </w:r>
    </w:p>
    <w:p w14:paraId="3AAD7DD2" w14:textId="77777777" w:rsidR="00C01A50" w:rsidRPr="005E0B4E" w:rsidRDefault="00C01A50" w:rsidP="00302BD9">
      <w:pPr>
        <w:pStyle w:val="ListParagraph"/>
        <w:numPr>
          <w:ilvl w:val="0"/>
          <w:numId w:val="23"/>
        </w:numPr>
        <w:rPr>
          <w:lang w:val="en-AU"/>
        </w:rPr>
      </w:pPr>
      <w:r w:rsidRPr="00783410">
        <w:rPr>
          <w:b/>
          <w:lang w:val="en-AU"/>
        </w:rPr>
        <w:t>NSW Murray to Victoria:</w:t>
      </w:r>
      <w:r w:rsidRPr="005E0B4E">
        <w:rPr>
          <w:lang w:val="en-AU"/>
        </w:rPr>
        <w:t xml:space="preserve"> Allocation trade from </w:t>
      </w:r>
      <w:r>
        <w:rPr>
          <w:lang w:val="en-AU"/>
        </w:rPr>
        <w:t>NSW</w:t>
      </w:r>
      <w:r w:rsidRPr="005E0B4E">
        <w:rPr>
          <w:lang w:val="en-AU"/>
        </w:rPr>
        <w:t xml:space="preserve"> to Victoria is limited to a net annual volume of 200 GL or a volume that keeps the risk of spill in the Murray system below 50%</w:t>
      </w:r>
      <w:r>
        <w:rPr>
          <w:lang w:val="en-AU"/>
        </w:rPr>
        <w:t>, whichever is lower</w:t>
      </w:r>
      <w:r w:rsidRPr="005E0B4E">
        <w:rPr>
          <w:lang w:val="en-AU"/>
        </w:rPr>
        <w:t>. If the risk of spill in the Vic</w:t>
      </w:r>
      <w:r>
        <w:rPr>
          <w:lang w:val="en-AU"/>
        </w:rPr>
        <w:t>torian</w:t>
      </w:r>
      <w:r w:rsidRPr="005E0B4E">
        <w:rPr>
          <w:lang w:val="en-AU"/>
        </w:rPr>
        <w:t xml:space="preserve"> Murray system is above 50%, trade from </w:t>
      </w:r>
      <w:r>
        <w:rPr>
          <w:lang w:val="en-AU"/>
        </w:rPr>
        <w:t>NSW</w:t>
      </w:r>
      <w:r w:rsidRPr="005E0B4E">
        <w:rPr>
          <w:lang w:val="en-AU"/>
        </w:rPr>
        <w:t xml:space="preserve"> to Victoria is limited to the volume traded from Victoria to </w:t>
      </w:r>
      <w:r>
        <w:rPr>
          <w:lang w:val="en-AU"/>
        </w:rPr>
        <w:t>NSW</w:t>
      </w:r>
      <w:r w:rsidRPr="005E0B4E">
        <w:rPr>
          <w:lang w:val="en-AU"/>
        </w:rPr>
        <w:t xml:space="preserve"> since August 1. The 200 GL limit is reset each year and the risk of spill is reviewed regularly. There is no limit on the volume of water that can be traded annually from Victoria to NSW</w:t>
      </w:r>
      <w:r>
        <w:rPr>
          <w:lang w:val="en-AU"/>
        </w:rPr>
        <w:t xml:space="preserve"> because such trade usually occurs in wet years and the NSW carryover rules are such that there is a low risk of third party impacts</w:t>
      </w:r>
      <w:r w:rsidRPr="005E0B4E">
        <w:rPr>
          <w:lang w:val="en-AU"/>
        </w:rPr>
        <w:t>.</w:t>
      </w:r>
      <w:r w:rsidRPr="009E5B4D">
        <w:rPr>
          <w:lang w:val="en-AU"/>
        </w:rPr>
        <w:t xml:space="preserve"> </w:t>
      </w:r>
      <w:r w:rsidRPr="00317F08">
        <w:rPr>
          <w:lang w:val="en-AU"/>
        </w:rPr>
        <w:t xml:space="preserve">NSW caps </w:t>
      </w:r>
      <w:r>
        <w:rPr>
          <w:lang w:val="en-AU"/>
        </w:rPr>
        <w:t xml:space="preserve">the sum of </w:t>
      </w:r>
      <w:r w:rsidRPr="00317F08">
        <w:rPr>
          <w:lang w:val="en-AU"/>
        </w:rPr>
        <w:t>annual allocation</w:t>
      </w:r>
      <w:r>
        <w:rPr>
          <w:lang w:val="en-AU"/>
        </w:rPr>
        <w:t>s</w:t>
      </w:r>
      <w:r w:rsidRPr="00317F08">
        <w:rPr>
          <w:lang w:val="en-AU"/>
        </w:rPr>
        <w:t xml:space="preserve"> plus carryover to 110% of held water entitlements</w:t>
      </w:r>
      <w:r w:rsidDel="005E0B4E">
        <w:rPr>
          <w:rStyle w:val="CommentReference"/>
        </w:rPr>
        <w:t xml:space="preserve"> </w:t>
      </w:r>
    </w:p>
    <w:p w14:paraId="2CC0AC4B" w14:textId="77777777" w:rsidR="00C01A50" w:rsidRPr="005E0B4E" w:rsidRDefault="00C01A50" w:rsidP="00302BD9">
      <w:pPr>
        <w:pStyle w:val="ListParagraph"/>
        <w:numPr>
          <w:ilvl w:val="0"/>
          <w:numId w:val="23"/>
        </w:numPr>
        <w:rPr>
          <w:lang w:val="en-AU"/>
        </w:rPr>
      </w:pPr>
      <w:r w:rsidRPr="00783410">
        <w:rPr>
          <w:b/>
          <w:lang w:val="en-AU"/>
        </w:rPr>
        <w:t>Goulburn to Murray:</w:t>
      </w:r>
      <w:r w:rsidRPr="005E0B4E">
        <w:rPr>
          <w:lang w:val="en-AU"/>
        </w:rPr>
        <w:t xml:space="preserve"> </w:t>
      </w:r>
      <w:r>
        <w:rPr>
          <w:lang w:val="en-AU"/>
        </w:rPr>
        <w:t xml:space="preserve">Water users in </w:t>
      </w:r>
      <w:r w:rsidRPr="005E0B4E">
        <w:rPr>
          <w:lang w:val="en-AU"/>
        </w:rPr>
        <w:t xml:space="preserve">the Goulburn, Campaspe and Loddon systems can trade </w:t>
      </w:r>
      <w:r>
        <w:rPr>
          <w:lang w:val="en-AU"/>
        </w:rPr>
        <w:t xml:space="preserve">allocations </w:t>
      </w:r>
      <w:r w:rsidRPr="005E0B4E">
        <w:rPr>
          <w:lang w:val="en-AU"/>
        </w:rPr>
        <w:t xml:space="preserve">to the Murray system, </w:t>
      </w:r>
      <w:r>
        <w:rPr>
          <w:lang w:val="en-AU"/>
        </w:rPr>
        <w:t xml:space="preserve">in Victoria, NSW </w:t>
      </w:r>
      <w:r w:rsidRPr="005E0B4E">
        <w:rPr>
          <w:lang w:val="en-AU"/>
        </w:rPr>
        <w:t xml:space="preserve">and South Australia while the total volume owed to the Murray system is less than 200 GL. </w:t>
      </w:r>
      <w:r>
        <w:rPr>
          <w:lang w:val="en-AU"/>
        </w:rPr>
        <w:t xml:space="preserve">Trade in the other direction, back trade, can occur while the total volume owed to the Murray is greater than zero.  Trade can continue to </w:t>
      </w:r>
      <w:r w:rsidRPr="005E0B4E">
        <w:rPr>
          <w:lang w:val="en-AU"/>
        </w:rPr>
        <w:t>occur provided the live balance does not exceed 200 GL. Approx</w:t>
      </w:r>
      <w:r>
        <w:rPr>
          <w:lang w:val="en-AU"/>
        </w:rPr>
        <w:t>imately</w:t>
      </w:r>
      <w:r w:rsidRPr="005E0B4E">
        <w:rPr>
          <w:lang w:val="en-AU"/>
        </w:rPr>
        <w:t xml:space="preserve"> 100 GL of </w:t>
      </w:r>
      <w:r>
        <w:rPr>
          <w:lang w:val="en-AU"/>
        </w:rPr>
        <w:t xml:space="preserve">entitlement was </w:t>
      </w:r>
      <w:r w:rsidRPr="005E0B4E">
        <w:rPr>
          <w:lang w:val="en-AU"/>
        </w:rPr>
        <w:t>trade</w:t>
      </w:r>
      <w:r>
        <w:rPr>
          <w:lang w:val="en-AU"/>
        </w:rPr>
        <w:t>d</w:t>
      </w:r>
      <w:r w:rsidRPr="005E0B4E">
        <w:rPr>
          <w:lang w:val="en-AU"/>
        </w:rPr>
        <w:t xml:space="preserve"> from the Goulburn to the Murray </w:t>
      </w:r>
      <w:r>
        <w:rPr>
          <w:lang w:val="en-AU"/>
        </w:rPr>
        <w:t xml:space="preserve">before the current tagged entitlement trade rules were introduced. This affects </w:t>
      </w:r>
      <w:r w:rsidRPr="005E0B4E">
        <w:rPr>
          <w:lang w:val="en-AU"/>
        </w:rPr>
        <w:t xml:space="preserve">the capacity for trade from the Goulburn system on some occasions. </w:t>
      </w:r>
    </w:p>
    <w:p w14:paraId="769E8C43" w14:textId="77777777" w:rsidR="00C01A50" w:rsidRPr="00FB1C9E" w:rsidRDefault="00C01A50" w:rsidP="00B640B4">
      <w:pPr>
        <w:pStyle w:val="Caption"/>
        <w:keepNext/>
        <w:keepLines/>
        <w:rPr>
          <w:lang w:val="en-AU"/>
        </w:rPr>
      </w:pPr>
      <w:r w:rsidRPr="00FB1C9E">
        <w:t xml:space="preserve">Table </w:t>
      </w:r>
      <w:r w:rsidRPr="00FB1C9E">
        <w:fldChar w:fldCharType="begin"/>
      </w:r>
      <w:r w:rsidRPr="00FB1C9E">
        <w:instrText xml:space="preserve"> SEQ Table \* ARABIC </w:instrText>
      </w:r>
      <w:r w:rsidRPr="00FB1C9E">
        <w:fldChar w:fldCharType="separate"/>
      </w:r>
      <w:r w:rsidR="008E5D7A">
        <w:rPr>
          <w:noProof/>
        </w:rPr>
        <w:t>3</w:t>
      </w:r>
      <w:r w:rsidRPr="00FB1C9E">
        <w:fldChar w:fldCharType="end"/>
      </w:r>
      <w:r w:rsidRPr="00FB1C9E">
        <w:t xml:space="preserve">: </w:t>
      </w:r>
      <w:r>
        <w:t>Net trade into Victoria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960"/>
        <w:gridCol w:w="960"/>
        <w:gridCol w:w="960"/>
        <w:gridCol w:w="959"/>
        <w:gridCol w:w="959"/>
        <w:gridCol w:w="959"/>
        <w:gridCol w:w="959"/>
        <w:gridCol w:w="960"/>
      </w:tblGrid>
      <w:tr w:rsidR="00C01A50" w:rsidRPr="00270441" w14:paraId="1AB85F87" w14:textId="77777777">
        <w:trPr>
          <w:cantSplit/>
        </w:trPr>
        <w:tc>
          <w:tcPr>
            <w:tcW w:w="1553" w:type="dxa"/>
            <w:shd w:val="clear" w:color="auto" w:fill="auto"/>
          </w:tcPr>
          <w:p w14:paraId="3B77F06F" w14:textId="77777777" w:rsidR="00C01A50" w:rsidRPr="00270441" w:rsidRDefault="00C01A50" w:rsidP="00B640B4">
            <w:pPr>
              <w:keepNext/>
              <w:keepLines/>
              <w:rPr>
                <w:rFonts w:ascii="Arial" w:hAnsi="Arial" w:cs="Arial"/>
                <w:color w:val="FF0000"/>
                <w:sz w:val="18"/>
                <w:szCs w:val="18"/>
                <w:lang w:val="en-AU"/>
              </w:rPr>
            </w:pPr>
          </w:p>
        </w:tc>
        <w:tc>
          <w:tcPr>
            <w:tcW w:w="971" w:type="dxa"/>
            <w:shd w:val="clear" w:color="auto" w:fill="auto"/>
          </w:tcPr>
          <w:p w14:paraId="034FA32D"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2008</w:t>
            </w:r>
            <w:r w:rsidR="00CE148E">
              <w:rPr>
                <w:rFonts w:ascii="Arial" w:hAnsi="Arial" w:cs="Arial"/>
                <w:sz w:val="18"/>
                <w:szCs w:val="18"/>
              </w:rPr>
              <w:t>/</w:t>
            </w:r>
            <w:r w:rsidRPr="00270441">
              <w:rPr>
                <w:rFonts w:ascii="Arial" w:hAnsi="Arial" w:cs="Arial"/>
                <w:sz w:val="18"/>
                <w:szCs w:val="18"/>
              </w:rPr>
              <w:t>09</w:t>
            </w:r>
          </w:p>
        </w:tc>
        <w:tc>
          <w:tcPr>
            <w:tcW w:w="971" w:type="dxa"/>
            <w:shd w:val="clear" w:color="auto" w:fill="auto"/>
          </w:tcPr>
          <w:p w14:paraId="2133A873"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2009</w:t>
            </w:r>
            <w:r w:rsidR="00CE148E">
              <w:rPr>
                <w:rFonts w:ascii="Arial" w:hAnsi="Arial" w:cs="Arial"/>
                <w:sz w:val="18"/>
                <w:szCs w:val="18"/>
              </w:rPr>
              <w:t>/</w:t>
            </w:r>
            <w:r w:rsidRPr="00270441">
              <w:rPr>
                <w:rFonts w:ascii="Arial" w:hAnsi="Arial" w:cs="Arial"/>
                <w:sz w:val="18"/>
                <w:szCs w:val="18"/>
              </w:rPr>
              <w:t>10</w:t>
            </w:r>
          </w:p>
        </w:tc>
        <w:tc>
          <w:tcPr>
            <w:tcW w:w="971" w:type="dxa"/>
            <w:shd w:val="clear" w:color="auto" w:fill="auto"/>
          </w:tcPr>
          <w:p w14:paraId="55D218F9"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2010</w:t>
            </w:r>
            <w:r w:rsidR="00CE148E">
              <w:rPr>
                <w:rFonts w:ascii="Arial" w:hAnsi="Arial" w:cs="Arial"/>
                <w:sz w:val="18"/>
                <w:szCs w:val="18"/>
              </w:rPr>
              <w:t>/</w:t>
            </w:r>
            <w:r w:rsidRPr="00270441">
              <w:rPr>
                <w:rFonts w:ascii="Arial" w:hAnsi="Arial" w:cs="Arial"/>
                <w:sz w:val="18"/>
                <w:szCs w:val="18"/>
              </w:rPr>
              <w:t>11</w:t>
            </w:r>
          </w:p>
        </w:tc>
        <w:tc>
          <w:tcPr>
            <w:tcW w:w="971" w:type="dxa"/>
            <w:shd w:val="clear" w:color="auto" w:fill="auto"/>
          </w:tcPr>
          <w:p w14:paraId="7814E717"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2011</w:t>
            </w:r>
            <w:r w:rsidR="00CE148E">
              <w:rPr>
                <w:rFonts w:ascii="Arial" w:hAnsi="Arial" w:cs="Arial"/>
                <w:sz w:val="18"/>
                <w:szCs w:val="18"/>
              </w:rPr>
              <w:t>/</w:t>
            </w:r>
            <w:r w:rsidRPr="00270441">
              <w:rPr>
                <w:rFonts w:ascii="Arial" w:hAnsi="Arial" w:cs="Arial"/>
                <w:sz w:val="18"/>
                <w:szCs w:val="18"/>
              </w:rPr>
              <w:t>12</w:t>
            </w:r>
          </w:p>
        </w:tc>
        <w:tc>
          <w:tcPr>
            <w:tcW w:w="971" w:type="dxa"/>
            <w:shd w:val="clear" w:color="auto" w:fill="auto"/>
          </w:tcPr>
          <w:p w14:paraId="54F24701"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2012</w:t>
            </w:r>
            <w:r w:rsidR="00CE148E">
              <w:rPr>
                <w:rFonts w:ascii="Arial" w:hAnsi="Arial" w:cs="Arial"/>
                <w:sz w:val="18"/>
                <w:szCs w:val="18"/>
              </w:rPr>
              <w:t>/</w:t>
            </w:r>
            <w:r w:rsidRPr="00270441">
              <w:rPr>
                <w:rFonts w:ascii="Arial" w:hAnsi="Arial" w:cs="Arial"/>
                <w:sz w:val="18"/>
                <w:szCs w:val="18"/>
              </w:rPr>
              <w:t>13</w:t>
            </w:r>
          </w:p>
        </w:tc>
        <w:tc>
          <w:tcPr>
            <w:tcW w:w="971" w:type="dxa"/>
            <w:shd w:val="clear" w:color="auto" w:fill="auto"/>
          </w:tcPr>
          <w:p w14:paraId="6D9ACFB2"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2013</w:t>
            </w:r>
            <w:r w:rsidR="00CE148E">
              <w:rPr>
                <w:rFonts w:ascii="Arial" w:hAnsi="Arial" w:cs="Arial"/>
                <w:sz w:val="18"/>
                <w:szCs w:val="18"/>
              </w:rPr>
              <w:t>/</w:t>
            </w:r>
            <w:r w:rsidRPr="00270441">
              <w:rPr>
                <w:rFonts w:ascii="Arial" w:hAnsi="Arial" w:cs="Arial"/>
                <w:sz w:val="18"/>
                <w:szCs w:val="18"/>
              </w:rPr>
              <w:t>14</w:t>
            </w:r>
          </w:p>
        </w:tc>
        <w:tc>
          <w:tcPr>
            <w:tcW w:w="971" w:type="dxa"/>
            <w:shd w:val="clear" w:color="auto" w:fill="auto"/>
          </w:tcPr>
          <w:p w14:paraId="671ED3CD"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2014</w:t>
            </w:r>
            <w:r w:rsidR="00CE148E">
              <w:rPr>
                <w:rFonts w:ascii="Arial" w:hAnsi="Arial" w:cs="Arial"/>
                <w:sz w:val="18"/>
                <w:szCs w:val="18"/>
              </w:rPr>
              <w:t>/</w:t>
            </w:r>
            <w:r w:rsidRPr="00270441">
              <w:rPr>
                <w:rFonts w:ascii="Arial" w:hAnsi="Arial" w:cs="Arial"/>
                <w:sz w:val="18"/>
                <w:szCs w:val="18"/>
              </w:rPr>
              <w:t>15</w:t>
            </w:r>
          </w:p>
        </w:tc>
        <w:tc>
          <w:tcPr>
            <w:tcW w:w="972" w:type="dxa"/>
            <w:shd w:val="clear" w:color="auto" w:fill="auto"/>
          </w:tcPr>
          <w:p w14:paraId="24B04E4B"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2015</w:t>
            </w:r>
            <w:r w:rsidR="00CE148E">
              <w:rPr>
                <w:rFonts w:ascii="Arial" w:hAnsi="Arial" w:cs="Arial"/>
                <w:sz w:val="18"/>
                <w:szCs w:val="18"/>
              </w:rPr>
              <w:t>/</w:t>
            </w:r>
            <w:r w:rsidRPr="00270441">
              <w:rPr>
                <w:rFonts w:ascii="Arial" w:hAnsi="Arial" w:cs="Arial"/>
                <w:sz w:val="18"/>
                <w:szCs w:val="18"/>
              </w:rPr>
              <w:t>16</w:t>
            </w:r>
          </w:p>
        </w:tc>
      </w:tr>
      <w:tr w:rsidR="00C01A50" w:rsidRPr="00270441" w14:paraId="299BBC7E" w14:textId="77777777">
        <w:trPr>
          <w:cantSplit/>
        </w:trPr>
        <w:tc>
          <w:tcPr>
            <w:tcW w:w="1553" w:type="dxa"/>
            <w:shd w:val="clear" w:color="auto" w:fill="auto"/>
          </w:tcPr>
          <w:p w14:paraId="2E356E13" w14:textId="77777777" w:rsidR="00C01A50" w:rsidRPr="00270441" w:rsidRDefault="00C01A50" w:rsidP="00B640B4">
            <w:pPr>
              <w:keepNext/>
              <w:keepLines/>
              <w:rPr>
                <w:rFonts w:ascii="Arial" w:hAnsi="Arial" w:cs="Arial"/>
                <w:sz w:val="18"/>
                <w:szCs w:val="18"/>
                <w:lang w:val="en-AU"/>
              </w:rPr>
            </w:pPr>
            <w:r w:rsidRPr="00270441">
              <w:rPr>
                <w:rFonts w:ascii="Arial" w:hAnsi="Arial" w:cs="Arial"/>
                <w:sz w:val="18"/>
                <w:szCs w:val="18"/>
                <w:lang w:val="en-AU"/>
              </w:rPr>
              <w:t>Observed water use (GL)</w:t>
            </w:r>
          </w:p>
        </w:tc>
        <w:tc>
          <w:tcPr>
            <w:tcW w:w="971" w:type="dxa"/>
            <w:shd w:val="clear" w:color="auto" w:fill="auto"/>
          </w:tcPr>
          <w:p w14:paraId="52CC92F0"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924</w:t>
            </w:r>
          </w:p>
        </w:tc>
        <w:tc>
          <w:tcPr>
            <w:tcW w:w="971" w:type="dxa"/>
            <w:shd w:val="clear" w:color="auto" w:fill="auto"/>
          </w:tcPr>
          <w:p w14:paraId="0D2DD855"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1,135</w:t>
            </w:r>
          </w:p>
        </w:tc>
        <w:tc>
          <w:tcPr>
            <w:tcW w:w="971" w:type="dxa"/>
            <w:shd w:val="clear" w:color="auto" w:fill="auto"/>
          </w:tcPr>
          <w:p w14:paraId="32D0F1DF"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751</w:t>
            </w:r>
          </w:p>
        </w:tc>
        <w:tc>
          <w:tcPr>
            <w:tcW w:w="971" w:type="dxa"/>
            <w:shd w:val="clear" w:color="auto" w:fill="auto"/>
          </w:tcPr>
          <w:p w14:paraId="14DBCC4F"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1,731</w:t>
            </w:r>
          </w:p>
        </w:tc>
        <w:tc>
          <w:tcPr>
            <w:tcW w:w="971" w:type="dxa"/>
            <w:shd w:val="clear" w:color="auto" w:fill="auto"/>
          </w:tcPr>
          <w:p w14:paraId="4F39B370"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2,402</w:t>
            </w:r>
          </w:p>
        </w:tc>
        <w:tc>
          <w:tcPr>
            <w:tcW w:w="971" w:type="dxa"/>
            <w:shd w:val="clear" w:color="auto" w:fill="auto"/>
          </w:tcPr>
          <w:p w14:paraId="73A5A720"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1,857</w:t>
            </w:r>
          </w:p>
        </w:tc>
        <w:tc>
          <w:tcPr>
            <w:tcW w:w="971" w:type="dxa"/>
            <w:shd w:val="clear" w:color="auto" w:fill="auto"/>
          </w:tcPr>
          <w:p w14:paraId="350975DB" w14:textId="77777777" w:rsidR="00C01A50" w:rsidRPr="00270441" w:rsidRDefault="00C01A50" w:rsidP="00B640B4">
            <w:pPr>
              <w:keepNext/>
              <w:keepLines/>
              <w:jc w:val="right"/>
              <w:rPr>
                <w:rFonts w:ascii="Arial" w:hAnsi="Arial" w:cs="Arial"/>
                <w:sz w:val="18"/>
                <w:szCs w:val="18"/>
              </w:rPr>
            </w:pPr>
            <w:r w:rsidRPr="00270441">
              <w:rPr>
                <w:rFonts w:ascii="Arial" w:hAnsi="Arial" w:cs="Arial"/>
                <w:sz w:val="18"/>
                <w:szCs w:val="18"/>
              </w:rPr>
              <w:t>2,033</w:t>
            </w:r>
          </w:p>
        </w:tc>
        <w:tc>
          <w:tcPr>
            <w:tcW w:w="972" w:type="dxa"/>
            <w:shd w:val="clear" w:color="auto" w:fill="auto"/>
          </w:tcPr>
          <w:p w14:paraId="46FB1685" w14:textId="77777777" w:rsidR="00C01A50" w:rsidRPr="00CA494D" w:rsidRDefault="00C01A50" w:rsidP="00B640B4">
            <w:pPr>
              <w:keepNext/>
              <w:keepLines/>
              <w:jc w:val="right"/>
              <w:rPr>
                <w:rFonts w:ascii="Arial" w:hAnsi="Arial" w:cs="Arial"/>
                <w:sz w:val="18"/>
                <w:szCs w:val="18"/>
              </w:rPr>
            </w:pPr>
            <w:r w:rsidRPr="00CA494D">
              <w:rPr>
                <w:rFonts w:ascii="Arial" w:hAnsi="Arial" w:cs="Arial"/>
                <w:sz w:val="18"/>
                <w:szCs w:val="18"/>
              </w:rPr>
              <w:t>1,762</w:t>
            </w:r>
          </w:p>
        </w:tc>
      </w:tr>
      <w:tr w:rsidR="00C01A50" w:rsidRPr="00270441" w14:paraId="49856F44" w14:textId="77777777">
        <w:trPr>
          <w:cantSplit/>
        </w:trPr>
        <w:tc>
          <w:tcPr>
            <w:tcW w:w="1553" w:type="dxa"/>
            <w:shd w:val="clear" w:color="auto" w:fill="auto"/>
          </w:tcPr>
          <w:p w14:paraId="569AEEE3" w14:textId="77777777" w:rsidR="00C01A50" w:rsidRPr="00270441" w:rsidRDefault="00C01A50" w:rsidP="00B640B4">
            <w:pPr>
              <w:keepNext/>
              <w:keepLines/>
              <w:jc w:val="left"/>
              <w:rPr>
                <w:rFonts w:ascii="Arial" w:hAnsi="Arial" w:cs="Arial"/>
                <w:sz w:val="18"/>
                <w:szCs w:val="18"/>
                <w:lang w:val="en-AU"/>
              </w:rPr>
            </w:pPr>
            <w:r>
              <w:rPr>
                <w:rFonts w:ascii="Arial" w:hAnsi="Arial" w:cs="Arial"/>
                <w:sz w:val="18"/>
                <w:szCs w:val="18"/>
                <w:lang w:val="en-AU"/>
              </w:rPr>
              <w:t>Net water allocation trade (into Victoria) (GL)</w:t>
            </w:r>
          </w:p>
        </w:tc>
        <w:tc>
          <w:tcPr>
            <w:tcW w:w="971" w:type="dxa"/>
            <w:shd w:val="clear" w:color="auto" w:fill="auto"/>
          </w:tcPr>
          <w:p w14:paraId="10CB4E63" w14:textId="77777777" w:rsidR="00C01A50" w:rsidRPr="00270441" w:rsidRDefault="00C01A50" w:rsidP="00B640B4">
            <w:pPr>
              <w:keepNext/>
              <w:keepLines/>
              <w:jc w:val="right"/>
              <w:rPr>
                <w:rFonts w:ascii="Arial" w:hAnsi="Arial" w:cs="Arial"/>
                <w:sz w:val="18"/>
                <w:szCs w:val="18"/>
              </w:rPr>
            </w:pPr>
            <w:r w:rsidRPr="00762485">
              <w:t>212</w:t>
            </w:r>
          </w:p>
        </w:tc>
        <w:tc>
          <w:tcPr>
            <w:tcW w:w="971" w:type="dxa"/>
            <w:shd w:val="clear" w:color="auto" w:fill="auto"/>
          </w:tcPr>
          <w:p w14:paraId="628AF039" w14:textId="77777777" w:rsidR="00C01A50" w:rsidRPr="00270441" w:rsidRDefault="00C01A50" w:rsidP="00B640B4">
            <w:pPr>
              <w:keepNext/>
              <w:keepLines/>
              <w:jc w:val="right"/>
              <w:rPr>
                <w:rFonts w:ascii="Arial" w:hAnsi="Arial" w:cs="Arial"/>
                <w:sz w:val="18"/>
                <w:szCs w:val="18"/>
              </w:rPr>
            </w:pPr>
            <w:r w:rsidRPr="00762485">
              <w:t>65</w:t>
            </w:r>
          </w:p>
        </w:tc>
        <w:tc>
          <w:tcPr>
            <w:tcW w:w="971" w:type="dxa"/>
            <w:shd w:val="clear" w:color="auto" w:fill="auto"/>
          </w:tcPr>
          <w:p w14:paraId="072EA6C2" w14:textId="77777777" w:rsidR="00C01A50" w:rsidRPr="00270441" w:rsidRDefault="00C01A50" w:rsidP="00B640B4">
            <w:pPr>
              <w:keepNext/>
              <w:keepLines/>
              <w:jc w:val="right"/>
              <w:rPr>
                <w:rFonts w:ascii="Arial" w:hAnsi="Arial" w:cs="Arial"/>
                <w:sz w:val="18"/>
                <w:szCs w:val="18"/>
              </w:rPr>
            </w:pPr>
            <w:r w:rsidRPr="00762485">
              <w:t>245</w:t>
            </w:r>
          </w:p>
        </w:tc>
        <w:tc>
          <w:tcPr>
            <w:tcW w:w="971" w:type="dxa"/>
            <w:shd w:val="clear" w:color="auto" w:fill="auto"/>
          </w:tcPr>
          <w:p w14:paraId="23C0111B" w14:textId="77777777" w:rsidR="00C01A50" w:rsidRPr="00270441" w:rsidRDefault="00C01A50" w:rsidP="00B640B4">
            <w:pPr>
              <w:keepNext/>
              <w:keepLines/>
              <w:jc w:val="right"/>
              <w:rPr>
                <w:rFonts w:ascii="Arial" w:hAnsi="Arial" w:cs="Arial"/>
                <w:sz w:val="18"/>
                <w:szCs w:val="18"/>
              </w:rPr>
            </w:pPr>
            <w:r w:rsidRPr="00762485">
              <w:t>-8</w:t>
            </w:r>
          </w:p>
        </w:tc>
        <w:tc>
          <w:tcPr>
            <w:tcW w:w="971" w:type="dxa"/>
            <w:shd w:val="clear" w:color="auto" w:fill="auto"/>
          </w:tcPr>
          <w:p w14:paraId="1A5D0E3B" w14:textId="77777777" w:rsidR="00C01A50" w:rsidRPr="00270441" w:rsidRDefault="00C01A50" w:rsidP="00B640B4">
            <w:pPr>
              <w:keepNext/>
              <w:keepLines/>
              <w:jc w:val="right"/>
              <w:rPr>
                <w:rFonts w:ascii="Arial" w:hAnsi="Arial" w:cs="Arial"/>
                <w:sz w:val="18"/>
                <w:szCs w:val="18"/>
              </w:rPr>
            </w:pPr>
            <w:r w:rsidRPr="00762485">
              <w:t>-146</w:t>
            </w:r>
          </w:p>
        </w:tc>
        <w:tc>
          <w:tcPr>
            <w:tcW w:w="971" w:type="dxa"/>
            <w:shd w:val="clear" w:color="auto" w:fill="auto"/>
          </w:tcPr>
          <w:p w14:paraId="7EF7A39A" w14:textId="77777777" w:rsidR="00C01A50" w:rsidRPr="00270441" w:rsidRDefault="00C01A50" w:rsidP="00B640B4">
            <w:pPr>
              <w:keepNext/>
              <w:keepLines/>
              <w:jc w:val="right"/>
              <w:rPr>
                <w:rFonts w:ascii="Arial" w:hAnsi="Arial" w:cs="Arial"/>
                <w:sz w:val="18"/>
                <w:szCs w:val="18"/>
              </w:rPr>
            </w:pPr>
            <w:r w:rsidRPr="00762485">
              <w:t>194</w:t>
            </w:r>
          </w:p>
        </w:tc>
        <w:tc>
          <w:tcPr>
            <w:tcW w:w="971" w:type="dxa"/>
            <w:shd w:val="clear" w:color="auto" w:fill="auto"/>
          </w:tcPr>
          <w:p w14:paraId="7D4C57A8" w14:textId="77777777" w:rsidR="00C01A50" w:rsidRPr="00270441" w:rsidRDefault="00C01A50" w:rsidP="00B640B4">
            <w:pPr>
              <w:keepNext/>
              <w:keepLines/>
              <w:jc w:val="right"/>
              <w:rPr>
                <w:rFonts w:ascii="Arial" w:hAnsi="Arial" w:cs="Arial"/>
                <w:sz w:val="18"/>
                <w:szCs w:val="18"/>
              </w:rPr>
            </w:pPr>
            <w:r w:rsidRPr="00762485">
              <w:t>60</w:t>
            </w:r>
          </w:p>
        </w:tc>
        <w:tc>
          <w:tcPr>
            <w:tcW w:w="972" w:type="dxa"/>
            <w:shd w:val="clear" w:color="auto" w:fill="auto"/>
          </w:tcPr>
          <w:p w14:paraId="74CBCD07" w14:textId="77777777" w:rsidR="00C01A50" w:rsidRPr="00CA494D" w:rsidRDefault="00C01A50" w:rsidP="00B640B4">
            <w:pPr>
              <w:keepNext/>
              <w:keepLines/>
              <w:jc w:val="right"/>
              <w:rPr>
                <w:rFonts w:ascii="Arial" w:hAnsi="Arial" w:cs="Arial"/>
                <w:sz w:val="18"/>
                <w:szCs w:val="18"/>
              </w:rPr>
            </w:pPr>
            <w:r w:rsidRPr="00762485">
              <w:t>223</w:t>
            </w:r>
          </w:p>
        </w:tc>
      </w:tr>
    </w:tbl>
    <w:p w14:paraId="1F0A68EF" w14:textId="77777777" w:rsidR="00C01A50" w:rsidRPr="009E3D32" w:rsidRDefault="00C01A50" w:rsidP="009E3D32">
      <w:pPr>
        <w:jc w:val="left"/>
        <w:rPr>
          <w:rFonts w:eastAsia="Calibri"/>
          <w:color w:val="000000"/>
          <w:sz w:val="18"/>
          <w:szCs w:val="22"/>
          <w:lang w:val="en-AU" w:bidi="ar-SA"/>
        </w:rPr>
      </w:pPr>
      <w:r w:rsidRPr="009E3D32">
        <w:rPr>
          <w:rFonts w:eastAsia="Calibri"/>
          <w:color w:val="000000"/>
          <w:sz w:val="18"/>
          <w:szCs w:val="22"/>
          <w:lang w:val="en-AU" w:bidi="ar-SA"/>
        </w:rPr>
        <w:t>Source: DELWP, 2016</w:t>
      </w:r>
      <w:r w:rsidR="004D3C4E">
        <w:rPr>
          <w:rFonts w:eastAsia="Calibri"/>
          <w:color w:val="000000"/>
          <w:sz w:val="18"/>
          <w:szCs w:val="22"/>
          <w:lang w:val="en-AU" w:bidi="ar-SA"/>
        </w:rPr>
        <w:t>a</w:t>
      </w:r>
      <w:r w:rsidRPr="009E3D32">
        <w:rPr>
          <w:rFonts w:eastAsia="Calibri"/>
          <w:color w:val="000000"/>
          <w:sz w:val="18"/>
          <w:szCs w:val="22"/>
          <w:lang w:val="en-AU" w:bidi="ar-SA"/>
        </w:rPr>
        <w:t>, pers. comm. DELWP.</w:t>
      </w:r>
    </w:p>
    <w:p w14:paraId="6D685B82" w14:textId="77777777" w:rsidR="00D23AC7" w:rsidRDefault="00D23AC7" w:rsidP="00D23AC7">
      <w:r>
        <w:lastRenderedPageBreak/>
        <w:t>Water allocation trade has been an important source of water for Victorian irrigators. Much of this water comes from the NSW Murrumbidgee and NSW Murray and is subject to the above trade constraints.</w:t>
      </w:r>
    </w:p>
    <w:p w14:paraId="578B7D64" w14:textId="77777777" w:rsidR="00C01A50" w:rsidRDefault="00C01A50" w:rsidP="00766877">
      <w:pPr>
        <w:pStyle w:val="Heading2"/>
        <w:rPr>
          <w:lang w:val="en-AU"/>
        </w:rPr>
      </w:pPr>
      <w:bookmarkStart w:id="62" w:name="_Ref336252342"/>
      <w:bookmarkStart w:id="63" w:name="_Ref336252394"/>
      <w:bookmarkStart w:id="64" w:name="_Toc347747797"/>
      <w:r w:rsidRPr="003B1DA3">
        <w:rPr>
          <w:lang w:val="en-AU"/>
        </w:rPr>
        <w:t xml:space="preserve">The main irrigated </w:t>
      </w:r>
      <w:r>
        <w:rPr>
          <w:lang w:val="en-AU"/>
        </w:rPr>
        <w:t>industries</w:t>
      </w:r>
      <w:r w:rsidRPr="003B1DA3">
        <w:rPr>
          <w:lang w:val="en-AU"/>
        </w:rPr>
        <w:t xml:space="preserve"> and their geographic centres</w:t>
      </w:r>
      <w:bookmarkEnd w:id="62"/>
      <w:bookmarkEnd w:id="63"/>
      <w:bookmarkEnd w:id="64"/>
    </w:p>
    <w:p w14:paraId="1D564636" w14:textId="77777777" w:rsidR="00C01A50" w:rsidRDefault="00C01A50" w:rsidP="003B1DA3">
      <w:pPr>
        <w:rPr>
          <w:lang w:val="en-AU"/>
        </w:rPr>
      </w:pPr>
      <w:r>
        <w:rPr>
          <w:lang w:val="en-AU"/>
        </w:rPr>
        <w:t>For the purposes of this report, it is helpful to think about water in the southern-connected Basin being used for three main types of irrigated enterprise. These are:</w:t>
      </w:r>
    </w:p>
    <w:p w14:paraId="11D05A24" w14:textId="77777777" w:rsidR="00C01A50" w:rsidRDefault="00C01A50" w:rsidP="00AB082F">
      <w:pPr>
        <w:numPr>
          <w:ilvl w:val="0"/>
          <w:numId w:val="3"/>
        </w:numPr>
        <w:rPr>
          <w:lang w:val="en-AU"/>
        </w:rPr>
      </w:pPr>
      <w:r w:rsidRPr="003B1DA3">
        <w:rPr>
          <w:lang w:val="en-AU"/>
        </w:rPr>
        <w:t>horticulture</w:t>
      </w:r>
    </w:p>
    <w:p w14:paraId="011EC65D" w14:textId="77777777" w:rsidR="00C01A50" w:rsidRDefault="00C01A50" w:rsidP="00AB082F">
      <w:pPr>
        <w:numPr>
          <w:ilvl w:val="0"/>
          <w:numId w:val="3"/>
        </w:numPr>
        <w:rPr>
          <w:lang w:val="en-AU"/>
        </w:rPr>
      </w:pPr>
      <w:r w:rsidRPr="003B1DA3">
        <w:rPr>
          <w:lang w:val="en-AU"/>
        </w:rPr>
        <w:t>dairying</w:t>
      </w:r>
      <w:r w:rsidRPr="00177D34">
        <w:rPr>
          <w:lang w:val="en-AU"/>
        </w:rPr>
        <w:t xml:space="preserve"> </w:t>
      </w:r>
      <w:r>
        <w:rPr>
          <w:lang w:val="en-AU"/>
        </w:rPr>
        <w:t xml:space="preserve">and </w:t>
      </w:r>
      <w:r w:rsidRPr="003B1DA3">
        <w:rPr>
          <w:lang w:val="en-AU"/>
        </w:rPr>
        <w:t>mixed farming</w:t>
      </w:r>
    </w:p>
    <w:p w14:paraId="14AC8281" w14:textId="77777777" w:rsidR="00C01A50" w:rsidRPr="00C70BE7" w:rsidRDefault="00C01A50" w:rsidP="00AB082F">
      <w:pPr>
        <w:numPr>
          <w:ilvl w:val="0"/>
          <w:numId w:val="3"/>
        </w:numPr>
        <w:rPr>
          <w:lang w:val="en-AU"/>
        </w:rPr>
      </w:pPr>
      <w:r w:rsidRPr="00C70BE7">
        <w:rPr>
          <w:lang w:val="en-AU"/>
        </w:rPr>
        <w:t xml:space="preserve">rice-based </w:t>
      </w:r>
      <w:r>
        <w:rPr>
          <w:lang w:val="en-AU"/>
        </w:rPr>
        <w:t xml:space="preserve">and </w:t>
      </w:r>
      <w:r w:rsidRPr="00C70BE7">
        <w:rPr>
          <w:lang w:val="en-AU"/>
        </w:rPr>
        <w:t>cotton-based annual cropping systems</w:t>
      </w:r>
      <w:r w:rsidR="005F3313">
        <w:rPr>
          <w:lang w:val="en-AU"/>
        </w:rPr>
        <w:t>.</w:t>
      </w:r>
    </w:p>
    <w:p w14:paraId="3917427E" w14:textId="77777777" w:rsidR="00C01A50" w:rsidRDefault="00C01A50" w:rsidP="00AA3800">
      <w:pPr>
        <w:rPr>
          <w:lang w:val="en-AU"/>
        </w:rPr>
      </w:pPr>
      <w:r>
        <w:rPr>
          <w:lang w:val="en-AU"/>
        </w:rPr>
        <w:t xml:space="preserve">It is common for these different groups to be referred to as different irrigation industries. At one level this is a useful abstraction because it helps to think about the broad movements of water in what is effectively a single water market operating throughout the southern-connected Basin. </w:t>
      </w:r>
    </w:p>
    <w:p w14:paraId="4C5EA085" w14:textId="77777777" w:rsidR="00C01A50" w:rsidRDefault="00C01A50" w:rsidP="00AA3800">
      <w:pPr>
        <w:rPr>
          <w:lang w:val="en-AU"/>
        </w:rPr>
      </w:pPr>
      <w:r>
        <w:rPr>
          <w:lang w:val="en-AU"/>
        </w:rPr>
        <w:t>At another level however, it is unhelpful to think about each type of irrigated enterprise as a monolith; to do so is to risk ignoring the reality that there are thousands of different men and women involved in irrigation in the Basin, and they are farming at a range of scales, with widely different levels of profitability. Their financial successes and failures depend on a range of things including the weather, commodity prices, their indebtedness, their exposure to personal crises, their costs of doing business, as well as water availability and water prices. The variations between irrigators within industries are often much greater than the variations between industries.</w:t>
      </w:r>
    </w:p>
    <w:p w14:paraId="6540EE13" w14:textId="77777777" w:rsidR="00C01A50" w:rsidRDefault="00C01A50" w:rsidP="00AA3800">
      <w:pPr>
        <w:rPr>
          <w:lang w:val="en-AU"/>
        </w:rPr>
      </w:pPr>
      <w:r>
        <w:rPr>
          <w:lang w:val="en-AU"/>
        </w:rPr>
        <w:t xml:space="preserve">For the purposes of this report, irrigation industries are discussed in the context of their patterns of water demand and how these might interact with the impacts of water </w:t>
      </w:r>
      <w:r w:rsidR="00D23AC7">
        <w:rPr>
          <w:lang w:val="en-AU"/>
        </w:rPr>
        <w:t>supply</w:t>
      </w:r>
      <w:r>
        <w:rPr>
          <w:lang w:val="en-AU"/>
        </w:rPr>
        <w:t xml:space="preserve"> under the Basin Plan. Since each of these industries is to some extent focused in </w:t>
      </w:r>
      <w:r w:rsidR="00D23AC7">
        <w:rPr>
          <w:lang w:val="en-AU"/>
        </w:rPr>
        <w:t>different</w:t>
      </w:r>
      <w:r>
        <w:rPr>
          <w:lang w:val="en-AU"/>
        </w:rPr>
        <w:t xml:space="preserve"> parts of the Basin, those interactions also influence the socio-economic impacts of the Basin Plan in different parts of the Basin.</w:t>
      </w:r>
    </w:p>
    <w:p w14:paraId="06FA2DFD" w14:textId="77777777" w:rsidR="00C01A50" w:rsidRPr="00601407" w:rsidRDefault="00C01A50" w:rsidP="00F74C7E">
      <w:pPr>
        <w:rPr>
          <w:lang w:val="en-US"/>
        </w:rPr>
      </w:pPr>
      <w:r>
        <w:rPr>
          <w:b/>
          <w:lang w:val="en-AU"/>
        </w:rPr>
        <w:t xml:space="preserve">Irrigated </w:t>
      </w:r>
      <w:r w:rsidRPr="00A67029">
        <w:rPr>
          <w:b/>
          <w:lang w:val="en-AU"/>
        </w:rPr>
        <w:t>horticulture</w:t>
      </w:r>
      <w:r>
        <w:rPr>
          <w:lang w:val="en-AU"/>
        </w:rPr>
        <w:t xml:space="preserve"> in the southern-connected Basin is concentrated in</w:t>
      </w:r>
      <w:r w:rsidRPr="00BC2D27">
        <w:rPr>
          <w:lang w:val="en-AU"/>
        </w:rPr>
        <w:t xml:space="preserve"> </w:t>
      </w:r>
      <w:r>
        <w:rPr>
          <w:lang w:val="en-AU"/>
        </w:rPr>
        <w:t xml:space="preserve">the Mallee regions of NSW, South Australia and Victoria, around Griffith in NSW and around Shepparton in Victoria. Perennial crops such as almonds, grapevines, citrus, pome fruits and stone fruits are </w:t>
      </w:r>
      <w:r w:rsidRPr="003441C0">
        <w:rPr>
          <w:i/>
          <w:lang w:val="en-US"/>
        </w:rPr>
        <w:t>non-interruptible</w:t>
      </w:r>
      <w:r w:rsidRPr="00601407">
        <w:rPr>
          <w:lang w:val="en-US"/>
        </w:rPr>
        <w:t xml:space="preserve"> in the sense that in the absence of irrigation, these crops may die and they will be expensive and time-consuming to replace. </w:t>
      </w:r>
      <w:r>
        <w:rPr>
          <w:lang w:val="en-US"/>
        </w:rPr>
        <w:t xml:space="preserve">Annual vegetable crops are interruptible, but their high value of production means that vegetable growers will typically remain in the water market at very high prices. While they are concentrated in the Mallee, there are very important horticultural plantings in the Murrumbidgee and the </w:t>
      </w:r>
      <w:r>
        <w:rPr>
          <w:lang w:val="en-AU"/>
        </w:rPr>
        <w:t>Goulburn-Murray Irrigation District (GMID)</w:t>
      </w:r>
      <w:r w:rsidRPr="00647A14">
        <w:rPr>
          <w:lang w:val="en-AU"/>
        </w:rPr>
        <w:t xml:space="preserve"> </w:t>
      </w:r>
      <w:r>
        <w:rPr>
          <w:lang w:val="en-AU"/>
        </w:rPr>
        <w:t>of Victoria.</w:t>
      </w:r>
    </w:p>
    <w:p w14:paraId="46C309A4" w14:textId="77777777" w:rsidR="00C01A50" w:rsidRPr="003441C0" w:rsidRDefault="00C01A50" w:rsidP="003441C0">
      <w:pPr>
        <w:rPr>
          <w:lang w:val="en-US"/>
        </w:rPr>
      </w:pPr>
      <w:r w:rsidRPr="00F74C7E">
        <w:rPr>
          <w:b/>
          <w:lang w:val="en-AU"/>
        </w:rPr>
        <w:t>Irrigated dairying and mixed farming</w:t>
      </w:r>
      <w:r>
        <w:rPr>
          <w:lang w:val="en-AU"/>
        </w:rPr>
        <w:t xml:space="preserve"> is concentrated in the GMID, with smaller levels of production in southern NSW and a low level of production in the Lower Lakes region of South Australia. </w:t>
      </w:r>
      <w:r>
        <w:rPr>
          <w:lang w:val="en-US"/>
        </w:rPr>
        <w:t>Dairying is</w:t>
      </w:r>
      <w:r w:rsidRPr="003441C0">
        <w:rPr>
          <w:lang w:val="en-US"/>
        </w:rPr>
        <w:t xml:space="preserve"> </w:t>
      </w:r>
      <w:r w:rsidRPr="003441C0">
        <w:rPr>
          <w:i/>
          <w:lang w:val="en-US"/>
        </w:rPr>
        <w:t>semi-interruptible</w:t>
      </w:r>
      <w:r w:rsidRPr="003441C0">
        <w:rPr>
          <w:lang w:val="en-US"/>
        </w:rPr>
        <w:t xml:space="preserve"> in the sense that there are substitutes for water in the form of purchased feed. Moreover, parts of the herd can be ‘parked’ on dryland farms in other areas if necessary. However, dairy nutrition requires a balance between dry feed and pastures, and in the long run, the </w:t>
      </w:r>
      <w:r>
        <w:rPr>
          <w:lang w:val="en-US"/>
        </w:rPr>
        <w:t>‘</w:t>
      </w:r>
      <w:r w:rsidRPr="003441C0">
        <w:rPr>
          <w:lang w:val="en-US"/>
        </w:rPr>
        <w:t>perennial</w:t>
      </w:r>
      <w:r>
        <w:rPr>
          <w:lang w:val="en-US"/>
        </w:rPr>
        <w:t>’</w:t>
      </w:r>
      <w:r w:rsidRPr="003441C0">
        <w:rPr>
          <w:lang w:val="en-US"/>
        </w:rPr>
        <w:t xml:space="preserve"> nature of herd</w:t>
      </w:r>
      <w:r>
        <w:rPr>
          <w:lang w:val="en-US"/>
        </w:rPr>
        <w:t>s</w:t>
      </w:r>
      <w:r w:rsidRPr="003441C0">
        <w:rPr>
          <w:lang w:val="en-US"/>
        </w:rPr>
        <w:t xml:space="preserve">, and the genetics on which </w:t>
      </w:r>
      <w:r>
        <w:rPr>
          <w:lang w:val="en-US"/>
        </w:rPr>
        <w:t>they are</w:t>
      </w:r>
      <w:r w:rsidRPr="003441C0">
        <w:rPr>
          <w:lang w:val="en-US"/>
        </w:rPr>
        <w:t xml:space="preserve"> based, will be expensive and time-consuming to replace if </w:t>
      </w:r>
      <w:r w:rsidRPr="003441C0">
        <w:rPr>
          <w:lang w:val="en-US"/>
        </w:rPr>
        <w:lastRenderedPageBreak/>
        <w:t>they cannot be maintained.</w:t>
      </w:r>
      <w:r>
        <w:rPr>
          <w:lang w:val="en-US"/>
        </w:rPr>
        <w:t xml:space="preserve"> Mixed farming</w:t>
      </w:r>
      <w:r w:rsidR="008B7E2F">
        <w:rPr>
          <w:lang w:val="en-US"/>
        </w:rPr>
        <w:t xml:space="preserve"> systems</w:t>
      </w:r>
      <w:r>
        <w:rPr>
          <w:lang w:val="en-US"/>
        </w:rPr>
        <w:t>, which</w:t>
      </w:r>
      <w:r w:rsidR="008B7E2F">
        <w:rPr>
          <w:lang w:val="en-US"/>
        </w:rPr>
        <w:t xml:space="preserve"> involve a mix of </w:t>
      </w:r>
      <w:r w:rsidR="00D23AC7">
        <w:rPr>
          <w:lang w:val="en-US"/>
        </w:rPr>
        <w:t>cropping</w:t>
      </w:r>
      <w:r w:rsidR="008B7E2F">
        <w:rPr>
          <w:lang w:val="en-US"/>
        </w:rPr>
        <w:t xml:space="preserve"> and grazing for meat and fibre,</w:t>
      </w:r>
      <w:r>
        <w:rPr>
          <w:lang w:val="en-US"/>
        </w:rPr>
        <w:t xml:space="preserve"> now accounts for around 10% of the total value of production in the GMID </w:t>
      </w:r>
      <w:r w:rsidRPr="00676AC2">
        <w:rPr>
          <w:lang w:val="en-US"/>
        </w:rPr>
        <w:t>(RMCG, 2016)</w:t>
      </w:r>
      <w:r>
        <w:rPr>
          <w:lang w:val="en-US"/>
        </w:rPr>
        <w:t>,</w:t>
      </w:r>
      <w:r w:rsidRPr="00676AC2">
        <w:rPr>
          <w:lang w:val="en-US"/>
        </w:rPr>
        <w:t xml:space="preserve"> </w:t>
      </w:r>
      <w:r>
        <w:rPr>
          <w:lang w:val="en-US"/>
        </w:rPr>
        <w:t xml:space="preserve">is </w:t>
      </w:r>
      <w:r w:rsidRPr="00205AAE">
        <w:rPr>
          <w:i/>
          <w:lang w:val="en-US"/>
        </w:rPr>
        <w:t>interruptible</w:t>
      </w:r>
      <w:r>
        <w:rPr>
          <w:lang w:val="en-US"/>
        </w:rPr>
        <w:t>, but increasingly it helps to provide feed to the dairy industry.</w:t>
      </w:r>
    </w:p>
    <w:p w14:paraId="4355C466" w14:textId="77777777" w:rsidR="0000068E" w:rsidRDefault="00C01A50" w:rsidP="00AA3800">
      <w:pPr>
        <w:rPr>
          <w:lang w:val="en-US"/>
        </w:rPr>
      </w:pPr>
      <w:r w:rsidRPr="00205AAE">
        <w:rPr>
          <w:b/>
          <w:lang w:val="en-AU"/>
        </w:rPr>
        <w:t>Rice-based annual cropping systems</w:t>
      </w:r>
      <w:r w:rsidRPr="003B1DA3">
        <w:rPr>
          <w:lang w:val="en-AU"/>
        </w:rPr>
        <w:t xml:space="preserve"> </w:t>
      </w:r>
      <w:r>
        <w:rPr>
          <w:lang w:val="en-AU"/>
        </w:rPr>
        <w:t xml:space="preserve">are concentrated in the Murrumbidgee and Murray regions of NSW. </w:t>
      </w:r>
      <w:r w:rsidRPr="00AB116F">
        <w:rPr>
          <w:lang w:val="en-US"/>
        </w:rPr>
        <w:t xml:space="preserve">These are </w:t>
      </w:r>
      <w:r w:rsidRPr="0048116F">
        <w:rPr>
          <w:i/>
          <w:lang w:val="en-US"/>
        </w:rPr>
        <w:t>interruptible</w:t>
      </w:r>
      <w:r w:rsidRPr="00AB116F">
        <w:rPr>
          <w:lang w:val="en-US"/>
        </w:rPr>
        <w:t xml:space="preserve"> in the sense that while income is foregone if they cannot be grown in a given year, they can be planted in another year in the hope of earning enough to offset those </w:t>
      </w:r>
      <w:r>
        <w:rPr>
          <w:lang w:val="en-US"/>
        </w:rPr>
        <w:t>foregone revenues</w:t>
      </w:r>
      <w:r w:rsidRPr="00AB116F">
        <w:rPr>
          <w:lang w:val="en-US"/>
        </w:rPr>
        <w:t xml:space="preserve">. </w:t>
      </w:r>
      <w:r>
        <w:rPr>
          <w:lang w:val="en-US"/>
        </w:rPr>
        <w:t xml:space="preserve">In years of high water availability, rice accounts for more water use than any other industry. </w:t>
      </w:r>
    </w:p>
    <w:p w14:paraId="4C5C6581" w14:textId="77777777" w:rsidR="00C01A50" w:rsidRDefault="00C01A50" w:rsidP="00AA3800">
      <w:pPr>
        <w:rPr>
          <w:lang w:val="en-AU"/>
        </w:rPr>
      </w:pPr>
      <w:r w:rsidRPr="0048116F">
        <w:rPr>
          <w:b/>
          <w:lang w:val="en-AU"/>
        </w:rPr>
        <w:t>Cotton-based annual cropping systems</w:t>
      </w:r>
      <w:r>
        <w:rPr>
          <w:lang w:val="en-AU"/>
        </w:rPr>
        <w:t xml:space="preserve"> are now common in the Murrumbidgee region, where they now </w:t>
      </w:r>
      <w:r w:rsidRPr="003432E5">
        <w:rPr>
          <w:lang w:val="en-AU"/>
        </w:rPr>
        <w:t>account for approximately 15%</w:t>
      </w:r>
      <w:r w:rsidRPr="003432E5">
        <w:rPr>
          <w:lang w:val="en-US"/>
        </w:rPr>
        <w:t xml:space="preserve"> of total water use</w:t>
      </w:r>
      <w:r w:rsidRPr="003432E5">
        <w:rPr>
          <w:lang w:val="en-AU"/>
        </w:rPr>
        <w:t>. At this stage they account for a small proportion of the total water use in the Murray region of NSW. Like rice-based systems, cotton-based systems are</w:t>
      </w:r>
      <w:r>
        <w:rPr>
          <w:lang w:val="en-AU"/>
        </w:rPr>
        <w:t xml:space="preserve"> </w:t>
      </w:r>
      <w:r w:rsidRPr="005F366F">
        <w:rPr>
          <w:i/>
          <w:lang w:val="en-AU"/>
        </w:rPr>
        <w:t>interruptible</w:t>
      </w:r>
      <w:r>
        <w:rPr>
          <w:lang w:val="en-AU"/>
        </w:rPr>
        <w:t>, but the higher value of their produce, coupled with the tendency for growers to have forward contracts for their production, means that they are likely to be still buying allocations at prices where rice farmers begin to sell.</w:t>
      </w:r>
    </w:p>
    <w:p w14:paraId="0FAEE7A6" w14:textId="77777777" w:rsidR="00C01A50" w:rsidRDefault="001B21E3" w:rsidP="00B640B4">
      <w:pPr>
        <w:keepNext/>
        <w:jc w:val="center"/>
        <w:rPr>
          <w:lang w:val="en-AU"/>
        </w:rPr>
      </w:pPr>
      <w:r>
        <w:rPr>
          <w:noProof/>
          <w:lang w:val="en-AU" w:eastAsia="en-AU" w:bidi="ar-SA"/>
        </w:rPr>
        <w:drawing>
          <wp:inline distT="0" distB="0" distL="0" distR="0" wp14:anchorId="7FCFD3A7" wp14:editId="10518386">
            <wp:extent cx="4257675" cy="28575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F9805B" w14:textId="77777777" w:rsidR="00C01A50" w:rsidRDefault="00C01A50" w:rsidP="009E3D32">
      <w:pPr>
        <w:pStyle w:val="Caption"/>
        <w:keepNext/>
      </w:pPr>
      <w:r>
        <w:t xml:space="preserve">Figure </w:t>
      </w:r>
      <w:r>
        <w:fldChar w:fldCharType="begin"/>
      </w:r>
      <w:r>
        <w:instrText xml:space="preserve"> SEQ Figure \* ARABIC </w:instrText>
      </w:r>
      <w:r>
        <w:fldChar w:fldCharType="separate"/>
      </w:r>
      <w:r w:rsidR="008E5D7A">
        <w:rPr>
          <w:noProof/>
        </w:rPr>
        <w:t>9</w:t>
      </w:r>
      <w:r>
        <w:fldChar w:fldCharType="end"/>
      </w:r>
      <w:r>
        <w:t>: Estimated water use by different irrigated industries in the southern-connected Basin since water recovery commenced.</w:t>
      </w:r>
    </w:p>
    <w:p w14:paraId="55BDED9C" w14:textId="77777777" w:rsidR="001B21E3" w:rsidRPr="009E3D32" w:rsidRDefault="009E3D32" w:rsidP="009E3D32">
      <w:pPr>
        <w:jc w:val="left"/>
        <w:rPr>
          <w:rFonts w:eastAsia="Calibri"/>
          <w:color w:val="000000"/>
          <w:sz w:val="18"/>
          <w:szCs w:val="22"/>
          <w:lang w:val="en-AU" w:bidi="ar-SA"/>
        </w:rPr>
      </w:pPr>
      <w:r w:rsidRPr="009E3D32">
        <w:rPr>
          <w:rFonts w:eastAsia="Calibri"/>
          <w:color w:val="000000"/>
          <w:sz w:val="18"/>
          <w:szCs w:val="22"/>
          <w:lang w:val="en-AU" w:bidi="ar-SA"/>
        </w:rPr>
        <w:t>Source: Data from figure 8, and relative water use estimates from RMCG 2016.</w:t>
      </w:r>
    </w:p>
    <w:p w14:paraId="72516F9B" w14:textId="77777777" w:rsidR="00C01A50" w:rsidRDefault="00C01A50" w:rsidP="00766877">
      <w:pPr>
        <w:pStyle w:val="Heading2"/>
        <w:rPr>
          <w:lang w:val="en-AU"/>
        </w:rPr>
      </w:pPr>
      <w:bookmarkStart w:id="65" w:name="_Toc347747798"/>
      <w:r w:rsidRPr="003B1DA3">
        <w:rPr>
          <w:lang w:val="en-AU"/>
        </w:rPr>
        <w:t>System dynamics</w:t>
      </w:r>
      <w:bookmarkEnd w:id="65"/>
    </w:p>
    <w:p w14:paraId="393389C4" w14:textId="77777777" w:rsidR="00C01A50" w:rsidRDefault="00C01A50" w:rsidP="003B1DA3">
      <w:pPr>
        <w:rPr>
          <w:lang w:val="en-AU"/>
        </w:rPr>
      </w:pPr>
      <w:r>
        <w:rPr>
          <w:lang w:val="en-AU"/>
        </w:rPr>
        <w:t xml:space="preserve">The presence of these three main industries in the southern-connected Basin, and the variations within them, provides the heterogeneity necessary to drive the water market. When allocations are abundant and water prices are low, rice farmers will typically (subject to the relativities in commodity prices) buy allocations from other irrigators in order to expand their plantings. When allocations are scarce and prices are high irrigators </w:t>
      </w:r>
      <w:r w:rsidRPr="00C6692B">
        <w:rPr>
          <w:lang w:val="en-AU"/>
        </w:rPr>
        <w:t>with</w:t>
      </w:r>
      <w:r w:rsidRPr="00C6692B">
        <w:rPr>
          <w:i/>
          <w:lang w:val="en-AU"/>
        </w:rPr>
        <w:t xml:space="preserve"> non-interruptible</w:t>
      </w:r>
      <w:r>
        <w:rPr>
          <w:lang w:val="en-AU"/>
        </w:rPr>
        <w:t xml:space="preserve"> enterprises will (subject to commodity prices) endeavour to protect their productive base by buying allocations and maintaining their production.</w:t>
      </w:r>
    </w:p>
    <w:p w14:paraId="0938F2CE" w14:textId="77777777" w:rsidR="00C01A50" w:rsidRDefault="00C01A50" w:rsidP="00B35C22">
      <w:pPr>
        <w:spacing w:after="240"/>
      </w:pPr>
      <w:r w:rsidRPr="00A90793">
        <w:lastRenderedPageBreak/>
        <w:t>The scenarios outlined in the text box below, which were developed by RMCG, throw light on how different sorts of enterprises behave in the allocation market, and how the market is evolving.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8"/>
      </w:tblGrid>
      <w:tr w:rsidR="00C01A50" w:rsidRPr="00A90793" w14:paraId="5CF11525" w14:textId="77777777">
        <w:tc>
          <w:tcPr>
            <w:tcW w:w="9394" w:type="dxa"/>
            <w:shd w:val="clear" w:color="auto" w:fill="auto"/>
          </w:tcPr>
          <w:p w14:paraId="68C79111" w14:textId="77777777" w:rsidR="00C01A50" w:rsidRPr="00A90793" w:rsidRDefault="00C01A50" w:rsidP="00B35C22">
            <w:pPr>
              <w:spacing w:after="120"/>
              <w:rPr>
                <w:i/>
                <w:color w:val="4F81BD"/>
              </w:rPr>
            </w:pPr>
            <w:r w:rsidRPr="00A90793">
              <w:rPr>
                <w:i/>
                <w:color w:val="4F81BD"/>
              </w:rPr>
              <w:t>Potential water availability scenarios developed by RMCG (personal communication, 2015)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9"/>
              <w:gridCol w:w="1558"/>
              <w:gridCol w:w="848"/>
              <w:gridCol w:w="837"/>
              <w:gridCol w:w="934"/>
              <w:gridCol w:w="665"/>
              <w:gridCol w:w="896"/>
              <w:gridCol w:w="2085"/>
            </w:tblGrid>
            <w:tr w:rsidR="00C01A50" w:rsidRPr="00A90793" w14:paraId="605A651D" w14:textId="77777777">
              <w:tc>
                <w:tcPr>
                  <w:tcW w:w="626" w:type="pct"/>
                  <w:vMerge w:val="restart"/>
                  <w:shd w:val="clear" w:color="auto" w:fill="auto"/>
                  <w:vAlign w:val="bottom"/>
                </w:tcPr>
                <w:p w14:paraId="4B1516E9" w14:textId="77777777" w:rsidR="00C01A50" w:rsidRPr="00A90793" w:rsidRDefault="00C01A50" w:rsidP="00B35C22">
                  <w:pPr>
                    <w:spacing w:before="60" w:after="120"/>
                    <w:ind w:right="-28"/>
                    <w:jc w:val="center"/>
                    <w:rPr>
                      <w:sz w:val="18"/>
                      <w:szCs w:val="18"/>
                    </w:rPr>
                  </w:pPr>
                  <w:r w:rsidRPr="00A90793">
                    <w:rPr>
                      <w:b/>
                      <w:sz w:val="18"/>
                      <w:szCs w:val="18"/>
                    </w:rPr>
                    <w:t>Scenario</w:t>
                  </w:r>
                </w:p>
              </w:tc>
              <w:tc>
                <w:tcPr>
                  <w:tcW w:w="871" w:type="pct"/>
                  <w:vMerge w:val="restart"/>
                  <w:shd w:val="clear" w:color="auto" w:fill="auto"/>
                  <w:vAlign w:val="bottom"/>
                </w:tcPr>
                <w:p w14:paraId="031CCB67" w14:textId="77777777" w:rsidR="00C01A50" w:rsidRPr="00A90793" w:rsidRDefault="00C01A50" w:rsidP="00B35C22">
                  <w:pPr>
                    <w:spacing w:before="60" w:after="120"/>
                    <w:ind w:right="-28"/>
                    <w:jc w:val="center"/>
                    <w:rPr>
                      <w:sz w:val="18"/>
                      <w:szCs w:val="18"/>
                    </w:rPr>
                  </w:pPr>
                  <w:r w:rsidRPr="00A90793">
                    <w:rPr>
                      <w:b/>
                      <w:sz w:val="18"/>
                      <w:szCs w:val="18"/>
                    </w:rPr>
                    <w:t>Allocation</w:t>
                  </w:r>
                </w:p>
              </w:tc>
              <w:tc>
                <w:tcPr>
                  <w:tcW w:w="942" w:type="pct"/>
                  <w:gridSpan w:val="2"/>
                  <w:shd w:val="clear" w:color="auto" w:fill="auto"/>
                </w:tcPr>
                <w:p w14:paraId="02B3F155" w14:textId="77777777" w:rsidR="00C01A50" w:rsidRPr="00A90793" w:rsidRDefault="00C01A50" w:rsidP="00B35C22">
                  <w:pPr>
                    <w:spacing w:before="60" w:after="20"/>
                    <w:ind w:left="-108" w:right="-108"/>
                    <w:jc w:val="center"/>
                    <w:rPr>
                      <w:sz w:val="18"/>
                      <w:szCs w:val="18"/>
                    </w:rPr>
                  </w:pPr>
                  <w:r w:rsidRPr="00A90793">
                    <w:rPr>
                      <w:b/>
                      <w:sz w:val="18"/>
                      <w:szCs w:val="18"/>
                    </w:rPr>
                    <w:t xml:space="preserve">Probability </w:t>
                  </w:r>
                  <w:r w:rsidRPr="00A90793">
                    <w:rPr>
                      <w:sz w:val="18"/>
                      <w:szCs w:val="18"/>
                    </w:rPr>
                    <w:t>(years in 20</w:t>
                  </w:r>
                  <w:r w:rsidRPr="00A90793">
                    <w:rPr>
                      <w:b/>
                      <w:sz w:val="18"/>
                      <w:szCs w:val="18"/>
                    </w:rPr>
                    <w:t>)</w:t>
                  </w:r>
                </w:p>
              </w:tc>
              <w:tc>
                <w:tcPr>
                  <w:tcW w:w="522" w:type="pct"/>
                  <w:vMerge w:val="restart"/>
                  <w:shd w:val="clear" w:color="auto" w:fill="auto"/>
                </w:tcPr>
                <w:p w14:paraId="4C3E0539" w14:textId="77777777" w:rsidR="00C01A50" w:rsidRPr="00A90793" w:rsidRDefault="00C01A50" w:rsidP="00B35C22">
                  <w:pPr>
                    <w:spacing w:before="60" w:after="20"/>
                    <w:ind w:right="-28"/>
                    <w:jc w:val="center"/>
                    <w:rPr>
                      <w:sz w:val="18"/>
                      <w:szCs w:val="18"/>
                    </w:rPr>
                  </w:pPr>
                  <w:r w:rsidRPr="00A90793">
                    <w:rPr>
                      <w:b/>
                      <w:sz w:val="18"/>
                      <w:szCs w:val="18"/>
                    </w:rPr>
                    <w:t xml:space="preserve">Water available </w:t>
                  </w:r>
                  <w:r w:rsidRPr="00A90793">
                    <w:rPr>
                      <w:sz w:val="18"/>
                      <w:szCs w:val="18"/>
                    </w:rPr>
                    <w:t>(GL)</w:t>
                  </w:r>
                </w:p>
              </w:tc>
              <w:tc>
                <w:tcPr>
                  <w:tcW w:w="372" w:type="pct"/>
                  <w:vMerge w:val="restart"/>
                  <w:shd w:val="clear" w:color="auto" w:fill="auto"/>
                  <w:vAlign w:val="bottom"/>
                </w:tcPr>
                <w:p w14:paraId="025B4727" w14:textId="77777777" w:rsidR="00C01A50" w:rsidRPr="00A90793" w:rsidRDefault="00C01A50" w:rsidP="00B35C22">
                  <w:pPr>
                    <w:spacing w:before="60" w:after="120"/>
                    <w:ind w:right="-28"/>
                    <w:jc w:val="center"/>
                    <w:rPr>
                      <w:sz w:val="18"/>
                      <w:szCs w:val="18"/>
                    </w:rPr>
                  </w:pPr>
                  <w:r w:rsidRPr="00A90793">
                    <w:rPr>
                      <w:b/>
                      <w:sz w:val="18"/>
                      <w:szCs w:val="18"/>
                    </w:rPr>
                    <w:t>Price</w:t>
                  </w:r>
                </w:p>
              </w:tc>
              <w:tc>
                <w:tcPr>
                  <w:tcW w:w="501" w:type="pct"/>
                  <w:vMerge w:val="restart"/>
                  <w:shd w:val="clear" w:color="auto" w:fill="auto"/>
                </w:tcPr>
                <w:p w14:paraId="02C56123" w14:textId="77777777" w:rsidR="00C01A50" w:rsidRPr="00A90793" w:rsidRDefault="00C01A50" w:rsidP="00B35C22">
                  <w:pPr>
                    <w:spacing w:before="60" w:after="20"/>
                    <w:ind w:left="-113" w:right="-113"/>
                    <w:jc w:val="center"/>
                    <w:rPr>
                      <w:b/>
                      <w:sz w:val="18"/>
                      <w:szCs w:val="18"/>
                    </w:rPr>
                  </w:pPr>
                  <w:r w:rsidRPr="00A90793">
                    <w:rPr>
                      <w:b/>
                      <w:sz w:val="18"/>
                      <w:szCs w:val="18"/>
                    </w:rPr>
                    <w:t>Year similar to scenario</w:t>
                  </w:r>
                </w:p>
              </w:tc>
              <w:tc>
                <w:tcPr>
                  <w:tcW w:w="1166" w:type="pct"/>
                  <w:vMerge w:val="restart"/>
                  <w:shd w:val="clear" w:color="auto" w:fill="auto"/>
                  <w:vAlign w:val="bottom"/>
                </w:tcPr>
                <w:p w14:paraId="692C3782" w14:textId="77777777" w:rsidR="00C01A50" w:rsidRPr="00A90793" w:rsidRDefault="00C01A50" w:rsidP="00B35C22">
                  <w:pPr>
                    <w:spacing w:before="60" w:after="120"/>
                    <w:ind w:right="-28"/>
                    <w:jc w:val="center"/>
                    <w:rPr>
                      <w:sz w:val="18"/>
                      <w:szCs w:val="18"/>
                    </w:rPr>
                  </w:pPr>
                  <w:r w:rsidRPr="00A90793">
                    <w:rPr>
                      <w:b/>
                      <w:sz w:val="18"/>
                      <w:szCs w:val="18"/>
                    </w:rPr>
                    <w:t>Enterprise behaviour</w:t>
                  </w:r>
                </w:p>
              </w:tc>
            </w:tr>
            <w:tr w:rsidR="00C01A50" w:rsidRPr="00A90793" w14:paraId="0DB0CEB4" w14:textId="77777777">
              <w:tc>
                <w:tcPr>
                  <w:tcW w:w="626" w:type="pct"/>
                  <w:vMerge/>
                  <w:shd w:val="clear" w:color="auto" w:fill="auto"/>
                </w:tcPr>
                <w:p w14:paraId="06E5FB81" w14:textId="77777777" w:rsidR="00C01A50" w:rsidRPr="00A90793" w:rsidRDefault="00C01A50" w:rsidP="00B35C22">
                  <w:pPr>
                    <w:spacing w:before="60" w:after="20"/>
                    <w:ind w:right="-28"/>
                    <w:jc w:val="center"/>
                    <w:rPr>
                      <w:sz w:val="18"/>
                      <w:szCs w:val="18"/>
                    </w:rPr>
                  </w:pPr>
                </w:p>
              </w:tc>
              <w:tc>
                <w:tcPr>
                  <w:tcW w:w="871" w:type="pct"/>
                  <w:vMerge/>
                  <w:shd w:val="clear" w:color="auto" w:fill="auto"/>
                </w:tcPr>
                <w:p w14:paraId="3FEE41E7" w14:textId="77777777" w:rsidR="00C01A50" w:rsidRPr="00A90793" w:rsidRDefault="00C01A50" w:rsidP="00B35C22">
                  <w:pPr>
                    <w:spacing w:before="60" w:after="20"/>
                    <w:ind w:right="-28"/>
                    <w:jc w:val="center"/>
                    <w:rPr>
                      <w:sz w:val="18"/>
                      <w:szCs w:val="18"/>
                    </w:rPr>
                  </w:pPr>
                </w:p>
              </w:tc>
              <w:tc>
                <w:tcPr>
                  <w:tcW w:w="474" w:type="pct"/>
                  <w:shd w:val="clear" w:color="auto" w:fill="auto"/>
                </w:tcPr>
                <w:p w14:paraId="3263240B" w14:textId="77777777" w:rsidR="00C01A50" w:rsidRPr="00A90793" w:rsidRDefault="00C01A50" w:rsidP="00B35C22">
                  <w:pPr>
                    <w:spacing w:before="40" w:after="20" w:line="200" w:lineRule="exact"/>
                    <w:ind w:right="-28"/>
                    <w:jc w:val="center"/>
                    <w:rPr>
                      <w:b/>
                      <w:sz w:val="18"/>
                      <w:szCs w:val="18"/>
                    </w:rPr>
                  </w:pPr>
                  <w:r w:rsidRPr="00A90793">
                    <w:rPr>
                      <w:b/>
                      <w:sz w:val="18"/>
                      <w:szCs w:val="18"/>
                    </w:rPr>
                    <w:t>Long-term</w:t>
                  </w:r>
                </w:p>
              </w:tc>
              <w:tc>
                <w:tcPr>
                  <w:tcW w:w="468" w:type="pct"/>
                  <w:shd w:val="clear" w:color="auto" w:fill="auto"/>
                </w:tcPr>
                <w:p w14:paraId="206A8DC5" w14:textId="77777777" w:rsidR="00C01A50" w:rsidRPr="00A90793" w:rsidRDefault="00C01A50" w:rsidP="00B35C22">
                  <w:pPr>
                    <w:spacing w:before="40" w:after="20" w:line="200" w:lineRule="exact"/>
                    <w:ind w:right="-28"/>
                    <w:jc w:val="center"/>
                    <w:rPr>
                      <w:b/>
                      <w:sz w:val="18"/>
                      <w:szCs w:val="18"/>
                    </w:rPr>
                  </w:pPr>
                  <w:r w:rsidRPr="00A90793">
                    <w:rPr>
                      <w:b/>
                      <w:sz w:val="18"/>
                      <w:szCs w:val="18"/>
                    </w:rPr>
                    <w:t>Last 20 years</w:t>
                  </w:r>
                </w:p>
              </w:tc>
              <w:tc>
                <w:tcPr>
                  <w:tcW w:w="522" w:type="pct"/>
                  <w:vMerge/>
                  <w:shd w:val="clear" w:color="auto" w:fill="auto"/>
                </w:tcPr>
                <w:p w14:paraId="32CD74E4" w14:textId="77777777" w:rsidR="00C01A50" w:rsidRPr="00A90793" w:rsidRDefault="00C01A50" w:rsidP="00B35C22">
                  <w:pPr>
                    <w:spacing w:before="60" w:after="20"/>
                    <w:ind w:right="-28"/>
                    <w:jc w:val="center"/>
                    <w:rPr>
                      <w:sz w:val="18"/>
                      <w:szCs w:val="18"/>
                    </w:rPr>
                  </w:pPr>
                </w:p>
              </w:tc>
              <w:tc>
                <w:tcPr>
                  <w:tcW w:w="372" w:type="pct"/>
                  <w:vMerge/>
                  <w:shd w:val="clear" w:color="auto" w:fill="auto"/>
                </w:tcPr>
                <w:p w14:paraId="0F0A1CC2" w14:textId="77777777" w:rsidR="00C01A50" w:rsidRPr="00A90793" w:rsidRDefault="00C01A50" w:rsidP="00B35C22">
                  <w:pPr>
                    <w:spacing w:before="60" w:after="20"/>
                    <w:ind w:right="-28"/>
                    <w:jc w:val="center"/>
                    <w:rPr>
                      <w:sz w:val="18"/>
                      <w:szCs w:val="18"/>
                    </w:rPr>
                  </w:pPr>
                </w:p>
              </w:tc>
              <w:tc>
                <w:tcPr>
                  <w:tcW w:w="501" w:type="pct"/>
                  <w:vMerge/>
                  <w:shd w:val="clear" w:color="auto" w:fill="auto"/>
                </w:tcPr>
                <w:p w14:paraId="11FDEE5C" w14:textId="77777777" w:rsidR="00C01A50" w:rsidRPr="00A90793" w:rsidRDefault="00C01A50" w:rsidP="00B35C22">
                  <w:pPr>
                    <w:spacing w:before="60" w:after="20"/>
                    <w:ind w:right="-28"/>
                    <w:jc w:val="center"/>
                    <w:rPr>
                      <w:sz w:val="18"/>
                      <w:szCs w:val="18"/>
                    </w:rPr>
                  </w:pPr>
                </w:p>
              </w:tc>
              <w:tc>
                <w:tcPr>
                  <w:tcW w:w="1166" w:type="pct"/>
                  <w:vMerge/>
                  <w:shd w:val="clear" w:color="auto" w:fill="auto"/>
                </w:tcPr>
                <w:p w14:paraId="55ADF585" w14:textId="77777777" w:rsidR="00C01A50" w:rsidRPr="00A90793" w:rsidRDefault="00C01A50" w:rsidP="00B35C22">
                  <w:pPr>
                    <w:spacing w:before="60" w:after="20"/>
                    <w:ind w:right="-28"/>
                    <w:jc w:val="center"/>
                    <w:rPr>
                      <w:sz w:val="18"/>
                      <w:szCs w:val="18"/>
                    </w:rPr>
                  </w:pPr>
                </w:p>
              </w:tc>
            </w:tr>
            <w:tr w:rsidR="00C01A50" w:rsidRPr="00A90793" w14:paraId="1D216864" w14:textId="77777777">
              <w:tc>
                <w:tcPr>
                  <w:tcW w:w="626" w:type="pct"/>
                  <w:shd w:val="clear" w:color="auto" w:fill="B8CCE4"/>
                </w:tcPr>
                <w:p w14:paraId="52F68BA2" w14:textId="77777777" w:rsidR="00C01A50" w:rsidRPr="00A90793" w:rsidRDefault="00C01A50" w:rsidP="00B35C22">
                  <w:pPr>
                    <w:keepNext/>
                    <w:keepLines/>
                    <w:spacing w:before="60" w:after="20"/>
                    <w:rPr>
                      <w:b/>
                      <w:sz w:val="18"/>
                      <w:szCs w:val="18"/>
                    </w:rPr>
                  </w:pPr>
                  <w:r w:rsidRPr="00A90793">
                    <w:rPr>
                      <w:b/>
                      <w:sz w:val="18"/>
                      <w:szCs w:val="18"/>
                    </w:rPr>
                    <w:t>Very wet</w:t>
                  </w:r>
                </w:p>
              </w:tc>
              <w:tc>
                <w:tcPr>
                  <w:tcW w:w="871" w:type="pct"/>
                  <w:shd w:val="clear" w:color="auto" w:fill="B8CCE4"/>
                </w:tcPr>
                <w:p w14:paraId="5757A130" w14:textId="77777777" w:rsidR="00C01A50" w:rsidRPr="00A90793" w:rsidRDefault="00C01A50" w:rsidP="00B35C22">
                  <w:pPr>
                    <w:keepNext/>
                    <w:keepLines/>
                    <w:spacing w:before="60" w:after="20"/>
                    <w:ind w:right="-108"/>
                    <w:rPr>
                      <w:sz w:val="18"/>
                      <w:szCs w:val="18"/>
                    </w:rPr>
                  </w:pPr>
                  <w:r w:rsidRPr="00A90793">
                    <w:rPr>
                      <w:sz w:val="18"/>
                      <w:szCs w:val="18"/>
                    </w:rPr>
                    <w:t>Some low-reliability</w:t>
                  </w:r>
                </w:p>
              </w:tc>
              <w:tc>
                <w:tcPr>
                  <w:tcW w:w="474" w:type="pct"/>
                  <w:shd w:val="clear" w:color="auto" w:fill="B8CCE4"/>
                </w:tcPr>
                <w:p w14:paraId="57CF9863" w14:textId="77777777" w:rsidR="00C01A50" w:rsidRPr="00A90793" w:rsidRDefault="00C01A50" w:rsidP="00B35C22">
                  <w:pPr>
                    <w:keepNext/>
                    <w:keepLines/>
                    <w:spacing w:before="60" w:after="20"/>
                    <w:jc w:val="center"/>
                    <w:rPr>
                      <w:sz w:val="18"/>
                      <w:szCs w:val="18"/>
                    </w:rPr>
                  </w:pPr>
                  <w:r w:rsidRPr="00A90793">
                    <w:rPr>
                      <w:sz w:val="18"/>
                      <w:szCs w:val="18"/>
                    </w:rPr>
                    <w:t>7</w:t>
                  </w:r>
                </w:p>
              </w:tc>
              <w:tc>
                <w:tcPr>
                  <w:tcW w:w="468" w:type="pct"/>
                  <w:shd w:val="clear" w:color="auto" w:fill="B8CCE4"/>
                </w:tcPr>
                <w:p w14:paraId="5215E1A9" w14:textId="77777777" w:rsidR="00C01A50" w:rsidRPr="00A90793" w:rsidRDefault="00C01A50" w:rsidP="00B35C22">
                  <w:pPr>
                    <w:keepNext/>
                    <w:keepLines/>
                    <w:spacing w:before="60" w:after="20"/>
                    <w:jc w:val="center"/>
                    <w:rPr>
                      <w:sz w:val="18"/>
                      <w:szCs w:val="18"/>
                    </w:rPr>
                  </w:pPr>
                  <w:r w:rsidRPr="00A90793">
                    <w:rPr>
                      <w:sz w:val="18"/>
                      <w:szCs w:val="18"/>
                    </w:rPr>
                    <w:t>3</w:t>
                  </w:r>
                </w:p>
              </w:tc>
              <w:tc>
                <w:tcPr>
                  <w:tcW w:w="522" w:type="pct"/>
                  <w:shd w:val="clear" w:color="auto" w:fill="B8CCE4"/>
                </w:tcPr>
                <w:p w14:paraId="2C7EE61D" w14:textId="77777777" w:rsidR="00C01A50" w:rsidRPr="00A90793" w:rsidRDefault="00C01A50" w:rsidP="00B35C22">
                  <w:pPr>
                    <w:keepNext/>
                    <w:keepLines/>
                    <w:spacing w:before="60" w:after="20"/>
                    <w:ind w:right="170"/>
                    <w:jc w:val="right"/>
                    <w:rPr>
                      <w:sz w:val="18"/>
                      <w:szCs w:val="18"/>
                    </w:rPr>
                  </w:pPr>
                  <w:r w:rsidRPr="00A90793">
                    <w:rPr>
                      <w:sz w:val="18"/>
                      <w:szCs w:val="18"/>
                    </w:rPr>
                    <w:t>6,500</w:t>
                  </w:r>
                </w:p>
              </w:tc>
              <w:tc>
                <w:tcPr>
                  <w:tcW w:w="372" w:type="pct"/>
                  <w:shd w:val="clear" w:color="auto" w:fill="B8CCE4"/>
                </w:tcPr>
                <w:p w14:paraId="1B4EB896" w14:textId="77777777" w:rsidR="00C01A50" w:rsidRPr="00A90793" w:rsidRDefault="00C01A50" w:rsidP="00B35C22">
                  <w:pPr>
                    <w:keepNext/>
                    <w:keepLines/>
                    <w:spacing w:before="60" w:after="20"/>
                    <w:ind w:right="57"/>
                    <w:jc w:val="right"/>
                    <w:rPr>
                      <w:sz w:val="18"/>
                      <w:szCs w:val="18"/>
                    </w:rPr>
                  </w:pPr>
                  <w:r w:rsidRPr="00A90793">
                    <w:rPr>
                      <w:sz w:val="18"/>
                      <w:szCs w:val="18"/>
                    </w:rPr>
                    <w:t>$20</w:t>
                  </w:r>
                </w:p>
              </w:tc>
              <w:tc>
                <w:tcPr>
                  <w:tcW w:w="501" w:type="pct"/>
                  <w:shd w:val="clear" w:color="auto" w:fill="B8CCE4"/>
                </w:tcPr>
                <w:p w14:paraId="360C01FF" w14:textId="77777777" w:rsidR="00C01A50" w:rsidRPr="00A90793" w:rsidRDefault="00C01A50" w:rsidP="00B35C22">
                  <w:pPr>
                    <w:spacing w:before="60" w:after="20"/>
                    <w:jc w:val="center"/>
                    <w:rPr>
                      <w:sz w:val="18"/>
                      <w:szCs w:val="18"/>
                    </w:rPr>
                  </w:pPr>
                  <w:r w:rsidRPr="00A90793">
                    <w:rPr>
                      <w:sz w:val="18"/>
                      <w:szCs w:val="18"/>
                    </w:rPr>
                    <w:t>2011/12</w:t>
                  </w:r>
                </w:p>
              </w:tc>
              <w:tc>
                <w:tcPr>
                  <w:tcW w:w="1166" w:type="pct"/>
                  <w:shd w:val="clear" w:color="auto" w:fill="B8CCE4"/>
                </w:tcPr>
                <w:p w14:paraId="05B573A0" w14:textId="77777777" w:rsidR="00C01A50" w:rsidRPr="00A90793" w:rsidRDefault="00C01A50" w:rsidP="00B35C22">
                  <w:pPr>
                    <w:keepNext/>
                    <w:keepLines/>
                    <w:spacing w:before="60" w:after="20"/>
                    <w:rPr>
                      <w:sz w:val="18"/>
                      <w:szCs w:val="18"/>
                    </w:rPr>
                  </w:pPr>
                  <w:r w:rsidRPr="00A90793">
                    <w:rPr>
                      <w:sz w:val="18"/>
                      <w:szCs w:val="18"/>
                    </w:rPr>
                    <w:t>Water carried over</w:t>
                  </w:r>
                </w:p>
              </w:tc>
            </w:tr>
            <w:tr w:rsidR="00C01A50" w:rsidRPr="00A90793" w14:paraId="3326D295" w14:textId="77777777">
              <w:tc>
                <w:tcPr>
                  <w:tcW w:w="626" w:type="pct"/>
                  <w:shd w:val="clear" w:color="auto" w:fill="DBE5F1"/>
                </w:tcPr>
                <w:p w14:paraId="25AE7EB3" w14:textId="77777777" w:rsidR="00C01A50" w:rsidRPr="00A90793" w:rsidRDefault="00C01A50" w:rsidP="00B35C22">
                  <w:pPr>
                    <w:keepNext/>
                    <w:keepLines/>
                    <w:spacing w:before="60" w:after="20"/>
                    <w:ind w:right="-120"/>
                    <w:rPr>
                      <w:b/>
                      <w:sz w:val="18"/>
                      <w:szCs w:val="18"/>
                    </w:rPr>
                  </w:pPr>
                  <w:r w:rsidRPr="00A90793">
                    <w:rPr>
                      <w:b/>
                      <w:sz w:val="18"/>
                      <w:szCs w:val="18"/>
                    </w:rPr>
                    <w:t>Medium-wet</w:t>
                  </w:r>
                </w:p>
              </w:tc>
              <w:tc>
                <w:tcPr>
                  <w:tcW w:w="871" w:type="pct"/>
                  <w:shd w:val="clear" w:color="auto" w:fill="DBE5F1"/>
                </w:tcPr>
                <w:p w14:paraId="323F5F9C" w14:textId="77777777" w:rsidR="00C01A50" w:rsidRPr="00A90793" w:rsidRDefault="00C01A50" w:rsidP="00B35C22">
                  <w:pPr>
                    <w:keepNext/>
                    <w:keepLines/>
                    <w:spacing w:before="60" w:after="20"/>
                    <w:ind w:right="-108"/>
                    <w:rPr>
                      <w:sz w:val="18"/>
                      <w:szCs w:val="18"/>
                    </w:rPr>
                  </w:pPr>
                  <w:r w:rsidRPr="00A90793">
                    <w:rPr>
                      <w:sz w:val="18"/>
                      <w:szCs w:val="18"/>
                    </w:rPr>
                    <w:t>95% general security</w:t>
                  </w:r>
                </w:p>
              </w:tc>
              <w:tc>
                <w:tcPr>
                  <w:tcW w:w="474" w:type="pct"/>
                  <w:shd w:val="clear" w:color="auto" w:fill="DBE5F1"/>
                </w:tcPr>
                <w:p w14:paraId="4443C18F" w14:textId="77777777" w:rsidR="00C01A50" w:rsidRPr="00A90793" w:rsidRDefault="00C01A50" w:rsidP="00B35C22">
                  <w:pPr>
                    <w:keepNext/>
                    <w:keepLines/>
                    <w:spacing w:before="60" w:after="20"/>
                    <w:jc w:val="center"/>
                    <w:rPr>
                      <w:sz w:val="18"/>
                      <w:szCs w:val="18"/>
                    </w:rPr>
                  </w:pPr>
                  <w:r w:rsidRPr="00A90793">
                    <w:rPr>
                      <w:sz w:val="18"/>
                      <w:szCs w:val="18"/>
                    </w:rPr>
                    <w:t>4</w:t>
                  </w:r>
                </w:p>
              </w:tc>
              <w:tc>
                <w:tcPr>
                  <w:tcW w:w="468" w:type="pct"/>
                  <w:shd w:val="clear" w:color="auto" w:fill="DBE5F1"/>
                </w:tcPr>
                <w:p w14:paraId="76655546" w14:textId="77777777" w:rsidR="00C01A50" w:rsidRPr="00A90793" w:rsidRDefault="00C01A50" w:rsidP="00B35C22">
                  <w:pPr>
                    <w:keepNext/>
                    <w:keepLines/>
                    <w:spacing w:before="60" w:after="20"/>
                    <w:jc w:val="center"/>
                    <w:rPr>
                      <w:sz w:val="18"/>
                      <w:szCs w:val="18"/>
                    </w:rPr>
                  </w:pPr>
                  <w:r w:rsidRPr="00A90793">
                    <w:rPr>
                      <w:sz w:val="18"/>
                      <w:szCs w:val="18"/>
                    </w:rPr>
                    <w:t>5</w:t>
                  </w:r>
                </w:p>
              </w:tc>
              <w:tc>
                <w:tcPr>
                  <w:tcW w:w="522" w:type="pct"/>
                  <w:shd w:val="clear" w:color="auto" w:fill="DBE5F1"/>
                </w:tcPr>
                <w:p w14:paraId="288565D4" w14:textId="77777777" w:rsidR="00C01A50" w:rsidRPr="00A90793" w:rsidRDefault="00C01A50" w:rsidP="00B35C22">
                  <w:pPr>
                    <w:keepNext/>
                    <w:keepLines/>
                    <w:spacing w:before="60" w:after="20"/>
                    <w:ind w:right="170"/>
                    <w:jc w:val="right"/>
                    <w:rPr>
                      <w:sz w:val="18"/>
                      <w:szCs w:val="18"/>
                    </w:rPr>
                  </w:pPr>
                  <w:r w:rsidRPr="00A90793">
                    <w:rPr>
                      <w:sz w:val="18"/>
                      <w:szCs w:val="18"/>
                    </w:rPr>
                    <w:t>6,100</w:t>
                  </w:r>
                </w:p>
              </w:tc>
              <w:tc>
                <w:tcPr>
                  <w:tcW w:w="372" w:type="pct"/>
                  <w:shd w:val="clear" w:color="auto" w:fill="DBE5F1"/>
                </w:tcPr>
                <w:p w14:paraId="20A0322F" w14:textId="77777777" w:rsidR="00C01A50" w:rsidRPr="00A90793" w:rsidRDefault="00C01A50" w:rsidP="00B35C22">
                  <w:pPr>
                    <w:keepNext/>
                    <w:keepLines/>
                    <w:spacing w:before="60" w:after="20"/>
                    <w:ind w:right="57"/>
                    <w:jc w:val="right"/>
                    <w:rPr>
                      <w:sz w:val="18"/>
                      <w:szCs w:val="18"/>
                    </w:rPr>
                  </w:pPr>
                  <w:r w:rsidRPr="00A90793">
                    <w:rPr>
                      <w:sz w:val="18"/>
                      <w:szCs w:val="18"/>
                    </w:rPr>
                    <w:t>$45</w:t>
                  </w:r>
                </w:p>
              </w:tc>
              <w:tc>
                <w:tcPr>
                  <w:tcW w:w="501" w:type="pct"/>
                  <w:shd w:val="clear" w:color="auto" w:fill="DBE5F1"/>
                </w:tcPr>
                <w:p w14:paraId="3CB20972" w14:textId="77777777" w:rsidR="00C01A50" w:rsidRPr="00A90793" w:rsidRDefault="00C01A50" w:rsidP="00B35C22">
                  <w:pPr>
                    <w:spacing w:before="60" w:after="20"/>
                    <w:jc w:val="center"/>
                    <w:rPr>
                      <w:sz w:val="18"/>
                      <w:szCs w:val="18"/>
                    </w:rPr>
                  </w:pPr>
                  <w:r w:rsidRPr="00A90793">
                    <w:rPr>
                      <w:sz w:val="18"/>
                      <w:szCs w:val="18"/>
                    </w:rPr>
                    <w:t>2012/13</w:t>
                  </w:r>
                </w:p>
              </w:tc>
              <w:tc>
                <w:tcPr>
                  <w:tcW w:w="1166" w:type="pct"/>
                  <w:shd w:val="clear" w:color="auto" w:fill="DBE5F1"/>
                </w:tcPr>
                <w:p w14:paraId="15212220" w14:textId="77777777" w:rsidR="00C01A50" w:rsidRPr="00A90793" w:rsidRDefault="00C01A50" w:rsidP="00B35C22">
                  <w:pPr>
                    <w:keepNext/>
                    <w:keepLines/>
                    <w:spacing w:before="60" w:after="20"/>
                    <w:rPr>
                      <w:sz w:val="18"/>
                      <w:szCs w:val="18"/>
                    </w:rPr>
                  </w:pPr>
                  <w:r w:rsidRPr="00A90793">
                    <w:rPr>
                      <w:sz w:val="18"/>
                      <w:szCs w:val="18"/>
                    </w:rPr>
                    <w:t>Rice farmers buy</w:t>
                  </w:r>
                </w:p>
              </w:tc>
            </w:tr>
            <w:tr w:rsidR="00C01A50" w:rsidRPr="00A90793" w14:paraId="7115A930" w14:textId="77777777">
              <w:tc>
                <w:tcPr>
                  <w:tcW w:w="626" w:type="pct"/>
                  <w:shd w:val="clear" w:color="auto" w:fill="C9A6E4"/>
                </w:tcPr>
                <w:p w14:paraId="7369775E" w14:textId="77777777" w:rsidR="00C01A50" w:rsidRPr="00A90793" w:rsidRDefault="00C01A50" w:rsidP="00B35C22">
                  <w:pPr>
                    <w:keepNext/>
                    <w:keepLines/>
                    <w:spacing w:before="60" w:after="20"/>
                    <w:rPr>
                      <w:b/>
                      <w:sz w:val="18"/>
                      <w:szCs w:val="18"/>
                    </w:rPr>
                  </w:pPr>
                  <w:r w:rsidRPr="00A90793">
                    <w:rPr>
                      <w:b/>
                      <w:sz w:val="18"/>
                      <w:szCs w:val="18"/>
                    </w:rPr>
                    <w:t>Medium</w:t>
                  </w:r>
                </w:p>
              </w:tc>
              <w:tc>
                <w:tcPr>
                  <w:tcW w:w="871" w:type="pct"/>
                  <w:shd w:val="clear" w:color="auto" w:fill="C9A6E4"/>
                </w:tcPr>
                <w:p w14:paraId="301537CD" w14:textId="77777777" w:rsidR="00C01A50" w:rsidRPr="00A90793" w:rsidRDefault="00C01A50" w:rsidP="00B35C22">
                  <w:pPr>
                    <w:keepNext/>
                    <w:keepLines/>
                    <w:spacing w:before="60" w:after="20"/>
                    <w:ind w:right="-108"/>
                    <w:rPr>
                      <w:sz w:val="18"/>
                      <w:szCs w:val="18"/>
                    </w:rPr>
                  </w:pPr>
                  <w:r w:rsidRPr="00A90793">
                    <w:rPr>
                      <w:sz w:val="18"/>
                      <w:szCs w:val="18"/>
                    </w:rPr>
                    <w:t>55% general security</w:t>
                  </w:r>
                </w:p>
              </w:tc>
              <w:tc>
                <w:tcPr>
                  <w:tcW w:w="474" w:type="pct"/>
                  <w:shd w:val="clear" w:color="auto" w:fill="C9A6E4"/>
                </w:tcPr>
                <w:p w14:paraId="390A879E" w14:textId="77777777" w:rsidR="00C01A50" w:rsidRPr="00A90793" w:rsidRDefault="00C01A50" w:rsidP="00B35C22">
                  <w:pPr>
                    <w:keepNext/>
                    <w:keepLines/>
                    <w:spacing w:before="60" w:after="20"/>
                    <w:jc w:val="center"/>
                    <w:rPr>
                      <w:sz w:val="18"/>
                      <w:szCs w:val="18"/>
                    </w:rPr>
                  </w:pPr>
                  <w:r w:rsidRPr="00A90793">
                    <w:rPr>
                      <w:sz w:val="18"/>
                      <w:szCs w:val="18"/>
                    </w:rPr>
                    <w:t>4</w:t>
                  </w:r>
                </w:p>
              </w:tc>
              <w:tc>
                <w:tcPr>
                  <w:tcW w:w="468" w:type="pct"/>
                  <w:shd w:val="clear" w:color="auto" w:fill="C9A6E4"/>
                </w:tcPr>
                <w:p w14:paraId="64019190" w14:textId="77777777" w:rsidR="00C01A50" w:rsidRPr="00A90793" w:rsidRDefault="00C01A50" w:rsidP="00B35C22">
                  <w:pPr>
                    <w:keepNext/>
                    <w:keepLines/>
                    <w:spacing w:before="60" w:after="20"/>
                    <w:jc w:val="center"/>
                    <w:rPr>
                      <w:sz w:val="18"/>
                      <w:szCs w:val="18"/>
                    </w:rPr>
                  </w:pPr>
                  <w:r w:rsidRPr="00A90793">
                    <w:rPr>
                      <w:sz w:val="18"/>
                      <w:szCs w:val="18"/>
                    </w:rPr>
                    <w:t>5</w:t>
                  </w:r>
                </w:p>
              </w:tc>
              <w:tc>
                <w:tcPr>
                  <w:tcW w:w="522" w:type="pct"/>
                  <w:shd w:val="clear" w:color="auto" w:fill="C9A6E4"/>
                </w:tcPr>
                <w:p w14:paraId="2B3A20FF" w14:textId="77777777" w:rsidR="00C01A50" w:rsidRPr="00A90793" w:rsidRDefault="00C01A50" w:rsidP="00B35C22">
                  <w:pPr>
                    <w:keepNext/>
                    <w:keepLines/>
                    <w:spacing w:before="60" w:after="20"/>
                    <w:ind w:right="170"/>
                    <w:jc w:val="right"/>
                    <w:rPr>
                      <w:sz w:val="18"/>
                      <w:szCs w:val="18"/>
                    </w:rPr>
                  </w:pPr>
                  <w:r w:rsidRPr="00A90793">
                    <w:rPr>
                      <w:sz w:val="18"/>
                      <w:szCs w:val="18"/>
                    </w:rPr>
                    <w:t>4,800</w:t>
                  </w:r>
                </w:p>
              </w:tc>
              <w:tc>
                <w:tcPr>
                  <w:tcW w:w="372" w:type="pct"/>
                  <w:shd w:val="clear" w:color="auto" w:fill="C9A6E4"/>
                </w:tcPr>
                <w:p w14:paraId="7010AEC0" w14:textId="77777777" w:rsidR="00C01A50" w:rsidRPr="00A90793" w:rsidRDefault="00C01A50" w:rsidP="00B35C22">
                  <w:pPr>
                    <w:keepNext/>
                    <w:keepLines/>
                    <w:spacing w:before="60" w:after="20"/>
                    <w:ind w:right="57"/>
                    <w:jc w:val="right"/>
                    <w:rPr>
                      <w:sz w:val="18"/>
                      <w:szCs w:val="18"/>
                    </w:rPr>
                  </w:pPr>
                  <w:r w:rsidRPr="00A90793">
                    <w:rPr>
                      <w:sz w:val="18"/>
                      <w:szCs w:val="18"/>
                    </w:rPr>
                    <w:t>$120</w:t>
                  </w:r>
                </w:p>
              </w:tc>
              <w:tc>
                <w:tcPr>
                  <w:tcW w:w="501" w:type="pct"/>
                  <w:shd w:val="clear" w:color="auto" w:fill="C9A6E4"/>
                </w:tcPr>
                <w:p w14:paraId="4B0CECF7" w14:textId="77777777" w:rsidR="00C01A50" w:rsidRPr="00A90793" w:rsidRDefault="00C01A50" w:rsidP="00B35C22">
                  <w:pPr>
                    <w:spacing w:before="60" w:after="20"/>
                    <w:jc w:val="center"/>
                    <w:rPr>
                      <w:sz w:val="18"/>
                      <w:szCs w:val="18"/>
                    </w:rPr>
                  </w:pPr>
                  <w:r w:rsidRPr="00A90793">
                    <w:rPr>
                      <w:sz w:val="18"/>
                      <w:szCs w:val="18"/>
                    </w:rPr>
                    <w:t>2014/15</w:t>
                  </w:r>
                </w:p>
              </w:tc>
              <w:tc>
                <w:tcPr>
                  <w:tcW w:w="1166" w:type="pct"/>
                  <w:shd w:val="clear" w:color="auto" w:fill="C9A6E4"/>
                </w:tcPr>
                <w:p w14:paraId="49EBAB41" w14:textId="77777777" w:rsidR="00C01A50" w:rsidRPr="00A90793" w:rsidRDefault="00C01A50" w:rsidP="00B35C22">
                  <w:pPr>
                    <w:keepNext/>
                    <w:keepLines/>
                    <w:spacing w:before="60" w:after="20"/>
                    <w:rPr>
                      <w:sz w:val="18"/>
                      <w:szCs w:val="18"/>
                    </w:rPr>
                  </w:pPr>
                  <w:r w:rsidRPr="00A90793">
                    <w:rPr>
                      <w:sz w:val="18"/>
                      <w:szCs w:val="18"/>
                    </w:rPr>
                    <w:t>Rice farmers sit</w:t>
                  </w:r>
                </w:p>
              </w:tc>
            </w:tr>
            <w:tr w:rsidR="00C01A50" w:rsidRPr="00A90793" w14:paraId="40FFB962" w14:textId="77777777">
              <w:tc>
                <w:tcPr>
                  <w:tcW w:w="626" w:type="pct"/>
                  <w:shd w:val="clear" w:color="auto" w:fill="F7BAB5"/>
                </w:tcPr>
                <w:p w14:paraId="670888B3" w14:textId="77777777" w:rsidR="00C01A50" w:rsidRPr="00A90793" w:rsidRDefault="00C01A50" w:rsidP="00B35C22">
                  <w:pPr>
                    <w:keepNext/>
                    <w:keepLines/>
                    <w:spacing w:before="60" w:after="20"/>
                    <w:rPr>
                      <w:b/>
                      <w:sz w:val="18"/>
                      <w:szCs w:val="18"/>
                    </w:rPr>
                  </w:pPr>
                  <w:r w:rsidRPr="00A90793">
                    <w:rPr>
                      <w:b/>
                      <w:sz w:val="18"/>
                      <w:szCs w:val="18"/>
                    </w:rPr>
                    <w:t>Medium-dry</w:t>
                  </w:r>
                </w:p>
              </w:tc>
              <w:tc>
                <w:tcPr>
                  <w:tcW w:w="871" w:type="pct"/>
                  <w:shd w:val="clear" w:color="auto" w:fill="F7BAB5"/>
                </w:tcPr>
                <w:p w14:paraId="4D713B61" w14:textId="77777777" w:rsidR="00C01A50" w:rsidRPr="00A90793" w:rsidRDefault="00C01A50" w:rsidP="00B35C22">
                  <w:pPr>
                    <w:keepNext/>
                    <w:keepLines/>
                    <w:spacing w:before="60" w:after="20"/>
                    <w:ind w:right="-108"/>
                    <w:rPr>
                      <w:sz w:val="18"/>
                      <w:szCs w:val="18"/>
                    </w:rPr>
                  </w:pPr>
                  <w:r w:rsidRPr="00A90793">
                    <w:rPr>
                      <w:sz w:val="18"/>
                      <w:szCs w:val="18"/>
                    </w:rPr>
                    <w:t>20% general security</w:t>
                  </w:r>
                </w:p>
              </w:tc>
              <w:tc>
                <w:tcPr>
                  <w:tcW w:w="474" w:type="pct"/>
                  <w:shd w:val="clear" w:color="auto" w:fill="F7BAB5"/>
                </w:tcPr>
                <w:p w14:paraId="0BFFD7DA" w14:textId="77777777" w:rsidR="00C01A50" w:rsidRPr="00A90793" w:rsidRDefault="00C01A50" w:rsidP="00B35C22">
                  <w:pPr>
                    <w:keepNext/>
                    <w:keepLines/>
                    <w:spacing w:before="60" w:after="20"/>
                    <w:jc w:val="center"/>
                    <w:rPr>
                      <w:sz w:val="18"/>
                      <w:szCs w:val="18"/>
                    </w:rPr>
                  </w:pPr>
                  <w:r w:rsidRPr="00A90793">
                    <w:rPr>
                      <w:sz w:val="18"/>
                      <w:szCs w:val="18"/>
                    </w:rPr>
                    <w:t>4</w:t>
                  </w:r>
                </w:p>
              </w:tc>
              <w:tc>
                <w:tcPr>
                  <w:tcW w:w="468" w:type="pct"/>
                  <w:shd w:val="clear" w:color="auto" w:fill="F7BAB5"/>
                </w:tcPr>
                <w:p w14:paraId="710870FA" w14:textId="77777777" w:rsidR="00C01A50" w:rsidRPr="00A90793" w:rsidRDefault="00C01A50" w:rsidP="00B35C22">
                  <w:pPr>
                    <w:keepNext/>
                    <w:keepLines/>
                    <w:spacing w:before="60" w:after="20"/>
                    <w:jc w:val="center"/>
                    <w:rPr>
                      <w:sz w:val="18"/>
                      <w:szCs w:val="18"/>
                    </w:rPr>
                  </w:pPr>
                  <w:r w:rsidRPr="00A90793">
                    <w:rPr>
                      <w:sz w:val="18"/>
                      <w:szCs w:val="18"/>
                    </w:rPr>
                    <w:t>5</w:t>
                  </w:r>
                </w:p>
              </w:tc>
              <w:tc>
                <w:tcPr>
                  <w:tcW w:w="522" w:type="pct"/>
                  <w:shd w:val="clear" w:color="auto" w:fill="F7BAB5"/>
                </w:tcPr>
                <w:p w14:paraId="6BE31C28" w14:textId="77777777" w:rsidR="00C01A50" w:rsidRPr="00A90793" w:rsidRDefault="00C01A50" w:rsidP="00B35C22">
                  <w:pPr>
                    <w:keepNext/>
                    <w:keepLines/>
                    <w:spacing w:before="60" w:after="20"/>
                    <w:ind w:right="170"/>
                    <w:jc w:val="right"/>
                    <w:rPr>
                      <w:sz w:val="18"/>
                      <w:szCs w:val="18"/>
                    </w:rPr>
                  </w:pPr>
                  <w:r w:rsidRPr="00A90793">
                    <w:rPr>
                      <w:sz w:val="18"/>
                      <w:szCs w:val="18"/>
                    </w:rPr>
                    <w:t>3,600</w:t>
                  </w:r>
                </w:p>
              </w:tc>
              <w:tc>
                <w:tcPr>
                  <w:tcW w:w="372" w:type="pct"/>
                  <w:shd w:val="clear" w:color="auto" w:fill="F7BAB5"/>
                </w:tcPr>
                <w:p w14:paraId="02BC15C2" w14:textId="77777777" w:rsidR="00C01A50" w:rsidRPr="00A90793" w:rsidRDefault="00C01A50" w:rsidP="00B35C22">
                  <w:pPr>
                    <w:keepNext/>
                    <w:keepLines/>
                    <w:spacing w:before="60" w:after="20"/>
                    <w:ind w:right="57"/>
                    <w:jc w:val="right"/>
                    <w:rPr>
                      <w:sz w:val="18"/>
                      <w:szCs w:val="18"/>
                    </w:rPr>
                  </w:pPr>
                  <w:r w:rsidRPr="00A90793">
                    <w:rPr>
                      <w:sz w:val="18"/>
                      <w:szCs w:val="18"/>
                    </w:rPr>
                    <w:t>$165</w:t>
                  </w:r>
                </w:p>
              </w:tc>
              <w:tc>
                <w:tcPr>
                  <w:tcW w:w="501" w:type="pct"/>
                  <w:shd w:val="clear" w:color="auto" w:fill="F7BAB5"/>
                </w:tcPr>
                <w:p w14:paraId="049B6442" w14:textId="77777777" w:rsidR="00C01A50" w:rsidRPr="00A90793" w:rsidRDefault="00C01A50" w:rsidP="00B35C22">
                  <w:pPr>
                    <w:spacing w:before="60" w:after="20"/>
                    <w:jc w:val="center"/>
                    <w:rPr>
                      <w:sz w:val="18"/>
                      <w:szCs w:val="18"/>
                    </w:rPr>
                  </w:pPr>
                  <w:r w:rsidRPr="00A90793">
                    <w:rPr>
                      <w:sz w:val="18"/>
                      <w:szCs w:val="18"/>
                    </w:rPr>
                    <w:t>2009/10</w:t>
                  </w:r>
                </w:p>
              </w:tc>
              <w:tc>
                <w:tcPr>
                  <w:tcW w:w="1166" w:type="pct"/>
                  <w:shd w:val="clear" w:color="auto" w:fill="F7BAB5"/>
                </w:tcPr>
                <w:p w14:paraId="5861F4F8" w14:textId="77777777" w:rsidR="00C01A50" w:rsidRPr="00A90793" w:rsidRDefault="00C01A50" w:rsidP="00B35C22">
                  <w:pPr>
                    <w:keepNext/>
                    <w:keepLines/>
                    <w:spacing w:before="60" w:after="20"/>
                    <w:rPr>
                      <w:sz w:val="18"/>
                      <w:szCs w:val="18"/>
                    </w:rPr>
                  </w:pPr>
                  <w:r w:rsidRPr="00A90793">
                    <w:rPr>
                      <w:sz w:val="18"/>
                      <w:szCs w:val="18"/>
                    </w:rPr>
                    <w:t>Rice farmers sell</w:t>
                  </w:r>
                </w:p>
              </w:tc>
            </w:tr>
            <w:tr w:rsidR="00C01A50" w:rsidRPr="00A90793" w14:paraId="5D9D0769" w14:textId="77777777">
              <w:tc>
                <w:tcPr>
                  <w:tcW w:w="626" w:type="pct"/>
                  <w:shd w:val="clear" w:color="auto" w:fill="F39891"/>
                </w:tcPr>
                <w:p w14:paraId="2D77B35A" w14:textId="77777777" w:rsidR="00C01A50" w:rsidRPr="00A90793" w:rsidRDefault="00C01A50" w:rsidP="00B35C22">
                  <w:pPr>
                    <w:keepNext/>
                    <w:keepLines/>
                    <w:spacing w:before="60" w:after="20"/>
                    <w:rPr>
                      <w:b/>
                      <w:sz w:val="18"/>
                      <w:szCs w:val="18"/>
                    </w:rPr>
                  </w:pPr>
                  <w:r w:rsidRPr="00A90793">
                    <w:rPr>
                      <w:b/>
                      <w:sz w:val="18"/>
                      <w:szCs w:val="18"/>
                    </w:rPr>
                    <w:t>Drought</w:t>
                  </w:r>
                </w:p>
              </w:tc>
              <w:tc>
                <w:tcPr>
                  <w:tcW w:w="871" w:type="pct"/>
                  <w:shd w:val="clear" w:color="auto" w:fill="F39891"/>
                </w:tcPr>
                <w:p w14:paraId="642859DC" w14:textId="77777777" w:rsidR="00C01A50" w:rsidRPr="00A90793" w:rsidRDefault="00C01A50" w:rsidP="00B35C22">
                  <w:pPr>
                    <w:keepNext/>
                    <w:keepLines/>
                    <w:spacing w:before="60" w:after="20"/>
                    <w:ind w:right="-108"/>
                    <w:rPr>
                      <w:sz w:val="18"/>
                      <w:szCs w:val="18"/>
                    </w:rPr>
                  </w:pPr>
                  <w:r w:rsidRPr="00A90793">
                    <w:rPr>
                      <w:sz w:val="18"/>
                      <w:szCs w:val="18"/>
                    </w:rPr>
                    <w:t>50% high-reliability</w:t>
                  </w:r>
                </w:p>
              </w:tc>
              <w:tc>
                <w:tcPr>
                  <w:tcW w:w="474" w:type="pct"/>
                  <w:shd w:val="clear" w:color="auto" w:fill="F39891"/>
                </w:tcPr>
                <w:p w14:paraId="7B0C48C6" w14:textId="77777777" w:rsidR="00C01A50" w:rsidRPr="00A90793" w:rsidRDefault="00C01A50" w:rsidP="00B35C22">
                  <w:pPr>
                    <w:keepNext/>
                    <w:keepLines/>
                    <w:spacing w:before="60" w:after="20"/>
                    <w:jc w:val="center"/>
                    <w:rPr>
                      <w:sz w:val="18"/>
                      <w:szCs w:val="18"/>
                    </w:rPr>
                  </w:pPr>
                  <w:r w:rsidRPr="00A90793">
                    <w:rPr>
                      <w:sz w:val="18"/>
                      <w:szCs w:val="18"/>
                    </w:rPr>
                    <w:t>1</w:t>
                  </w:r>
                </w:p>
              </w:tc>
              <w:tc>
                <w:tcPr>
                  <w:tcW w:w="468" w:type="pct"/>
                  <w:shd w:val="clear" w:color="auto" w:fill="F39891"/>
                </w:tcPr>
                <w:p w14:paraId="2150DDCD" w14:textId="77777777" w:rsidR="00C01A50" w:rsidRPr="00A90793" w:rsidRDefault="00C01A50" w:rsidP="00B35C22">
                  <w:pPr>
                    <w:keepNext/>
                    <w:keepLines/>
                    <w:spacing w:before="60" w:after="20"/>
                    <w:jc w:val="center"/>
                    <w:rPr>
                      <w:sz w:val="18"/>
                      <w:szCs w:val="18"/>
                    </w:rPr>
                  </w:pPr>
                  <w:r w:rsidRPr="00A90793">
                    <w:rPr>
                      <w:sz w:val="18"/>
                      <w:szCs w:val="18"/>
                    </w:rPr>
                    <w:t>2</w:t>
                  </w:r>
                </w:p>
              </w:tc>
              <w:tc>
                <w:tcPr>
                  <w:tcW w:w="522" w:type="pct"/>
                  <w:shd w:val="clear" w:color="auto" w:fill="F39891"/>
                </w:tcPr>
                <w:p w14:paraId="3659BD57" w14:textId="77777777" w:rsidR="00C01A50" w:rsidRPr="00A90793" w:rsidRDefault="00C01A50" w:rsidP="00B35C22">
                  <w:pPr>
                    <w:keepNext/>
                    <w:keepLines/>
                    <w:spacing w:before="60" w:after="20"/>
                    <w:ind w:right="170"/>
                    <w:jc w:val="right"/>
                    <w:rPr>
                      <w:sz w:val="18"/>
                      <w:szCs w:val="18"/>
                    </w:rPr>
                  </w:pPr>
                  <w:r w:rsidRPr="00A90793">
                    <w:rPr>
                      <w:sz w:val="18"/>
                      <w:szCs w:val="18"/>
                    </w:rPr>
                    <w:t>1,800</w:t>
                  </w:r>
                </w:p>
              </w:tc>
              <w:tc>
                <w:tcPr>
                  <w:tcW w:w="372" w:type="pct"/>
                  <w:shd w:val="clear" w:color="auto" w:fill="F39891"/>
                </w:tcPr>
                <w:p w14:paraId="2BC19177" w14:textId="77777777" w:rsidR="00C01A50" w:rsidRPr="00A90793" w:rsidRDefault="00C01A50" w:rsidP="00B35C22">
                  <w:pPr>
                    <w:keepNext/>
                    <w:keepLines/>
                    <w:spacing w:before="60" w:after="20"/>
                    <w:ind w:right="57"/>
                    <w:jc w:val="right"/>
                    <w:rPr>
                      <w:sz w:val="18"/>
                      <w:szCs w:val="18"/>
                    </w:rPr>
                  </w:pPr>
                  <w:r w:rsidRPr="00A90793">
                    <w:rPr>
                      <w:sz w:val="18"/>
                      <w:szCs w:val="18"/>
                    </w:rPr>
                    <w:t>$400</w:t>
                  </w:r>
                </w:p>
              </w:tc>
              <w:tc>
                <w:tcPr>
                  <w:tcW w:w="501" w:type="pct"/>
                  <w:shd w:val="clear" w:color="auto" w:fill="F39891"/>
                </w:tcPr>
                <w:p w14:paraId="3BF65A6C" w14:textId="77777777" w:rsidR="00C01A50" w:rsidRPr="00A90793" w:rsidRDefault="00C01A50" w:rsidP="00B35C22">
                  <w:pPr>
                    <w:spacing w:before="60" w:after="20"/>
                    <w:jc w:val="center"/>
                    <w:rPr>
                      <w:sz w:val="18"/>
                      <w:szCs w:val="18"/>
                    </w:rPr>
                  </w:pPr>
                  <w:r w:rsidRPr="00A90793">
                    <w:rPr>
                      <w:sz w:val="18"/>
                      <w:szCs w:val="18"/>
                    </w:rPr>
                    <w:t>2007/08</w:t>
                  </w:r>
                </w:p>
              </w:tc>
              <w:tc>
                <w:tcPr>
                  <w:tcW w:w="1166" w:type="pct"/>
                  <w:shd w:val="clear" w:color="auto" w:fill="F39891"/>
                </w:tcPr>
                <w:p w14:paraId="74F7B30E" w14:textId="77777777" w:rsidR="00C01A50" w:rsidRPr="00A90793" w:rsidRDefault="00C01A50" w:rsidP="00B35C22">
                  <w:pPr>
                    <w:keepNext/>
                    <w:keepLines/>
                    <w:spacing w:before="60" w:after="20"/>
                    <w:rPr>
                      <w:sz w:val="18"/>
                      <w:szCs w:val="18"/>
                    </w:rPr>
                  </w:pPr>
                  <w:r w:rsidRPr="00A90793">
                    <w:rPr>
                      <w:sz w:val="18"/>
                      <w:szCs w:val="18"/>
                    </w:rPr>
                    <w:t>Dairy farmers sell, horticulturalists compete</w:t>
                  </w:r>
                </w:p>
              </w:tc>
            </w:tr>
          </w:tbl>
          <w:p w14:paraId="6C323390" w14:textId="77777777" w:rsidR="00C01A50" w:rsidRPr="00F549FC" w:rsidRDefault="00C01A50" w:rsidP="00A90793">
            <w:pPr>
              <w:rPr>
                <w:sz w:val="16"/>
              </w:rPr>
            </w:pPr>
            <w:r w:rsidRPr="00A90793">
              <w:rPr>
                <w:i/>
                <w:sz w:val="16"/>
              </w:rPr>
              <w:t>Note:</w:t>
            </w:r>
            <w:r w:rsidRPr="00A90793">
              <w:rPr>
                <w:i/>
                <w:sz w:val="16"/>
              </w:rPr>
              <w:tab/>
              <w:t>These scenarios are based on water availability, not climatic conditions. The allocation level shown produces the water available. But a year chosen as typifying a scenario had its actual water allocated adjusted for water carried over into the year minus water carried over into the following year, with the resultant water available then matched with that in a scenario. Prices are actual weighted average prices in the Goulburn in the year chosen as typical of the scenario.</w:t>
            </w:r>
          </w:p>
        </w:tc>
      </w:tr>
    </w:tbl>
    <w:p w14:paraId="27C513C5" w14:textId="77777777" w:rsidR="00C01A50" w:rsidRPr="00A90793" w:rsidRDefault="00C01A50" w:rsidP="00B35C22">
      <w:pPr>
        <w:spacing w:before="240"/>
        <w:ind w:right="-172"/>
      </w:pPr>
      <w:r w:rsidRPr="00A90793">
        <w:t>RMCG’s scenarios are necessarily simplified. For example, each farmer’s prognosis for the next season will be a factor in their decisions to buy or sell allocations, as will what they have already planted, the stage of the season, commodity prices, contracts in place with the purchasers of produce, farm systems and capabilities, and the availability of alternatives like hay</w:t>
      </w:r>
      <w:r>
        <w:t>, silage and cut fodder crops</w:t>
      </w:r>
      <w:r w:rsidRPr="00A90793">
        <w:t>. These scenarios should therefore be treated as indicative only.</w:t>
      </w:r>
    </w:p>
    <w:p w14:paraId="4E94328D" w14:textId="77777777" w:rsidR="00C01A50" w:rsidRDefault="00C01A50" w:rsidP="00B35C22">
      <w:r w:rsidRPr="00A90793">
        <w:t>The scenarios nevertheless underline the significance to the market of what is happening in NSW. And they are useful in highlighting important trends</w:t>
      </w:r>
      <w:r>
        <w:t>.</w:t>
      </w:r>
    </w:p>
    <w:p w14:paraId="266417BA" w14:textId="77777777" w:rsidR="00C01A50" w:rsidRDefault="00C01A50" w:rsidP="00296259">
      <w:pPr>
        <w:pStyle w:val="Heading2"/>
      </w:pPr>
      <w:bookmarkStart w:id="66" w:name="_Toc347747799"/>
      <w:r>
        <w:t>Summing up</w:t>
      </w:r>
      <w:bookmarkEnd w:id="66"/>
    </w:p>
    <w:p w14:paraId="68EEFF81" w14:textId="77777777" w:rsidR="00C01A50" w:rsidRDefault="00C01A50" w:rsidP="00B35C22">
      <w:r>
        <w:t xml:space="preserve">Water supplies in the southern-connected Basin are highly variable. Each of the southern Basin states designed its water allocation framework to deal with that variability in ways that favoured the dominant irrigation industries in that state. As water markets developed in each state, and as those markets began to be integrated, irrigation in the southern-connected Basin increasingly began to operate as </w:t>
      </w:r>
      <w:r w:rsidR="00837A34">
        <w:t>a single,</w:t>
      </w:r>
      <w:r>
        <w:t xml:space="preserve"> large, dynamic system.</w:t>
      </w:r>
    </w:p>
    <w:p w14:paraId="33CCD5E6" w14:textId="77777777" w:rsidR="00C01A50" w:rsidRDefault="00C01A50" w:rsidP="005D7CFB">
      <w:pPr>
        <w:rPr>
          <w:highlight w:val="yellow"/>
        </w:rPr>
      </w:pPr>
      <w:r>
        <w:rPr>
          <w:highlight w:val="yellow"/>
        </w:rPr>
        <w:br w:type="page"/>
      </w:r>
    </w:p>
    <w:p w14:paraId="5436B0D2" w14:textId="77777777" w:rsidR="00C01A50" w:rsidRPr="005D7CFB" w:rsidRDefault="00C01A50" w:rsidP="005D7CFB">
      <w:bookmarkStart w:id="67" w:name="_Toc462309027"/>
    </w:p>
    <w:p w14:paraId="512A4114" w14:textId="77777777" w:rsidR="00C01A50" w:rsidRDefault="00C01A50" w:rsidP="00AC44FF">
      <w:pPr>
        <w:pStyle w:val="Heading1"/>
        <w:rPr>
          <w:lang w:val="en-AU"/>
        </w:rPr>
      </w:pPr>
      <w:bookmarkStart w:id="68" w:name="_Ref342400627"/>
      <w:bookmarkStart w:id="69" w:name="_Ref342404937"/>
      <w:bookmarkStart w:id="70" w:name="_Toc347747800"/>
      <w:r w:rsidRPr="003B1DA3">
        <w:rPr>
          <w:lang w:val="en-AU"/>
        </w:rPr>
        <w:t>Observed water use in Victoria sinc</w:t>
      </w:r>
      <w:r>
        <w:rPr>
          <w:lang w:val="en-AU"/>
        </w:rPr>
        <w:t>e water recovery commenced – compared with a logically constructed ‘counterfactual’</w:t>
      </w:r>
      <w:bookmarkEnd w:id="68"/>
      <w:bookmarkEnd w:id="69"/>
      <w:bookmarkEnd w:id="70"/>
      <w:r>
        <w:rPr>
          <w:lang w:val="en-AU"/>
        </w:rPr>
        <w:t xml:space="preserve"> </w:t>
      </w:r>
      <w:bookmarkEnd w:id="67"/>
    </w:p>
    <w:p w14:paraId="5D0F7F78" w14:textId="77777777" w:rsidR="00C01A50" w:rsidRDefault="00C01A50" w:rsidP="0070753B">
      <w:pPr>
        <w:pStyle w:val="Heading2"/>
      </w:pPr>
      <w:bookmarkStart w:id="71" w:name="_Toc347747801"/>
      <w:r>
        <w:t>Overview</w:t>
      </w:r>
      <w:bookmarkEnd w:id="71"/>
    </w:p>
    <w:p w14:paraId="369A0B51" w14:textId="77777777" w:rsidR="00C01A50" w:rsidRDefault="00C01A50" w:rsidP="00A22B5B">
      <w:r>
        <w:t xml:space="preserve">Other analyses of the impacts of the Basin Plan have tended to compare what happened before water recovery commenced with what happened after. However, such approaches only describe what happened; they do not explain that other things may also have changed during the same period that also affect the outcome. They are a description of the factual, rather than an analysis of the logically constructed counterfactual. </w:t>
      </w:r>
    </w:p>
    <w:p w14:paraId="4EB0EB68" w14:textId="77777777" w:rsidR="00C01A50" w:rsidRDefault="00C01A50" w:rsidP="00AC44FF">
      <w:pPr>
        <w:rPr>
          <w:lang w:val="en-AU"/>
        </w:rPr>
      </w:pPr>
      <w:r>
        <w:rPr>
          <w:lang w:val="en-AU"/>
        </w:rPr>
        <w:t>This chapter describes observed water use in Victoria since water recovery commenced, putting those observations in the context of the other factors influencing water use during that time. It then quantifies the volumes of water recovered through buyback, through on-farm infrastructure savings and through off-farm infrastructure savings, while also putting the timing of those recoveries in the context of what else was happening at the time. It finishes with a transparent, logical construction of the counterfactual to be used as the basis of comparison for the remainder of the report.</w:t>
      </w:r>
    </w:p>
    <w:p w14:paraId="7443CB78" w14:textId="77777777" w:rsidR="00C01A50" w:rsidRDefault="00C01A50" w:rsidP="00E871F0">
      <w:pPr>
        <w:pStyle w:val="Heading2"/>
        <w:rPr>
          <w:lang w:val="en-AU"/>
        </w:rPr>
      </w:pPr>
      <w:bookmarkStart w:id="72" w:name="_Toc347747802"/>
      <w:r>
        <w:rPr>
          <w:lang w:val="en-AU"/>
        </w:rPr>
        <w:t>Observed water use in Victoria since water recovery commenced</w:t>
      </w:r>
      <w:bookmarkEnd w:id="72"/>
    </w:p>
    <w:p w14:paraId="67E1C0DD" w14:textId="77777777" w:rsidR="00C01A50" w:rsidRDefault="00C01A50" w:rsidP="00AC44FF">
      <w:pPr>
        <w:rPr>
          <w:lang w:val="en-AU"/>
        </w:rPr>
      </w:pPr>
      <w:r w:rsidRPr="00D718E3">
        <w:rPr>
          <w:lang w:val="en-AU"/>
        </w:rPr>
        <w:t xml:space="preserve">Irrigation water </w:t>
      </w:r>
      <w:r>
        <w:rPr>
          <w:lang w:val="en-AU"/>
        </w:rPr>
        <w:t xml:space="preserve">availability and </w:t>
      </w:r>
      <w:r w:rsidRPr="00D718E3">
        <w:rPr>
          <w:lang w:val="en-AU"/>
        </w:rPr>
        <w:t xml:space="preserve">use in northern Victoria has been </w:t>
      </w:r>
      <w:r>
        <w:rPr>
          <w:lang w:val="en-AU"/>
        </w:rPr>
        <w:t>extraordinarily</w:t>
      </w:r>
      <w:r w:rsidRPr="00D718E3">
        <w:rPr>
          <w:lang w:val="en-AU"/>
        </w:rPr>
        <w:t xml:space="preserve"> variable over the past decade</w:t>
      </w:r>
      <w:r>
        <w:rPr>
          <w:lang w:val="en-AU"/>
        </w:rPr>
        <w:t xml:space="preserve">, </w:t>
      </w:r>
      <w:r w:rsidRPr="00D718E3">
        <w:rPr>
          <w:lang w:val="en-AU"/>
        </w:rPr>
        <w:t xml:space="preserve">water recovery </w:t>
      </w:r>
      <w:r>
        <w:rPr>
          <w:lang w:val="en-AU"/>
        </w:rPr>
        <w:t>for the environment commenced in a period punctuated by extreme drought and recording-breaking floods</w:t>
      </w:r>
      <w:r w:rsidRPr="00D718E3">
        <w:rPr>
          <w:lang w:val="en-AU"/>
        </w:rPr>
        <w:t xml:space="preserve">. </w:t>
      </w:r>
      <w:r>
        <w:rPr>
          <w:lang w:val="en-AU"/>
        </w:rPr>
        <w:fldChar w:fldCharType="begin"/>
      </w:r>
      <w:r>
        <w:rPr>
          <w:lang w:val="en-AU"/>
        </w:rPr>
        <w:instrText xml:space="preserve"> REF _Ref337906400 \h </w:instrText>
      </w:r>
      <w:r>
        <w:rPr>
          <w:lang w:val="en-AU"/>
        </w:rPr>
      </w:r>
      <w:r>
        <w:rPr>
          <w:lang w:val="en-AU"/>
        </w:rPr>
        <w:fldChar w:fldCharType="separate"/>
      </w:r>
      <w:r w:rsidR="008E5D7A">
        <w:t xml:space="preserve">Figure </w:t>
      </w:r>
      <w:r w:rsidR="008E5D7A">
        <w:rPr>
          <w:noProof/>
        </w:rPr>
        <w:t>10</w:t>
      </w:r>
      <w:r>
        <w:rPr>
          <w:lang w:val="en-AU"/>
        </w:rPr>
        <w:fldChar w:fldCharType="end"/>
      </w:r>
      <w:r>
        <w:rPr>
          <w:lang w:val="en-AU"/>
        </w:rPr>
        <w:t xml:space="preserve"> below </w:t>
      </w:r>
      <w:r w:rsidRPr="00D718E3">
        <w:rPr>
          <w:lang w:val="en-AU"/>
        </w:rPr>
        <w:t>presents annual water use by Victorian irrigators for 2004</w:t>
      </w:r>
      <w:r w:rsidR="00CE470A">
        <w:rPr>
          <w:lang w:val="en-AU"/>
        </w:rPr>
        <w:t>/</w:t>
      </w:r>
      <w:r w:rsidRPr="00D718E3">
        <w:rPr>
          <w:lang w:val="en-AU"/>
        </w:rPr>
        <w:t>05 and the period 2008</w:t>
      </w:r>
      <w:r w:rsidR="00CE470A">
        <w:rPr>
          <w:lang w:val="en-AU"/>
        </w:rPr>
        <w:t>/</w:t>
      </w:r>
      <w:r w:rsidRPr="00D718E3">
        <w:rPr>
          <w:lang w:val="en-AU"/>
        </w:rPr>
        <w:t>09 to 2015</w:t>
      </w:r>
      <w:r w:rsidR="00CE470A">
        <w:rPr>
          <w:lang w:val="en-AU"/>
        </w:rPr>
        <w:t>/</w:t>
      </w:r>
      <w:r w:rsidRPr="00D718E3">
        <w:rPr>
          <w:lang w:val="en-AU"/>
        </w:rPr>
        <w:t>16.</w:t>
      </w:r>
    </w:p>
    <w:p w14:paraId="5AB0CB4E" w14:textId="77777777" w:rsidR="00C01A50" w:rsidRDefault="00C01A50" w:rsidP="00AC44FF">
      <w:pPr>
        <w:rPr>
          <w:lang w:val="en-AU"/>
        </w:rPr>
      </w:pPr>
      <w:r w:rsidRPr="00D718E3">
        <w:rPr>
          <w:lang w:val="en-AU"/>
        </w:rPr>
        <w:t>Water use for 2004</w:t>
      </w:r>
      <w:r w:rsidR="00CE470A">
        <w:rPr>
          <w:lang w:val="en-AU"/>
        </w:rPr>
        <w:t>/</w:t>
      </w:r>
      <w:r w:rsidRPr="00D718E3">
        <w:rPr>
          <w:lang w:val="en-AU"/>
        </w:rPr>
        <w:t>05 is included for comparison. 2004</w:t>
      </w:r>
      <w:r w:rsidR="00CE470A">
        <w:rPr>
          <w:lang w:val="en-AU"/>
        </w:rPr>
        <w:t>/</w:t>
      </w:r>
      <w:r w:rsidRPr="00D718E3">
        <w:rPr>
          <w:lang w:val="en-AU"/>
        </w:rPr>
        <w:t>05 represents the last year, before water recovery commenced</w:t>
      </w:r>
      <w:r>
        <w:rPr>
          <w:lang w:val="en-AU"/>
        </w:rPr>
        <w:t>,</w:t>
      </w:r>
      <w:r w:rsidRPr="00D718E3">
        <w:rPr>
          <w:lang w:val="en-AU"/>
        </w:rPr>
        <w:t xml:space="preserve"> where both the Goulburn and Murray systems received the equivalent of 100% allocations to high reliability </w:t>
      </w:r>
      <w:r>
        <w:rPr>
          <w:lang w:val="en-AU"/>
        </w:rPr>
        <w:t>entitlements</w:t>
      </w:r>
      <w:r w:rsidRPr="00D718E3">
        <w:rPr>
          <w:lang w:val="en-AU"/>
        </w:rPr>
        <w:t xml:space="preserve"> and 0% to low reliability</w:t>
      </w:r>
      <w:r>
        <w:rPr>
          <w:lang w:val="en-AU"/>
        </w:rPr>
        <w:t xml:space="preserve"> entitlements.</w:t>
      </w:r>
    </w:p>
    <w:p w14:paraId="4B745430" w14:textId="77777777" w:rsidR="00C01A50" w:rsidRDefault="009E3D32" w:rsidP="00B640B4">
      <w:pPr>
        <w:keepNext/>
        <w:jc w:val="center"/>
      </w:pPr>
      <w:r>
        <w:rPr>
          <w:noProof/>
          <w:lang w:val="en-AU" w:eastAsia="en-AU" w:bidi="ar-SA"/>
        </w:rPr>
        <w:lastRenderedPageBreak/>
        <w:drawing>
          <wp:inline distT="0" distB="0" distL="0" distR="0" wp14:anchorId="51CAC1DC" wp14:editId="0DD299AC">
            <wp:extent cx="4694396" cy="3052762"/>
            <wp:effectExtent l="0" t="0" r="508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CEA202" w14:textId="77777777" w:rsidR="00C01A50" w:rsidRDefault="00C01A50" w:rsidP="00FA562F">
      <w:pPr>
        <w:pStyle w:val="Caption"/>
        <w:rPr>
          <w:color w:val="FF0000"/>
          <w:lang w:val="en-AU"/>
        </w:rPr>
      </w:pPr>
      <w:bookmarkStart w:id="73" w:name="_Ref337906400"/>
      <w:r>
        <w:t xml:space="preserve">Figure </w:t>
      </w:r>
      <w:r>
        <w:fldChar w:fldCharType="begin"/>
      </w:r>
      <w:r>
        <w:instrText xml:space="preserve"> SEQ Figure \* ARABIC </w:instrText>
      </w:r>
      <w:r>
        <w:fldChar w:fldCharType="separate"/>
      </w:r>
      <w:r w:rsidR="008E5D7A">
        <w:rPr>
          <w:noProof/>
        </w:rPr>
        <w:t>10</w:t>
      </w:r>
      <w:r>
        <w:fldChar w:fldCharType="end"/>
      </w:r>
      <w:bookmarkEnd w:id="73"/>
      <w:r>
        <w:t xml:space="preserve">: </w:t>
      </w:r>
      <w:r w:rsidRPr="00FA562F">
        <w:t>Water use by Victorian irrigators</w:t>
      </w:r>
    </w:p>
    <w:p w14:paraId="3A2A0822" w14:textId="77777777" w:rsidR="00C01A50" w:rsidRPr="00D718E3" w:rsidRDefault="00C01A50" w:rsidP="00B735E8">
      <w:pPr>
        <w:rPr>
          <w:lang w:val="en-AU"/>
        </w:rPr>
      </w:pPr>
      <w:r>
        <w:rPr>
          <w:lang w:val="en-AU"/>
        </w:rPr>
        <w:t xml:space="preserve">Given the mix of different irrigation industries in Victoria, it is helpful to disaggregate this data to help understand the socio-economic impacts in different geographic centres. The Victorian Water Register, from which much of our data is drawn, can separate out water-usage data for the different “delivery systems” serviced by the two major rural water corporations in northern Victoria, Goulburn Murray Water (GMW) and Lower Murray Water (LMW). </w:t>
      </w:r>
    </w:p>
    <w:p w14:paraId="7986DF48" w14:textId="77777777" w:rsidR="00C01A50" w:rsidRDefault="00C01A50" w:rsidP="00AC44FF">
      <w:pPr>
        <w:rPr>
          <w:lang w:val="en-AU"/>
        </w:rPr>
      </w:pPr>
      <w:r>
        <w:rPr>
          <w:lang w:val="en-AU"/>
        </w:rPr>
        <w:fldChar w:fldCharType="begin"/>
      </w:r>
      <w:r>
        <w:rPr>
          <w:lang w:val="en-AU"/>
        </w:rPr>
        <w:instrText xml:space="preserve"> REF _Ref337910106 \h </w:instrText>
      </w:r>
      <w:r>
        <w:rPr>
          <w:lang w:val="en-AU"/>
        </w:rPr>
      </w:r>
      <w:r>
        <w:rPr>
          <w:lang w:val="en-AU"/>
        </w:rPr>
        <w:fldChar w:fldCharType="separate"/>
      </w:r>
      <w:r w:rsidR="008E5D7A">
        <w:t xml:space="preserve">Figure </w:t>
      </w:r>
      <w:r w:rsidR="008E5D7A">
        <w:rPr>
          <w:noProof/>
        </w:rPr>
        <w:t>11</w:t>
      </w:r>
      <w:r>
        <w:rPr>
          <w:lang w:val="en-AU"/>
        </w:rPr>
        <w:fldChar w:fldCharType="end"/>
      </w:r>
      <w:r>
        <w:rPr>
          <w:lang w:val="en-AU"/>
        </w:rPr>
        <w:t xml:space="preserve"> </w:t>
      </w:r>
      <w:r w:rsidRPr="00D718E3">
        <w:rPr>
          <w:lang w:val="en-AU"/>
        </w:rPr>
        <w:t xml:space="preserve">below separates this annual water use between </w:t>
      </w:r>
      <w:r>
        <w:rPr>
          <w:lang w:val="en-AU"/>
        </w:rPr>
        <w:t xml:space="preserve">GMW’s </w:t>
      </w:r>
      <w:r w:rsidRPr="00D718E3">
        <w:rPr>
          <w:lang w:val="en-AU"/>
        </w:rPr>
        <w:t>irrigation districts</w:t>
      </w:r>
      <w:r>
        <w:rPr>
          <w:lang w:val="en-AU"/>
        </w:rPr>
        <w:t xml:space="preserve">, which are mostly dominated by dairying but do include important areas of horticultural plantings, GMW’s river diverters (irrigators who pump their own water directly from rivers without being part of an irrigation district), who </w:t>
      </w:r>
      <w:r w:rsidRPr="00A90793">
        <w:rPr>
          <w:lang w:val="en-AU"/>
        </w:rPr>
        <w:t xml:space="preserve">irrigate a range of enterprises </w:t>
      </w:r>
      <w:r>
        <w:rPr>
          <w:lang w:val="en-AU"/>
        </w:rPr>
        <w:t>(including dairying and horticulture), LMW’s</w:t>
      </w:r>
      <w:r w:rsidRPr="00D718E3">
        <w:rPr>
          <w:lang w:val="en-AU"/>
        </w:rPr>
        <w:t xml:space="preserve"> river diverters</w:t>
      </w:r>
      <w:r>
        <w:rPr>
          <w:lang w:val="en-AU"/>
        </w:rPr>
        <w:t xml:space="preserve"> who overwhelmingly grow horticultural crops and LMW irrigation districts who are also mostly horticulturalists.</w:t>
      </w:r>
      <w:r w:rsidRPr="00D718E3">
        <w:rPr>
          <w:lang w:val="en-AU"/>
        </w:rPr>
        <w:t xml:space="preserve"> </w:t>
      </w:r>
    </w:p>
    <w:p w14:paraId="4630D2AE" w14:textId="77777777" w:rsidR="00C01A50" w:rsidRDefault="00C01A50" w:rsidP="00AC44FF">
      <w:pPr>
        <w:rPr>
          <w:lang w:val="en-AU"/>
        </w:rPr>
      </w:pPr>
      <w:r>
        <w:rPr>
          <w:lang w:val="en-AU"/>
        </w:rPr>
        <w:fldChar w:fldCharType="begin"/>
      </w:r>
      <w:r>
        <w:rPr>
          <w:lang w:val="en-AU"/>
        </w:rPr>
        <w:instrText xml:space="preserve"> REF _Ref337910106 \h </w:instrText>
      </w:r>
      <w:r>
        <w:rPr>
          <w:lang w:val="en-AU"/>
        </w:rPr>
      </w:r>
      <w:r>
        <w:rPr>
          <w:lang w:val="en-AU"/>
        </w:rPr>
        <w:fldChar w:fldCharType="separate"/>
      </w:r>
      <w:r w:rsidR="008E5D7A">
        <w:t xml:space="preserve">Figure </w:t>
      </w:r>
      <w:r w:rsidR="008E5D7A">
        <w:rPr>
          <w:noProof/>
        </w:rPr>
        <w:t>11</w:t>
      </w:r>
      <w:r>
        <w:rPr>
          <w:lang w:val="en-AU"/>
        </w:rPr>
        <w:fldChar w:fldCharType="end"/>
      </w:r>
      <w:r>
        <w:rPr>
          <w:lang w:val="en-AU"/>
        </w:rPr>
        <w:t xml:space="preserve"> </w:t>
      </w:r>
      <w:r w:rsidRPr="00D718E3">
        <w:rPr>
          <w:lang w:val="en-AU"/>
        </w:rPr>
        <w:t xml:space="preserve">shows that irrigators in GMW districts </w:t>
      </w:r>
      <w:r>
        <w:rPr>
          <w:lang w:val="en-AU"/>
        </w:rPr>
        <w:t>account for the largest share of</w:t>
      </w:r>
      <w:r w:rsidRPr="00D718E3">
        <w:rPr>
          <w:lang w:val="en-AU"/>
        </w:rPr>
        <w:t xml:space="preserve"> water use and that their water use is highly </w:t>
      </w:r>
      <w:r>
        <w:rPr>
          <w:lang w:val="en-AU"/>
        </w:rPr>
        <w:t>variable</w:t>
      </w:r>
      <w:r w:rsidRPr="00D718E3">
        <w:rPr>
          <w:lang w:val="en-AU"/>
        </w:rPr>
        <w:t>, especially compared to the next largest group being LMW diverters.</w:t>
      </w:r>
    </w:p>
    <w:p w14:paraId="5A0F2B0F" w14:textId="77777777" w:rsidR="00C01A50" w:rsidRDefault="009E3D32" w:rsidP="00B640B4">
      <w:pPr>
        <w:keepNext/>
        <w:jc w:val="center"/>
      </w:pPr>
      <w:r>
        <w:rPr>
          <w:noProof/>
          <w:lang w:val="en-AU" w:eastAsia="en-AU" w:bidi="ar-SA"/>
        </w:rPr>
        <w:lastRenderedPageBreak/>
        <w:drawing>
          <wp:inline distT="0" distB="0" distL="0" distR="0" wp14:anchorId="317A89E2" wp14:editId="635E1CBF">
            <wp:extent cx="4552950" cy="2887503"/>
            <wp:effectExtent l="0" t="0" r="0" b="825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F3D417" w14:textId="77777777" w:rsidR="00C01A50" w:rsidRDefault="00C01A50" w:rsidP="00B735E8">
      <w:pPr>
        <w:pStyle w:val="Caption"/>
        <w:rPr>
          <w:color w:val="FF0000"/>
          <w:lang w:val="en-AU"/>
        </w:rPr>
      </w:pPr>
      <w:bookmarkStart w:id="74" w:name="_Ref337910106"/>
      <w:r>
        <w:t xml:space="preserve">Figure </w:t>
      </w:r>
      <w:r>
        <w:fldChar w:fldCharType="begin"/>
      </w:r>
      <w:r>
        <w:instrText xml:space="preserve"> SEQ Figure \* ARABIC </w:instrText>
      </w:r>
      <w:r>
        <w:fldChar w:fldCharType="separate"/>
      </w:r>
      <w:r w:rsidR="008E5D7A">
        <w:rPr>
          <w:noProof/>
        </w:rPr>
        <w:t>11</w:t>
      </w:r>
      <w:r>
        <w:fldChar w:fldCharType="end"/>
      </w:r>
      <w:bookmarkEnd w:id="74"/>
      <w:r>
        <w:t xml:space="preserve">: </w:t>
      </w:r>
      <w:r w:rsidRPr="00B735E8">
        <w:t>Water use by Victorian irrigation districts and diverters</w:t>
      </w:r>
    </w:p>
    <w:p w14:paraId="2F1C3093" w14:textId="77777777" w:rsidR="00C01A50" w:rsidRDefault="00C01A50" w:rsidP="00AC44FF">
      <w:pPr>
        <w:rPr>
          <w:lang w:val="en-AU"/>
        </w:rPr>
      </w:pPr>
      <w:r w:rsidRPr="00D718E3">
        <w:rPr>
          <w:lang w:val="en-AU"/>
        </w:rPr>
        <w:t>Within the GMW districts</w:t>
      </w:r>
      <w:r>
        <w:rPr>
          <w:lang w:val="en-AU"/>
        </w:rPr>
        <w:t xml:space="preserve"> (</w:t>
      </w:r>
      <w:r>
        <w:rPr>
          <w:lang w:val="en-AU"/>
        </w:rPr>
        <w:fldChar w:fldCharType="begin"/>
      </w:r>
      <w:r>
        <w:rPr>
          <w:lang w:val="en-AU"/>
        </w:rPr>
        <w:instrText xml:space="preserve"> REF _Ref337911321 \h </w:instrText>
      </w:r>
      <w:r>
        <w:rPr>
          <w:lang w:val="en-AU"/>
        </w:rPr>
      </w:r>
      <w:r>
        <w:rPr>
          <w:lang w:val="en-AU"/>
        </w:rPr>
        <w:fldChar w:fldCharType="separate"/>
      </w:r>
      <w:r w:rsidR="008E5D7A">
        <w:t xml:space="preserve">Figure </w:t>
      </w:r>
      <w:r w:rsidR="008E5D7A">
        <w:rPr>
          <w:noProof/>
        </w:rPr>
        <w:t>12</w:t>
      </w:r>
      <w:r>
        <w:rPr>
          <w:lang w:val="en-AU"/>
        </w:rPr>
        <w:fldChar w:fldCharType="end"/>
      </w:r>
      <w:r>
        <w:rPr>
          <w:lang w:val="en-AU"/>
        </w:rPr>
        <w:t>)</w:t>
      </w:r>
      <w:r w:rsidRPr="00D718E3">
        <w:rPr>
          <w:lang w:val="en-AU"/>
        </w:rPr>
        <w:t xml:space="preserve">, there is a similar pattern of variability in response to seasonal conditions and water availability. </w:t>
      </w:r>
      <w:r>
        <w:rPr>
          <w:lang w:val="en-AU"/>
        </w:rPr>
        <w:t xml:space="preserve">The notable </w:t>
      </w:r>
      <w:r w:rsidRPr="00D718E3">
        <w:rPr>
          <w:lang w:val="en-AU"/>
        </w:rPr>
        <w:t>exceptions are Nyah, Tresco and Woorinen</w:t>
      </w:r>
      <w:r>
        <w:rPr>
          <w:lang w:val="en-AU"/>
        </w:rPr>
        <w:t>, which are horticultural districts, and</w:t>
      </w:r>
      <w:r w:rsidRPr="00D45EE7">
        <w:rPr>
          <w:lang w:val="en-AU"/>
        </w:rPr>
        <w:t xml:space="preserve"> </w:t>
      </w:r>
      <w:r w:rsidRPr="00D718E3">
        <w:rPr>
          <w:lang w:val="en-AU"/>
        </w:rPr>
        <w:t>Campaspe</w:t>
      </w:r>
      <w:r>
        <w:rPr>
          <w:lang w:val="en-AU"/>
        </w:rPr>
        <w:t>,</w:t>
      </w:r>
      <w:r w:rsidRPr="00D718E3">
        <w:rPr>
          <w:lang w:val="en-AU"/>
        </w:rPr>
        <w:t xml:space="preserve"> </w:t>
      </w:r>
      <w:r>
        <w:rPr>
          <w:lang w:val="en-AU"/>
        </w:rPr>
        <w:t xml:space="preserve">which was closed in 2010 after receiving 0% allocations in four years out of five. </w:t>
      </w:r>
    </w:p>
    <w:p w14:paraId="67805669" w14:textId="77777777" w:rsidR="00C01A50" w:rsidRDefault="009E3D32" w:rsidP="00B640B4">
      <w:pPr>
        <w:keepNext/>
        <w:jc w:val="center"/>
      </w:pPr>
      <w:r>
        <w:rPr>
          <w:noProof/>
          <w:lang w:val="en-AU" w:eastAsia="en-AU" w:bidi="ar-SA"/>
        </w:rPr>
        <w:drawing>
          <wp:inline distT="0" distB="0" distL="0" distR="0" wp14:anchorId="6D0510E4" wp14:editId="05E005E8">
            <wp:extent cx="4555331" cy="3477101"/>
            <wp:effectExtent l="0" t="0" r="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7FE046" w14:textId="77777777" w:rsidR="00C01A50" w:rsidRDefault="00C01A50" w:rsidP="00AD52F8">
      <w:pPr>
        <w:pStyle w:val="Caption"/>
      </w:pPr>
      <w:bookmarkStart w:id="75" w:name="_Ref337911321"/>
      <w:r>
        <w:t xml:space="preserve">Figure </w:t>
      </w:r>
      <w:r>
        <w:fldChar w:fldCharType="begin"/>
      </w:r>
      <w:r>
        <w:instrText xml:space="preserve"> SEQ Figure \* ARABIC </w:instrText>
      </w:r>
      <w:r>
        <w:fldChar w:fldCharType="separate"/>
      </w:r>
      <w:r w:rsidR="008E5D7A">
        <w:rPr>
          <w:noProof/>
        </w:rPr>
        <w:t>12</w:t>
      </w:r>
      <w:r>
        <w:fldChar w:fldCharType="end"/>
      </w:r>
      <w:bookmarkEnd w:id="75"/>
      <w:r>
        <w:t xml:space="preserve">: </w:t>
      </w:r>
      <w:r w:rsidRPr="00AD52F8">
        <w:t>Water use within GMW districts</w:t>
      </w:r>
    </w:p>
    <w:p w14:paraId="61CBA702" w14:textId="77777777" w:rsidR="00C01A50" w:rsidRDefault="00C01A50" w:rsidP="00AC44FF">
      <w:pPr>
        <w:pStyle w:val="Heading2"/>
        <w:rPr>
          <w:lang w:val="en-AU"/>
        </w:rPr>
      </w:pPr>
      <w:bookmarkStart w:id="76" w:name="_Toc462309028"/>
      <w:bookmarkStart w:id="77" w:name="_Toc347747803"/>
      <w:r w:rsidRPr="003B1DA3">
        <w:rPr>
          <w:lang w:val="en-AU"/>
        </w:rPr>
        <w:lastRenderedPageBreak/>
        <w:t>Influences on water use at the time water recovery commenced</w:t>
      </w:r>
      <w:bookmarkEnd w:id="76"/>
      <w:bookmarkEnd w:id="77"/>
    </w:p>
    <w:p w14:paraId="5CD2DFCD" w14:textId="77777777" w:rsidR="00C01A50" w:rsidRDefault="00C01A50" w:rsidP="00AC44FF">
      <w:pPr>
        <w:rPr>
          <w:lang w:val="en-AU"/>
        </w:rPr>
      </w:pPr>
      <w:r>
        <w:rPr>
          <w:lang w:val="en-AU"/>
        </w:rPr>
        <w:t>Significant volumes of water had been recovered for the environment through the Snowy River and the Living Murray initiatives before the Basin Plan commenced. Water recovery for those initiatives continued after</w:t>
      </w:r>
      <w:r w:rsidRPr="00645572">
        <w:rPr>
          <w:lang w:val="en-AU"/>
        </w:rPr>
        <w:t xml:space="preserve"> 30 June 2007 </w:t>
      </w:r>
      <w:r>
        <w:rPr>
          <w:lang w:val="en-AU"/>
        </w:rPr>
        <w:t>with</w:t>
      </w:r>
      <w:r w:rsidRPr="00645572">
        <w:rPr>
          <w:lang w:val="en-AU"/>
        </w:rPr>
        <w:t xml:space="preserve"> 191 GL (</w:t>
      </w:r>
      <w:r w:rsidRPr="00B520B0">
        <w:rPr>
          <w:lang w:val="en-AU"/>
        </w:rPr>
        <w:t>long term average annual yield</w:t>
      </w:r>
      <w:r>
        <w:rPr>
          <w:lang w:val="en-AU"/>
        </w:rPr>
        <w:t xml:space="preserve">, </w:t>
      </w:r>
      <w:r w:rsidRPr="00645572">
        <w:rPr>
          <w:lang w:val="en-AU"/>
        </w:rPr>
        <w:t xml:space="preserve">LTAAY) in NSW and 30 GL (LTAAY) in Victoria </w:t>
      </w:r>
      <w:r>
        <w:rPr>
          <w:lang w:val="en-AU"/>
        </w:rPr>
        <w:t>being</w:t>
      </w:r>
      <w:r w:rsidRPr="00645572">
        <w:rPr>
          <w:lang w:val="en-AU"/>
        </w:rPr>
        <w:t xml:space="preserve"> recovered</w:t>
      </w:r>
      <w:r>
        <w:rPr>
          <w:lang w:val="en-AU"/>
        </w:rPr>
        <w:t xml:space="preserve"> since then.</w:t>
      </w:r>
    </w:p>
    <w:p w14:paraId="20E0A0C7" w14:textId="49DA28D0" w:rsidR="00C01A50" w:rsidRDefault="00C01A50" w:rsidP="00E86C9C">
      <w:pPr>
        <w:rPr>
          <w:lang w:val="en-US"/>
        </w:rPr>
      </w:pPr>
      <w:r w:rsidRPr="00E86C9C">
        <w:rPr>
          <w:lang w:val="en-US"/>
        </w:rPr>
        <w:t xml:space="preserve">In 2007, </w:t>
      </w:r>
      <w:r>
        <w:rPr>
          <w:lang w:val="en-US"/>
        </w:rPr>
        <w:t>in the midst of extreme drought,</w:t>
      </w:r>
      <w:r w:rsidRPr="00E86C9C">
        <w:rPr>
          <w:lang w:val="en-US"/>
        </w:rPr>
        <w:t xml:space="preserve"> Victoria’s water security was a pressing issue and there were concerns that Melbourne would run out of water. </w:t>
      </w:r>
      <w:r>
        <w:rPr>
          <w:lang w:val="en-US"/>
        </w:rPr>
        <w:t>The Victorian Government proposed several large water savings projects, including th</w:t>
      </w:r>
      <w:r w:rsidRPr="00E86C9C">
        <w:rPr>
          <w:lang w:val="en-US"/>
        </w:rPr>
        <w:t>e modernisation of water irrigation infrastructure in Victoria’s Goulburn-Murray Region, a $</w:t>
      </w:r>
      <w:r w:rsidR="00513CB6">
        <w:rPr>
          <w:lang w:val="en-US"/>
        </w:rPr>
        <w:t>1</w:t>
      </w:r>
      <w:r w:rsidR="0000068E" w:rsidRPr="00E86C9C">
        <w:rPr>
          <w:lang w:val="en-US"/>
        </w:rPr>
        <w:t xml:space="preserve"> </w:t>
      </w:r>
      <w:r w:rsidRPr="00E86C9C">
        <w:rPr>
          <w:lang w:val="en-US"/>
        </w:rPr>
        <w:t>billion project designed to generate water savings for Melbourne, irrigators and the environment</w:t>
      </w:r>
      <w:r>
        <w:rPr>
          <w:lang w:val="en-US"/>
        </w:rPr>
        <w:t xml:space="preserve">. </w:t>
      </w:r>
    </w:p>
    <w:p w14:paraId="6484BBF2" w14:textId="77777777" w:rsidR="00C01A50" w:rsidRDefault="00C01A50" w:rsidP="00E86C9C">
      <w:pPr>
        <w:rPr>
          <w:lang w:val="en-US"/>
        </w:rPr>
      </w:pPr>
      <w:r>
        <w:rPr>
          <w:lang w:val="en-US"/>
        </w:rPr>
        <w:t>On 1 July 2007, Victoria unbundled its water entitlements on regulated streams in northern Victoria. Water rights and diversion licences on those systems were ‘unbundled’ to become high reliability water shares, water-use licences and delivery shares. In return for 20% of the total model</w:t>
      </w:r>
      <w:r w:rsidR="00D23AC7">
        <w:rPr>
          <w:lang w:val="en-US"/>
        </w:rPr>
        <w:t>l</w:t>
      </w:r>
      <w:r>
        <w:rPr>
          <w:lang w:val="en-US"/>
        </w:rPr>
        <w:t>ed volume being returned to the environment, the previously ill-defined ‘sales’ water was converted to become entitlements known as low reliability water shares.</w:t>
      </w:r>
    </w:p>
    <w:p w14:paraId="532B21F5" w14:textId="77777777" w:rsidR="00C01A50" w:rsidRDefault="00C01A50" w:rsidP="00E86C9C">
      <w:pPr>
        <w:rPr>
          <w:lang w:val="en-US"/>
        </w:rPr>
      </w:pPr>
      <w:r>
        <w:rPr>
          <w:lang w:val="en-US"/>
        </w:rPr>
        <w:t xml:space="preserve">The Victorian Water Register went live at the same time. It improved the accounting arrangements for water usage, and it provided secure electronic titles for water shares, making it possible for them to be subject to mortgages. </w:t>
      </w:r>
    </w:p>
    <w:p w14:paraId="38C29530" w14:textId="77777777" w:rsidR="00C01A50" w:rsidRDefault="00C01A50" w:rsidP="00E86C9C">
      <w:pPr>
        <w:rPr>
          <w:rFonts w:cstheme="minorHAnsi"/>
        </w:rPr>
      </w:pPr>
      <w:r>
        <w:rPr>
          <w:lang w:val="en-US"/>
        </w:rPr>
        <w:t xml:space="preserve">The National Water Initiative of 2004 </w:t>
      </w:r>
      <w:r>
        <w:rPr>
          <w:rFonts w:cstheme="minorHAnsi"/>
          <w:lang w:eastAsia="en-AU"/>
        </w:rPr>
        <w:t>specified</w:t>
      </w:r>
      <w:r w:rsidRPr="003871C5">
        <w:rPr>
          <w:rFonts w:cstheme="minorHAnsi"/>
          <w:lang w:eastAsia="en-AU"/>
        </w:rPr>
        <w:t xml:space="preserve"> requirements</w:t>
      </w:r>
      <w:r>
        <w:rPr>
          <w:rFonts w:cstheme="minorHAnsi"/>
          <w:lang w:eastAsia="en-AU"/>
        </w:rPr>
        <w:t xml:space="preserve"> for national metering </w:t>
      </w:r>
      <w:r w:rsidRPr="003871C5">
        <w:rPr>
          <w:rFonts w:cstheme="minorHAnsi"/>
        </w:rPr>
        <w:t>standards and</w:t>
      </w:r>
      <w:r>
        <w:rPr>
          <w:rFonts w:cstheme="minorHAnsi"/>
        </w:rPr>
        <w:t xml:space="preserve"> a </w:t>
      </w:r>
      <w:r w:rsidRPr="003871C5">
        <w:rPr>
          <w:rFonts w:cstheme="minorHAnsi"/>
        </w:rPr>
        <w:t xml:space="preserve">nationally consistent framework for </w:t>
      </w:r>
      <w:r>
        <w:rPr>
          <w:rFonts w:cstheme="minorHAnsi"/>
        </w:rPr>
        <w:t xml:space="preserve">water </w:t>
      </w:r>
      <w:r w:rsidRPr="003871C5">
        <w:rPr>
          <w:rFonts w:cstheme="minorHAnsi"/>
        </w:rPr>
        <w:t>metering and measurement.</w:t>
      </w:r>
      <w:r>
        <w:rPr>
          <w:rFonts w:cstheme="minorHAnsi"/>
        </w:rPr>
        <w:t xml:space="preserve"> Consequently, </w:t>
      </w:r>
      <w:r w:rsidRPr="0082667F">
        <w:t xml:space="preserve">The Victorian State Implementation Plan </w:t>
      </w:r>
      <w:r>
        <w:t xml:space="preserve">for Non-urban Water Metering was competed in 2010. It required </w:t>
      </w:r>
      <w:r>
        <w:rPr>
          <w:rFonts w:cstheme="minorHAnsi"/>
        </w:rPr>
        <w:t xml:space="preserve">all non-urban meters </w:t>
      </w:r>
      <w:r w:rsidRPr="00E97FDB">
        <w:rPr>
          <w:rFonts w:cstheme="minorHAnsi"/>
        </w:rPr>
        <w:t xml:space="preserve">to </w:t>
      </w:r>
      <w:r>
        <w:rPr>
          <w:rFonts w:cstheme="minorHAnsi"/>
        </w:rPr>
        <w:t>perform</w:t>
      </w:r>
      <w:r w:rsidRPr="00E97FDB">
        <w:rPr>
          <w:rFonts w:cstheme="minorHAnsi"/>
        </w:rPr>
        <w:t xml:space="preserve"> withi</w:t>
      </w:r>
      <w:r>
        <w:rPr>
          <w:rFonts w:cstheme="minorHAnsi"/>
        </w:rPr>
        <w:t xml:space="preserve">n the maximum permissible </w:t>
      </w:r>
      <w:r w:rsidRPr="00E10995">
        <w:rPr>
          <w:rFonts w:cstheme="minorHAnsi"/>
        </w:rPr>
        <w:t>limits of error of ±5%.</w:t>
      </w:r>
    </w:p>
    <w:p w14:paraId="1BE21C78" w14:textId="77777777" w:rsidR="00C01A50" w:rsidRDefault="00C01A50" w:rsidP="00AC44FF">
      <w:pPr>
        <w:rPr>
          <w:rFonts w:cstheme="minorHAnsi"/>
        </w:rPr>
      </w:pPr>
      <w:r>
        <w:rPr>
          <w:rFonts w:cstheme="minorHAnsi"/>
        </w:rPr>
        <w:t xml:space="preserve">The extreme drought was reflected in extraordinarily low allocation levels when water recovery commenced, and record-breaking floods were recorded immediately after the buyback of entitlements stopped. The extraordinary levels of carryover built up during the </w:t>
      </w:r>
      <w:r w:rsidRPr="00F44F42">
        <w:rPr>
          <w:rFonts w:cstheme="minorHAnsi"/>
          <w:i/>
        </w:rPr>
        <w:t>La Nina</w:t>
      </w:r>
      <w:r>
        <w:rPr>
          <w:rFonts w:cstheme="minorHAnsi"/>
        </w:rPr>
        <w:t xml:space="preserve"> years meant that the total combined volume of allocations and carryover against Victorian water shares were greater than the volume of use by irrigators in Victoria for four years after buyback was complete (</w:t>
      </w:r>
      <w:r>
        <w:rPr>
          <w:rFonts w:cstheme="minorHAnsi"/>
        </w:rPr>
        <w:fldChar w:fldCharType="begin"/>
      </w:r>
      <w:r>
        <w:rPr>
          <w:rFonts w:cstheme="minorHAnsi"/>
        </w:rPr>
        <w:instrText xml:space="preserve"> REF _Ref315006786 \h </w:instrText>
      </w:r>
      <w:r>
        <w:rPr>
          <w:rFonts w:cstheme="minorHAnsi"/>
        </w:rPr>
      </w:r>
      <w:r>
        <w:rPr>
          <w:rFonts w:cstheme="minorHAnsi"/>
        </w:rPr>
        <w:fldChar w:fldCharType="separate"/>
      </w:r>
      <w:r w:rsidR="008E5D7A">
        <w:t xml:space="preserve">Figure </w:t>
      </w:r>
      <w:r w:rsidR="008E5D7A">
        <w:rPr>
          <w:noProof/>
        </w:rPr>
        <w:t>13</w:t>
      </w:r>
      <w:r>
        <w:rPr>
          <w:rFonts w:cstheme="minorHAnsi"/>
        </w:rPr>
        <w:fldChar w:fldCharType="end"/>
      </w:r>
      <w:r>
        <w:rPr>
          <w:rFonts w:cstheme="minorHAnsi"/>
        </w:rPr>
        <w:t>). This served to mask the impacts of the Basin Plan water recovery until early 2015/16.</w:t>
      </w:r>
    </w:p>
    <w:p w14:paraId="4C6AECC1" w14:textId="77777777" w:rsidR="00C01A50" w:rsidRDefault="00C01A50" w:rsidP="00B640B4">
      <w:pPr>
        <w:keepNext/>
        <w:spacing w:after="0"/>
      </w:pPr>
      <w:bookmarkStart w:id="78" w:name="_Toc462309029"/>
      <w:r w:rsidRPr="00A745D1">
        <w:rPr>
          <w:noProof/>
          <w:lang w:val="en-AU" w:eastAsia="en-AU" w:bidi="ar-SA"/>
        </w:rPr>
        <w:lastRenderedPageBreak/>
        <w:drawing>
          <wp:inline distT="0" distB="0" distL="0" distR="0" wp14:anchorId="3EE0F04F" wp14:editId="566FE422">
            <wp:extent cx="5761355" cy="29140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2914015"/>
                    </a:xfrm>
                    <a:prstGeom prst="rect">
                      <a:avLst/>
                    </a:prstGeom>
                    <a:noFill/>
                  </pic:spPr>
                </pic:pic>
              </a:graphicData>
            </a:graphic>
          </wp:inline>
        </w:drawing>
      </w:r>
    </w:p>
    <w:p w14:paraId="3D0974B1" w14:textId="77777777" w:rsidR="00C01A50" w:rsidRPr="000C655E" w:rsidRDefault="00C01A50" w:rsidP="00147030">
      <w:pPr>
        <w:pStyle w:val="Caption"/>
        <w:rPr>
          <w:lang w:val="en-US"/>
        </w:rPr>
      </w:pPr>
      <w:bookmarkStart w:id="79" w:name="_Ref315006786"/>
      <w:bookmarkStart w:id="80" w:name="_Toc315018116"/>
      <w:r>
        <w:t>Figure</w:t>
      </w:r>
      <w:r w:rsidR="00857874">
        <w:t xml:space="preserve"> </w:t>
      </w:r>
      <w:r>
        <w:fldChar w:fldCharType="begin"/>
      </w:r>
      <w:r>
        <w:instrText xml:space="preserve"> SEQ Figure \* ARABIC </w:instrText>
      </w:r>
      <w:r>
        <w:fldChar w:fldCharType="separate"/>
      </w:r>
      <w:r w:rsidR="008E5D7A">
        <w:rPr>
          <w:noProof/>
        </w:rPr>
        <w:t>13</w:t>
      </w:r>
      <w:r>
        <w:rPr>
          <w:noProof/>
        </w:rPr>
        <w:fldChar w:fldCharType="end"/>
      </w:r>
      <w:bookmarkEnd w:id="79"/>
      <w:r w:rsidR="00857874">
        <w:t>:</w:t>
      </w:r>
      <w:r>
        <w:t xml:space="preserve"> </w:t>
      </w:r>
      <w:r w:rsidRPr="000C655E">
        <w:t>Private water availability</w:t>
      </w:r>
      <w:r w:rsidR="00857874">
        <w:t>,</w:t>
      </w:r>
      <w:r w:rsidRPr="000C655E">
        <w:t xml:space="preserve"> use </w:t>
      </w:r>
      <w:r w:rsidR="00857874">
        <w:t>and</w:t>
      </w:r>
      <w:r w:rsidRPr="000C655E">
        <w:t xml:space="preserve"> allocation price, Murray </w:t>
      </w:r>
      <w:r w:rsidR="00C33F4C">
        <w:t>and</w:t>
      </w:r>
      <w:r w:rsidRPr="000C655E">
        <w:t xml:space="preserve"> Goulburn systems</w:t>
      </w:r>
      <w:bookmarkEnd w:id="80"/>
      <w:r w:rsidR="00857874">
        <w:t xml:space="preserve"> (DELWP, 2016</w:t>
      </w:r>
      <w:r w:rsidR="004D3C4E">
        <w:t>a</w:t>
      </w:r>
      <w:r w:rsidR="009259A2">
        <w:t>)</w:t>
      </w:r>
    </w:p>
    <w:p w14:paraId="2ECE7634" w14:textId="504431B7" w:rsidR="00C01A50" w:rsidRPr="00712766" w:rsidRDefault="00C01A50" w:rsidP="00712766">
      <w:pPr>
        <w:spacing w:after="0"/>
        <w:rPr>
          <w:i/>
          <w:sz w:val="16"/>
        </w:rPr>
      </w:pPr>
      <w:r w:rsidRPr="00712766">
        <w:rPr>
          <w:i/>
          <w:sz w:val="16"/>
        </w:rPr>
        <w:t xml:space="preserve">Note: </w:t>
      </w:r>
      <w:r w:rsidRPr="00712766">
        <w:rPr>
          <w:i/>
          <w:sz w:val="16"/>
        </w:rPr>
        <w:tab/>
        <w:t xml:space="preserve">The bars for 2015/16 are hatched to indicate that the season was not complete at the time </w:t>
      </w:r>
      <w:r w:rsidR="00C33F4C" w:rsidRPr="00712766">
        <w:rPr>
          <w:i/>
          <w:sz w:val="16"/>
        </w:rPr>
        <w:t>the report (DELWP, 2016</w:t>
      </w:r>
      <w:r w:rsidR="004D3C4E" w:rsidRPr="00712766">
        <w:rPr>
          <w:i/>
          <w:sz w:val="16"/>
        </w:rPr>
        <w:t>a</w:t>
      </w:r>
      <w:r w:rsidR="00C33F4C" w:rsidRPr="00712766">
        <w:rPr>
          <w:i/>
          <w:sz w:val="16"/>
        </w:rPr>
        <w:t xml:space="preserve">) was being prepared. DELWP was unable to update this figure in time for this report. An updated version would provide insight into </w:t>
      </w:r>
      <w:r w:rsidR="00443463" w:rsidRPr="00712766">
        <w:rPr>
          <w:i/>
          <w:sz w:val="16"/>
        </w:rPr>
        <w:t>high levels of concern about allocation prices in 2015</w:t>
      </w:r>
      <w:r w:rsidR="00CE470A" w:rsidRPr="00712766">
        <w:rPr>
          <w:i/>
          <w:sz w:val="16"/>
        </w:rPr>
        <w:t>/</w:t>
      </w:r>
      <w:r w:rsidR="00443463" w:rsidRPr="00712766">
        <w:rPr>
          <w:i/>
          <w:sz w:val="16"/>
        </w:rPr>
        <w:t>16.</w:t>
      </w:r>
    </w:p>
    <w:p w14:paraId="419982CE" w14:textId="77777777" w:rsidR="00C01A50" w:rsidRDefault="00C01A50" w:rsidP="00E71943">
      <w:pPr>
        <w:rPr>
          <w:rFonts w:cstheme="minorHAnsi"/>
        </w:rPr>
      </w:pPr>
      <w:r>
        <w:rPr>
          <w:rFonts w:cstheme="minorHAnsi"/>
        </w:rPr>
        <w:t xml:space="preserve">The collapse of the wine boom, and the collapse of two large managed investment </w:t>
      </w:r>
      <w:r w:rsidR="00D23AC7">
        <w:rPr>
          <w:rFonts w:cstheme="minorHAnsi"/>
        </w:rPr>
        <w:t>companies</w:t>
      </w:r>
      <w:r>
        <w:rPr>
          <w:rFonts w:cstheme="minorHAnsi"/>
        </w:rPr>
        <w:t xml:space="preserve"> (Timbercorp and Great Southern), which had been investing in Victoria’s horticultural expansion, coincided with low allocation levels and the start of water recovery. Buyback helped with the necessary structural adjustment. Wine grape growers were able to exit the industry, and many large almond orchards were salvaged by buyers who subsequently sold the entitlements associated with them to the Commonwealth while sustaining the orchards through allocation purchases. Despite these disruptions, as is discussed in Chapter </w:t>
      </w:r>
      <w:r>
        <w:rPr>
          <w:rFonts w:cstheme="minorHAnsi"/>
        </w:rPr>
        <w:fldChar w:fldCharType="begin"/>
      </w:r>
      <w:r>
        <w:rPr>
          <w:rFonts w:cstheme="minorHAnsi"/>
        </w:rPr>
        <w:instrText xml:space="preserve"> REF _Ref464762211 \r \h </w:instrText>
      </w:r>
      <w:r>
        <w:rPr>
          <w:rFonts w:cstheme="minorHAnsi"/>
        </w:rPr>
      </w:r>
      <w:r>
        <w:rPr>
          <w:rFonts w:cstheme="minorHAnsi"/>
        </w:rPr>
        <w:fldChar w:fldCharType="separate"/>
      </w:r>
      <w:r w:rsidR="008E5D7A">
        <w:rPr>
          <w:rFonts w:cstheme="minorHAnsi"/>
        </w:rPr>
        <w:t>5</w:t>
      </w:r>
      <w:r>
        <w:rPr>
          <w:rFonts w:cstheme="minorHAnsi"/>
        </w:rPr>
        <w:fldChar w:fldCharType="end"/>
      </w:r>
      <w:r>
        <w:rPr>
          <w:rFonts w:cstheme="minorHAnsi"/>
        </w:rPr>
        <w:t>, horticultural plantings continued to expand before, during and after water recovery.</w:t>
      </w:r>
    </w:p>
    <w:p w14:paraId="393BF17A" w14:textId="77777777" w:rsidR="00C01A50" w:rsidRDefault="00C01A50" w:rsidP="00AC44FF">
      <w:pPr>
        <w:pStyle w:val="Heading2"/>
        <w:rPr>
          <w:lang w:val="en-AU"/>
        </w:rPr>
      </w:pPr>
      <w:bookmarkStart w:id="81" w:name="_Ref346125188"/>
      <w:bookmarkStart w:id="82" w:name="_Toc347747804"/>
      <w:r w:rsidRPr="003B1DA3">
        <w:rPr>
          <w:lang w:val="en-AU"/>
        </w:rPr>
        <w:t>Water recovery under the Basin Plan</w:t>
      </w:r>
      <w:bookmarkEnd w:id="78"/>
      <w:bookmarkEnd w:id="81"/>
      <w:bookmarkEnd w:id="82"/>
    </w:p>
    <w:p w14:paraId="4BABAA97" w14:textId="77777777" w:rsidR="00C01A50" w:rsidRDefault="00C01A50" w:rsidP="005A42F2">
      <w:pPr>
        <w:rPr>
          <w:lang w:val="en-AU"/>
        </w:rPr>
      </w:pPr>
      <w:r>
        <w:rPr>
          <w:lang w:val="en-AU"/>
        </w:rPr>
        <w:t>Water recovery under the Basin Plan commenced in 2007/08 with a small volume of buyback, which was the main vehicle for water recovery through until 2011/12 (</w:t>
      </w:r>
      <w:r>
        <w:rPr>
          <w:lang w:val="en-AU"/>
        </w:rPr>
        <w:fldChar w:fldCharType="begin"/>
      </w:r>
      <w:r>
        <w:rPr>
          <w:lang w:val="en-AU"/>
        </w:rPr>
        <w:instrText xml:space="preserve"> REF _Ref337913677 \h </w:instrText>
      </w:r>
      <w:r>
        <w:rPr>
          <w:lang w:val="en-AU"/>
        </w:rPr>
      </w:r>
      <w:r>
        <w:rPr>
          <w:lang w:val="en-AU"/>
        </w:rPr>
        <w:fldChar w:fldCharType="separate"/>
      </w:r>
      <w:r w:rsidR="008E5D7A">
        <w:t xml:space="preserve">Figure </w:t>
      </w:r>
      <w:r w:rsidR="008E5D7A">
        <w:rPr>
          <w:noProof/>
        </w:rPr>
        <w:t>14</w:t>
      </w:r>
      <w:r>
        <w:rPr>
          <w:lang w:val="en-AU"/>
        </w:rPr>
        <w:fldChar w:fldCharType="end"/>
      </w:r>
      <w:r>
        <w:rPr>
          <w:lang w:val="en-AU"/>
        </w:rPr>
        <w:t xml:space="preserve">). After that infrastructure efficiency savings, which had commenced in 2010/11, became the main vehicle for recovery. Because many different types of entitlement were recovered, the total volumes of recovered water are expressed here using </w:t>
      </w:r>
      <w:r w:rsidRPr="00F34264">
        <w:rPr>
          <w:lang w:val="en-AU"/>
        </w:rPr>
        <w:t>long-term annual average yield</w:t>
      </w:r>
      <w:r>
        <w:rPr>
          <w:lang w:val="en-AU"/>
        </w:rPr>
        <w:t xml:space="preserve"> (LTAAY) in </w:t>
      </w:r>
      <w:r w:rsidR="00FF192A">
        <w:rPr>
          <w:lang w:val="en-AU"/>
        </w:rPr>
        <w:t>megalitres (ML)</w:t>
      </w:r>
      <w:r>
        <w:rPr>
          <w:lang w:val="en-AU"/>
        </w:rPr>
        <w:t xml:space="preserve"> as the equilibrating unit of account.</w:t>
      </w:r>
    </w:p>
    <w:p w14:paraId="13BC3175" w14:textId="77777777" w:rsidR="00C01A50" w:rsidRDefault="009E3D32" w:rsidP="00B640B4">
      <w:pPr>
        <w:keepNext/>
        <w:jc w:val="center"/>
        <w:rPr>
          <w:lang w:val="en-AU"/>
        </w:rPr>
      </w:pPr>
      <w:r>
        <w:rPr>
          <w:noProof/>
          <w:lang w:val="en-AU" w:eastAsia="en-AU" w:bidi="ar-SA"/>
        </w:rPr>
        <w:lastRenderedPageBreak/>
        <w:drawing>
          <wp:inline distT="0" distB="0" distL="0" distR="0" wp14:anchorId="1D8FD999" wp14:editId="7E4F5BB6">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C21DBC" w14:textId="77777777" w:rsidR="00C01A50" w:rsidRDefault="00C01A50" w:rsidP="005A42F2">
      <w:pPr>
        <w:pStyle w:val="Caption"/>
        <w:rPr>
          <w:lang w:val="en-AU"/>
        </w:rPr>
      </w:pPr>
      <w:bookmarkStart w:id="83" w:name="_Ref337913677"/>
      <w:r>
        <w:t xml:space="preserve">Figure </w:t>
      </w:r>
      <w:r>
        <w:fldChar w:fldCharType="begin"/>
      </w:r>
      <w:r>
        <w:instrText xml:space="preserve"> SEQ Figure \* ARABIC </w:instrText>
      </w:r>
      <w:r>
        <w:fldChar w:fldCharType="separate"/>
      </w:r>
      <w:r w:rsidR="008E5D7A">
        <w:rPr>
          <w:noProof/>
        </w:rPr>
        <w:t>14</w:t>
      </w:r>
      <w:r>
        <w:fldChar w:fldCharType="end"/>
      </w:r>
      <w:bookmarkEnd w:id="83"/>
      <w:r>
        <w:t xml:space="preserve">: </w:t>
      </w:r>
      <w:r w:rsidRPr="005A42F2">
        <w:t>Contracted water recovery (</w:t>
      </w:r>
      <w:r>
        <w:t>ML</w:t>
      </w:r>
      <w:r w:rsidRPr="005A42F2">
        <w:t xml:space="preserve"> LTAAY)</w:t>
      </w:r>
      <w:r>
        <w:t xml:space="preserve"> across the southern MDB</w:t>
      </w:r>
    </w:p>
    <w:p w14:paraId="72FB9308" w14:textId="77777777" w:rsidR="00C01A50" w:rsidRPr="000744E4" w:rsidRDefault="00C01A50" w:rsidP="002E50C5">
      <w:pPr>
        <w:jc w:val="left"/>
        <w:rPr>
          <w:rFonts w:eastAsia="Calibri"/>
          <w:color w:val="000000"/>
          <w:sz w:val="18"/>
          <w:szCs w:val="22"/>
          <w:lang w:val="en-AU" w:bidi="ar-SA"/>
        </w:rPr>
      </w:pPr>
      <w:r>
        <w:rPr>
          <w:rFonts w:eastAsia="Calibri"/>
          <w:color w:val="000000"/>
          <w:sz w:val="18"/>
          <w:szCs w:val="22"/>
          <w:lang w:val="en-AU" w:bidi="ar-SA"/>
        </w:rPr>
        <w:t>Note: The timing of contracted water recovery may differ from the timing of when ownership of water entitlements are transferred to the Commonwealth. For example, although the majority of buyback was contracted in the four years 2008</w:t>
      </w:r>
      <w:r w:rsidR="00CE470A">
        <w:rPr>
          <w:rFonts w:eastAsia="Calibri"/>
          <w:color w:val="000000"/>
          <w:sz w:val="18"/>
          <w:szCs w:val="22"/>
          <w:lang w:val="en-AU" w:bidi="ar-SA"/>
        </w:rPr>
        <w:t>/</w:t>
      </w:r>
      <w:r>
        <w:rPr>
          <w:rFonts w:eastAsia="Calibri"/>
          <w:color w:val="000000"/>
          <w:sz w:val="18"/>
          <w:szCs w:val="22"/>
          <w:lang w:val="en-AU" w:bidi="ar-SA"/>
        </w:rPr>
        <w:t>09 to 2011</w:t>
      </w:r>
      <w:r w:rsidR="00CE470A">
        <w:rPr>
          <w:rFonts w:eastAsia="Calibri"/>
          <w:color w:val="000000"/>
          <w:sz w:val="18"/>
          <w:szCs w:val="22"/>
          <w:lang w:val="en-AU" w:bidi="ar-SA"/>
        </w:rPr>
        <w:t>/</w:t>
      </w:r>
      <w:r>
        <w:rPr>
          <w:rFonts w:eastAsia="Calibri"/>
          <w:color w:val="000000"/>
          <w:sz w:val="18"/>
          <w:szCs w:val="22"/>
          <w:lang w:val="en-AU" w:bidi="ar-SA"/>
        </w:rPr>
        <w:t>12, the majority of this was transferred to Commonwealth ownership during the three years 2009</w:t>
      </w:r>
      <w:r w:rsidR="00CE470A">
        <w:rPr>
          <w:rFonts w:eastAsia="Calibri"/>
          <w:color w:val="000000"/>
          <w:sz w:val="18"/>
          <w:szCs w:val="22"/>
          <w:lang w:val="en-AU" w:bidi="ar-SA"/>
        </w:rPr>
        <w:t>/</w:t>
      </w:r>
      <w:r>
        <w:rPr>
          <w:rFonts w:eastAsia="Calibri"/>
          <w:color w:val="000000"/>
          <w:sz w:val="18"/>
          <w:szCs w:val="22"/>
          <w:lang w:val="en-AU" w:bidi="ar-SA"/>
        </w:rPr>
        <w:t>10 to 2011</w:t>
      </w:r>
      <w:r w:rsidR="00CE470A">
        <w:rPr>
          <w:rFonts w:eastAsia="Calibri"/>
          <w:color w:val="000000"/>
          <w:sz w:val="18"/>
          <w:szCs w:val="22"/>
          <w:lang w:val="en-AU" w:bidi="ar-SA"/>
        </w:rPr>
        <w:t>/</w:t>
      </w:r>
      <w:r>
        <w:rPr>
          <w:rFonts w:eastAsia="Calibri"/>
          <w:color w:val="000000"/>
          <w:sz w:val="18"/>
          <w:szCs w:val="22"/>
          <w:lang w:val="en-AU" w:bidi="ar-SA"/>
        </w:rPr>
        <w:t>12.</w:t>
      </w:r>
      <w:r>
        <w:rPr>
          <w:rFonts w:eastAsia="Calibri"/>
          <w:color w:val="000000"/>
          <w:sz w:val="18"/>
          <w:szCs w:val="22"/>
          <w:lang w:val="en-AU" w:bidi="ar-SA"/>
        </w:rPr>
        <w:br/>
      </w:r>
      <w:r w:rsidRPr="000744E4">
        <w:rPr>
          <w:rFonts w:eastAsia="Calibri"/>
          <w:color w:val="000000"/>
          <w:sz w:val="18"/>
          <w:szCs w:val="22"/>
          <w:lang w:val="en-AU" w:bidi="ar-SA"/>
        </w:rPr>
        <w:t>Source: Pers. comm., DAWR, 16th September 2016.</w:t>
      </w:r>
    </w:p>
    <w:p w14:paraId="38447CAA" w14:textId="77777777" w:rsidR="00C01A50" w:rsidRDefault="00C01A50" w:rsidP="0077491E">
      <w:pPr>
        <w:rPr>
          <w:lang w:val="en-AU"/>
        </w:rPr>
      </w:pPr>
      <w:bookmarkStart w:id="84" w:name="_Toc462309030"/>
      <w:r w:rsidRPr="00A90793">
        <w:rPr>
          <w:lang w:val="en-AU"/>
        </w:rPr>
        <w:t xml:space="preserve">Appendix </w:t>
      </w:r>
      <w:r>
        <w:rPr>
          <w:lang w:val="en-AU"/>
        </w:rPr>
        <w:fldChar w:fldCharType="begin"/>
      </w:r>
      <w:r>
        <w:rPr>
          <w:lang w:val="en-AU"/>
        </w:rPr>
        <w:instrText xml:space="preserve"> REF _Ref342037179 \r \h </w:instrText>
      </w:r>
      <w:r>
        <w:rPr>
          <w:lang w:val="en-AU"/>
        </w:rPr>
      </w:r>
      <w:r>
        <w:rPr>
          <w:lang w:val="en-AU"/>
        </w:rPr>
        <w:fldChar w:fldCharType="separate"/>
      </w:r>
      <w:r w:rsidR="008E5D7A">
        <w:rPr>
          <w:lang w:val="en-AU"/>
        </w:rPr>
        <w:t>2</w:t>
      </w:r>
      <w:r>
        <w:rPr>
          <w:lang w:val="en-AU"/>
        </w:rPr>
        <w:fldChar w:fldCharType="end"/>
      </w:r>
      <w:r w:rsidRPr="005A42F2">
        <w:rPr>
          <w:lang w:val="en-AU"/>
        </w:rPr>
        <w:t xml:space="preserve"> </w:t>
      </w:r>
      <w:r w:rsidRPr="00A90793">
        <w:rPr>
          <w:lang w:val="en-AU"/>
        </w:rPr>
        <w:t>include</w:t>
      </w:r>
      <w:r>
        <w:rPr>
          <w:lang w:val="en-AU"/>
        </w:rPr>
        <w:t xml:space="preserve">s a full table of water recovery progress by entitlement type (separating buyback and infrastructure </w:t>
      </w:r>
      <w:r w:rsidRPr="00A90793">
        <w:rPr>
          <w:lang w:val="en-AU"/>
        </w:rPr>
        <w:t>projects)</w:t>
      </w:r>
      <w:r>
        <w:rPr>
          <w:lang w:val="en-AU"/>
        </w:rPr>
        <w:t>. It is important to note that the Commonwealth records water recovery as taking place when the vendor contracts to transfer the water. By contrast, the Victorian Water Register records recovery as taking place when the transfer occurs, sometimes in the following year. Therefore the graphs in this chapter refer variously to ‘contracted water recovery’ when using Commonwealth data and ‘transfer of ownership’ when using Victorian data.</w:t>
      </w:r>
    </w:p>
    <w:p w14:paraId="366F48D2" w14:textId="77777777" w:rsidR="00C01A50" w:rsidRDefault="00C01A50" w:rsidP="00AC44FF">
      <w:pPr>
        <w:pStyle w:val="Heading3"/>
        <w:rPr>
          <w:lang w:val="en-AU"/>
        </w:rPr>
      </w:pPr>
      <w:r>
        <w:rPr>
          <w:lang w:val="en-AU"/>
        </w:rPr>
        <w:t>Buyback</w:t>
      </w:r>
      <w:bookmarkEnd w:id="84"/>
    </w:p>
    <w:p w14:paraId="66496991" w14:textId="77777777" w:rsidR="00C01A50" w:rsidRDefault="00C01A50" w:rsidP="00AC44FF">
      <w:pPr>
        <w:rPr>
          <w:lang w:val="en-AU"/>
        </w:rPr>
      </w:pPr>
      <w:r>
        <w:rPr>
          <w:lang w:val="en-AU"/>
        </w:rPr>
        <w:fldChar w:fldCharType="begin"/>
      </w:r>
      <w:r>
        <w:rPr>
          <w:lang w:val="en-AU"/>
        </w:rPr>
        <w:instrText xml:space="preserve"> REF _Ref337970402 \h </w:instrText>
      </w:r>
      <w:r>
        <w:rPr>
          <w:lang w:val="en-AU"/>
        </w:rPr>
      </w:r>
      <w:r>
        <w:rPr>
          <w:lang w:val="en-AU"/>
        </w:rPr>
        <w:fldChar w:fldCharType="separate"/>
      </w:r>
      <w:r w:rsidR="008E5D7A">
        <w:t xml:space="preserve">Figure </w:t>
      </w:r>
      <w:r w:rsidR="008E5D7A">
        <w:rPr>
          <w:noProof/>
        </w:rPr>
        <w:t>15</w:t>
      </w:r>
      <w:r>
        <w:rPr>
          <w:lang w:val="en-AU"/>
        </w:rPr>
        <w:fldChar w:fldCharType="end"/>
      </w:r>
      <w:r>
        <w:rPr>
          <w:lang w:val="en-AU"/>
        </w:rPr>
        <w:t xml:space="preserve"> shows that Victorian high reliability water shares account for the bulk of water recovered through buyback in the southern-connected Basin.</w:t>
      </w:r>
    </w:p>
    <w:p w14:paraId="2963D23E" w14:textId="77777777" w:rsidR="00C01A50" w:rsidRDefault="00877C98" w:rsidP="00B640B4">
      <w:pPr>
        <w:keepNext/>
        <w:jc w:val="center"/>
      </w:pPr>
      <w:r>
        <w:rPr>
          <w:noProof/>
          <w:lang w:val="en-AU" w:eastAsia="en-AU" w:bidi="ar-SA"/>
        </w:rPr>
        <w:lastRenderedPageBreak/>
        <w:drawing>
          <wp:inline distT="0" distB="0" distL="0" distR="0" wp14:anchorId="15D57808" wp14:editId="457E4B6E">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58563F2" w14:textId="77777777" w:rsidR="00C01A50" w:rsidRDefault="00C01A50" w:rsidP="005A42F2">
      <w:pPr>
        <w:pStyle w:val="Caption"/>
        <w:rPr>
          <w:lang w:val="en-AU"/>
        </w:rPr>
      </w:pPr>
      <w:bookmarkStart w:id="85" w:name="_Ref337970402"/>
      <w:r>
        <w:t xml:space="preserve">Figure </w:t>
      </w:r>
      <w:r>
        <w:fldChar w:fldCharType="begin"/>
      </w:r>
      <w:r>
        <w:instrText xml:space="preserve"> SEQ Figure \* ARABIC </w:instrText>
      </w:r>
      <w:r>
        <w:fldChar w:fldCharType="separate"/>
      </w:r>
      <w:r w:rsidR="008E5D7A">
        <w:rPr>
          <w:noProof/>
        </w:rPr>
        <w:t>15</w:t>
      </w:r>
      <w:r>
        <w:fldChar w:fldCharType="end"/>
      </w:r>
      <w:bookmarkEnd w:id="85"/>
      <w:r>
        <w:t xml:space="preserve">: Contracted </w:t>
      </w:r>
      <w:r w:rsidRPr="005A42F2">
        <w:t xml:space="preserve">water recovery </w:t>
      </w:r>
      <w:r>
        <w:t xml:space="preserve">through </w:t>
      </w:r>
      <w:r w:rsidRPr="005A42F2">
        <w:t>buyback (ML LTAAY</w:t>
      </w:r>
      <w:r w:rsidR="00877C98">
        <w:t>) in the southern MDB</w:t>
      </w:r>
    </w:p>
    <w:p w14:paraId="19582970" w14:textId="77777777" w:rsidR="00C01A50" w:rsidRPr="000744E4" w:rsidRDefault="00C01A50" w:rsidP="00AC44FF">
      <w:pPr>
        <w:rPr>
          <w:rFonts w:eastAsia="Calibri"/>
          <w:color w:val="000000"/>
          <w:sz w:val="18"/>
          <w:szCs w:val="22"/>
          <w:lang w:val="en-AU" w:bidi="ar-SA"/>
        </w:rPr>
      </w:pPr>
      <w:r>
        <w:rPr>
          <w:rFonts w:eastAsia="Calibri"/>
          <w:color w:val="000000"/>
          <w:sz w:val="18"/>
          <w:szCs w:val="22"/>
          <w:lang w:val="en-AU" w:bidi="ar-SA"/>
        </w:rPr>
        <w:t xml:space="preserve">Note: </w:t>
      </w:r>
      <w:r w:rsidRPr="00555172">
        <w:rPr>
          <w:rFonts w:eastAsia="Calibri"/>
          <w:color w:val="000000"/>
          <w:sz w:val="18"/>
          <w:szCs w:val="22"/>
          <w:lang w:val="en-AU" w:bidi="ar-SA"/>
        </w:rPr>
        <w:t>In addition, 22.5GL LTAAY was purchased from the Wimmera and Murray Irrigation Irrigator Led Group Proposals (http://agriculture.gov.au/water/markets/commonwealth-water</w:t>
      </w:r>
      <w:r>
        <w:rPr>
          <w:rFonts w:eastAsia="Calibri"/>
          <w:color w:val="000000"/>
          <w:sz w:val="18"/>
          <w:szCs w:val="22"/>
          <w:lang w:val="en-AU" w:bidi="ar-SA"/>
        </w:rPr>
        <w:t xml:space="preserve">-mdb/progress-water-purchases). </w:t>
      </w:r>
      <w:r w:rsidRPr="00555172">
        <w:rPr>
          <w:rFonts w:eastAsia="Calibri"/>
          <w:color w:val="000000"/>
          <w:sz w:val="18"/>
          <w:szCs w:val="22"/>
          <w:lang w:val="en-AU" w:bidi="ar-SA"/>
        </w:rPr>
        <w:t>It should be noted that the ‘ACT’ buyback volume was of NSW Murrumbidgee entitlement</w:t>
      </w:r>
      <w:r>
        <w:rPr>
          <w:rFonts w:eastAsia="Calibri"/>
          <w:color w:val="000000"/>
          <w:sz w:val="18"/>
          <w:szCs w:val="22"/>
          <w:lang w:val="en-AU" w:bidi="ar-SA"/>
        </w:rPr>
        <w:t>.</w:t>
      </w:r>
      <w:r>
        <w:rPr>
          <w:rFonts w:eastAsia="Calibri"/>
          <w:color w:val="000000"/>
          <w:sz w:val="18"/>
          <w:szCs w:val="22"/>
          <w:lang w:val="en-AU" w:bidi="ar-SA"/>
        </w:rPr>
        <w:tab/>
      </w:r>
      <w:r>
        <w:rPr>
          <w:rFonts w:eastAsia="Calibri"/>
          <w:color w:val="000000"/>
          <w:sz w:val="18"/>
          <w:szCs w:val="22"/>
          <w:lang w:val="en-AU" w:bidi="ar-SA"/>
        </w:rPr>
        <w:br/>
      </w:r>
      <w:r w:rsidRPr="000744E4">
        <w:rPr>
          <w:rFonts w:eastAsia="Calibri"/>
          <w:color w:val="000000"/>
          <w:sz w:val="18"/>
          <w:szCs w:val="22"/>
          <w:lang w:val="en-AU" w:bidi="ar-SA"/>
        </w:rPr>
        <w:t>Source: Pers. comm., DAWR, 16th September 2016.</w:t>
      </w:r>
    </w:p>
    <w:p w14:paraId="663A5E2A" w14:textId="77777777" w:rsidR="00C01A50" w:rsidRDefault="00C01A50" w:rsidP="00AC44FF">
      <w:pPr>
        <w:rPr>
          <w:lang w:val="en-AU"/>
        </w:rPr>
      </w:pPr>
      <w:r>
        <w:rPr>
          <w:lang w:val="en-AU"/>
        </w:rPr>
        <w:t xml:space="preserve">This difference in buyback volumes between states is more pronounced when only high reliability entitlements are considered. </w:t>
      </w:r>
      <w:r w:rsidR="0004734A">
        <w:rPr>
          <w:lang w:val="en-AU"/>
        </w:rPr>
        <w:fldChar w:fldCharType="begin"/>
      </w:r>
      <w:r w:rsidR="0004734A">
        <w:rPr>
          <w:lang w:val="en-AU"/>
        </w:rPr>
        <w:instrText xml:space="preserve"> REF _Ref347077696 \h </w:instrText>
      </w:r>
      <w:r w:rsidR="0004734A">
        <w:rPr>
          <w:lang w:val="en-AU"/>
        </w:rPr>
      </w:r>
      <w:r w:rsidR="0004734A">
        <w:rPr>
          <w:lang w:val="en-AU"/>
        </w:rPr>
        <w:fldChar w:fldCharType="separate"/>
      </w:r>
      <w:r w:rsidR="008E5D7A">
        <w:t xml:space="preserve">Figure </w:t>
      </w:r>
      <w:r w:rsidR="008E5D7A">
        <w:rPr>
          <w:noProof/>
        </w:rPr>
        <w:t>16</w:t>
      </w:r>
      <w:r w:rsidR="0004734A">
        <w:rPr>
          <w:lang w:val="en-AU"/>
        </w:rPr>
        <w:fldChar w:fldCharType="end"/>
      </w:r>
      <w:r w:rsidR="0004734A">
        <w:rPr>
          <w:lang w:val="en-AU"/>
        </w:rPr>
        <w:t xml:space="preserve"> </w:t>
      </w:r>
      <w:r>
        <w:rPr>
          <w:lang w:val="en-AU"/>
        </w:rPr>
        <w:t>compares these on a LTAAY basis in order to recognise that NSW high security entitlements are more reliable than Victorian high reliability water shares and South Australian water access entitlements. Their LTAAY is therefore higher.</w:t>
      </w:r>
    </w:p>
    <w:p w14:paraId="683B5F1A" w14:textId="77777777" w:rsidR="00C01A50" w:rsidRDefault="00877C98" w:rsidP="00B640B4">
      <w:pPr>
        <w:keepNext/>
        <w:jc w:val="center"/>
      </w:pPr>
      <w:r>
        <w:rPr>
          <w:noProof/>
          <w:lang w:val="en-AU" w:eastAsia="en-AU" w:bidi="ar-SA"/>
        </w:rPr>
        <w:drawing>
          <wp:inline distT="0" distB="0" distL="0" distR="0" wp14:anchorId="46CCB846" wp14:editId="19208D9C">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BC4D39" w14:textId="77777777" w:rsidR="00C01A50" w:rsidRDefault="00C01A50" w:rsidP="00193D15">
      <w:pPr>
        <w:pStyle w:val="Caption"/>
        <w:rPr>
          <w:lang w:val="en-AU"/>
        </w:rPr>
      </w:pPr>
      <w:bookmarkStart w:id="86" w:name="_Ref347077696"/>
      <w:bookmarkStart w:id="87" w:name="_Ref337914033"/>
      <w:r>
        <w:t xml:space="preserve">Figure </w:t>
      </w:r>
      <w:r>
        <w:fldChar w:fldCharType="begin"/>
      </w:r>
      <w:r>
        <w:instrText xml:space="preserve"> SEQ Figure \* ARABIC </w:instrText>
      </w:r>
      <w:r>
        <w:fldChar w:fldCharType="separate"/>
      </w:r>
      <w:r w:rsidR="008E5D7A">
        <w:rPr>
          <w:noProof/>
        </w:rPr>
        <w:t>16</w:t>
      </w:r>
      <w:r>
        <w:fldChar w:fldCharType="end"/>
      </w:r>
      <w:bookmarkEnd w:id="86"/>
      <w:r>
        <w:t xml:space="preserve">: </w:t>
      </w:r>
      <w:r w:rsidRPr="00956D4A">
        <w:t>Contracted water recovery of high reliability entitlements (ML LTAAY)</w:t>
      </w:r>
      <w:bookmarkEnd w:id="87"/>
      <w:r>
        <w:t xml:space="preserve"> </w:t>
      </w:r>
    </w:p>
    <w:p w14:paraId="7AEB694E" w14:textId="77777777" w:rsidR="00C01A50" w:rsidRPr="000744E4" w:rsidRDefault="00C01A50" w:rsidP="00AC44FF">
      <w:pPr>
        <w:rPr>
          <w:rFonts w:eastAsia="Calibri"/>
          <w:color w:val="000000"/>
          <w:sz w:val="18"/>
          <w:szCs w:val="22"/>
          <w:lang w:val="en-AU" w:bidi="ar-SA"/>
        </w:rPr>
      </w:pPr>
      <w:r w:rsidRPr="000744E4">
        <w:rPr>
          <w:rFonts w:eastAsia="Calibri"/>
          <w:color w:val="000000"/>
          <w:sz w:val="18"/>
          <w:szCs w:val="22"/>
          <w:lang w:val="en-AU" w:bidi="ar-SA"/>
        </w:rPr>
        <w:t>Source: Pers. comm., DAWR, 16th September 2016.</w:t>
      </w:r>
    </w:p>
    <w:p w14:paraId="3433E13A" w14:textId="77777777" w:rsidR="00C01A50" w:rsidRDefault="00C01A50" w:rsidP="00AC44FF">
      <w:pPr>
        <w:rPr>
          <w:lang w:val="en-AU"/>
        </w:rPr>
      </w:pPr>
      <w:r>
        <w:rPr>
          <w:lang w:val="en-AU"/>
        </w:rPr>
        <w:lastRenderedPageBreak/>
        <w:t xml:space="preserve">The buyback of water entitlements occurred through tender mechanisms so these water purchases also represent a large amount of reimbursement to the entitlement holders. Across the entire MDB, </w:t>
      </w:r>
      <w:r w:rsidRPr="00B520B0">
        <w:rPr>
          <w:lang w:val="en-AU"/>
        </w:rPr>
        <w:t>buyback over the period to 2007</w:t>
      </w:r>
      <w:r w:rsidR="005A3ABF">
        <w:rPr>
          <w:lang w:val="en-AU"/>
        </w:rPr>
        <w:t>/</w:t>
      </w:r>
      <w:r w:rsidRPr="00B520B0">
        <w:rPr>
          <w:lang w:val="en-AU"/>
        </w:rPr>
        <w:t>08 to 2013</w:t>
      </w:r>
      <w:r w:rsidR="005A3ABF">
        <w:rPr>
          <w:lang w:val="en-AU"/>
        </w:rPr>
        <w:t>/</w:t>
      </w:r>
      <w:r w:rsidRPr="00B520B0">
        <w:rPr>
          <w:lang w:val="en-AU"/>
        </w:rPr>
        <w:t>14 has</w:t>
      </w:r>
      <w:r>
        <w:rPr>
          <w:lang w:val="en-AU"/>
        </w:rPr>
        <w:t xml:space="preserve"> involved over 4500 trades totalling nearly $</w:t>
      </w:r>
      <w:r w:rsidRPr="003A0E89">
        <w:rPr>
          <w:lang w:val="en-AU"/>
        </w:rPr>
        <w:t>2.3</w:t>
      </w:r>
      <w:r>
        <w:rPr>
          <w:lang w:val="en-AU"/>
        </w:rPr>
        <w:t xml:space="preserve"> billion. </w:t>
      </w:r>
      <w:r>
        <w:rPr>
          <w:rStyle w:val="FootnoteReference"/>
          <w:lang w:val="en-AU"/>
        </w:rPr>
        <w:footnoteReference w:id="7"/>
      </w:r>
    </w:p>
    <w:p w14:paraId="45544CB4" w14:textId="77777777" w:rsidR="00C01A50" w:rsidRDefault="00C01A50" w:rsidP="00AC44FF">
      <w:pPr>
        <w:rPr>
          <w:lang w:val="en-AU"/>
        </w:rPr>
      </w:pPr>
      <w:r>
        <w:rPr>
          <w:lang w:val="en-AU"/>
        </w:rPr>
        <w:t>As discussed, the Victorian Water Register records the date that individual water shares are transferred to the Commonwealth (rather than the date the transfer is contracted as shown in</w:t>
      </w:r>
      <w:r w:rsidR="00C6790B">
        <w:rPr>
          <w:lang w:val="en-AU"/>
        </w:rPr>
        <w:t xml:space="preserve"> </w:t>
      </w:r>
      <w:r w:rsidR="00C6790B">
        <w:rPr>
          <w:lang w:val="en-AU"/>
        </w:rPr>
        <w:fldChar w:fldCharType="begin"/>
      </w:r>
      <w:r w:rsidR="00C6790B">
        <w:rPr>
          <w:lang w:val="en-AU"/>
        </w:rPr>
        <w:instrText xml:space="preserve"> REF _Ref347077696 \h </w:instrText>
      </w:r>
      <w:r w:rsidR="00C6790B">
        <w:rPr>
          <w:lang w:val="en-AU"/>
        </w:rPr>
      </w:r>
      <w:r w:rsidR="00C6790B">
        <w:rPr>
          <w:lang w:val="en-AU"/>
        </w:rPr>
        <w:fldChar w:fldCharType="separate"/>
      </w:r>
      <w:r w:rsidR="008E5D7A">
        <w:t xml:space="preserve">Figure </w:t>
      </w:r>
      <w:r w:rsidR="008E5D7A">
        <w:rPr>
          <w:noProof/>
        </w:rPr>
        <w:t>16</w:t>
      </w:r>
      <w:r w:rsidR="00C6790B">
        <w:rPr>
          <w:lang w:val="en-AU"/>
        </w:rPr>
        <w:fldChar w:fldCharType="end"/>
      </w:r>
      <w:r>
        <w:rPr>
          <w:lang w:val="en-AU"/>
        </w:rPr>
        <w:t xml:space="preserve">). The register data in </w:t>
      </w:r>
      <w:r>
        <w:rPr>
          <w:lang w:val="en-AU"/>
        </w:rPr>
        <w:fldChar w:fldCharType="begin"/>
      </w:r>
      <w:r>
        <w:rPr>
          <w:lang w:val="en-AU"/>
        </w:rPr>
        <w:instrText xml:space="preserve"> REF _Ref346033961 \h </w:instrText>
      </w:r>
      <w:r>
        <w:rPr>
          <w:lang w:val="en-AU"/>
        </w:rPr>
      </w:r>
      <w:r>
        <w:rPr>
          <w:lang w:val="en-AU"/>
        </w:rPr>
        <w:fldChar w:fldCharType="separate"/>
      </w:r>
      <w:r w:rsidR="008E5D7A">
        <w:t xml:space="preserve">Figure </w:t>
      </w:r>
      <w:r w:rsidR="008E5D7A">
        <w:rPr>
          <w:noProof/>
        </w:rPr>
        <w:t>17</w:t>
      </w:r>
      <w:r>
        <w:rPr>
          <w:lang w:val="en-AU"/>
        </w:rPr>
        <w:fldChar w:fldCharType="end"/>
      </w:r>
      <w:r>
        <w:rPr>
          <w:lang w:val="en-AU"/>
        </w:rPr>
        <w:t xml:space="preserve"> shows that GMW’s customers with Goulburn water shares accounted for the largest volume of Victorian entitlements transferred to the Commonwealth. GMW’s customers with Murray entitlements were the next largest followed by LMW’s customers with Murray entitlements. Entitlements from tributaries other than the Goulburn accounted for very small proportion of the total entitlement volumes transferred to the Commonwealth. This means that that vast majority of buyback came from GMW customers.</w:t>
      </w:r>
    </w:p>
    <w:p w14:paraId="4E0F7F0A" w14:textId="77777777" w:rsidR="00C01A50" w:rsidRPr="0038449F" w:rsidRDefault="00C01A50" w:rsidP="00B640B4">
      <w:pPr>
        <w:jc w:val="center"/>
      </w:pPr>
      <w:r w:rsidRPr="00651637">
        <w:rPr>
          <w:noProof/>
          <w:lang w:val="en-AU" w:eastAsia="en-AU" w:bidi="ar-SA"/>
        </w:rPr>
        <w:drawing>
          <wp:inline distT="0" distB="0" distL="0" distR="0" wp14:anchorId="69589B08" wp14:editId="07408183">
            <wp:extent cx="5783674" cy="2409825"/>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164" t="1971" r="1086" b="1420"/>
                    <a:stretch/>
                  </pic:blipFill>
                  <pic:spPr bwMode="auto">
                    <a:xfrm>
                      <a:off x="0" y="0"/>
                      <a:ext cx="5788411" cy="2411799"/>
                    </a:xfrm>
                    <a:prstGeom prst="rect">
                      <a:avLst/>
                    </a:prstGeom>
                    <a:ln>
                      <a:noFill/>
                    </a:ln>
                    <a:extLst>
                      <a:ext uri="{53640926-AAD7-44D8-BBD7-CCE9431645EC}">
                        <a14:shadowObscured xmlns:a14="http://schemas.microsoft.com/office/drawing/2010/main"/>
                      </a:ext>
                    </a:extLst>
                  </pic:spPr>
                </pic:pic>
              </a:graphicData>
            </a:graphic>
          </wp:inline>
        </w:drawing>
      </w:r>
    </w:p>
    <w:p w14:paraId="438980D1" w14:textId="77777777" w:rsidR="00C01A50" w:rsidRDefault="00C01A50" w:rsidP="00956D4A">
      <w:pPr>
        <w:pStyle w:val="Caption"/>
        <w:rPr>
          <w:sz w:val="20"/>
        </w:rPr>
      </w:pPr>
      <w:bookmarkStart w:id="88" w:name="_Ref346033961"/>
      <w:bookmarkStart w:id="89" w:name="_Ref338501452"/>
      <w:r>
        <w:t xml:space="preserve">Figure </w:t>
      </w:r>
      <w:r>
        <w:fldChar w:fldCharType="begin"/>
      </w:r>
      <w:r>
        <w:instrText xml:space="preserve"> SEQ Figure \* ARABIC </w:instrText>
      </w:r>
      <w:r>
        <w:fldChar w:fldCharType="separate"/>
      </w:r>
      <w:r w:rsidR="008E5D7A">
        <w:rPr>
          <w:noProof/>
        </w:rPr>
        <w:t>17</w:t>
      </w:r>
      <w:r>
        <w:fldChar w:fldCharType="end"/>
      </w:r>
      <w:bookmarkEnd w:id="88"/>
      <w:r>
        <w:t xml:space="preserve">: </w:t>
      </w:r>
      <w:r w:rsidRPr="00956D4A">
        <w:t xml:space="preserve">Transfer of ownership of high and low reliability Victorian water shares to the Commonwealth, broken down by water authority and water system </w:t>
      </w:r>
      <w:bookmarkEnd w:id="89"/>
    </w:p>
    <w:p w14:paraId="0D1FB822" w14:textId="77777777" w:rsidR="00C01A50" w:rsidRPr="003A0E89" w:rsidRDefault="00C01A50" w:rsidP="00AC44FF">
      <w:pPr>
        <w:rPr>
          <w:rFonts w:eastAsia="Calibri"/>
          <w:color w:val="000000"/>
          <w:sz w:val="18"/>
          <w:szCs w:val="22"/>
          <w:lang w:val="en-AU" w:bidi="ar-SA"/>
        </w:rPr>
      </w:pPr>
      <w:r w:rsidRPr="003A0E89">
        <w:rPr>
          <w:rFonts w:eastAsia="Calibri"/>
          <w:color w:val="000000"/>
          <w:sz w:val="18"/>
          <w:szCs w:val="22"/>
          <w:lang w:val="en-AU" w:bidi="ar-SA"/>
        </w:rPr>
        <w:t>Source: pers comm., DELWP, 13 October 2016.</w:t>
      </w:r>
    </w:p>
    <w:p w14:paraId="14E79A8A" w14:textId="77777777" w:rsidR="00C01A50" w:rsidRDefault="00C01A50" w:rsidP="00AC44FF">
      <w:pPr>
        <w:rPr>
          <w:lang w:val="en-AU"/>
        </w:rPr>
      </w:pPr>
      <w:r>
        <w:rPr>
          <w:lang w:val="en-AU"/>
        </w:rPr>
        <w:t xml:space="preserve">Put differently, </w:t>
      </w:r>
      <w:r>
        <w:rPr>
          <w:lang w:val="en-AU"/>
        </w:rPr>
        <w:fldChar w:fldCharType="begin"/>
      </w:r>
      <w:r>
        <w:rPr>
          <w:lang w:val="en-AU"/>
        </w:rPr>
        <w:instrText xml:space="preserve"> REF _Ref346033873 \h </w:instrText>
      </w:r>
      <w:r>
        <w:rPr>
          <w:lang w:val="en-AU"/>
        </w:rPr>
      </w:r>
      <w:r>
        <w:rPr>
          <w:lang w:val="en-AU"/>
        </w:rPr>
        <w:fldChar w:fldCharType="separate"/>
      </w:r>
      <w:r w:rsidR="008E5D7A">
        <w:t xml:space="preserve">Figure </w:t>
      </w:r>
      <w:r w:rsidR="008E5D7A">
        <w:rPr>
          <w:noProof/>
        </w:rPr>
        <w:t>18</w:t>
      </w:r>
      <w:r>
        <w:rPr>
          <w:lang w:val="en-AU"/>
        </w:rPr>
        <w:fldChar w:fldCharType="end"/>
      </w:r>
      <w:r>
        <w:rPr>
          <w:lang w:val="en-AU"/>
        </w:rPr>
        <w:t xml:space="preserve"> shows that the vast majority of Victorian water shares transferred to the Commonwealth were formerly associated with land in GMW districts. The implications of this are explored in Chapter </w:t>
      </w:r>
      <w:r>
        <w:rPr>
          <w:lang w:val="en-AU"/>
        </w:rPr>
        <w:fldChar w:fldCharType="begin"/>
      </w:r>
      <w:r>
        <w:rPr>
          <w:lang w:val="en-AU"/>
        </w:rPr>
        <w:instrText xml:space="preserve"> REF _Ref342381195 \r \h </w:instrText>
      </w:r>
      <w:r>
        <w:rPr>
          <w:lang w:val="en-AU"/>
        </w:rPr>
      </w:r>
      <w:r>
        <w:rPr>
          <w:lang w:val="en-AU"/>
        </w:rPr>
        <w:fldChar w:fldCharType="separate"/>
      </w:r>
      <w:r w:rsidR="008E5D7A">
        <w:rPr>
          <w:lang w:val="en-AU"/>
        </w:rPr>
        <w:t>8</w:t>
      </w:r>
      <w:r>
        <w:rPr>
          <w:lang w:val="en-AU"/>
        </w:rPr>
        <w:fldChar w:fldCharType="end"/>
      </w:r>
      <w:r>
        <w:rPr>
          <w:lang w:val="en-AU"/>
        </w:rPr>
        <w:t>.</w:t>
      </w:r>
    </w:p>
    <w:p w14:paraId="14205DBA" w14:textId="77777777" w:rsidR="00C01A50" w:rsidRDefault="00C01A50" w:rsidP="000652E5">
      <w:pPr>
        <w:jc w:val="center"/>
      </w:pPr>
      <w:r w:rsidRPr="00D741CA">
        <w:rPr>
          <w:noProof/>
          <w:lang w:val="en-AU" w:eastAsia="en-AU" w:bidi="ar-SA"/>
        </w:rPr>
        <w:lastRenderedPageBreak/>
        <w:drawing>
          <wp:inline distT="0" distB="0" distL="0" distR="0" wp14:anchorId="50B53EE1" wp14:editId="543A11BB">
            <wp:extent cx="5924550" cy="239069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90" t="1544" r="1000" b="1519"/>
                    <a:stretch/>
                  </pic:blipFill>
                  <pic:spPr bwMode="auto">
                    <a:xfrm>
                      <a:off x="0" y="0"/>
                      <a:ext cx="5944076" cy="2398576"/>
                    </a:xfrm>
                    <a:prstGeom prst="rect">
                      <a:avLst/>
                    </a:prstGeom>
                    <a:noFill/>
                    <a:ln>
                      <a:noFill/>
                    </a:ln>
                    <a:extLst>
                      <a:ext uri="{53640926-AAD7-44D8-BBD7-CCE9431645EC}">
                        <a14:shadowObscured xmlns:a14="http://schemas.microsoft.com/office/drawing/2010/main"/>
                      </a:ext>
                    </a:extLst>
                  </pic:spPr>
                </pic:pic>
              </a:graphicData>
            </a:graphic>
          </wp:inline>
        </w:drawing>
      </w:r>
    </w:p>
    <w:p w14:paraId="38B867E3" w14:textId="77777777" w:rsidR="00C01A50" w:rsidRDefault="00C01A50" w:rsidP="00956D4A">
      <w:pPr>
        <w:pStyle w:val="Caption"/>
        <w:rPr>
          <w:sz w:val="20"/>
        </w:rPr>
      </w:pPr>
      <w:bookmarkStart w:id="90" w:name="_Ref346033873"/>
      <w:bookmarkStart w:id="91" w:name="_Ref463443133"/>
      <w:r>
        <w:t xml:space="preserve">Figure </w:t>
      </w:r>
      <w:r>
        <w:fldChar w:fldCharType="begin"/>
      </w:r>
      <w:r>
        <w:instrText xml:space="preserve"> SEQ Figure \* ARABIC </w:instrText>
      </w:r>
      <w:r>
        <w:fldChar w:fldCharType="separate"/>
      </w:r>
      <w:r w:rsidR="008E5D7A">
        <w:rPr>
          <w:noProof/>
        </w:rPr>
        <w:t>18</w:t>
      </w:r>
      <w:r>
        <w:fldChar w:fldCharType="end"/>
      </w:r>
      <w:bookmarkEnd w:id="90"/>
      <w:r>
        <w:t xml:space="preserve">: </w:t>
      </w:r>
      <w:r w:rsidRPr="00956D4A">
        <w:t>Transfer of ownership of high and low reliability Victorian water shares to the Commonwealth, broken down by grouped delivery system</w:t>
      </w:r>
      <w:r>
        <w:t xml:space="preserve"> </w:t>
      </w:r>
      <w:bookmarkEnd w:id="91"/>
    </w:p>
    <w:p w14:paraId="1576359A" w14:textId="77777777" w:rsidR="00C01A50" w:rsidRPr="0046320F" w:rsidRDefault="00C01A50" w:rsidP="00DA768B">
      <w:pPr>
        <w:rPr>
          <w:rFonts w:eastAsia="Calibri"/>
          <w:color w:val="000000"/>
          <w:sz w:val="18"/>
          <w:szCs w:val="22"/>
          <w:lang w:val="en-AU" w:bidi="ar-SA"/>
        </w:rPr>
      </w:pPr>
      <w:r w:rsidRPr="0046320F">
        <w:rPr>
          <w:rFonts w:eastAsia="Calibri"/>
          <w:color w:val="000000"/>
          <w:sz w:val="18"/>
          <w:szCs w:val="22"/>
          <w:lang w:val="en-AU" w:bidi="ar-SA"/>
        </w:rPr>
        <w:t>Source: pers comm., DELWP, 13 October 2016.</w:t>
      </w:r>
    </w:p>
    <w:p w14:paraId="72F30905" w14:textId="77777777" w:rsidR="00C01A50" w:rsidRDefault="00C01A50" w:rsidP="00AC44FF">
      <w:pPr>
        <w:rPr>
          <w:lang w:val="en-AU"/>
        </w:rPr>
      </w:pPr>
      <w:r w:rsidRPr="004072A5">
        <w:rPr>
          <w:lang w:val="en-AU"/>
        </w:rPr>
        <w:t>ABARES farm survey data</w:t>
      </w:r>
      <w:r w:rsidR="00850250">
        <w:rPr>
          <w:lang w:val="en-AU"/>
        </w:rPr>
        <w:t xml:space="preserve"> (ABARES, n.d.)</w:t>
      </w:r>
      <w:r w:rsidRPr="004072A5">
        <w:rPr>
          <w:lang w:val="en-AU"/>
        </w:rPr>
        <w:t xml:space="preserve"> also indicates </w:t>
      </w:r>
      <w:r>
        <w:rPr>
          <w:lang w:val="en-AU"/>
        </w:rPr>
        <w:t xml:space="preserve">that entitlement sales from </w:t>
      </w:r>
      <w:r w:rsidRPr="004072A5">
        <w:rPr>
          <w:lang w:val="en-AU"/>
        </w:rPr>
        <w:t>dairy farmers</w:t>
      </w:r>
      <w:r>
        <w:rPr>
          <w:lang w:val="en-AU"/>
        </w:rPr>
        <w:t xml:space="preserve"> were higher than those purchased from other types of farmers</w:t>
      </w:r>
      <w:r w:rsidRPr="004072A5">
        <w:rPr>
          <w:lang w:val="en-AU"/>
        </w:rPr>
        <w:t xml:space="preserve"> (</w:t>
      </w:r>
      <w:r w:rsidRPr="004072A5">
        <w:rPr>
          <w:lang w:val="en-AU"/>
        </w:rPr>
        <w:fldChar w:fldCharType="begin"/>
      </w:r>
      <w:r w:rsidRPr="004072A5">
        <w:rPr>
          <w:lang w:val="en-AU"/>
        </w:rPr>
        <w:instrText xml:space="preserve"> REF _Ref337971042 \h </w:instrText>
      </w:r>
      <w:r w:rsidRPr="004072A5">
        <w:rPr>
          <w:lang w:val="en-AU"/>
        </w:rPr>
      </w:r>
      <w:r w:rsidRPr="004072A5">
        <w:rPr>
          <w:lang w:val="en-AU"/>
        </w:rPr>
        <w:fldChar w:fldCharType="separate"/>
      </w:r>
      <w:r w:rsidR="008E5D7A">
        <w:t xml:space="preserve">Figure </w:t>
      </w:r>
      <w:r w:rsidR="008E5D7A">
        <w:rPr>
          <w:noProof/>
        </w:rPr>
        <w:t>19</w:t>
      </w:r>
      <w:r w:rsidRPr="004072A5">
        <w:rPr>
          <w:lang w:val="en-AU"/>
        </w:rPr>
        <w:fldChar w:fldCharType="end"/>
      </w:r>
      <w:r w:rsidRPr="004072A5">
        <w:rPr>
          <w:lang w:val="en-AU"/>
        </w:rPr>
        <w:t xml:space="preserve">). </w:t>
      </w:r>
      <w:r>
        <w:rPr>
          <w:lang w:val="en-AU"/>
        </w:rPr>
        <w:t xml:space="preserve">This is consistent with </w:t>
      </w:r>
      <w:r>
        <w:rPr>
          <w:lang w:val="en-AU"/>
        </w:rPr>
        <w:fldChar w:fldCharType="begin"/>
      </w:r>
      <w:r>
        <w:rPr>
          <w:lang w:val="en-AU"/>
        </w:rPr>
        <w:instrText xml:space="preserve"> REF _Ref468788825 \h </w:instrText>
      </w:r>
      <w:r>
        <w:rPr>
          <w:lang w:val="en-AU"/>
        </w:rPr>
      </w:r>
      <w:r>
        <w:rPr>
          <w:lang w:val="en-AU"/>
        </w:rPr>
        <w:fldChar w:fldCharType="separate"/>
      </w:r>
      <w:r w:rsidR="008E5D7A">
        <w:t xml:space="preserve">Figure </w:t>
      </w:r>
      <w:r w:rsidR="008E5D7A">
        <w:rPr>
          <w:noProof/>
        </w:rPr>
        <w:t>20</w:t>
      </w:r>
      <w:r>
        <w:rPr>
          <w:lang w:val="en-AU"/>
        </w:rPr>
        <w:fldChar w:fldCharType="end"/>
      </w:r>
      <w:r>
        <w:rPr>
          <w:lang w:val="en-AU"/>
        </w:rPr>
        <w:t xml:space="preserve"> which identifies the dairy industry as having the highest proportion of farmers selling entitlement. </w:t>
      </w:r>
      <w:r w:rsidRPr="004072A5">
        <w:rPr>
          <w:lang w:val="en-AU"/>
        </w:rPr>
        <w:t xml:space="preserve">And as discussed in Chapter </w:t>
      </w:r>
      <w:r w:rsidRPr="004072A5">
        <w:rPr>
          <w:lang w:val="en-AU"/>
        </w:rPr>
        <w:fldChar w:fldCharType="begin"/>
      </w:r>
      <w:r w:rsidRPr="004072A5">
        <w:rPr>
          <w:lang w:val="en-AU"/>
        </w:rPr>
        <w:instrText xml:space="preserve"> REF _Ref342381415 \r \h </w:instrText>
      </w:r>
      <w:r w:rsidRPr="004072A5">
        <w:rPr>
          <w:lang w:val="en-AU"/>
        </w:rPr>
      </w:r>
      <w:r w:rsidRPr="004072A5">
        <w:rPr>
          <w:lang w:val="en-AU"/>
        </w:rPr>
        <w:fldChar w:fldCharType="separate"/>
      </w:r>
      <w:r w:rsidR="008E5D7A">
        <w:rPr>
          <w:lang w:val="en-AU"/>
        </w:rPr>
        <w:t>6</w:t>
      </w:r>
      <w:r w:rsidRPr="004072A5">
        <w:rPr>
          <w:lang w:val="en-AU"/>
        </w:rPr>
        <w:fldChar w:fldCharType="end"/>
      </w:r>
      <w:r w:rsidRPr="004072A5">
        <w:rPr>
          <w:lang w:val="en-AU"/>
        </w:rPr>
        <w:t xml:space="preserve"> of this report most dairy farmers in the southern-connected Basin are in GMW’s districts. It should be noted that the ABARES data is from a survey of a sample of farms and not the entire population; therefore ABARES results are not as comprehensive as the water register </w:t>
      </w:r>
      <w:r>
        <w:rPr>
          <w:lang w:val="en-AU"/>
        </w:rPr>
        <w:t>data</w:t>
      </w:r>
      <w:r w:rsidRPr="004072A5">
        <w:rPr>
          <w:lang w:val="en-AU"/>
        </w:rPr>
        <w:t>.</w:t>
      </w:r>
      <w:r>
        <w:rPr>
          <w:lang w:val="en-AU"/>
        </w:rPr>
        <w:t xml:space="preserve"> Although this measures all entitlement sales, rather than only those to the Commonwealth, it is reasonable to assume that this is representative of the industry source of buyback volumes.</w:t>
      </w:r>
    </w:p>
    <w:p w14:paraId="70ADE7DE" w14:textId="77777777" w:rsidR="00C01A50" w:rsidRDefault="00C01A50" w:rsidP="00D23B4F">
      <w:pPr>
        <w:keepNext/>
      </w:pPr>
      <w:r>
        <w:rPr>
          <w:noProof/>
          <w:lang w:val="en-AU" w:eastAsia="en-AU" w:bidi="ar-SA"/>
        </w:rPr>
        <w:drawing>
          <wp:inline distT="0" distB="0" distL="0" distR="0" wp14:anchorId="52C72486" wp14:editId="3CD1109B">
            <wp:extent cx="5757545" cy="2548255"/>
            <wp:effectExtent l="0" t="0" r="8255" b="0"/>
            <wp:docPr id="67" name="smdb_irrig_etrade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db_irrig_etrade_total.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7545" cy="2548255"/>
                    </a:xfrm>
                    <a:prstGeom prst="rect">
                      <a:avLst/>
                    </a:prstGeom>
                    <a:noFill/>
                    <a:ln>
                      <a:noFill/>
                    </a:ln>
                  </pic:spPr>
                </pic:pic>
              </a:graphicData>
            </a:graphic>
          </wp:inline>
        </w:drawing>
      </w:r>
    </w:p>
    <w:p w14:paraId="5AA534F2" w14:textId="77777777" w:rsidR="00C01A50" w:rsidRDefault="00C01A50" w:rsidP="00D23B4F">
      <w:pPr>
        <w:pStyle w:val="Caption"/>
      </w:pPr>
      <w:bookmarkStart w:id="92" w:name="_Ref337971042"/>
      <w:r>
        <w:t xml:space="preserve">Figure </w:t>
      </w:r>
      <w:r>
        <w:fldChar w:fldCharType="begin"/>
      </w:r>
      <w:r>
        <w:instrText xml:space="preserve"> SEQ Figure \* ARABIC </w:instrText>
      </w:r>
      <w:r>
        <w:fldChar w:fldCharType="separate"/>
      </w:r>
      <w:r w:rsidR="008E5D7A">
        <w:rPr>
          <w:noProof/>
        </w:rPr>
        <w:t>19</w:t>
      </w:r>
      <w:r>
        <w:fldChar w:fldCharType="end"/>
      </w:r>
      <w:bookmarkEnd w:id="92"/>
      <w:r>
        <w:t xml:space="preserve">: </w:t>
      </w:r>
      <w:r w:rsidRPr="00D23B4F">
        <w:t xml:space="preserve">Average net </w:t>
      </w:r>
      <w:r w:rsidRPr="005B5385">
        <w:t>water entitlement trade</w:t>
      </w:r>
      <w:r w:rsidRPr="00D23B4F">
        <w:t xml:space="preserve"> as percentage of entitlements held for farms in the s</w:t>
      </w:r>
      <w:r>
        <w:t xml:space="preserve">outhern </w:t>
      </w:r>
      <w:r w:rsidRPr="00D23B4F">
        <w:t>MDB (2006</w:t>
      </w:r>
      <w:r w:rsidR="005A3ABF">
        <w:t>/</w:t>
      </w:r>
      <w:r w:rsidRPr="00D23B4F">
        <w:t>07 to 2014</w:t>
      </w:r>
      <w:r w:rsidR="005A3ABF">
        <w:t>/</w:t>
      </w:r>
      <w:r w:rsidRPr="00D23B4F">
        <w:t>15)</w:t>
      </w:r>
    </w:p>
    <w:p w14:paraId="0EED0727" w14:textId="77777777" w:rsidR="00C01A50" w:rsidRPr="000744E4" w:rsidRDefault="00C01A50" w:rsidP="00AC44FF">
      <w:pPr>
        <w:rPr>
          <w:rFonts w:eastAsia="Calibri"/>
          <w:color w:val="000000"/>
          <w:sz w:val="18"/>
          <w:szCs w:val="22"/>
          <w:lang w:val="en-AU" w:bidi="ar-SA"/>
        </w:rPr>
      </w:pPr>
      <w:r w:rsidRPr="000744E4">
        <w:rPr>
          <w:rFonts w:eastAsia="Calibri"/>
          <w:color w:val="000000"/>
          <w:sz w:val="18"/>
          <w:szCs w:val="22"/>
          <w:lang w:val="en-AU" w:bidi="ar-SA"/>
        </w:rPr>
        <w:t xml:space="preserve">Source: </w:t>
      </w:r>
      <w:r w:rsidR="00850250">
        <w:rPr>
          <w:rFonts w:eastAsia="Calibri"/>
          <w:color w:val="000000"/>
          <w:sz w:val="18"/>
          <w:szCs w:val="22"/>
          <w:lang w:val="en-AU" w:bidi="ar-SA"/>
        </w:rPr>
        <w:t>(</w:t>
      </w:r>
      <w:r w:rsidRPr="000744E4">
        <w:rPr>
          <w:rFonts w:eastAsia="Calibri"/>
          <w:color w:val="000000"/>
          <w:sz w:val="18"/>
          <w:szCs w:val="22"/>
          <w:lang w:val="en-AU" w:bidi="ar-SA"/>
        </w:rPr>
        <w:t>ABARES</w:t>
      </w:r>
      <w:r w:rsidR="00850250">
        <w:rPr>
          <w:rFonts w:eastAsia="Calibri"/>
          <w:color w:val="000000"/>
          <w:sz w:val="18"/>
          <w:szCs w:val="22"/>
          <w:lang w:val="en-AU" w:bidi="ar-SA"/>
        </w:rPr>
        <w:t>, n.d.)</w:t>
      </w:r>
      <w:r w:rsidRPr="000744E4">
        <w:rPr>
          <w:rFonts w:eastAsia="Calibri"/>
          <w:color w:val="000000"/>
          <w:sz w:val="18"/>
          <w:szCs w:val="22"/>
          <w:lang w:val="en-AU" w:bidi="ar-SA"/>
        </w:rPr>
        <w:t xml:space="preserve"> </w:t>
      </w:r>
    </w:p>
    <w:p w14:paraId="36381179" w14:textId="77777777" w:rsidR="00C01A50" w:rsidRDefault="00C01A50" w:rsidP="00D23B4F">
      <w:pPr>
        <w:pStyle w:val="Notesourcetext"/>
        <w:keepNext/>
      </w:pPr>
      <w:r>
        <w:rPr>
          <w:noProof/>
          <w:lang w:eastAsia="en-AU"/>
        </w:rPr>
        <w:lastRenderedPageBreak/>
        <w:drawing>
          <wp:inline distT="0" distB="0" distL="0" distR="0" wp14:anchorId="3B76E1AD" wp14:editId="5ABC7BBE">
            <wp:extent cx="5757545" cy="3386455"/>
            <wp:effectExtent l="0" t="0" r="8255" b="0"/>
            <wp:docPr id="70" name="Picture 19" descr="Shows proportions of horticulture, dairy, rice and cotton farms selling permanent water entitlements over the period 2006–07 to 2013–14. In general, the highest proportions of farms selling were dairy farms while the lowest proportions were cotton farms. Details are provid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ws proportions of horticulture, dairy, rice and cotton farms selling permanent water entitlements over the period 2006–07 to 2013–14. In general, the highest proportions of farms selling were dairy farms while the lowest proportions were cotton farms. Details are provided in the preceding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7545" cy="3386455"/>
                    </a:xfrm>
                    <a:prstGeom prst="rect">
                      <a:avLst/>
                    </a:prstGeom>
                    <a:noFill/>
                    <a:ln>
                      <a:noFill/>
                    </a:ln>
                  </pic:spPr>
                </pic:pic>
              </a:graphicData>
            </a:graphic>
          </wp:inline>
        </w:drawing>
      </w:r>
    </w:p>
    <w:p w14:paraId="2003328A" w14:textId="77777777" w:rsidR="00C01A50" w:rsidRDefault="00C01A50" w:rsidP="00D23B4F">
      <w:pPr>
        <w:pStyle w:val="Caption"/>
      </w:pPr>
      <w:bookmarkStart w:id="93" w:name="_Ref468788825"/>
      <w:bookmarkStart w:id="94" w:name="_Ref468788820"/>
      <w:r>
        <w:t xml:space="preserve">Figure </w:t>
      </w:r>
      <w:r>
        <w:fldChar w:fldCharType="begin"/>
      </w:r>
      <w:r>
        <w:instrText xml:space="preserve"> SEQ Figure \* ARABIC </w:instrText>
      </w:r>
      <w:r>
        <w:fldChar w:fldCharType="separate"/>
      </w:r>
      <w:r w:rsidR="008E5D7A">
        <w:rPr>
          <w:noProof/>
        </w:rPr>
        <w:t>20</w:t>
      </w:r>
      <w:r>
        <w:fldChar w:fldCharType="end"/>
      </w:r>
      <w:bookmarkEnd w:id="93"/>
      <w:r>
        <w:t xml:space="preserve">: </w:t>
      </w:r>
      <w:r w:rsidRPr="00D23B4F">
        <w:t>Proportion of farms selling permanent water entitlements, Murray–Darling Basin, 2006–07 to 2013–14</w:t>
      </w:r>
      <w:bookmarkEnd w:id="94"/>
    </w:p>
    <w:p w14:paraId="35B69AF8" w14:textId="77777777" w:rsidR="00C01A50" w:rsidRDefault="00C01A50" w:rsidP="00AC44FF">
      <w:pPr>
        <w:pStyle w:val="Notesourcetext"/>
      </w:pPr>
      <w:r>
        <w:t>Note: Water trade data not available for 2014–15.</w:t>
      </w:r>
      <w:r>
        <w:br/>
        <w:t>Source: ABARES 2015.13 from Murray–Darling Basin Irrigation Survey</w:t>
      </w:r>
    </w:p>
    <w:p w14:paraId="3963F6D5" w14:textId="77777777" w:rsidR="00C01A50" w:rsidRDefault="00C01A50" w:rsidP="00AC44FF">
      <w:pPr>
        <w:rPr>
          <w:lang w:val="en-AU"/>
        </w:rPr>
      </w:pPr>
      <w:r>
        <w:rPr>
          <w:lang w:val="en-AU"/>
        </w:rPr>
        <w:t xml:space="preserve">It is important to note that the sale of entitlement from a particular region or industry does not necessarily mean that water use in that region or industry will reduce to the same degree. Water trading allows the sellers to buy entitlements and allocations in order to maintain their existing use in part or in full if they wish to do so, provided the marginal costs of so doing are less than the marginal benefits. </w:t>
      </w:r>
    </w:p>
    <w:p w14:paraId="4B0121F2" w14:textId="77777777" w:rsidR="00C01A50" w:rsidRDefault="00C01A50" w:rsidP="00AC44FF">
      <w:pPr>
        <w:rPr>
          <w:lang w:val="en-AU"/>
        </w:rPr>
      </w:pPr>
      <w:r>
        <w:rPr>
          <w:lang w:val="en-AU"/>
        </w:rPr>
        <w:t>Overall however, the effect of buyback is to reduce the consumptive pool. This view is consistent with ABARES (2016, p. 20), which states “e</w:t>
      </w:r>
      <w:r w:rsidRPr="00B211B4">
        <w:rPr>
          <w:lang w:val="en-AU"/>
        </w:rPr>
        <w:t xml:space="preserve">ntitlements that are purchased by the government reduce the supply of allocations available for irrigation users (assuming allocations are used for environmental  </w:t>
      </w:r>
      <w:r>
        <w:rPr>
          <w:lang w:val="en-AU"/>
        </w:rPr>
        <w:t xml:space="preserve">flows </w:t>
      </w:r>
      <w:r w:rsidRPr="00B211B4">
        <w:rPr>
          <w:lang w:val="en-AU"/>
        </w:rPr>
        <w:t>and not traded back to irrigators)</w:t>
      </w:r>
      <w:r>
        <w:rPr>
          <w:lang w:val="en-AU"/>
        </w:rPr>
        <w:t>.</w:t>
      </w:r>
    </w:p>
    <w:p w14:paraId="05800F38" w14:textId="77777777" w:rsidR="00C01A50" w:rsidRDefault="00C01A50" w:rsidP="00D23B4F">
      <w:pPr>
        <w:rPr>
          <w:lang w:val="en-AU"/>
        </w:rPr>
      </w:pPr>
      <w:r>
        <w:rPr>
          <w:lang w:val="en-AU"/>
        </w:rPr>
        <w:t>In total the cumulative buyback amounts to more than 956GL LTAAY across the southern MDB (</w:t>
      </w:r>
      <w:r>
        <w:rPr>
          <w:lang w:val="en-AU"/>
        </w:rPr>
        <w:fldChar w:fldCharType="begin"/>
      </w:r>
      <w:r>
        <w:rPr>
          <w:lang w:val="en-AU"/>
        </w:rPr>
        <w:instrText xml:space="preserve"> REF _Ref337971588 \h </w:instrText>
      </w:r>
      <w:r>
        <w:rPr>
          <w:lang w:val="en-AU"/>
        </w:rPr>
      </w:r>
      <w:r>
        <w:rPr>
          <w:lang w:val="en-AU"/>
        </w:rPr>
        <w:fldChar w:fldCharType="separate"/>
      </w:r>
      <w:r w:rsidR="008E5D7A">
        <w:t xml:space="preserve">Figure </w:t>
      </w:r>
      <w:r w:rsidR="008E5D7A">
        <w:rPr>
          <w:noProof/>
        </w:rPr>
        <w:t>21</w:t>
      </w:r>
      <w:r>
        <w:rPr>
          <w:lang w:val="en-AU"/>
        </w:rPr>
        <w:fldChar w:fldCharType="end"/>
      </w:r>
      <w:r>
        <w:rPr>
          <w:lang w:val="en-AU"/>
        </w:rPr>
        <w:t>). The vast majority of this was contracted by 2011</w:t>
      </w:r>
      <w:r w:rsidR="005A3ABF">
        <w:rPr>
          <w:lang w:val="en-AU"/>
        </w:rPr>
        <w:t>/</w:t>
      </w:r>
      <w:r>
        <w:rPr>
          <w:lang w:val="en-AU"/>
        </w:rPr>
        <w:t>12. The vendors were free to use the proceeds of these sales to exit farming, reduce debt or adapt their farming systems either through increased water efficiency, or adopt more flexible production systems.</w:t>
      </w:r>
    </w:p>
    <w:p w14:paraId="1CD483B4" w14:textId="77777777" w:rsidR="00C01A50" w:rsidRDefault="00C01A50" w:rsidP="00AC44FF">
      <w:pPr>
        <w:rPr>
          <w:lang w:val="en-AU"/>
        </w:rPr>
      </w:pPr>
    </w:p>
    <w:p w14:paraId="1FCD5840" w14:textId="77777777" w:rsidR="00C01A50" w:rsidRDefault="00C01A50" w:rsidP="00D23B4F">
      <w:pPr>
        <w:keepNext/>
      </w:pPr>
    </w:p>
    <w:p w14:paraId="23BF4A25" w14:textId="77777777" w:rsidR="00C01A50" w:rsidRDefault="00877C98" w:rsidP="000652E5">
      <w:pPr>
        <w:keepNext/>
        <w:jc w:val="center"/>
      </w:pPr>
      <w:r>
        <w:rPr>
          <w:noProof/>
          <w:lang w:val="en-AU" w:eastAsia="en-AU" w:bidi="ar-SA"/>
        </w:rPr>
        <w:drawing>
          <wp:inline distT="0" distB="0" distL="0" distR="0" wp14:anchorId="0BE41652" wp14:editId="10E55A90">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8C3E6F" w14:textId="77777777" w:rsidR="00877C98" w:rsidRDefault="00C01A50" w:rsidP="00877C98">
      <w:pPr>
        <w:pStyle w:val="Caption"/>
        <w:rPr>
          <w:lang w:val="en-AU"/>
        </w:rPr>
      </w:pPr>
      <w:bookmarkStart w:id="95" w:name="_Ref337971588"/>
      <w:r>
        <w:t xml:space="preserve">Figure </w:t>
      </w:r>
      <w:r>
        <w:fldChar w:fldCharType="begin"/>
      </w:r>
      <w:r>
        <w:instrText xml:space="preserve"> SEQ Figure \* ARABIC </w:instrText>
      </w:r>
      <w:r>
        <w:fldChar w:fldCharType="separate"/>
      </w:r>
      <w:r w:rsidR="008E5D7A">
        <w:rPr>
          <w:noProof/>
        </w:rPr>
        <w:t>21</w:t>
      </w:r>
      <w:r>
        <w:fldChar w:fldCharType="end"/>
      </w:r>
      <w:bookmarkEnd w:id="95"/>
      <w:r w:rsidRPr="00D23B4F">
        <w:t>: Cumulative buyback 2007</w:t>
      </w:r>
      <w:r w:rsidR="005A3ABF">
        <w:t>/</w:t>
      </w:r>
      <w:r w:rsidRPr="00D23B4F">
        <w:t>08 to 2015</w:t>
      </w:r>
      <w:r w:rsidR="005A3ABF">
        <w:t>/</w:t>
      </w:r>
      <w:r w:rsidRPr="00D23B4F">
        <w:t>16 (ML LTAAY)</w:t>
      </w:r>
      <w:r>
        <w:t xml:space="preserve"> in the southern MDB</w:t>
      </w:r>
      <w:r w:rsidR="00877C98" w:rsidRPr="00877C98">
        <w:rPr>
          <w:lang w:val="en-AU"/>
        </w:rPr>
        <w:t xml:space="preserve"> </w:t>
      </w:r>
    </w:p>
    <w:p w14:paraId="2B443617" w14:textId="77777777" w:rsidR="00C01A50" w:rsidRPr="00877C98" w:rsidRDefault="00877C98" w:rsidP="00877C98">
      <w:pPr>
        <w:pStyle w:val="Caption"/>
        <w:rPr>
          <w:b w:val="0"/>
          <w:lang w:val="en-AU"/>
        </w:rPr>
      </w:pPr>
      <w:r w:rsidRPr="00877C98">
        <w:rPr>
          <w:rFonts w:eastAsia="Calibri"/>
          <w:b w:val="0"/>
          <w:color w:val="000000"/>
          <w:sz w:val="18"/>
          <w:szCs w:val="22"/>
          <w:lang w:val="en-AU" w:bidi="ar-SA"/>
        </w:rPr>
        <w:t>Source: Pers. comm., DAWR, 16th September 2016.</w:t>
      </w:r>
    </w:p>
    <w:p w14:paraId="72DBDD4E" w14:textId="77777777" w:rsidR="00C01A50" w:rsidRDefault="00C01A50" w:rsidP="00AC44FF">
      <w:pPr>
        <w:pStyle w:val="Heading3"/>
        <w:rPr>
          <w:lang w:val="en-AU"/>
        </w:rPr>
      </w:pPr>
      <w:bookmarkStart w:id="96" w:name="_Toc462309031"/>
      <w:r>
        <w:rPr>
          <w:lang w:val="en-AU"/>
        </w:rPr>
        <w:t>Water recovery through irrigation infrastructure</w:t>
      </w:r>
      <w:bookmarkEnd w:id="96"/>
      <w:r>
        <w:rPr>
          <w:lang w:val="en-AU"/>
        </w:rPr>
        <w:t xml:space="preserve"> projects</w:t>
      </w:r>
    </w:p>
    <w:p w14:paraId="77C5E814" w14:textId="77777777" w:rsidR="00C01A50" w:rsidRDefault="00C01A50" w:rsidP="00AC44FF">
      <w:r>
        <w:rPr>
          <w:lang w:val="en-AU"/>
        </w:rPr>
        <w:t xml:space="preserve">Apart from buybacks, </w:t>
      </w:r>
      <w:r w:rsidRPr="005A1734">
        <w:rPr>
          <w:lang w:val="en-AU"/>
        </w:rPr>
        <w:t xml:space="preserve">the </w:t>
      </w:r>
      <w:r>
        <w:rPr>
          <w:lang w:val="en-AU"/>
        </w:rPr>
        <w:t xml:space="preserve">Commonwealth’s </w:t>
      </w:r>
      <w:r w:rsidRPr="005A1734">
        <w:rPr>
          <w:lang w:val="en-AU"/>
        </w:rPr>
        <w:t>Sustainable Rural Water Use and Infrastructure Program</w:t>
      </w:r>
      <w:r>
        <w:rPr>
          <w:lang w:val="en-AU"/>
        </w:rPr>
        <w:t xml:space="preserve">, which was set up to be the </w:t>
      </w:r>
      <w:r w:rsidRPr="005A1734">
        <w:rPr>
          <w:lang w:val="en-AU"/>
        </w:rPr>
        <w:t>key mechanism to ‘bridge the gap’ to the SDLs</w:t>
      </w:r>
      <w:r>
        <w:rPr>
          <w:lang w:val="en-AU"/>
        </w:rPr>
        <w:t xml:space="preserve">, also included </w:t>
      </w:r>
      <w:r w:rsidRPr="005A1734">
        <w:rPr>
          <w:lang w:val="en-AU"/>
        </w:rPr>
        <w:t>irrigation infrastructure projects</w:t>
      </w:r>
      <w:r>
        <w:rPr>
          <w:lang w:val="en-AU"/>
        </w:rPr>
        <w:t xml:space="preserve">. </w:t>
      </w:r>
      <w:r>
        <w:t>The majority of its infrastructure funds are committed to projects for improving the operation of off-farm delivery systems, but funds are also invested in incentives for irrigators to improve their on-farm water use efficiency. The water savings generated from these projects are shared between the Commonwealth Government for environmental use, and irrigators for consumptive use.</w:t>
      </w:r>
      <w:r>
        <w:rPr>
          <w:rStyle w:val="FootnoteReference"/>
        </w:rPr>
        <w:footnoteReference w:id="8"/>
      </w:r>
      <w:r w:rsidRPr="008E746D">
        <w:t xml:space="preserve"> </w:t>
      </w:r>
    </w:p>
    <w:p w14:paraId="7E653315" w14:textId="77777777" w:rsidR="00C01A50" w:rsidRDefault="00C01A50" w:rsidP="00AC44FF">
      <w:r w:rsidRPr="001F79AF">
        <w:rPr>
          <w:lang w:val="en-AU"/>
        </w:rPr>
        <w:t>In the southern</w:t>
      </w:r>
      <w:r>
        <w:rPr>
          <w:lang w:val="en-AU"/>
        </w:rPr>
        <w:t>-connected Basin</w:t>
      </w:r>
      <w:r w:rsidRPr="001F79AF">
        <w:rPr>
          <w:lang w:val="en-AU"/>
        </w:rPr>
        <w:t>, the bulk of contract water recovery through infrastructure projects has been in NSW regions (</w:t>
      </w:r>
      <w:r w:rsidRPr="001F79AF">
        <w:rPr>
          <w:lang w:val="en-AU"/>
        </w:rPr>
        <w:fldChar w:fldCharType="begin"/>
      </w:r>
      <w:r w:rsidRPr="001F79AF">
        <w:rPr>
          <w:lang w:val="en-AU"/>
        </w:rPr>
        <w:instrText xml:space="preserve"> REF _Ref337974554 \h </w:instrText>
      </w:r>
      <w:r w:rsidRPr="001F79AF">
        <w:rPr>
          <w:lang w:val="en-AU"/>
        </w:rPr>
      </w:r>
      <w:r w:rsidRPr="001F79AF">
        <w:rPr>
          <w:lang w:val="en-AU"/>
        </w:rPr>
        <w:fldChar w:fldCharType="separate"/>
      </w:r>
      <w:r w:rsidR="008E5D7A">
        <w:t xml:space="preserve">Figure </w:t>
      </w:r>
      <w:r w:rsidR="008E5D7A">
        <w:rPr>
          <w:noProof/>
        </w:rPr>
        <w:t>22</w:t>
      </w:r>
      <w:r w:rsidRPr="001F79AF">
        <w:rPr>
          <w:lang w:val="en-AU"/>
        </w:rPr>
        <w:fldChar w:fldCharType="end"/>
      </w:r>
      <w:r w:rsidRPr="001F79AF">
        <w:rPr>
          <w:lang w:val="en-AU"/>
        </w:rPr>
        <w:t xml:space="preserve">). </w:t>
      </w:r>
      <w:r>
        <w:t xml:space="preserve">Because it does not differentiate between the impacts of off-farm and on-farm infrastructure projects the Commonwealth does not separately report the volumes recovered through each type. As will be elaborated further below (as well as in Appendix </w:t>
      </w:r>
      <w:r>
        <w:fldChar w:fldCharType="begin"/>
      </w:r>
      <w:r>
        <w:instrText xml:space="preserve"> REF _Ref342386223 \r \h </w:instrText>
      </w:r>
      <w:r>
        <w:fldChar w:fldCharType="separate"/>
      </w:r>
      <w:r w:rsidR="008E5D7A">
        <w:t>3</w:t>
      </w:r>
      <w:r>
        <w:fldChar w:fldCharType="end"/>
      </w:r>
      <w:r>
        <w:t>), we consider these two types of projects to have different impacts, and have therefore sought to distinguish the volumes recovered through each approach.</w:t>
      </w:r>
    </w:p>
    <w:p w14:paraId="0B65BB85" w14:textId="77777777" w:rsidR="00C01A50" w:rsidRDefault="00877C98" w:rsidP="000652E5">
      <w:pPr>
        <w:keepNext/>
        <w:jc w:val="center"/>
        <w:rPr>
          <w:lang w:val="en-AU"/>
        </w:rPr>
      </w:pPr>
      <w:r>
        <w:rPr>
          <w:noProof/>
          <w:lang w:val="en-AU" w:eastAsia="en-AU" w:bidi="ar-SA"/>
        </w:rPr>
        <w:lastRenderedPageBreak/>
        <w:drawing>
          <wp:inline distT="0" distB="0" distL="0" distR="0" wp14:anchorId="4F34188B" wp14:editId="49D00554">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8D79FC7" w14:textId="77777777" w:rsidR="00C01A50" w:rsidRDefault="00C01A50" w:rsidP="00774389">
      <w:pPr>
        <w:pStyle w:val="Caption"/>
      </w:pPr>
      <w:bookmarkStart w:id="97" w:name="_Ref337974554"/>
      <w:r>
        <w:t xml:space="preserve">Figure </w:t>
      </w:r>
      <w:r>
        <w:fldChar w:fldCharType="begin"/>
      </w:r>
      <w:r>
        <w:instrText xml:space="preserve"> SEQ Figure \* ARABIC </w:instrText>
      </w:r>
      <w:r>
        <w:fldChar w:fldCharType="separate"/>
      </w:r>
      <w:r w:rsidR="008E5D7A">
        <w:rPr>
          <w:noProof/>
        </w:rPr>
        <w:t>22</w:t>
      </w:r>
      <w:r>
        <w:fldChar w:fldCharType="end"/>
      </w:r>
      <w:bookmarkEnd w:id="97"/>
      <w:r>
        <w:t xml:space="preserve">: </w:t>
      </w:r>
      <w:r w:rsidRPr="005A1734">
        <w:t>Infrastructure water recovery (ML LTAAY)</w:t>
      </w:r>
      <w:r>
        <w:t xml:space="preserve"> in the southern MDB</w:t>
      </w:r>
    </w:p>
    <w:p w14:paraId="6319738D" w14:textId="77777777" w:rsidR="00C01A50" w:rsidRPr="000744E4" w:rsidRDefault="00C01A50" w:rsidP="002E50C5">
      <w:pPr>
        <w:jc w:val="left"/>
        <w:rPr>
          <w:rFonts w:eastAsia="Calibri"/>
          <w:color w:val="000000"/>
          <w:sz w:val="18"/>
          <w:szCs w:val="22"/>
          <w:lang w:val="en-AU" w:bidi="ar-SA"/>
        </w:rPr>
      </w:pPr>
      <w:r>
        <w:rPr>
          <w:rFonts w:eastAsia="Calibri"/>
          <w:color w:val="000000"/>
          <w:sz w:val="18"/>
          <w:szCs w:val="22"/>
          <w:lang w:val="en-AU" w:bidi="ar-SA"/>
        </w:rPr>
        <w:t xml:space="preserve">Note: The timing of contracted water recovery may differ from the timing of when ownership of water entitlements </w:t>
      </w:r>
      <w:r w:rsidR="00443463">
        <w:rPr>
          <w:rFonts w:eastAsia="Calibri"/>
          <w:color w:val="000000"/>
          <w:sz w:val="18"/>
          <w:szCs w:val="22"/>
          <w:lang w:val="en-AU" w:bidi="ar-SA"/>
        </w:rPr>
        <w:t>is</w:t>
      </w:r>
      <w:r>
        <w:rPr>
          <w:rFonts w:eastAsia="Calibri"/>
          <w:color w:val="000000"/>
          <w:sz w:val="18"/>
          <w:szCs w:val="22"/>
          <w:lang w:val="en-AU" w:bidi="ar-SA"/>
        </w:rPr>
        <w:t xml:space="preserve"> transferred to the Commonwealth. </w:t>
      </w:r>
      <w:r>
        <w:rPr>
          <w:rFonts w:eastAsia="Calibri"/>
          <w:color w:val="000000"/>
          <w:sz w:val="18"/>
          <w:szCs w:val="22"/>
          <w:lang w:val="en-AU" w:bidi="ar-SA"/>
        </w:rPr>
        <w:br/>
      </w:r>
      <w:r w:rsidRPr="000744E4">
        <w:rPr>
          <w:rFonts w:eastAsia="Calibri"/>
          <w:color w:val="000000"/>
          <w:sz w:val="18"/>
          <w:szCs w:val="22"/>
          <w:lang w:val="en-AU" w:bidi="ar-SA"/>
        </w:rPr>
        <w:t>Source: Pers. comm., DAWR, 16th September 2016.</w:t>
      </w:r>
    </w:p>
    <w:p w14:paraId="6272D564" w14:textId="77777777" w:rsidR="00C01A50" w:rsidRDefault="00C01A50" w:rsidP="00CD325F">
      <w:pPr>
        <w:pStyle w:val="Heading4"/>
        <w:rPr>
          <w:lang w:val="en-AU"/>
        </w:rPr>
      </w:pPr>
      <w:r>
        <w:rPr>
          <w:lang w:val="en-AU"/>
        </w:rPr>
        <w:t>Off-farm infrastructure projects</w:t>
      </w:r>
    </w:p>
    <w:p w14:paraId="6A71501E" w14:textId="77777777" w:rsidR="00C01A50" w:rsidRDefault="00C01A50" w:rsidP="005A1734">
      <w:pPr>
        <w:rPr>
          <w:lang w:val="en-AU"/>
        </w:rPr>
      </w:pPr>
      <w:r>
        <w:rPr>
          <w:lang w:val="en-AU"/>
        </w:rPr>
        <w:t xml:space="preserve">Where NSW projects recover conveyance entitlements, we assume that they are off-farm infrastructure projects. </w:t>
      </w:r>
    </w:p>
    <w:p w14:paraId="181B733B" w14:textId="77777777" w:rsidR="00C01A50" w:rsidRDefault="00C01A50" w:rsidP="005A1734">
      <w:pPr>
        <w:rPr>
          <w:lang w:val="en-AU"/>
        </w:rPr>
      </w:pPr>
      <w:r>
        <w:rPr>
          <w:lang w:val="en-AU"/>
        </w:rPr>
        <w:t xml:space="preserve">Access to Victorian Water Register data enables the tracking of Victorian off-farm water recovery. The Victorian water accounting framework is such that losses are covered in the ‘wholesale’ water accounts, and all savings must be converted into water shares in the ‘retail’ water accounts before they can be transferred to the Commonwealth. </w:t>
      </w:r>
    </w:p>
    <w:p w14:paraId="70205A39" w14:textId="77777777" w:rsidR="00C01A50" w:rsidRDefault="00C01A50" w:rsidP="005A1734">
      <w:pPr>
        <w:rPr>
          <w:lang w:val="en-US"/>
        </w:rPr>
      </w:pPr>
      <w:r>
        <w:rPr>
          <w:lang w:val="en-US"/>
        </w:rPr>
        <w:t xml:space="preserve">For South Australia, </w:t>
      </w:r>
      <w:r w:rsidRPr="00774389">
        <w:rPr>
          <w:lang w:val="en-US"/>
        </w:rPr>
        <w:t xml:space="preserve">a Draft Water Allocation Plan for the River Murray Prescribed Watercourse has been released for public consultation. This proposed plan adopts consumptive pools instead of the current </w:t>
      </w:r>
      <w:r>
        <w:rPr>
          <w:lang w:val="en-US"/>
        </w:rPr>
        <w:t xml:space="preserve">entitlement </w:t>
      </w:r>
      <w:r w:rsidRPr="00774389">
        <w:rPr>
          <w:lang w:val="en-US"/>
        </w:rPr>
        <w:t xml:space="preserve">classes. </w:t>
      </w:r>
    </w:p>
    <w:p w14:paraId="24323AF7" w14:textId="77777777" w:rsidR="00C01A50" w:rsidRDefault="00C01A50" w:rsidP="005A1734">
      <w:pPr>
        <w:rPr>
          <w:lang w:val="en-AU"/>
        </w:rPr>
      </w:pPr>
      <w:r>
        <w:rPr>
          <w:lang w:val="en-AU"/>
        </w:rPr>
        <w:fldChar w:fldCharType="begin"/>
      </w:r>
      <w:r>
        <w:rPr>
          <w:lang w:val="en-AU"/>
        </w:rPr>
        <w:instrText xml:space="preserve"> REF _Ref342391921 \h </w:instrText>
      </w:r>
      <w:r>
        <w:rPr>
          <w:lang w:val="en-AU"/>
        </w:rPr>
      </w:r>
      <w:r>
        <w:rPr>
          <w:lang w:val="en-AU"/>
        </w:rPr>
        <w:fldChar w:fldCharType="separate"/>
      </w:r>
      <w:r w:rsidR="008E5D7A">
        <w:t xml:space="preserve">Table </w:t>
      </w:r>
      <w:r w:rsidR="008E5D7A">
        <w:rPr>
          <w:noProof/>
        </w:rPr>
        <w:t>4</w:t>
      </w:r>
      <w:r>
        <w:rPr>
          <w:lang w:val="en-AU"/>
        </w:rPr>
        <w:fldChar w:fldCharType="end"/>
      </w:r>
      <w:r>
        <w:rPr>
          <w:lang w:val="en-AU"/>
        </w:rPr>
        <w:t xml:space="preserve"> shows the estimated off farm infrastructure savings recovered from each state in terms of LTAAY.</w:t>
      </w:r>
    </w:p>
    <w:p w14:paraId="360CCBC1" w14:textId="77777777" w:rsidR="00C01A50" w:rsidRDefault="00C01A50" w:rsidP="0011384D">
      <w:pPr>
        <w:pStyle w:val="Caption"/>
        <w:keepNext/>
      </w:pPr>
      <w:bookmarkStart w:id="98" w:name="_Ref342391921"/>
      <w:r>
        <w:t xml:space="preserve">Table </w:t>
      </w:r>
      <w:r>
        <w:fldChar w:fldCharType="begin"/>
      </w:r>
      <w:r>
        <w:instrText xml:space="preserve"> SEQ Table \* ARABIC </w:instrText>
      </w:r>
      <w:r>
        <w:fldChar w:fldCharType="separate"/>
      </w:r>
      <w:r w:rsidR="008E5D7A">
        <w:rPr>
          <w:noProof/>
        </w:rPr>
        <w:t>4</w:t>
      </w:r>
      <w:r>
        <w:fldChar w:fldCharType="end"/>
      </w:r>
      <w:bookmarkEnd w:id="98"/>
      <w:r>
        <w:t>: LTAAY (GL) recovered from off-farm infrastructure savings in each state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1935"/>
        <w:gridCol w:w="1831"/>
        <w:gridCol w:w="1649"/>
      </w:tblGrid>
      <w:tr w:rsidR="00C01A50" w:rsidRPr="00FB1C9E" w14:paraId="1F9020E5" w14:textId="77777777">
        <w:tc>
          <w:tcPr>
            <w:tcW w:w="1895" w:type="dxa"/>
            <w:shd w:val="clear" w:color="auto" w:fill="auto"/>
          </w:tcPr>
          <w:p w14:paraId="23F18388" w14:textId="77777777" w:rsidR="00C01A50" w:rsidRPr="00FB1C9E" w:rsidRDefault="00C01A50" w:rsidP="0011384D">
            <w:pPr>
              <w:spacing w:before="40" w:after="40"/>
              <w:jc w:val="center"/>
              <w:rPr>
                <w:b/>
                <w:sz w:val="18"/>
                <w:szCs w:val="18"/>
                <w:lang w:val="en-AU"/>
              </w:rPr>
            </w:pPr>
            <w:r w:rsidRPr="00FB1C9E">
              <w:rPr>
                <w:b/>
                <w:sz w:val="18"/>
                <w:szCs w:val="18"/>
                <w:lang w:val="en-AU"/>
              </w:rPr>
              <w:t>NSW (GL)</w:t>
            </w:r>
          </w:p>
        </w:tc>
        <w:tc>
          <w:tcPr>
            <w:tcW w:w="1935" w:type="dxa"/>
            <w:shd w:val="clear" w:color="auto" w:fill="auto"/>
          </w:tcPr>
          <w:p w14:paraId="034FB8C6" w14:textId="77777777" w:rsidR="00C01A50" w:rsidRPr="00FB1C9E" w:rsidRDefault="00C01A50" w:rsidP="0011384D">
            <w:pPr>
              <w:spacing w:before="40" w:after="40"/>
              <w:jc w:val="center"/>
              <w:rPr>
                <w:b/>
                <w:sz w:val="18"/>
                <w:szCs w:val="18"/>
                <w:lang w:val="en-AU"/>
              </w:rPr>
            </w:pPr>
            <w:r w:rsidRPr="00FB1C9E">
              <w:rPr>
                <w:b/>
                <w:sz w:val="18"/>
                <w:szCs w:val="18"/>
                <w:lang w:val="en-AU"/>
              </w:rPr>
              <w:t>Victoria (GL</w:t>
            </w:r>
            <w:r>
              <w:rPr>
                <w:b/>
                <w:sz w:val="18"/>
                <w:szCs w:val="18"/>
                <w:lang w:val="en-AU"/>
              </w:rPr>
              <w:t>)</w:t>
            </w:r>
          </w:p>
        </w:tc>
        <w:tc>
          <w:tcPr>
            <w:tcW w:w="1831" w:type="dxa"/>
          </w:tcPr>
          <w:p w14:paraId="24703888" w14:textId="77777777" w:rsidR="00C01A50" w:rsidRPr="00FB1C9E" w:rsidRDefault="00C01A50" w:rsidP="0011384D">
            <w:pPr>
              <w:spacing w:before="40" w:after="40"/>
              <w:jc w:val="center"/>
              <w:rPr>
                <w:b/>
                <w:sz w:val="18"/>
                <w:szCs w:val="18"/>
                <w:lang w:val="en-AU"/>
              </w:rPr>
            </w:pPr>
            <w:r w:rsidRPr="00FB1C9E">
              <w:rPr>
                <w:b/>
                <w:sz w:val="18"/>
                <w:szCs w:val="18"/>
                <w:lang w:val="en-AU"/>
              </w:rPr>
              <w:t>South Australia</w:t>
            </w:r>
            <w:r>
              <w:rPr>
                <w:b/>
                <w:sz w:val="18"/>
                <w:szCs w:val="18"/>
                <w:lang w:val="en-AU"/>
              </w:rPr>
              <w:t xml:space="preserve"> (GL)</w:t>
            </w:r>
          </w:p>
        </w:tc>
        <w:tc>
          <w:tcPr>
            <w:tcW w:w="1649" w:type="dxa"/>
          </w:tcPr>
          <w:p w14:paraId="00358085" w14:textId="77777777" w:rsidR="00C01A50" w:rsidRPr="00FB1C9E" w:rsidRDefault="00C01A50" w:rsidP="0011384D">
            <w:pPr>
              <w:spacing w:before="40" w:after="40"/>
              <w:jc w:val="center"/>
              <w:rPr>
                <w:b/>
                <w:sz w:val="18"/>
                <w:szCs w:val="18"/>
                <w:lang w:val="en-AU"/>
              </w:rPr>
            </w:pPr>
            <w:r>
              <w:rPr>
                <w:b/>
                <w:sz w:val="18"/>
                <w:szCs w:val="18"/>
                <w:lang w:val="en-AU"/>
              </w:rPr>
              <w:t>Total (GL)</w:t>
            </w:r>
          </w:p>
        </w:tc>
      </w:tr>
      <w:tr w:rsidR="00C01A50" w:rsidRPr="00FB1C9E" w14:paraId="744DBFE1" w14:textId="77777777">
        <w:tc>
          <w:tcPr>
            <w:tcW w:w="1895" w:type="dxa"/>
            <w:shd w:val="clear" w:color="auto" w:fill="auto"/>
          </w:tcPr>
          <w:p w14:paraId="774ABBF8" w14:textId="77777777" w:rsidR="00C01A50" w:rsidRPr="00493939" w:rsidRDefault="00C01A50" w:rsidP="0011384D">
            <w:pPr>
              <w:spacing w:before="40" w:after="40"/>
              <w:jc w:val="right"/>
              <w:rPr>
                <w:sz w:val="18"/>
                <w:szCs w:val="18"/>
                <w:lang w:val="en-AU"/>
              </w:rPr>
            </w:pPr>
            <w:r>
              <w:rPr>
                <w:sz w:val="18"/>
                <w:szCs w:val="18"/>
                <w:lang w:val="en-AU"/>
              </w:rPr>
              <w:t>^</w:t>
            </w:r>
          </w:p>
        </w:tc>
        <w:tc>
          <w:tcPr>
            <w:tcW w:w="1935" w:type="dxa"/>
            <w:shd w:val="clear" w:color="auto" w:fill="auto"/>
          </w:tcPr>
          <w:p w14:paraId="091A0BF6" w14:textId="77777777" w:rsidR="00C01A50" w:rsidRPr="00493939" w:rsidRDefault="00C01A50" w:rsidP="0011384D">
            <w:pPr>
              <w:spacing w:before="40" w:after="40"/>
              <w:jc w:val="right"/>
              <w:rPr>
                <w:sz w:val="18"/>
                <w:szCs w:val="18"/>
                <w:lang w:val="en-AU"/>
              </w:rPr>
            </w:pPr>
            <w:r>
              <w:rPr>
                <w:sz w:val="18"/>
                <w:szCs w:val="18"/>
                <w:lang w:val="en-AU"/>
              </w:rPr>
              <w:t>75*</w:t>
            </w:r>
          </w:p>
        </w:tc>
        <w:tc>
          <w:tcPr>
            <w:tcW w:w="1831" w:type="dxa"/>
          </w:tcPr>
          <w:p w14:paraId="4749A160" w14:textId="77777777" w:rsidR="00C01A50" w:rsidRPr="00493939" w:rsidRDefault="00C01A50" w:rsidP="0011384D">
            <w:pPr>
              <w:spacing w:before="40" w:after="40"/>
              <w:jc w:val="right"/>
              <w:rPr>
                <w:sz w:val="18"/>
                <w:szCs w:val="18"/>
                <w:lang w:val="en-AU"/>
              </w:rPr>
            </w:pPr>
            <w:r>
              <w:rPr>
                <w:sz w:val="18"/>
                <w:szCs w:val="18"/>
                <w:lang w:val="en-AU"/>
              </w:rPr>
              <w:t>^</w:t>
            </w:r>
          </w:p>
        </w:tc>
        <w:tc>
          <w:tcPr>
            <w:tcW w:w="1649" w:type="dxa"/>
          </w:tcPr>
          <w:p w14:paraId="6EC0C4E0" w14:textId="77777777" w:rsidR="00C01A50" w:rsidRPr="00493939" w:rsidRDefault="00C01A50" w:rsidP="0011384D">
            <w:pPr>
              <w:spacing w:before="40" w:after="40"/>
              <w:jc w:val="right"/>
              <w:rPr>
                <w:sz w:val="18"/>
                <w:szCs w:val="18"/>
                <w:lang w:val="en-AU"/>
              </w:rPr>
            </w:pPr>
            <w:r>
              <w:rPr>
                <w:sz w:val="18"/>
                <w:szCs w:val="18"/>
                <w:lang w:val="en-AU"/>
              </w:rPr>
              <w:t>^</w:t>
            </w:r>
          </w:p>
        </w:tc>
      </w:tr>
    </w:tbl>
    <w:p w14:paraId="65C71A57" w14:textId="77777777" w:rsidR="00C01A50" w:rsidRDefault="00C01A50" w:rsidP="002E50C5">
      <w:pPr>
        <w:pStyle w:val="Notesourcetext"/>
      </w:pPr>
      <w:r>
        <w:t>Notes: ^ Information separating off-farm and on-farm infrastructure savings was not identified.</w:t>
      </w:r>
      <w:r>
        <w:br/>
        <w:t>* Estimate only as water savings in some programs are yet to be confirmed. Almost all savings in Victoria have been HRWS</w:t>
      </w:r>
    </w:p>
    <w:p w14:paraId="224A6256" w14:textId="77777777" w:rsidR="00C01A50" w:rsidRDefault="00C01A50" w:rsidP="00902EC8">
      <w:pPr>
        <w:pStyle w:val="Heading4"/>
        <w:rPr>
          <w:lang w:val="en-AU"/>
        </w:rPr>
      </w:pPr>
      <w:r>
        <w:rPr>
          <w:lang w:val="en-AU"/>
        </w:rPr>
        <w:lastRenderedPageBreak/>
        <w:t>On-farm infrastructure projects</w:t>
      </w:r>
    </w:p>
    <w:p w14:paraId="1AAB31D8" w14:textId="77777777" w:rsidR="00C01A50" w:rsidRDefault="00C01A50" w:rsidP="00C572BA">
      <w:pPr>
        <w:rPr>
          <w:lang w:val="en-AU"/>
        </w:rPr>
      </w:pPr>
      <w:r>
        <w:rPr>
          <w:lang w:val="en-AU"/>
        </w:rPr>
        <w:t>In general, on-farm projects seek to enhance water efficiency so that production levels can be maintained with reduced volumes of irrigation water. Water savings are shared between individual irrigators and the Commonwealth. The irrigator retains more entitlement than would have been required to maintain production. In such cases the irrigator is free to expand production or sell the surplus entitlement or sell the allocations against it.</w:t>
      </w:r>
    </w:p>
    <w:p w14:paraId="34A3F294" w14:textId="77777777" w:rsidR="00A34F27" w:rsidRDefault="00A34F27" w:rsidP="00C572BA">
      <w:pPr>
        <w:rPr>
          <w:lang w:val="en-AU"/>
        </w:rPr>
      </w:pPr>
      <w:r>
        <w:rPr>
          <w:lang w:val="en-AU"/>
        </w:rPr>
        <w:t xml:space="preserve">There is no doubt that these projects have provided a range of benefits to participating irrigators. This </w:t>
      </w:r>
      <w:r w:rsidR="009E3E6C">
        <w:rPr>
          <w:lang w:val="en-AU"/>
        </w:rPr>
        <w:t xml:space="preserve">is </w:t>
      </w:r>
      <w:r>
        <w:rPr>
          <w:lang w:val="en-AU"/>
        </w:rPr>
        <w:t>borne out by the participant profiles published on Goulburn Broken CMA’s website.</w:t>
      </w:r>
      <w:r>
        <w:rPr>
          <w:rStyle w:val="FootnoteReference"/>
          <w:lang w:val="en-AU"/>
        </w:rPr>
        <w:footnoteReference w:id="9"/>
      </w:r>
      <w:r w:rsidR="00932CD9">
        <w:rPr>
          <w:lang w:val="en-AU"/>
        </w:rPr>
        <w:t xml:space="preserve"> These benefits </w:t>
      </w:r>
      <w:r w:rsidR="00C03D01">
        <w:rPr>
          <w:lang w:val="en-AU"/>
        </w:rPr>
        <w:t>are</w:t>
      </w:r>
      <w:r w:rsidR="00932CD9">
        <w:rPr>
          <w:lang w:val="en-AU"/>
        </w:rPr>
        <w:t xml:space="preserve"> discussed in more detail in Chapter </w:t>
      </w:r>
      <w:r w:rsidR="00932CD9">
        <w:rPr>
          <w:lang w:val="en-AU"/>
        </w:rPr>
        <w:fldChar w:fldCharType="begin"/>
      </w:r>
      <w:r w:rsidR="00932CD9">
        <w:rPr>
          <w:lang w:val="en-AU"/>
        </w:rPr>
        <w:instrText xml:space="preserve"> REF _Ref342482626 \r \h </w:instrText>
      </w:r>
      <w:r w:rsidR="00932CD9">
        <w:rPr>
          <w:lang w:val="en-AU"/>
        </w:rPr>
      </w:r>
      <w:r w:rsidR="00932CD9">
        <w:rPr>
          <w:lang w:val="en-AU"/>
        </w:rPr>
        <w:fldChar w:fldCharType="separate"/>
      </w:r>
      <w:r w:rsidR="008E5D7A">
        <w:rPr>
          <w:lang w:val="en-AU"/>
        </w:rPr>
        <w:t>4</w:t>
      </w:r>
      <w:r w:rsidR="00932CD9">
        <w:rPr>
          <w:lang w:val="en-AU"/>
        </w:rPr>
        <w:fldChar w:fldCharType="end"/>
      </w:r>
      <w:r w:rsidR="00932CD9">
        <w:rPr>
          <w:lang w:val="en-AU"/>
        </w:rPr>
        <w:t xml:space="preserve">. The issue considered in this section of the report is their long-term impacts on the consumptive pool. </w:t>
      </w:r>
    </w:p>
    <w:p w14:paraId="109DD9B5" w14:textId="77777777" w:rsidR="00F53EB6" w:rsidRDefault="00C01A50" w:rsidP="00C572BA">
      <w:pPr>
        <w:rPr>
          <w:lang w:val="en-AU"/>
        </w:rPr>
      </w:pPr>
      <w:r>
        <w:rPr>
          <w:lang w:val="en-AU"/>
        </w:rPr>
        <w:t xml:space="preserve">The </w:t>
      </w:r>
      <w:r w:rsidR="00633EC7">
        <w:rPr>
          <w:lang w:val="en-AU"/>
        </w:rPr>
        <w:t xml:space="preserve">first thing to note about on-farm projects is that the </w:t>
      </w:r>
      <w:r>
        <w:rPr>
          <w:lang w:val="en-AU"/>
        </w:rPr>
        <w:t xml:space="preserve">Commonwealth is willing to pay a premium above the market rate per </w:t>
      </w:r>
      <w:r w:rsidR="00633EC7">
        <w:rPr>
          <w:lang w:val="en-AU"/>
        </w:rPr>
        <w:t>ML</w:t>
      </w:r>
      <w:r>
        <w:rPr>
          <w:lang w:val="en-AU"/>
        </w:rPr>
        <w:t xml:space="preserve"> for on-farm savings</w:t>
      </w:r>
      <w:r w:rsidR="00633EC7">
        <w:rPr>
          <w:lang w:val="en-AU"/>
        </w:rPr>
        <w:t xml:space="preserve">. This provides a potential incentive for participants </w:t>
      </w:r>
      <w:r>
        <w:rPr>
          <w:lang w:val="en-AU"/>
        </w:rPr>
        <w:t xml:space="preserve">to </w:t>
      </w:r>
      <w:r w:rsidR="00A65F51">
        <w:rPr>
          <w:lang w:val="en-AU"/>
        </w:rPr>
        <w:t>engage in</w:t>
      </w:r>
      <w:r>
        <w:rPr>
          <w:lang w:val="en-AU"/>
        </w:rPr>
        <w:t xml:space="preserve"> arbitrage to replace the water given to the Commonwealth in order to increase production on the more efficient irrigation layout. </w:t>
      </w:r>
      <w:r w:rsidR="00633EC7">
        <w:rPr>
          <w:lang w:val="en-AU"/>
        </w:rPr>
        <w:t>DELWP and the Goulburn Broken CMA have taken steps to minimise this potential, nonetheless</w:t>
      </w:r>
      <w:r w:rsidR="00633EC7" w:rsidRPr="00633EC7">
        <w:t xml:space="preserve"> </w:t>
      </w:r>
      <w:r w:rsidR="00633EC7">
        <w:t xml:space="preserve">Vignette </w:t>
      </w:r>
      <w:r w:rsidR="00F53EB6">
        <w:t>1 in MDBA (2016</w:t>
      </w:r>
      <w:r w:rsidR="002A4FED">
        <w:t>a</w:t>
      </w:r>
      <w:r w:rsidR="00F53EB6">
        <w:t>) (a fuller</w:t>
      </w:r>
      <w:r w:rsidR="00633EC7">
        <w:t xml:space="preserve"> excerpt of which is reproduced in </w:t>
      </w:r>
      <w:r w:rsidR="00633EC7">
        <w:rPr>
          <w:lang w:val="en-AU"/>
        </w:rPr>
        <w:t xml:space="preserve">Appendix </w:t>
      </w:r>
      <w:r w:rsidR="00633EC7">
        <w:rPr>
          <w:lang w:val="en-AU"/>
        </w:rPr>
        <w:fldChar w:fldCharType="begin"/>
      </w:r>
      <w:r w:rsidR="00633EC7">
        <w:rPr>
          <w:lang w:val="en-AU"/>
        </w:rPr>
        <w:instrText xml:space="preserve"> REF _Ref342386223 \r \h </w:instrText>
      </w:r>
      <w:r w:rsidR="00633EC7">
        <w:rPr>
          <w:lang w:val="en-AU"/>
        </w:rPr>
      </w:r>
      <w:r w:rsidR="00633EC7">
        <w:rPr>
          <w:lang w:val="en-AU"/>
        </w:rPr>
        <w:fldChar w:fldCharType="separate"/>
      </w:r>
      <w:r w:rsidR="008E5D7A">
        <w:rPr>
          <w:lang w:val="en-AU"/>
        </w:rPr>
        <w:t>3</w:t>
      </w:r>
      <w:r w:rsidR="00633EC7">
        <w:rPr>
          <w:lang w:val="en-AU"/>
        </w:rPr>
        <w:fldChar w:fldCharType="end"/>
      </w:r>
      <w:r w:rsidR="00633EC7">
        <w:rPr>
          <w:lang w:val="en-AU"/>
        </w:rPr>
        <w:t xml:space="preserve">) suggests there may have been instances of arbitrage. </w:t>
      </w:r>
    </w:p>
    <w:p w14:paraId="12B5A23D" w14:textId="77777777" w:rsidR="00F53EB6" w:rsidRDefault="00F53EB6" w:rsidP="00F53EB6">
      <w:pPr>
        <w:pStyle w:val="Quote"/>
        <w:rPr>
          <w:lang w:val="en-AU"/>
        </w:rPr>
      </w:pPr>
      <w:r w:rsidRPr="005B1A18">
        <w:rPr>
          <w:lang w:val="en-AU"/>
        </w:rPr>
        <w:t xml:space="preserve">We’re saving water but we’re being more intense and more productive. Because we’re using it more efficiently and being more profitable that drives us to want more water to do more things. It has that driving </w:t>
      </w:r>
      <w:r w:rsidR="00DF600B">
        <w:rPr>
          <w:lang w:val="en-AU"/>
        </w:rPr>
        <w:t>e</w:t>
      </w:r>
      <w:r w:rsidRPr="005B1A18">
        <w:rPr>
          <w:lang w:val="en-AU"/>
        </w:rPr>
        <w:t>ffect. We gave water back but we went straight back to the market and bought it again.</w:t>
      </w:r>
    </w:p>
    <w:p w14:paraId="5D1DBB73" w14:textId="77777777" w:rsidR="00C01A50" w:rsidRDefault="00633EC7" w:rsidP="00C572BA">
      <w:pPr>
        <w:rPr>
          <w:lang w:val="en-AU"/>
        </w:rPr>
      </w:pPr>
      <w:r>
        <w:rPr>
          <w:lang w:val="en-AU"/>
        </w:rPr>
        <w:t>If a participant were to take advantage of arbitrage to replace the water recovered for the environment,</w:t>
      </w:r>
      <w:r w:rsidR="00C01A50">
        <w:rPr>
          <w:lang w:val="en-AU"/>
        </w:rPr>
        <w:t xml:space="preserve"> the net effect on the consumptive pool </w:t>
      </w:r>
      <w:r>
        <w:rPr>
          <w:lang w:val="en-AU"/>
        </w:rPr>
        <w:t>would be</w:t>
      </w:r>
      <w:r w:rsidR="00C01A50">
        <w:rPr>
          <w:lang w:val="en-AU"/>
        </w:rPr>
        <w:t xml:space="preserve"> the same as direct buyback by the Commonwealth. </w:t>
      </w:r>
    </w:p>
    <w:p w14:paraId="58AD1AF2" w14:textId="77777777" w:rsidR="00C01A50" w:rsidRDefault="00A65F51" w:rsidP="00C572BA">
      <w:pPr>
        <w:rPr>
          <w:lang w:val="en-AU"/>
        </w:rPr>
      </w:pPr>
      <w:r>
        <w:rPr>
          <w:lang w:val="en-AU"/>
        </w:rPr>
        <w:t>More importantly</w:t>
      </w:r>
      <w:r w:rsidR="00C01A50">
        <w:rPr>
          <w:lang w:val="en-AU"/>
        </w:rPr>
        <w:t xml:space="preserve"> however</w:t>
      </w:r>
      <w:r>
        <w:rPr>
          <w:lang w:val="en-AU"/>
        </w:rPr>
        <w:t>,</w:t>
      </w:r>
      <w:r w:rsidR="00C01A50">
        <w:rPr>
          <w:lang w:val="en-AU"/>
        </w:rPr>
        <w:t xml:space="preserve"> if water efficiency is improved on</w:t>
      </w:r>
      <w:r>
        <w:rPr>
          <w:lang w:val="en-AU"/>
        </w:rPr>
        <w:t>-</w:t>
      </w:r>
      <w:r w:rsidR="00C01A50">
        <w:rPr>
          <w:lang w:val="en-AU"/>
        </w:rPr>
        <w:t xml:space="preserve">farm but the seasonal conditions are so dry that the farm </w:t>
      </w:r>
      <w:r>
        <w:rPr>
          <w:lang w:val="en-AU"/>
        </w:rPr>
        <w:t>in question would</w:t>
      </w:r>
      <w:r w:rsidR="00C01A50">
        <w:rPr>
          <w:lang w:val="en-AU"/>
        </w:rPr>
        <w:t xml:space="preserve"> not</w:t>
      </w:r>
      <w:r>
        <w:rPr>
          <w:lang w:val="en-AU"/>
        </w:rPr>
        <w:t xml:space="preserve"> be</w:t>
      </w:r>
      <w:r w:rsidR="00C01A50">
        <w:rPr>
          <w:lang w:val="en-AU"/>
        </w:rPr>
        <w:t xml:space="preserve"> irrigated and </w:t>
      </w:r>
      <w:r>
        <w:rPr>
          <w:lang w:val="en-AU"/>
        </w:rPr>
        <w:t>instead the</w:t>
      </w:r>
      <w:r w:rsidR="00C01A50">
        <w:rPr>
          <w:lang w:val="en-AU"/>
        </w:rPr>
        <w:t xml:space="preserve"> irrigator </w:t>
      </w:r>
      <w:r>
        <w:rPr>
          <w:lang w:val="en-AU"/>
        </w:rPr>
        <w:t xml:space="preserve">were to </w:t>
      </w:r>
      <w:r w:rsidR="00C01A50">
        <w:rPr>
          <w:lang w:val="en-AU"/>
        </w:rPr>
        <w:t xml:space="preserve">sell allocations, then the volume of allocations put on to the market </w:t>
      </w:r>
      <w:r>
        <w:rPr>
          <w:lang w:val="en-AU"/>
        </w:rPr>
        <w:t>would be</w:t>
      </w:r>
      <w:r w:rsidR="00C01A50">
        <w:rPr>
          <w:lang w:val="en-AU"/>
        </w:rPr>
        <w:t xml:space="preserve"> lower than it would otherwise be. The volume of the </w:t>
      </w:r>
      <w:r>
        <w:rPr>
          <w:lang w:val="en-AU"/>
        </w:rPr>
        <w:t>savings given to the Commonwealth would therefore reduce the volume of the consumptive pool in dry and extremely dry years.</w:t>
      </w:r>
    </w:p>
    <w:p w14:paraId="03EF8C89" w14:textId="77777777" w:rsidR="00C01A50" w:rsidRDefault="00C01A50" w:rsidP="000271DA">
      <w:pPr>
        <w:rPr>
          <w:lang w:val="en-AU"/>
        </w:rPr>
      </w:pPr>
      <w:r>
        <w:rPr>
          <w:lang w:val="en-AU"/>
        </w:rPr>
        <w:t xml:space="preserve">For our analysis, we consider it valid </w:t>
      </w:r>
      <w:r w:rsidRPr="00A65F51">
        <w:rPr>
          <w:lang w:val="en-AU"/>
        </w:rPr>
        <w:t>to assume that</w:t>
      </w:r>
      <w:r>
        <w:rPr>
          <w:lang w:val="en-AU"/>
        </w:rPr>
        <w:t xml:space="preserve"> on-farm water savings have similar characteristics to off-farm water savings in wet-to-average years. In dry and extreme dry years the on-farm </w:t>
      </w:r>
      <w:r w:rsidRPr="00222DB9">
        <w:rPr>
          <w:lang w:val="en-AU"/>
        </w:rPr>
        <w:t xml:space="preserve">projects reduce the consumptive pool. </w:t>
      </w:r>
      <w:r w:rsidRPr="002E50C5">
        <w:rPr>
          <w:lang w:val="en-AU"/>
        </w:rPr>
        <w:t>Given the average to wet water availability conditions that have prevailed since these programs commenced, with the notable exception of 2015/16, on-farm efficiency measures may not, in effect, have significantly reduced the consumptive pool.</w:t>
      </w:r>
    </w:p>
    <w:p w14:paraId="17EF1659" w14:textId="77777777" w:rsidR="00C01A50" w:rsidRDefault="00C01A50" w:rsidP="00E411C0">
      <w:pPr>
        <w:keepNext/>
        <w:rPr>
          <w:lang w:val="en-AU"/>
        </w:rPr>
      </w:pPr>
      <w:r>
        <w:rPr>
          <w:lang w:val="en-AU"/>
        </w:rPr>
        <w:t>ABARES (2016, p. 20) makes</w:t>
      </w:r>
      <w:r w:rsidRPr="000271DA">
        <w:rPr>
          <w:lang w:val="en-AU"/>
        </w:rPr>
        <w:t xml:space="preserve"> </w:t>
      </w:r>
      <w:r>
        <w:rPr>
          <w:lang w:val="en-AU"/>
        </w:rPr>
        <w:t>the following observation:</w:t>
      </w:r>
    </w:p>
    <w:p w14:paraId="4A391F1C" w14:textId="77777777" w:rsidR="00C01A50" w:rsidRPr="007939B5" w:rsidRDefault="00C01A50" w:rsidP="003F39A0">
      <w:pPr>
        <w:pStyle w:val="Quote"/>
        <w:rPr>
          <w:lang w:val="en-AU"/>
        </w:rPr>
      </w:pPr>
      <w:r>
        <w:rPr>
          <w:lang w:val="en-AU"/>
        </w:rPr>
        <w:t xml:space="preserve">… </w:t>
      </w:r>
      <w:r w:rsidRPr="007939B5">
        <w:rPr>
          <w:lang w:val="en-AU"/>
        </w:rPr>
        <w:t>Investments in on or off-farm infrastructure reduce losses (to evaporation</w:t>
      </w:r>
      <w:r>
        <w:rPr>
          <w:lang w:val="en-AU"/>
        </w:rPr>
        <w:t>,</w:t>
      </w:r>
      <w:r w:rsidRPr="007939B5">
        <w:rPr>
          <w:lang w:val="en-AU"/>
        </w:rPr>
        <w:t xml:space="preserve"> seepage </w:t>
      </w:r>
      <w:r>
        <w:rPr>
          <w:lang w:val="en-AU"/>
        </w:rPr>
        <w:t>and so on</w:t>
      </w:r>
      <w:r w:rsidRPr="007939B5">
        <w:rPr>
          <w:lang w:val="en-AU"/>
        </w:rPr>
        <w:t xml:space="preserve">). </w:t>
      </w:r>
      <w:r w:rsidRPr="00440B4D">
        <w:rPr>
          <w:lang w:val="en-AU"/>
        </w:rPr>
        <w:t xml:space="preserve">Under the Murray–Darling Basin Plan programmes, at least 50 per cent of these water savings are returned to the Commonwealth, with the </w:t>
      </w:r>
      <w:r w:rsidRPr="00440B4D">
        <w:rPr>
          <w:lang w:val="en-AU"/>
        </w:rPr>
        <w:lastRenderedPageBreak/>
        <w:t>remainder returned to entitlement holders. As such, the net effect of infrastructure projects should be to increase the volume of water available for use and/or to improve farm water use efficiency (by an amount greater than any environmental water recovery)—both of which would lead to lower water prices.</w:t>
      </w:r>
      <w:r w:rsidRPr="007939B5">
        <w:rPr>
          <w:lang w:val="en-AU"/>
        </w:rPr>
        <w:t xml:space="preserve"> </w:t>
      </w:r>
    </w:p>
    <w:p w14:paraId="0C6B59A7" w14:textId="77777777" w:rsidR="00C01A50" w:rsidRDefault="00C01A50" w:rsidP="003F39A0">
      <w:pPr>
        <w:pStyle w:val="Quote"/>
        <w:rPr>
          <w:lang w:val="en-AU"/>
        </w:rPr>
      </w:pPr>
      <w:r w:rsidRPr="007939B5">
        <w:rPr>
          <w:lang w:val="en-AU"/>
        </w:rPr>
        <w:t>However, infrastructure projects can also help farmers achieve improvements in productivity.</w:t>
      </w:r>
      <w:r>
        <w:rPr>
          <w:lang w:val="en-AU"/>
        </w:rPr>
        <w:t xml:space="preserve"> </w:t>
      </w:r>
      <w:r w:rsidRPr="007939B5">
        <w:rPr>
          <w:lang w:val="en-AU"/>
        </w:rPr>
        <w:t xml:space="preserve">General improvements in irrigation farm productivity </w:t>
      </w:r>
      <w:r>
        <w:rPr>
          <w:lang w:val="en-AU"/>
        </w:rPr>
        <w:t>and</w:t>
      </w:r>
      <w:r w:rsidRPr="007939B5">
        <w:rPr>
          <w:lang w:val="en-AU"/>
        </w:rPr>
        <w:t xml:space="preserve"> profitability may result in increased demand for water. </w:t>
      </w:r>
      <w:r>
        <w:rPr>
          <w:lang w:val="en-AU"/>
        </w:rPr>
        <w:t>Thus</w:t>
      </w:r>
      <w:r w:rsidRPr="007939B5">
        <w:rPr>
          <w:lang w:val="en-AU"/>
        </w:rPr>
        <w:t>, the precise effect of infrastructure projects on the water allocation price is difficult to measure</w:t>
      </w:r>
      <w:r>
        <w:rPr>
          <w:lang w:val="en-AU"/>
        </w:rPr>
        <w:t>,</w:t>
      </w:r>
      <w:r w:rsidRPr="007939B5">
        <w:rPr>
          <w:lang w:val="en-AU"/>
        </w:rPr>
        <w:t xml:space="preserve"> although the overall effect on the allocation price is likely to be downward</w:t>
      </w:r>
      <w:r>
        <w:rPr>
          <w:lang w:val="en-AU"/>
        </w:rPr>
        <w:t xml:space="preserve"> b</w:t>
      </w:r>
      <w:r w:rsidRPr="00440B4D">
        <w:rPr>
          <w:lang w:val="en-AU"/>
        </w:rPr>
        <w:t>ecause of the water savings achieved</w:t>
      </w:r>
      <w:r w:rsidRPr="007939B5">
        <w:rPr>
          <w:lang w:val="en-AU"/>
        </w:rPr>
        <w:t>.</w:t>
      </w:r>
    </w:p>
    <w:p w14:paraId="0D5B2567" w14:textId="77777777" w:rsidR="00487C54" w:rsidRDefault="00487C54" w:rsidP="00AC44FF">
      <w:pPr>
        <w:rPr>
          <w:lang w:val="en-AU"/>
        </w:rPr>
      </w:pPr>
      <w:r>
        <w:rPr>
          <w:lang w:val="en-AU"/>
        </w:rPr>
        <w:t>Similarly, Aither (2016</w:t>
      </w:r>
      <w:r w:rsidR="00E411C0">
        <w:rPr>
          <w:lang w:val="en-AU"/>
        </w:rPr>
        <w:t>b</w:t>
      </w:r>
      <w:r>
        <w:rPr>
          <w:lang w:val="en-AU"/>
        </w:rPr>
        <w:t>), in considering anecdotal evidence about these issues, makes an important first-principles observation:</w:t>
      </w:r>
    </w:p>
    <w:p w14:paraId="7CB689B3" w14:textId="77777777" w:rsidR="00487C54" w:rsidRPr="00487C54" w:rsidRDefault="00487C54" w:rsidP="002B684E">
      <w:pPr>
        <w:pStyle w:val="Quote"/>
        <w:rPr>
          <w:lang w:val="en-AU"/>
        </w:rPr>
      </w:pPr>
      <w:r w:rsidRPr="00487C54">
        <w:rPr>
          <w:lang w:val="en-AU"/>
        </w:rPr>
        <w:t xml:space="preserve">There are anecdotal accounts that some irrigators have reduced their demand for allocations as a result of on-farm efficiency programs, whereas others have increased their demand. This is consistent with economic theory, which suggests that the ability to delivery water more efficiently to the crop has two opposing incentive effects, one to reduce water use and the other to increase water use, and that the relative strength of these effects will depend on the circumstances of individual irrigators. At this stage, there is insufficient empirical evidence to determine the overall impact on demand for allocations across the market. However, it is plausible that the price impacts of future on-farm efficiency programs could be as large as, or larger than, equivalent Commonwealth environmental water purchases. This is an area for further research. </w:t>
      </w:r>
    </w:p>
    <w:p w14:paraId="01CD9B75" w14:textId="77777777" w:rsidR="00D02355" w:rsidRDefault="00C01A50" w:rsidP="00AC44FF">
      <w:pPr>
        <w:rPr>
          <w:lang w:val="en-AU"/>
        </w:rPr>
      </w:pPr>
      <w:r>
        <w:rPr>
          <w:lang w:val="en-AU"/>
        </w:rPr>
        <w:t>In considering the o</w:t>
      </w:r>
      <w:r w:rsidRPr="003B1DA3">
        <w:rPr>
          <w:lang w:val="en-AU"/>
        </w:rPr>
        <w:t xml:space="preserve">verall impact </w:t>
      </w:r>
      <w:r>
        <w:rPr>
          <w:lang w:val="en-AU"/>
        </w:rPr>
        <w:t xml:space="preserve">of water recovery to date </w:t>
      </w:r>
      <w:r w:rsidRPr="003B1DA3">
        <w:rPr>
          <w:lang w:val="en-AU"/>
        </w:rPr>
        <w:t xml:space="preserve">on </w:t>
      </w:r>
      <w:r>
        <w:rPr>
          <w:lang w:val="en-AU"/>
        </w:rPr>
        <w:t xml:space="preserve">the </w:t>
      </w:r>
      <w:r w:rsidRPr="003B1DA3">
        <w:rPr>
          <w:lang w:val="en-AU"/>
        </w:rPr>
        <w:t>consumptive pool (</w:t>
      </w:r>
      <w:r>
        <w:rPr>
          <w:lang w:val="en-AU"/>
        </w:rPr>
        <w:t xml:space="preserve">both for </w:t>
      </w:r>
      <w:r w:rsidRPr="003B1DA3">
        <w:rPr>
          <w:lang w:val="en-AU"/>
        </w:rPr>
        <w:t>Vic</w:t>
      </w:r>
      <w:r>
        <w:rPr>
          <w:lang w:val="en-AU"/>
        </w:rPr>
        <w:t>toria</w:t>
      </w:r>
      <w:r w:rsidRPr="003B1DA3">
        <w:rPr>
          <w:lang w:val="en-AU"/>
        </w:rPr>
        <w:t xml:space="preserve"> and </w:t>
      </w:r>
      <w:r>
        <w:rPr>
          <w:lang w:val="en-AU"/>
        </w:rPr>
        <w:t xml:space="preserve">for the </w:t>
      </w:r>
      <w:r w:rsidRPr="003B1DA3">
        <w:rPr>
          <w:lang w:val="en-AU"/>
        </w:rPr>
        <w:t>s</w:t>
      </w:r>
      <w:r>
        <w:rPr>
          <w:lang w:val="en-AU"/>
        </w:rPr>
        <w:t xml:space="preserve">outhern-connected Basin </w:t>
      </w:r>
      <w:r w:rsidRPr="003B1DA3">
        <w:rPr>
          <w:lang w:val="en-AU"/>
        </w:rPr>
        <w:t>as a whole)</w:t>
      </w:r>
      <w:r>
        <w:rPr>
          <w:lang w:val="en-AU"/>
        </w:rPr>
        <w:t>, the focus of our analysis is on the impact of irrigators foregoing the use of the allocations against the entitlements recovered for the environment. In dry years</w:t>
      </w:r>
      <w:r w:rsidR="0060664F">
        <w:rPr>
          <w:lang w:val="en-AU"/>
        </w:rPr>
        <w:t>,</w:t>
      </w:r>
      <w:r>
        <w:rPr>
          <w:lang w:val="en-AU"/>
        </w:rPr>
        <w:t xml:space="preserve"> that includes the allocations against entitlements gained in return for on-farm efficiency measures as well as entitlements obtained through buyback.</w:t>
      </w:r>
      <w:r w:rsidRPr="00CF3481" w:rsidDel="001C0C80">
        <w:rPr>
          <w:lang w:val="en-AU"/>
        </w:rPr>
        <w:t xml:space="preserve"> </w:t>
      </w:r>
      <w:r w:rsidR="00D02355">
        <w:rPr>
          <w:lang w:val="en-AU"/>
        </w:rPr>
        <w:t>Unfortunately</w:t>
      </w:r>
      <w:r w:rsidR="00BE0EE1">
        <w:rPr>
          <w:lang w:val="en-AU"/>
        </w:rPr>
        <w:t xml:space="preserve">, however </w:t>
      </w:r>
      <w:r w:rsidR="001B5ACB">
        <w:rPr>
          <w:lang w:val="en-AU"/>
        </w:rPr>
        <w:t>there is no published</w:t>
      </w:r>
      <w:r w:rsidR="00BE0EE1">
        <w:rPr>
          <w:lang w:val="en-AU"/>
        </w:rPr>
        <w:t xml:space="preserve"> data </w:t>
      </w:r>
      <w:r w:rsidR="001B5ACB">
        <w:rPr>
          <w:lang w:val="en-AU"/>
        </w:rPr>
        <w:t>about</w:t>
      </w:r>
      <w:r w:rsidR="00BE0EE1">
        <w:rPr>
          <w:lang w:val="en-AU"/>
        </w:rPr>
        <w:t xml:space="preserve"> how much water has been recovered through on-farm efficiency measures</w:t>
      </w:r>
      <w:r w:rsidR="001B5ACB">
        <w:rPr>
          <w:lang w:val="en-AU"/>
        </w:rPr>
        <w:t xml:space="preserve">. </w:t>
      </w:r>
    </w:p>
    <w:p w14:paraId="47D17BB2" w14:textId="77777777" w:rsidR="00A65F51" w:rsidRDefault="002B684E" w:rsidP="00AC44FF">
      <w:pPr>
        <w:rPr>
          <w:lang w:val="en-AU"/>
        </w:rPr>
      </w:pPr>
      <w:r>
        <w:rPr>
          <w:lang w:val="en-AU"/>
        </w:rPr>
        <w:t xml:space="preserve">We would welcome the MDBA doing </w:t>
      </w:r>
      <w:r w:rsidR="00A65F51">
        <w:rPr>
          <w:lang w:val="en-AU"/>
        </w:rPr>
        <w:t xml:space="preserve">further work </w:t>
      </w:r>
      <w:r w:rsidR="00323077">
        <w:rPr>
          <w:lang w:val="en-AU"/>
        </w:rPr>
        <w:t>in</w:t>
      </w:r>
      <w:r w:rsidR="00A65F51">
        <w:rPr>
          <w:lang w:val="en-AU"/>
        </w:rPr>
        <w:t xml:space="preserve"> test</w:t>
      </w:r>
      <w:r w:rsidR="00323077">
        <w:rPr>
          <w:lang w:val="en-AU"/>
        </w:rPr>
        <w:t>ing our assumptions</w:t>
      </w:r>
      <w:r w:rsidR="00A65F51">
        <w:rPr>
          <w:lang w:val="en-AU"/>
        </w:rPr>
        <w:t xml:space="preserve"> </w:t>
      </w:r>
      <w:r w:rsidR="00323077">
        <w:rPr>
          <w:lang w:val="en-AU"/>
        </w:rPr>
        <w:t>and in considering</w:t>
      </w:r>
      <w:r w:rsidR="00A65F51">
        <w:rPr>
          <w:lang w:val="en-AU"/>
        </w:rPr>
        <w:t xml:space="preserve"> ABARES’ </w:t>
      </w:r>
      <w:r>
        <w:rPr>
          <w:lang w:val="en-AU"/>
        </w:rPr>
        <w:t xml:space="preserve">and Aither’s </w:t>
      </w:r>
      <w:r w:rsidR="00A65F51">
        <w:rPr>
          <w:lang w:val="en-AU"/>
        </w:rPr>
        <w:t>observations in this regard.</w:t>
      </w:r>
      <w:r w:rsidR="00AA55E6">
        <w:rPr>
          <w:lang w:val="en-AU"/>
        </w:rPr>
        <w:t xml:space="preserve"> For our part we endeavoured to analyse water register data for those irrigators who participated in on-farm efficiency savings to </w:t>
      </w:r>
      <w:r w:rsidR="00A628DD">
        <w:rPr>
          <w:lang w:val="en-AU"/>
        </w:rPr>
        <w:t>compare their water use before and after their participation, but this proved to complex to achieve in the time available to us.</w:t>
      </w:r>
      <w:r w:rsidR="00AA55E6">
        <w:rPr>
          <w:lang w:val="en-AU"/>
        </w:rPr>
        <w:t xml:space="preserve"> </w:t>
      </w:r>
    </w:p>
    <w:p w14:paraId="4A832B3D" w14:textId="77777777" w:rsidR="001A6F58" w:rsidRDefault="001A6F58" w:rsidP="00AC44FF">
      <w:pPr>
        <w:rPr>
          <w:lang w:val="en-AU"/>
        </w:rPr>
      </w:pPr>
      <w:r>
        <w:rPr>
          <w:lang w:val="en-AU"/>
        </w:rPr>
        <w:t xml:space="preserve">It is important to note here that for the purposes of this report we assume that the Commonwealth will continue its policy of excluding the </w:t>
      </w:r>
      <w:r w:rsidRPr="007F1E27">
        <w:rPr>
          <w:lang w:val="en-US"/>
        </w:rPr>
        <w:t>Commonwealth Environmental Water Holder</w:t>
      </w:r>
      <w:r>
        <w:rPr>
          <w:lang w:val="en-AU"/>
        </w:rPr>
        <w:t xml:space="preserve"> (CEWH) from actively participating in the water market, apart from buyback. For that reason we consistently treat water recovery as a reduction in the consumptive pool. If the CEWH were to trade water, the recovery would be more accurately described as an increase in demand.</w:t>
      </w:r>
    </w:p>
    <w:p w14:paraId="251EB042" w14:textId="77777777" w:rsidR="00C01A50" w:rsidRDefault="00C01A50" w:rsidP="001C0C80">
      <w:pPr>
        <w:pStyle w:val="Heading2"/>
        <w:rPr>
          <w:lang w:val="en-AU"/>
        </w:rPr>
      </w:pPr>
      <w:bookmarkStart w:id="99" w:name="_Toc462309034"/>
      <w:bookmarkStart w:id="100" w:name="_Ref346107629"/>
      <w:bookmarkStart w:id="101" w:name="_Toc347747805"/>
      <w:r w:rsidRPr="003B1DA3">
        <w:rPr>
          <w:lang w:val="en-AU"/>
        </w:rPr>
        <w:lastRenderedPageBreak/>
        <w:t>The counterfactual – water use in the absence of the Basin Plan</w:t>
      </w:r>
      <w:bookmarkEnd w:id="99"/>
      <w:bookmarkEnd w:id="100"/>
      <w:bookmarkEnd w:id="101"/>
    </w:p>
    <w:p w14:paraId="255C9970" w14:textId="77777777" w:rsidR="00C01A50" w:rsidRPr="00270441" w:rsidRDefault="00C01A50" w:rsidP="00AC44FF">
      <w:pPr>
        <w:rPr>
          <w:lang w:val="en-AU"/>
        </w:rPr>
      </w:pPr>
      <w:r w:rsidRPr="00B559A5">
        <w:rPr>
          <w:lang w:val="en-AU"/>
        </w:rPr>
        <w:t>The approach to estimat</w:t>
      </w:r>
      <w:r>
        <w:rPr>
          <w:lang w:val="en-AU"/>
        </w:rPr>
        <w:t>ing</w:t>
      </w:r>
      <w:r w:rsidRPr="00B559A5">
        <w:rPr>
          <w:lang w:val="en-AU"/>
        </w:rPr>
        <w:t xml:space="preserve"> what water use would have been </w:t>
      </w:r>
      <w:r w:rsidRPr="00B559A5">
        <w:rPr>
          <w:i/>
          <w:lang w:val="en-AU"/>
        </w:rPr>
        <w:t>but for</w:t>
      </w:r>
      <w:r w:rsidRPr="00B559A5">
        <w:rPr>
          <w:lang w:val="en-AU"/>
        </w:rPr>
        <w:t xml:space="preserve"> the Basin Plan water recovery consider</w:t>
      </w:r>
      <w:r>
        <w:rPr>
          <w:lang w:val="en-AU"/>
        </w:rPr>
        <w:t>s th</w:t>
      </w:r>
      <w:r w:rsidRPr="00270441">
        <w:rPr>
          <w:lang w:val="en-AU"/>
        </w:rPr>
        <w:t xml:space="preserve">ree </w:t>
      </w:r>
      <w:r>
        <w:rPr>
          <w:lang w:val="en-AU"/>
        </w:rPr>
        <w:t>components</w:t>
      </w:r>
      <w:r w:rsidRPr="00270441">
        <w:rPr>
          <w:lang w:val="en-AU"/>
        </w:rPr>
        <w:t>:</w:t>
      </w:r>
    </w:p>
    <w:p w14:paraId="6C771FC6" w14:textId="77777777" w:rsidR="00C01A50" w:rsidRPr="004E009C" w:rsidRDefault="00C01A50" w:rsidP="00302BD9">
      <w:pPr>
        <w:pStyle w:val="ListParagraph"/>
        <w:numPr>
          <w:ilvl w:val="0"/>
          <w:numId w:val="20"/>
        </w:numPr>
        <w:rPr>
          <w:lang w:val="en-AU"/>
        </w:rPr>
      </w:pPr>
      <w:r w:rsidRPr="004E009C">
        <w:rPr>
          <w:lang w:val="en-AU"/>
        </w:rPr>
        <w:t>observed water use</w:t>
      </w:r>
      <w:r>
        <w:rPr>
          <w:lang w:val="en-AU"/>
        </w:rPr>
        <w:t xml:space="preserve"> in each year</w:t>
      </w:r>
    </w:p>
    <w:p w14:paraId="310AD0B6" w14:textId="77777777" w:rsidR="00C01A50" w:rsidRPr="004E009C" w:rsidRDefault="00C01A50" w:rsidP="00302BD9">
      <w:pPr>
        <w:pStyle w:val="ListParagraph"/>
        <w:numPr>
          <w:ilvl w:val="0"/>
          <w:numId w:val="20"/>
        </w:numPr>
        <w:rPr>
          <w:lang w:val="en-AU"/>
        </w:rPr>
      </w:pPr>
      <w:r w:rsidRPr="004E009C">
        <w:rPr>
          <w:lang w:val="en-AU"/>
        </w:rPr>
        <w:t xml:space="preserve">allocations to buyback volumes — </w:t>
      </w:r>
      <w:r>
        <w:rPr>
          <w:lang w:val="en-AU"/>
        </w:rPr>
        <w:t xml:space="preserve">it is assumed that the annual allocations made to entitlements purchased by Government under the buyback would otherwise have been allocated to and used by irrigators </w:t>
      </w:r>
    </w:p>
    <w:p w14:paraId="06F5B19C" w14:textId="77777777" w:rsidR="00C01A50" w:rsidRPr="004E009C" w:rsidRDefault="00C01A50" w:rsidP="00302BD9">
      <w:pPr>
        <w:pStyle w:val="ListParagraph"/>
        <w:numPr>
          <w:ilvl w:val="0"/>
          <w:numId w:val="20"/>
        </w:numPr>
        <w:rPr>
          <w:lang w:val="en-AU"/>
        </w:rPr>
      </w:pPr>
      <w:r w:rsidRPr="004E009C">
        <w:rPr>
          <w:lang w:val="en-AU"/>
        </w:rPr>
        <w:t xml:space="preserve">an estimated change to net trade — </w:t>
      </w:r>
      <w:r>
        <w:rPr>
          <w:lang w:val="en-AU"/>
        </w:rPr>
        <w:t xml:space="preserve">Because observed water use includes volumes traded in, it needs to be recognised that some of this trade in would not have occurred absent the reductions in allocations associated with the lower level of entitlements held after buyback.  </w:t>
      </w:r>
      <w:r w:rsidRPr="004E009C">
        <w:rPr>
          <w:lang w:val="en-AU"/>
        </w:rPr>
        <w:t xml:space="preserve">Victoria has been a net importer of water allocation in </w:t>
      </w:r>
      <w:r>
        <w:rPr>
          <w:lang w:val="en-AU"/>
        </w:rPr>
        <w:t>most</w:t>
      </w:r>
      <w:r w:rsidRPr="004E009C">
        <w:rPr>
          <w:lang w:val="en-AU"/>
        </w:rPr>
        <w:t xml:space="preserve"> year</w:t>
      </w:r>
      <w:r>
        <w:rPr>
          <w:lang w:val="en-AU"/>
        </w:rPr>
        <w:t>s</w:t>
      </w:r>
      <w:r w:rsidRPr="004E009C">
        <w:rPr>
          <w:lang w:val="en-AU"/>
        </w:rPr>
        <w:t xml:space="preserve"> during the water recovery and part of the reason for this net import may be using trade as a means to adjust to the changes in the consumptive pool. This is consistent with the net trade pattern observed prior to water recovery where Victoria would be a net importer in response to redu</w:t>
      </w:r>
      <w:r w:rsidR="0039100D">
        <w:rPr>
          <w:lang w:val="en-AU"/>
        </w:rPr>
        <w:t>ced water availability (NWC, 2009</w:t>
      </w:r>
      <w:r w:rsidRPr="004E009C">
        <w:rPr>
          <w:lang w:val="en-AU"/>
        </w:rPr>
        <w:t>). Net trade was adjusted by the proportion of the environmental buyback allocation volumes compared to observed water use.</w:t>
      </w:r>
    </w:p>
    <w:p w14:paraId="1AAB58D5" w14:textId="77777777" w:rsidR="00C01A50" w:rsidRDefault="00C01A50" w:rsidP="00AC44FF">
      <w:pPr>
        <w:rPr>
          <w:lang w:val="en-AU"/>
        </w:rPr>
      </w:pPr>
      <w:r w:rsidRPr="00270441">
        <w:rPr>
          <w:lang w:val="en-AU"/>
        </w:rPr>
        <w:t>The sum of</w:t>
      </w:r>
      <w:r>
        <w:rPr>
          <w:lang w:val="en-AU"/>
        </w:rPr>
        <w:t xml:space="preserve"> these three components is the estimated counterfactual water use.</w:t>
      </w:r>
      <w:r w:rsidR="009F6A40">
        <w:rPr>
          <w:lang w:val="en-AU"/>
        </w:rPr>
        <w:t xml:space="preserve">  (Other counterfactual socio-economic issues are considered in Chapter </w:t>
      </w:r>
      <w:r w:rsidR="009F6A40">
        <w:rPr>
          <w:lang w:val="en-AU"/>
        </w:rPr>
        <w:fldChar w:fldCharType="begin"/>
      </w:r>
      <w:r w:rsidR="009F6A40">
        <w:rPr>
          <w:lang w:val="en-AU"/>
        </w:rPr>
        <w:instrText xml:space="preserve"> REF _Ref346123887 \r \h </w:instrText>
      </w:r>
      <w:r w:rsidR="009F6A40">
        <w:rPr>
          <w:lang w:val="en-AU"/>
        </w:rPr>
      </w:r>
      <w:r w:rsidR="009F6A40">
        <w:rPr>
          <w:lang w:val="en-AU"/>
        </w:rPr>
        <w:fldChar w:fldCharType="separate"/>
      </w:r>
      <w:r w:rsidR="008E5D7A">
        <w:rPr>
          <w:lang w:val="en-AU"/>
        </w:rPr>
        <w:t>10</w:t>
      </w:r>
      <w:r w:rsidR="009F6A40">
        <w:rPr>
          <w:lang w:val="en-AU"/>
        </w:rPr>
        <w:fldChar w:fldCharType="end"/>
      </w:r>
      <w:r w:rsidR="009F6A40">
        <w:rPr>
          <w:lang w:val="en-AU"/>
        </w:rPr>
        <w:t xml:space="preserve">.) </w:t>
      </w:r>
      <w:r w:rsidRPr="00B559A5">
        <w:rPr>
          <w:lang w:val="en-AU"/>
        </w:rPr>
        <w:t>Carryover use (i.e. risk management) may have also been different</w:t>
      </w:r>
      <w:r>
        <w:rPr>
          <w:lang w:val="en-AU"/>
        </w:rPr>
        <w:t xml:space="preserve"> as a result of the water recovery program</w:t>
      </w:r>
      <w:r w:rsidRPr="00B559A5">
        <w:rPr>
          <w:lang w:val="en-AU"/>
        </w:rPr>
        <w:t>, although this has not been quantified.</w:t>
      </w:r>
    </w:p>
    <w:p w14:paraId="3A7BAED5" w14:textId="77777777" w:rsidR="00C01A50" w:rsidRDefault="00C01A50" w:rsidP="00AC44FF">
      <w:pPr>
        <w:rPr>
          <w:lang w:val="en-AU"/>
        </w:rPr>
      </w:pPr>
      <w:r>
        <w:rPr>
          <w:lang w:val="en-AU"/>
        </w:rPr>
        <w:fldChar w:fldCharType="begin"/>
      </w:r>
      <w:r>
        <w:rPr>
          <w:lang w:val="en-AU"/>
        </w:rPr>
        <w:instrText xml:space="preserve"> REF _Ref464762132 \h </w:instrText>
      </w:r>
      <w:r>
        <w:rPr>
          <w:lang w:val="en-AU"/>
        </w:rPr>
      </w:r>
      <w:r>
        <w:rPr>
          <w:lang w:val="en-AU"/>
        </w:rPr>
        <w:fldChar w:fldCharType="separate"/>
      </w:r>
      <w:r w:rsidR="008E5D7A" w:rsidRPr="00FB1C9E">
        <w:t xml:space="preserve">Table </w:t>
      </w:r>
      <w:r w:rsidR="008E5D7A">
        <w:rPr>
          <w:noProof/>
        </w:rPr>
        <w:t>5</w:t>
      </w:r>
      <w:r>
        <w:rPr>
          <w:lang w:val="en-AU"/>
        </w:rPr>
        <w:fldChar w:fldCharType="end"/>
      </w:r>
      <w:r>
        <w:rPr>
          <w:lang w:val="en-AU"/>
        </w:rPr>
        <w:t xml:space="preserve"> sets out the elements of this calculation, and a comparison with observed </w:t>
      </w:r>
      <w:r w:rsidR="009F6A40">
        <w:rPr>
          <w:lang w:val="en-AU"/>
        </w:rPr>
        <w:t xml:space="preserve">northern </w:t>
      </w:r>
      <w:r>
        <w:rPr>
          <w:lang w:val="en-AU"/>
        </w:rPr>
        <w:t xml:space="preserve">Victorian irrigation water use is in </w:t>
      </w:r>
      <w:r w:rsidR="00291060">
        <w:rPr>
          <w:lang w:val="en-AU"/>
        </w:rPr>
        <w:fldChar w:fldCharType="begin"/>
      </w:r>
      <w:r w:rsidR="00291060">
        <w:rPr>
          <w:lang w:val="en-AU"/>
        </w:rPr>
        <w:instrText xml:space="preserve"> REF _Ref347049962 \h </w:instrText>
      </w:r>
      <w:r w:rsidR="00291060">
        <w:rPr>
          <w:lang w:val="en-AU"/>
        </w:rPr>
      </w:r>
      <w:r w:rsidR="00291060">
        <w:rPr>
          <w:lang w:val="en-AU"/>
        </w:rPr>
        <w:fldChar w:fldCharType="separate"/>
      </w:r>
      <w:r w:rsidR="008E5D7A">
        <w:t xml:space="preserve">Figure </w:t>
      </w:r>
      <w:r w:rsidR="008E5D7A">
        <w:rPr>
          <w:noProof/>
        </w:rPr>
        <w:t>23</w:t>
      </w:r>
      <w:r w:rsidR="00291060">
        <w:rPr>
          <w:lang w:val="en-AU"/>
        </w:rPr>
        <w:fldChar w:fldCharType="end"/>
      </w:r>
      <w:r w:rsidR="009F6A40">
        <w:rPr>
          <w:lang w:val="en-AU"/>
        </w:rPr>
        <w:t xml:space="preserve"> </w:t>
      </w:r>
      <w:r>
        <w:rPr>
          <w:lang w:val="en-AU"/>
        </w:rPr>
        <w:t>below.</w:t>
      </w:r>
    </w:p>
    <w:p w14:paraId="35EEF7D9" w14:textId="77777777" w:rsidR="00C01A50" w:rsidRDefault="00C01A50">
      <w:pPr>
        <w:spacing w:before="0" w:after="0" w:line="240" w:lineRule="auto"/>
        <w:jc w:val="left"/>
        <w:rPr>
          <w:lang w:val="en-AU"/>
        </w:rPr>
      </w:pPr>
      <w:r>
        <w:rPr>
          <w:lang w:val="en-AU"/>
        </w:rPr>
        <w:br w:type="page"/>
      </w:r>
    </w:p>
    <w:p w14:paraId="2BA70AD6" w14:textId="77777777" w:rsidR="00C01A50" w:rsidRDefault="00C01A50" w:rsidP="00AC44FF">
      <w:pPr>
        <w:rPr>
          <w:lang w:val="en-AU"/>
        </w:rPr>
      </w:pPr>
    </w:p>
    <w:p w14:paraId="425786C3" w14:textId="77777777" w:rsidR="00C01A50" w:rsidRPr="00FB1C9E" w:rsidRDefault="00C01A50" w:rsidP="00CA494D">
      <w:pPr>
        <w:pStyle w:val="Caption"/>
        <w:rPr>
          <w:lang w:val="en-AU"/>
        </w:rPr>
      </w:pPr>
      <w:bookmarkStart w:id="102" w:name="_Ref464762132"/>
      <w:r w:rsidRPr="00FB1C9E">
        <w:t xml:space="preserve">Table </w:t>
      </w:r>
      <w:r w:rsidRPr="00FB1C9E">
        <w:fldChar w:fldCharType="begin"/>
      </w:r>
      <w:r w:rsidRPr="00FB1C9E">
        <w:instrText xml:space="preserve"> SEQ Table \* ARABIC </w:instrText>
      </w:r>
      <w:r w:rsidRPr="00FB1C9E">
        <w:fldChar w:fldCharType="separate"/>
      </w:r>
      <w:r w:rsidR="008E5D7A">
        <w:rPr>
          <w:noProof/>
        </w:rPr>
        <w:t>5</w:t>
      </w:r>
      <w:r w:rsidRPr="00FB1C9E">
        <w:fldChar w:fldCharType="end"/>
      </w:r>
      <w:bookmarkEnd w:id="102"/>
      <w:r w:rsidRPr="00FB1C9E">
        <w:t xml:space="preserve">: </w:t>
      </w:r>
      <w:r>
        <w:rPr>
          <w:lang w:val="en-AU"/>
        </w:rPr>
        <w:t>Observed and counterfactual water use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7"/>
        <w:gridCol w:w="892"/>
        <w:gridCol w:w="892"/>
        <w:gridCol w:w="893"/>
        <w:gridCol w:w="892"/>
        <w:gridCol w:w="892"/>
        <w:gridCol w:w="893"/>
        <w:gridCol w:w="892"/>
        <w:gridCol w:w="892"/>
        <w:gridCol w:w="893"/>
      </w:tblGrid>
      <w:tr w:rsidR="00C01A50" w:rsidRPr="00270441" w14:paraId="69A26103" w14:textId="77777777" w:rsidTr="00877C98">
        <w:tc>
          <w:tcPr>
            <w:tcW w:w="1137" w:type="dxa"/>
            <w:shd w:val="clear" w:color="auto" w:fill="auto"/>
          </w:tcPr>
          <w:p w14:paraId="32D9CA92" w14:textId="77777777" w:rsidR="00C01A50" w:rsidRPr="00270441" w:rsidRDefault="00C01A50" w:rsidP="00202A10">
            <w:pPr>
              <w:rPr>
                <w:rFonts w:ascii="Arial" w:hAnsi="Arial" w:cs="Arial"/>
                <w:color w:val="FF0000"/>
                <w:sz w:val="18"/>
                <w:szCs w:val="18"/>
                <w:lang w:val="en-AU"/>
              </w:rPr>
            </w:pPr>
          </w:p>
        </w:tc>
        <w:tc>
          <w:tcPr>
            <w:tcW w:w="892" w:type="dxa"/>
            <w:shd w:val="clear" w:color="auto" w:fill="auto"/>
          </w:tcPr>
          <w:p w14:paraId="683D13CF" w14:textId="77777777" w:rsidR="00C01A50" w:rsidRPr="00270441" w:rsidRDefault="00C01A50" w:rsidP="00202A10">
            <w:pPr>
              <w:jc w:val="right"/>
              <w:rPr>
                <w:rFonts w:ascii="Arial" w:hAnsi="Arial" w:cs="Arial"/>
                <w:sz w:val="18"/>
                <w:szCs w:val="18"/>
              </w:rPr>
            </w:pPr>
            <w:r w:rsidRPr="00270441">
              <w:rPr>
                <w:rFonts w:ascii="Arial" w:hAnsi="Arial" w:cs="Arial"/>
                <w:sz w:val="18"/>
                <w:szCs w:val="18"/>
              </w:rPr>
              <w:t>2004</w:t>
            </w:r>
            <w:r w:rsidR="005A3ABF">
              <w:rPr>
                <w:rFonts w:ascii="Arial" w:hAnsi="Arial" w:cs="Arial"/>
                <w:sz w:val="18"/>
                <w:szCs w:val="18"/>
              </w:rPr>
              <w:t>/</w:t>
            </w:r>
            <w:r w:rsidRPr="00270441">
              <w:rPr>
                <w:rFonts w:ascii="Arial" w:hAnsi="Arial" w:cs="Arial"/>
                <w:sz w:val="18"/>
                <w:szCs w:val="18"/>
              </w:rPr>
              <w:t>05</w:t>
            </w:r>
          </w:p>
        </w:tc>
        <w:tc>
          <w:tcPr>
            <w:tcW w:w="892" w:type="dxa"/>
            <w:shd w:val="clear" w:color="auto" w:fill="auto"/>
          </w:tcPr>
          <w:p w14:paraId="0A2DE510" w14:textId="77777777" w:rsidR="00C01A50" w:rsidRPr="00270441" w:rsidRDefault="00C01A50" w:rsidP="00202A10">
            <w:pPr>
              <w:jc w:val="right"/>
              <w:rPr>
                <w:rFonts w:ascii="Arial" w:hAnsi="Arial" w:cs="Arial"/>
                <w:sz w:val="18"/>
                <w:szCs w:val="18"/>
              </w:rPr>
            </w:pPr>
            <w:r w:rsidRPr="00270441">
              <w:rPr>
                <w:rFonts w:ascii="Arial" w:hAnsi="Arial" w:cs="Arial"/>
                <w:sz w:val="18"/>
                <w:szCs w:val="18"/>
              </w:rPr>
              <w:t>2008</w:t>
            </w:r>
            <w:r w:rsidR="005A3ABF">
              <w:rPr>
                <w:rFonts w:ascii="Arial" w:hAnsi="Arial" w:cs="Arial"/>
                <w:sz w:val="18"/>
                <w:szCs w:val="18"/>
              </w:rPr>
              <w:t>/</w:t>
            </w:r>
            <w:r w:rsidRPr="00270441">
              <w:rPr>
                <w:rFonts w:ascii="Arial" w:hAnsi="Arial" w:cs="Arial"/>
                <w:sz w:val="18"/>
                <w:szCs w:val="18"/>
              </w:rPr>
              <w:t>09</w:t>
            </w:r>
          </w:p>
        </w:tc>
        <w:tc>
          <w:tcPr>
            <w:tcW w:w="893" w:type="dxa"/>
            <w:shd w:val="clear" w:color="auto" w:fill="auto"/>
          </w:tcPr>
          <w:p w14:paraId="1DB949C4" w14:textId="77777777" w:rsidR="00C01A50" w:rsidRPr="00270441" w:rsidRDefault="00C01A50" w:rsidP="00202A10">
            <w:pPr>
              <w:jc w:val="right"/>
              <w:rPr>
                <w:rFonts w:ascii="Arial" w:hAnsi="Arial" w:cs="Arial"/>
                <w:sz w:val="18"/>
                <w:szCs w:val="18"/>
              </w:rPr>
            </w:pPr>
            <w:r w:rsidRPr="00270441">
              <w:rPr>
                <w:rFonts w:ascii="Arial" w:hAnsi="Arial" w:cs="Arial"/>
                <w:sz w:val="18"/>
                <w:szCs w:val="18"/>
              </w:rPr>
              <w:t>2009</w:t>
            </w:r>
            <w:r w:rsidR="005A3ABF">
              <w:rPr>
                <w:rFonts w:ascii="Arial" w:hAnsi="Arial" w:cs="Arial"/>
                <w:sz w:val="18"/>
                <w:szCs w:val="18"/>
              </w:rPr>
              <w:t>/</w:t>
            </w:r>
            <w:r w:rsidRPr="00270441">
              <w:rPr>
                <w:rFonts w:ascii="Arial" w:hAnsi="Arial" w:cs="Arial"/>
                <w:sz w:val="18"/>
                <w:szCs w:val="18"/>
              </w:rPr>
              <w:t>10</w:t>
            </w:r>
          </w:p>
        </w:tc>
        <w:tc>
          <w:tcPr>
            <w:tcW w:w="892" w:type="dxa"/>
            <w:shd w:val="clear" w:color="auto" w:fill="auto"/>
          </w:tcPr>
          <w:p w14:paraId="684FAB75" w14:textId="77777777" w:rsidR="00C01A50" w:rsidRPr="00270441" w:rsidRDefault="00C01A50" w:rsidP="00202A10">
            <w:pPr>
              <w:jc w:val="right"/>
              <w:rPr>
                <w:rFonts w:ascii="Arial" w:hAnsi="Arial" w:cs="Arial"/>
                <w:sz w:val="18"/>
                <w:szCs w:val="18"/>
              </w:rPr>
            </w:pPr>
            <w:r w:rsidRPr="00270441">
              <w:rPr>
                <w:rFonts w:ascii="Arial" w:hAnsi="Arial" w:cs="Arial"/>
                <w:sz w:val="18"/>
                <w:szCs w:val="18"/>
              </w:rPr>
              <w:t>2010</w:t>
            </w:r>
            <w:r w:rsidR="005A3ABF">
              <w:rPr>
                <w:rFonts w:ascii="Arial" w:hAnsi="Arial" w:cs="Arial"/>
                <w:sz w:val="18"/>
                <w:szCs w:val="18"/>
              </w:rPr>
              <w:t>/</w:t>
            </w:r>
            <w:r w:rsidRPr="00270441">
              <w:rPr>
                <w:rFonts w:ascii="Arial" w:hAnsi="Arial" w:cs="Arial"/>
                <w:sz w:val="18"/>
                <w:szCs w:val="18"/>
              </w:rPr>
              <w:t>11</w:t>
            </w:r>
          </w:p>
        </w:tc>
        <w:tc>
          <w:tcPr>
            <w:tcW w:w="892" w:type="dxa"/>
            <w:shd w:val="clear" w:color="auto" w:fill="auto"/>
          </w:tcPr>
          <w:p w14:paraId="53719DBD" w14:textId="77777777" w:rsidR="00C01A50" w:rsidRPr="00270441" w:rsidRDefault="00C01A50" w:rsidP="00202A10">
            <w:pPr>
              <w:jc w:val="right"/>
              <w:rPr>
                <w:rFonts w:ascii="Arial" w:hAnsi="Arial" w:cs="Arial"/>
                <w:sz w:val="18"/>
                <w:szCs w:val="18"/>
              </w:rPr>
            </w:pPr>
            <w:r w:rsidRPr="00270441">
              <w:rPr>
                <w:rFonts w:ascii="Arial" w:hAnsi="Arial" w:cs="Arial"/>
                <w:sz w:val="18"/>
                <w:szCs w:val="18"/>
              </w:rPr>
              <w:t>2011</w:t>
            </w:r>
            <w:r w:rsidR="005A3ABF">
              <w:rPr>
                <w:rFonts w:ascii="Arial" w:hAnsi="Arial" w:cs="Arial"/>
                <w:sz w:val="18"/>
                <w:szCs w:val="18"/>
              </w:rPr>
              <w:t>/</w:t>
            </w:r>
            <w:r w:rsidRPr="00270441">
              <w:rPr>
                <w:rFonts w:ascii="Arial" w:hAnsi="Arial" w:cs="Arial"/>
                <w:sz w:val="18"/>
                <w:szCs w:val="18"/>
              </w:rPr>
              <w:t>12</w:t>
            </w:r>
          </w:p>
        </w:tc>
        <w:tc>
          <w:tcPr>
            <w:tcW w:w="893" w:type="dxa"/>
            <w:shd w:val="clear" w:color="auto" w:fill="auto"/>
          </w:tcPr>
          <w:p w14:paraId="48BD4DA0" w14:textId="77777777" w:rsidR="00C01A50" w:rsidRPr="00270441" w:rsidRDefault="00C01A50" w:rsidP="00202A10">
            <w:pPr>
              <w:jc w:val="right"/>
              <w:rPr>
                <w:rFonts w:ascii="Arial" w:hAnsi="Arial" w:cs="Arial"/>
                <w:sz w:val="18"/>
                <w:szCs w:val="18"/>
              </w:rPr>
            </w:pPr>
            <w:r w:rsidRPr="00270441">
              <w:rPr>
                <w:rFonts w:ascii="Arial" w:hAnsi="Arial" w:cs="Arial"/>
                <w:sz w:val="18"/>
                <w:szCs w:val="18"/>
              </w:rPr>
              <w:t>2012</w:t>
            </w:r>
            <w:r w:rsidR="005A3ABF">
              <w:rPr>
                <w:rFonts w:ascii="Arial" w:hAnsi="Arial" w:cs="Arial"/>
                <w:sz w:val="18"/>
                <w:szCs w:val="18"/>
              </w:rPr>
              <w:t>/</w:t>
            </w:r>
            <w:r w:rsidRPr="00270441">
              <w:rPr>
                <w:rFonts w:ascii="Arial" w:hAnsi="Arial" w:cs="Arial"/>
                <w:sz w:val="18"/>
                <w:szCs w:val="18"/>
              </w:rPr>
              <w:t>13</w:t>
            </w:r>
          </w:p>
        </w:tc>
        <w:tc>
          <w:tcPr>
            <w:tcW w:w="892" w:type="dxa"/>
            <w:shd w:val="clear" w:color="auto" w:fill="auto"/>
          </w:tcPr>
          <w:p w14:paraId="2157D788" w14:textId="77777777" w:rsidR="00C01A50" w:rsidRPr="00270441" w:rsidRDefault="00C01A50" w:rsidP="00202A10">
            <w:pPr>
              <w:jc w:val="right"/>
              <w:rPr>
                <w:rFonts w:ascii="Arial" w:hAnsi="Arial" w:cs="Arial"/>
                <w:sz w:val="18"/>
                <w:szCs w:val="18"/>
              </w:rPr>
            </w:pPr>
            <w:r w:rsidRPr="00270441">
              <w:rPr>
                <w:rFonts w:ascii="Arial" w:hAnsi="Arial" w:cs="Arial"/>
                <w:sz w:val="18"/>
                <w:szCs w:val="18"/>
              </w:rPr>
              <w:t>2013</w:t>
            </w:r>
            <w:r w:rsidR="005A3ABF">
              <w:rPr>
                <w:rFonts w:ascii="Arial" w:hAnsi="Arial" w:cs="Arial"/>
                <w:sz w:val="18"/>
                <w:szCs w:val="18"/>
              </w:rPr>
              <w:t>/</w:t>
            </w:r>
            <w:r w:rsidRPr="00270441">
              <w:rPr>
                <w:rFonts w:ascii="Arial" w:hAnsi="Arial" w:cs="Arial"/>
                <w:sz w:val="18"/>
                <w:szCs w:val="18"/>
              </w:rPr>
              <w:t>14</w:t>
            </w:r>
          </w:p>
        </w:tc>
        <w:tc>
          <w:tcPr>
            <w:tcW w:w="892" w:type="dxa"/>
            <w:shd w:val="clear" w:color="auto" w:fill="auto"/>
          </w:tcPr>
          <w:p w14:paraId="41F43F2B" w14:textId="77777777" w:rsidR="00C01A50" w:rsidRPr="00270441" w:rsidRDefault="00C01A50" w:rsidP="00202A10">
            <w:pPr>
              <w:jc w:val="right"/>
              <w:rPr>
                <w:rFonts w:ascii="Arial" w:hAnsi="Arial" w:cs="Arial"/>
                <w:sz w:val="18"/>
                <w:szCs w:val="18"/>
              </w:rPr>
            </w:pPr>
            <w:r w:rsidRPr="00270441">
              <w:rPr>
                <w:rFonts w:ascii="Arial" w:hAnsi="Arial" w:cs="Arial"/>
                <w:sz w:val="18"/>
                <w:szCs w:val="18"/>
              </w:rPr>
              <w:t>2014</w:t>
            </w:r>
            <w:r w:rsidR="005A3ABF">
              <w:rPr>
                <w:rFonts w:ascii="Arial" w:hAnsi="Arial" w:cs="Arial"/>
                <w:sz w:val="18"/>
                <w:szCs w:val="18"/>
              </w:rPr>
              <w:t>/</w:t>
            </w:r>
            <w:r w:rsidRPr="00270441">
              <w:rPr>
                <w:rFonts w:ascii="Arial" w:hAnsi="Arial" w:cs="Arial"/>
                <w:sz w:val="18"/>
                <w:szCs w:val="18"/>
              </w:rPr>
              <w:t>15</w:t>
            </w:r>
          </w:p>
        </w:tc>
        <w:tc>
          <w:tcPr>
            <w:tcW w:w="893" w:type="dxa"/>
            <w:shd w:val="clear" w:color="auto" w:fill="auto"/>
          </w:tcPr>
          <w:p w14:paraId="52282864" w14:textId="77777777" w:rsidR="00C01A50" w:rsidRPr="00270441" w:rsidRDefault="00C01A50" w:rsidP="00202A10">
            <w:pPr>
              <w:jc w:val="right"/>
              <w:rPr>
                <w:rFonts w:ascii="Arial" w:hAnsi="Arial" w:cs="Arial"/>
                <w:sz w:val="18"/>
                <w:szCs w:val="18"/>
              </w:rPr>
            </w:pPr>
            <w:r w:rsidRPr="00270441">
              <w:rPr>
                <w:rFonts w:ascii="Arial" w:hAnsi="Arial" w:cs="Arial"/>
                <w:sz w:val="18"/>
                <w:szCs w:val="18"/>
              </w:rPr>
              <w:t>2015</w:t>
            </w:r>
            <w:r w:rsidR="005A3ABF">
              <w:rPr>
                <w:rFonts w:ascii="Arial" w:hAnsi="Arial" w:cs="Arial"/>
                <w:sz w:val="18"/>
                <w:szCs w:val="18"/>
              </w:rPr>
              <w:t>/</w:t>
            </w:r>
            <w:r w:rsidRPr="00270441">
              <w:rPr>
                <w:rFonts w:ascii="Arial" w:hAnsi="Arial" w:cs="Arial"/>
                <w:sz w:val="18"/>
                <w:szCs w:val="18"/>
              </w:rPr>
              <w:t>16</w:t>
            </w:r>
          </w:p>
        </w:tc>
      </w:tr>
      <w:tr w:rsidR="00C01A50" w:rsidRPr="00270441" w14:paraId="0FD682A0" w14:textId="77777777" w:rsidTr="00877C98">
        <w:tc>
          <w:tcPr>
            <w:tcW w:w="1137" w:type="dxa"/>
            <w:shd w:val="clear" w:color="auto" w:fill="auto"/>
          </w:tcPr>
          <w:p w14:paraId="1570A462" w14:textId="77777777" w:rsidR="00C01A50" w:rsidRPr="00482E1C" w:rsidRDefault="00C01A50" w:rsidP="00482E1C">
            <w:pPr>
              <w:jc w:val="left"/>
              <w:rPr>
                <w:rFonts w:ascii="Arial" w:hAnsi="Arial" w:cs="Arial"/>
                <w:b/>
                <w:sz w:val="18"/>
                <w:szCs w:val="18"/>
                <w:lang w:val="en-AU"/>
              </w:rPr>
            </w:pPr>
            <w:r w:rsidRPr="00482E1C">
              <w:rPr>
                <w:rFonts w:ascii="Arial" w:hAnsi="Arial" w:cs="Arial"/>
                <w:b/>
                <w:sz w:val="18"/>
                <w:szCs w:val="18"/>
                <w:lang w:val="en-AU"/>
              </w:rPr>
              <w:t>Observed water use (GL)</w:t>
            </w:r>
          </w:p>
        </w:tc>
        <w:tc>
          <w:tcPr>
            <w:tcW w:w="892" w:type="dxa"/>
            <w:shd w:val="clear" w:color="auto" w:fill="auto"/>
          </w:tcPr>
          <w:p w14:paraId="1D5EF37C" w14:textId="77777777" w:rsidR="00C01A50" w:rsidRPr="00482E1C" w:rsidRDefault="00C01A50" w:rsidP="00CA494D">
            <w:pPr>
              <w:jc w:val="right"/>
              <w:rPr>
                <w:rFonts w:ascii="Arial" w:hAnsi="Arial" w:cs="Arial"/>
                <w:b/>
                <w:sz w:val="18"/>
                <w:szCs w:val="18"/>
              </w:rPr>
            </w:pPr>
            <w:r w:rsidRPr="00482E1C">
              <w:rPr>
                <w:rFonts w:ascii="Arial" w:hAnsi="Arial" w:cs="Arial"/>
                <w:b/>
                <w:sz w:val="18"/>
                <w:szCs w:val="18"/>
              </w:rPr>
              <w:t>2,150</w:t>
            </w:r>
          </w:p>
        </w:tc>
        <w:tc>
          <w:tcPr>
            <w:tcW w:w="892" w:type="dxa"/>
            <w:shd w:val="clear" w:color="auto" w:fill="auto"/>
          </w:tcPr>
          <w:p w14:paraId="5EAF9225" w14:textId="77777777" w:rsidR="00C01A50" w:rsidRPr="00482E1C" w:rsidRDefault="00C01A50" w:rsidP="00CA494D">
            <w:pPr>
              <w:jc w:val="right"/>
              <w:rPr>
                <w:rFonts w:ascii="Arial" w:hAnsi="Arial" w:cs="Arial"/>
                <w:b/>
                <w:sz w:val="18"/>
                <w:szCs w:val="18"/>
              </w:rPr>
            </w:pPr>
            <w:r w:rsidRPr="00482E1C">
              <w:rPr>
                <w:rFonts w:ascii="Arial" w:hAnsi="Arial" w:cs="Arial"/>
                <w:b/>
                <w:sz w:val="18"/>
                <w:szCs w:val="18"/>
              </w:rPr>
              <w:t>924</w:t>
            </w:r>
          </w:p>
        </w:tc>
        <w:tc>
          <w:tcPr>
            <w:tcW w:w="893" w:type="dxa"/>
            <w:shd w:val="clear" w:color="auto" w:fill="auto"/>
          </w:tcPr>
          <w:p w14:paraId="108674D4" w14:textId="77777777" w:rsidR="00C01A50" w:rsidRPr="00482E1C" w:rsidRDefault="00C01A50" w:rsidP="00CA494D">
            <w:pPr>
              <w:jc w:val="right"/>
              <w:rPr>
                <w:rFonts w:ascii="Arial" w:hAnsi="Arial" w:cs="Arial"/>
                <w:b/>
                <w:sz w:val="18"/>
                <w:szCs w:val="18"/>
              </w:rPr>
            </w:pPr>
            <w:r w:rsidRPr="00482E1C">
              <w:rPr>
                <w:rFonts w:ascii="Arial" w:hAnsi="Arial" w:cs="Arial"/>
                <w:b/>
                <w:sz w:val="18"/>
                <w:szCs w:val="18"/>
              </w:rPr>
              <w:t>1,135</w:t>
            </w:r>
          </w:p>
        </w:tc>
        <w:tc>
          <w:tcPr>
            <w:tcW w:w="892" w:type="dxa"/>
            <w:shd w:val="clear" w:color="auto" w:fill="auto"/>
          </w:tcPr>
          <w:p w14:paraId="113CA543" w14:textId="77777777" w:rsidR="00C01A50" w:rsidRPr="00482E1C" w:rsidRDefault="00C01A50" w:rsidP="00CA494D">
            <w:pPr>
              <w:jc w:val="right"/>
              <w:rPr>
                <w:rFonts w:ascii="Arial" w:hAnsi="Arial" w:cs="Arial"/>
                <w:b/>
                <w:sz w:val="18"/>
                <w:szCs w:val="18"/>
              </w:rPr>
            </w:pPr>
            <w:r w:rsidRPr="00482E1C">
              <w:rPr>
                <w:rFonts w:ascii="Arial" w:hAnsi="Arial" w:cs="Arial"/>
                <w:b/>
                <w:sz w:val="18"/>
                <w:szCs w:val="18"/>
              </w:rPr>
              <w:t>751</w:t>
            </w:r>
          </w:p>
        </w:tc>
        <w:tc>
          <w:tcPr>
            <w:tcW w:w="892" w:type="dxa"/>
            <w:shd w:val="clear" w:color="auto" w:fill="auto"/>
          </w:tcPr>
          <w:p w14:paraId="5E9CB050" w14:textId="77777777" w:rsidR="00C01A50" w:rsidRPr="00482E1C" w:rsidRDefault="00C01A50" w:rsidP="00CA494D">
            <w:pPr>
              <w:jc w:val="right"/>
              <w:rPr>
                <w:rFonts w:ascii="Arial" w:hAnsi="Arial" w:cs="Arial"/>
                <w:b/>
                <w:sz w:val="18"/>
                <w:szCs w:val="18"/>
              </w:rPr>
            </w:pPr>
            <w:r w:rsidRPr="00482E1C">
              <w:rPr>
                <w:rFonts w:ascii="Arial" w:hAnsi="Arial" w:cs="Arial"/>
                <w:b/>
                <w:sz w:val="18"/>
                <w:szCs w:val="18"/>
              </w:rPr>
              <w:t>1,731</w:t>
            </w:r>
          </w:p>
        </w:tc>
        <w:tc>
          <w:tcPr>
            <w:tcW w:w="893" w:type="dxa"/>
            <w:shd w:val="clear" w:color="auto" w:fill="auto"/>
          </w:tcPr>
          <w:p w14:paraId="3C24D703" w14:textId="77777777" w:rsidR="00C01A50" w:rsidRPr="00482E1C" w:rsidRDefault="00C01A50" w:rsidP="00CA494D">
            <w:pPr>
              <w:jc w:val="right"/>
              <w:rPr>
                <w:rFonts w:ascii="Arial" w:hAnsi="Arial" w:cs="Arial"/>
                <w:b/>
                <w:sz w:val="18"/>
                <w:szCs w:val="18"/>
              </w:rPr>
            </w:pPr>
            <w:r w:rsidRPr="00482E1C">
              <w:rPr>
                <w:rFonts w:ascii="Arial" w:hAnsi="Arial" w:cs="Arial"/>
                <w:b/>
                <w:sz w:val="18"/>
                <w:szCs w:val="18"/>
              </w:rPr>
              <w:t>2,402</w:t>
            </w:r>
          </w:p>
        </w:tc>
        <w:tc>
          <w:tcPr>
            <w:tcW w:w="892" w:type="dxa"/>
            <w:shd w:val="clear" w:color="auto" w:fill="auto"/>
          </w:tcPr>
          <w:p w14:paraId="6C5961C8" w14:textId="77777777" w:rsidR="00C01A50" w:rsidRPr="00482E1C" w:rsidRDefault="00C01A50" w:rsidP="00CA494D">
            <w:pPr>
              <w:jc w:val="right"/>
              <w:rPr>
                <w:rFonts w:ascii="Arial" w:hAnsi="Arial" w:cs="Arial"/>
                <w:b/>
                <w:sz w:val="18"/>
                <w:szCs w:val="18"/>
              </w:rPr>
            </w:pPr>
            <w:r w:rsidRPr="00482E1C">
              <w:rPr>
                <w:rFonts w:ascii="Arial" w:hAnsi="Arial" w:cs="Arial"/>
                <w:b/>
                <w:sz w:val="18"/>
                <w:szCs w:val="18"/>
              </w:rPr>
              <w:t>1,857</w:t>
            </w:r>
          </w:p>
        </w:tc>
        <w:tc>
          <w:tcPr>
            <w:tcW w:w="892" w:type="dxa"/>
            <w:shd w:val="clear" w:color="auto" w:fill="auto"/>
          </w:tcPr>
          <w:p w14:paraId="3C0931BD" w14:textId="77777777" w:rsidR="00C01A50" w:rsidRPr="00482E1C" w:rsidRDefault="00C01A50" w:rsidP="00CA494D">
            <w:pPr>
              <w:jc w:val="right"/>
              <w:rPr>
                <w:rFonts w:ascii="Arial" w:hAnsi="Arial" w:cs="Arial"/>
                <w:b/>
                <w:sz w:val="18"/>
                <w:szCs w:val="18"/>
              </w:rPr>
            </w:pPr>
            <w:r w:rsidRPr="00482E1C">
              <w:rPr>
                <w:rFonts w:ascii="Arial" w:hAnsi="Arial" w:cs="Arial"/>
                <w:b/>
                <w:sz w:val="18"/>
                <w:szCs w:val="18"/>
              </w:rPr>
              <w:t>2,033</w:t>
            </w:r>
          </w:p>
        </w:tc>
        <w:tc>
          <w:tcPr>
            <w:tcW w:w="893" w:type="dxa"/>
            <w:shd w:val="clear" w:color="auto" w:fill="auto"/>
          </w:tcPr>
          <w:p w14:paraId="47C5F1B5" w14:textId="77777777" w:rsidR="00C01A50" w:rsidRPr="00482E1C" w:rsidRDefault="00C01A50" w:rsidP="00CA494D">
            <w:pPr>
              <w:jc w:val="right"/>
              <w:rPr>
                <w:rFonts w:ascii="Arial" w:hAnsi="Arial" w:cs="Arial"/>
                <w:b/>
                <w:sz w:val="18"/>
                <w:szCs w:val="18"/>
              </w:rPr>
            </w:pPr>
            <w:r w:rsidRPr="00482E1C">
              <w:rPr>
                <w:rFonts w:ascii="Arial" w:hAnsi="Arial" w:cs="Arial"/>
                <w:b/>
                <w:sz w:val="18"/>
                <w:szCs w:val="18"/>
              </w:rPr>
              <w:t>1,762</w:t>
            </w:r>
          </w:p>
        </w:tc>
      </w:tr>
      <w:tr w:rsidR="00C01A50" w:rsidRPr="00270441" w14:paraId="156DCD70" w14:textId="77777777" w:rsidTr="00877C98">
        <w:tc>
          <w:tcPr>
            <w:tcW w:w="1137" w:type="dxa"/>
            <w:shd w:val="clear" w:color="auto" w:fill="auto"/>
          </w:tcPr>
          <w:p w14:paraId="335DEDBF" w14:textId="77777777" w:rsidR="00C01A50" w:rsidRPr="00270441" w:rsidRDefault="00C01A50" w:rsidP="00482E1C">
            <w:pPr>
              <w:jc w:val="left"/>
              <w:rPr>
                <w:rFonts w:ascii="Arial" w:hAnsi="Arial" w:cs="Arial"/>
                <w:sz w:val="18"/>
                <w:szCs w:val="18"/>
                <w:lang w:val="en-AU"/>
              </w:rPr>
            </w:pPr>
            <w:r w:rsidRPr="00270441">
              <w:rPr>
                <w:rFonts w:ascii="Arial" w:hAnsi="Arial" w:cs="Arial"/>
                <w:sz w:val="18"/>
                <w:szCs w:val="18"/>
                <w:lang w:val="en-AU"/>
              </w:rPr>
              <w:t>Allocation to buyback (GL)</w:t>
            </w:r>
          </w:p>
        </w:tc>
        <w:tc>
          <w:tcPr>
            <w:tcW w:w="892" w:type="dxa"/>
            <w:shd w:val="clear" w:color="auto" w:fill="auto"/>
          </w:tcPr>
          <w:p w14:paraId="35768603" w14:textId="77777777" w:rsidR="00C01A50" w:rsidRPr="00270441" w:rsidRDefault="00C01A50" w:rsidP="00CA494D">
            <w:pPr>
              <w:jc w:val="right"/>
              <w:rPr>
                <w:rFonts w:ascii="Arial" w:hAnsi="Arial" w:cs="Arial"/>
                <w:sz w:val="18"/>
                <w:szCs w:val="18"/>
              </w:rPr>
            </w:pPr>
            <w:r w:rsidRPr="00270441">
              <w:rPr>
                <w:rFonts w:ascii="Arial" w:hAnsi="Arial" w:cs="Arial"/>
                <w:sz w:val="18"/>
                <w:szCs w:val="18"/>
              </w:rPr>
              <w:t>0</w:t>
            </w:r>
          </w:p>
        </w:tc>
        <w:tc>
          <w:tcPr>
            <w:tcW w:w="892" w:type="dxa"/>
            <w:shd w:val="clear" w:color="auto" w:fill="auto"/>
          </w:tcPr>
          <w:p w14:paraId="1F0001D3" w14:textId="77777777" w:rsidR="00C01A50" w:rsidRPr="00270441" w:rsidRDefault="00C01A50" w:rsidP="00CA494D">
            <w:pPr>
              <w:jc w:val="right"/>
              <w:rPr>
                <w:rFonts w:ascii="Arial" w:hAnsi="Arial" w:cs="Arial"/>
                <w:sz w:val="18"/>
                <w:szCs w:val="18"/>
              </w:rPr>
            </w:pPr>
            <w:r w:rsidRPr="00270441">
              <w:rPr>
                <w:rFonts w:ascii="Arial" w:hAnsi="Arial" w:cs="Arial"/>
                <w:sz w:val="18"/>
                <w:szCs w:val="18"/>
              </w:rPr>
              <w:t>2</w:t>
            </w:r>
          </w:p>
        </w:tc>
        <w:tc>
          <w:tcPr>
            <w:tcW w:w="893" w:type="dxa"/>
            <w:shd w:val="clear" w:color="auto" w:fill="auto"/>
          </w:tcPr>
          <w:p w14:paraId="5E52C23C" w14:textId="77777777" w:rsidR="00C01A50" w:rsidRPr="00270441" w:rsidRDefault="00C01A50" w:rsidP="00CA494D">
            <w:pPr>
              <w:jc w:val="right"/>
              <w:rPr>
                <w:rFonts w:ascii="Arial" w:hAnsi="Arial" w:cs="Arial"/>
                <w:sz w:val="18"/>
                <w:szCs w:val="18"/>
              </w:rPr>
            </w:pPr>
            <w:r w:rsidRPr="00270441">
              <w:rPr>
                <w:rFonts w:ascii="Arial" w:hAnsi="Arial" w:cs="Arial"/>
                <w:sz w:val="18"/>
                <w:szCs w:val="18"/>
              </w:rPr>
              <w:t>80</w:t>
            </w:r>
          </w:p>
        </w:tc>
        <w:tc>
          <w:tcPr>
            <w:tcW w:w="892" w:type="dxa"/>
            <w:shd w:val="clear" w:color="auto" w:fill="auto"/>
          </w:tcPr>
          <w:p w14:paraId="27F255AF" w14:textId="77777777" w:rsidR="00C01A50" w:rsidRPr="00270441" w:rsidRDefault="00C01A50" w:rsidP="00CA494D">
            <w:pPr>
              <w:jc w:val="right"/>
              <w:rPr>
                <w:rFonts w:ascii="Arial" w:hAnsi="Arial" w:cs="Arial"/>
                <w:sz w:val="18"/>
                <w:szCs w:val="18"/>
              </w:rPr>
            </w:pPr>
            <w:r w:rsidRPr="00270441">
              <w:rPr>
                <w:rFonts w:ascii="Arial" w:hAnsi="Arial" w:cs="Arial"/>
                <w:sz w:val="18"/>
                <w:szCs w:val="18"/>
              </w:rPr>
              <w:t>219</w:t>
            </w:r>
          </w:p>
        </w:tc>
        <w:tc>
          <w:tcPr>
            <w:tcW w:w="892" w:type="dxa"/>
            <w:shd w:val="clear" w:color="auto" w:fill="auto"/>
          </w:tcPr>
          <w:p w14:paraId="16CDE4E8" w14:textId="77777777" w:rsidR="00C01A50" w:rsidRPr="00270441" w:rsidRDefault="00C01A50" w:rsidP="00CA494D">
            <w:pPr>
              <w:jc w:val="right"/>
              <w:rPr>
                <w:rFonts w:ascii="Arial" w:hAnsi="Arial" w:cs="Arial"/>
                <w:sz w:val="18"/>
                <w:szCs w:val="18"/>
              </w:rPr>
            </w:pPr>
            <w:r w:rsidRPr="00270441">
              <w:rPr>
                <w:rFonts w:ascii="Arial" w:hAnsi="Arial" w:cs="Arial"/>
                <w:sz w:val="18"/>
                <w:szCs w:val="18"/>
              </w:rPr>
              <w:t>340</w:t>
            </w:r>
          </w:p>
        </w:tc>
        <w:tc>
          <w:tcPr>
            <w:tcW w:w="893" w:type="dxa"/>
            <w:shd w:val="clear" w:color="auto" w:fill="auto"/>
          </w:tcPr>
          <w:p w14:paraId="73D352F3" w14:textId="77777777" w:rsidR="00C01A50" w:rsidRPr="00270441" w:rsidRDefault="00C01A50" w:rsidP="00CA494D">
            <w:pPr>
              <w:jc w:val="right"/>
              <w:rPr>
                <w:rFonts w:ascii="Arial" w:hAnsi="Arial" w:cs="Arial"/>
                <w:sz w:val="18"/>
                <w:szCs w:val="18"/>
              </w:rPr>
            </w:pPr>
            <w:r w:rsidRPr="00270441">
              <w:rPr>
                <w:rFonts w:ascii="Arial" w:hAnsi="Arial" w:cs="Arial"/>
                <w:sz w:val="18"/>
                <w:szCs w:val="18"/>
              </w:rPr>
              <w:t>516</w:t>
            </w:r>
          </w:p>
        </w:tc>
        <w:tc>
          <w:tcPr>
            <w:tcW w:w="892" w:type="dxa"/>
            <w:shd w:val="clear" w:color="auto" w:fill="auto"/>
          </w:tcPr>
          <w:p w14:paraId="0D2216BD" w14:textId="77777777" w:rsidR="00C01A50" w:rsidRPr="00270441" w:rsidRDefault="00C01A50" w:rsidP="00CA494D">
            <w:pPr>
              <w:jc w:val="right"/>
              <w:rPr>
                <w:rFonts w:ascii="Arial" w:hAnsi="Arial" w:cs="Arial"/>
                <w:sz w:val="18"/>
                <w:szCs w:val="18"/>
              </w:rPr>
            </w:pPr>
            <w:r w:rsidRPr="00270441">
              <w:rPr>
                <w:rFonts w:ascii="Arial" w:hAnsi="Arial" w:cs="Arial"/>
                <w:sz w:val="18"/>
                <w:szCs w:val="18"/>
              </w:rPr>
              <w:t>517</w:t>
            </w:r>
          </w:p>
        </w:tc>
        <w:tc>
          <w:tcPr>
            <w:tcW w:w="892" w:type="dxa"/>
            <w:shd w:val="clear" w:color="auto" w:fill="auto"/>
          </w:tcPr>
          <w:p w14:paraId="6FCEF7D8" w14:textId="77777777" w:rsidR="00C01A50" w:rsidRPr="00270441" w:rsidRDefault="00C01A50" w:rsidP="00CA494D">
            <w:pPr>
              <w:jc w:val="right"/>
              <w:rPr>
                <w:rFonts w:ascii="Arial" w:hAnsi="Arial" w:cs="Arial"/>
                <w:sz w:val="18"/>
                <w:szCs w:val="18"/>
              </w:rPr>
            </w:pPr>
            <w:r w:rsidRPr="00270441">
              <w:rPr>
                <w:rFonts w:ascii="Arial" w:hAnsi="Arial" w:cs="Arial"/>
                <w:sz w:val="18"/>
                <w:szCs w:val="18"/>
              </w:rPr>
              <w:t>518</w:t>
            </w:r>
          </w:p>
        </w:tc>
        <w:tc>
          <w:tcPr>
            <w:tcW w:w="893" w:type="dxa"/>
            <w:shd w:val="clear" w:color="auto" w:fill="auto"/>
          </w:tcPr>
          <w:p w14:paraId="72071998" w14:textId="77777777" w:rsidR="00C01A50" w:rsidRPr="00CA494D" w:rsidRDefault="00C01A50" w:rsidP="00CA494D">
            <w:pPr>
              <w:jc w:val="right"/>
              <w:rPr>
                <w:rFonts w:ascii="Arial" w:hAnsi="Arial" w:cs="Arial"/>
                <w:sz w:val="18"/>
                <w:szCs w:val="18"/>
              </w:rPr>
            </w:pPr>
            <w:r w:rsidRPr="00CA494D">
              <w:rPr>
                <w:rFonts w:ascii="Arial" w:hAnsi="Arial" w:cs="Arial"/>
                <w:sz w:val="18"/>
                <w:szCs w:val="18"/>
              </w:rPr>
              <w:t xml:space="preserve"> 492 </w:t>
            </w:r>
          </w:p>
        </w:tc>
      </w:tr>
      <w:tr w:rsidR="00C01A50" w:rsidRPr="00270441" w14:paraId="4722C483" w14:textId="77777777" w:rsidTr="00877C98">
        <w:tc>
          <w:tcPr>
            <w:tcW w:w="1137" w:type="dxa"/>
            <w:shd w:val="clear" w:color="auto" w:fill="auto"/>
          </w:tcPr>
          <w:p w14:paraId="306F06D9" w14:textId="77777777" w:rsidR="00C01A50" w:rsidRPr="00270441" w:rsidRDefault="00C01A50" w:rsidP="00482E1C">
            <w:pPr>
              <w:jc w:val="left"/>
              <w:rPr>
                <w:rFonts w:ascii="Arial" w:hAnsi="Arial" w:cs="Arial"/>
                <w:sz w:val="18"/>
                <w:szCs w:val="18"/>
                <w:lang w:val="en-AU"/>
              </w:rPr>
            </w:pPr>
            <w:r w:rsidRPr="00270441">
              <w:rPr>
                <w:rFonts w:ascii="Arial" w:hAnsi="Arial" w:cs="Arial"/>
                <w:sz w:val="18"/>
                <w:szCs w:val="18"/>
                <w:lang w:val="en-AU"/>
              </w:rPr>
              <w:t>Change to net trade (GL)</w:t>
            </w:r>
          </w:p>
        </w:tc>
        <w:tc>
          <w:tcPr>
            <w:tcW w:w="892" w:type="dxa"/>
            <w:shd w:val="clear" w:color="auto" w:fill="auto"/>
          </w:tcPr>
          <w:p w14:paraId="2E667F69" w14:textId="77777777" w:rsidR="00C01A50" w:rsidRPr="00270441" w:rsidRDefault="00C01A50" w:rsidP="00482E1C">
            <w:pPr>
              <w:jc w:val="right"/>
              <w:rPr>
                <w:rFonts w:ascii="Arial" w:hAnsi="Arial" w:cs="Arial"/>
                <w:sz w:val="18"/>
                <w:szCs w:val="18"/>
              </w:rPr>
            </w:pPr>
            <w:r w:rsidRPr="00270441">
              <w:rPr>
                <w:rFonts w:ascii="Arial" w:hAnsi="Arial" w:cs="Arial"/>
                <w:sz w:val="18"/>
                <w:szCs w:val="18"/>
              </w:rPr>
              <w:t>0.0</w:t>
            </w:r>
          </w:p>
        </w:tc>
        <w:tc>
          <w:tcPr>
            <w:tcW w:w="892" w:type="dxa"/>
            <w:shd w:val="clear" w:color="auto" w:fill="auto"/>
          </w:tcPr>
          <w:p w14:paraId="2D32AB0C"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-0.5</w:t>
            </w:r>
          </w:p>
        </w:tc>
        <w:tc>
          <w:tcPr>
            <w:tcW w:w="893" w:type="dxa"/>
            <w:shd w:val="clear" w:color="auto" w:fill="auto"/>
          </w:tcPr>
          <w:p w14:paraId="0BD8C547"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-4.6</w:t>
            </w:r>
          </w:p>
        </w:tc>
        <w:tc>
          <w:tcPr>
            <w:tcW w:w="892" w:type="dxa"/>
            <w:shd w:val="clear" w:color="auto" w:fill="auto"/>
          </w:tcPr>
          <w:p w14:paraId="1614E713"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-71.5</w:t>
            </w:r>
          </w:p>
        </w:tc>
        <w:tc>
          <w:tcPr>
            <w:tcW w:w="892" w:type="dxa"/>
            <w:shd w:val="clear" w:color="auto" w:fill="auto"/>
          </w:tcPr>
          <w:p w14:paraId="3AF172CF"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1.6</w:t>
            </w:r>
          </w:p>
        </w:tc>
        <w:tc>
          <w:tcPr>
            <w:tcW w:w="893" w:type="dxa"/>
            <w:shd w:val="clear" w:color="auto" w:fill="auto"/>
          </w:tcPr>
          <w:p w14:paraId="5BCE3DCC"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31.4</w:t>
            </w:r>
          </w:p>
        </w:tc>
        <w:tc>
          <w:tcPr>
            <w:tcW w:w="892" w:type="dxa"/>
            <w:shd w:val="clear" w:color="auto" w:fill="auto"/>
          </w:tcPr>
          <w:p w14:paraId="1225A9B5"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-54.0</w:t>
            </w:r>
          </w:p>
        </w:tc>
        <w:tc>
          <w:tcPr>
            <w:tcW w:w="892" w:type="dxa"/>
            <w:shd w:val="clear" w:color="auto" w:fill="auto"/>
          </w:tcPr>
          <w:p w14:paraId="49EC3C20"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-15.3</w:t>
            </w:r>
          </w:p>
        </w:tc>
        <w:tc>
          <w:tcPr>
            <w:tcW w:w="893" w:type="dxa"/>
            <w:shd w:val="clear" w:color="auto" w:fill="auto"/>
          </w:tcPr>
          <w:p w14:paraId="06CB7A62" w14:textId="77777777" w:rsidR="00C01A50" w:rsidRPr="00CA494D" w:rsidRDefault="00C01A50" w:rsidP="00482E1C">
            <w:pPr>
              <w:jc w:val="right"/>
              <w:rPr>
                <w:rFonts w:ascii="Arial" w:hAnsi="Arial" w:cs="Arial"/>
                <w:sz w:val="18"/>
                <w:szCs w:val="18"/>
              </w:rPr>
            </w:pPr>
            <w:r w:rsidRPr="00482E1C">
              <w:rPr>
                <w:rFonts w:ascii="Arial" w:hAnsi="Arial" w:cs="Arial"/>
                <w:sz w:val="18"/>
                <w:szCs w:val="18"/>
              </w:rPr>
              <w:t>-62.2</w:t>
            </w:r>
          </w:p>
        </w:tc>
      </w:tr>
      <w:tr w:rsidR="00C01A50" w:rsidRPr="00270441" w14:paraId="49D12AAC" w14:textId="77777777" w:rsidTr="00877C98">
        <w:tc>
          <w:tcPr>
            <w:tcW w:w="1137" w:type="dxa"/>
            <w:shd w:val="clear" w:color="auto" w:fill="auto"/>
          </w:tcPr>
          <w:p w14:paraId="1BD9B74D" w14:textId="77777777" w:rsidR="00C01A50" w:rsidRPr="00482E1C" w:rsidRDefault="00C01A50" w:rsidP="00482E1C">
            <w:pPr>
              <w:jc w:val="left"/>
              <w:rPr>
                <w:rFonts w:ascii="Arial" w:hAnsi="Arial" w:cs="Arial"/>
                <w:b/>
                <w:sz w:val="18"/>
                <w:szCs w:val="18"/>
                <w:lang w:val="en-AU"/>
              </w:rPr>
            </w:pPr>
            <w:r w:rsidRPr="00482E1C">
              <w:rPr>
                <w:rFonts w:ascii="Arial" w:hAnsi="Arial" w:cs="Arial"/>
                <w:b/>
                <w:sz w:val="18"/>
                <w:szCs w:val="18"/>
                <w:lang w:val="en-AU"/>
              </w:rPr>
              <w:t>Counter-factual water use (GL)</w:t>
            </w:r>
          </w:p>
        </w:tc>
        <w:tc>
          <w:tcPr>
            <w:tcW w:w="892" w:type="dxa"/>
            <w:shd w:val="clear" w:color="auto" w:fill="auto"/>
            <w:vAlign w:val="bottom"/>
          </w:tcPr>
          <w:p w14:paraId="0A59B30F" w14:textId="77777777" w:rsidR="00C01A50" w:rsidRPr="00482E1C" w:rsidRDefault="00C01A50" w:rsidP="00482E1C">
            <w:pPr>
              <w:jc w:val="right"/>
              <w:rPr>
                <w:rFonts w:ascii="Arial" w:hAnsi="Arial" w:cs="Arial"/>
                <w:b/>
                <w:sz w:val="18"/>
                <w:szCs w:val="18"/>
              </w:rPr>
            </w:pPr>
            <w:r w:rsidRPr="00482E1C">
              <w:rPr>
                <w:rFonts w:ascii="Arial" w:hAnsi="Arial" w:cs="Arial"/>
                <w:b/>
                <w:sz w:val="18"/>
                <w:szCs w:val="18"/>
              </w:rPr>
              <w:t>2,150</w:t>
            </w:r>
          </w:p>
        </w:tc>
        <w:tc>
          <w:tcPr>
            <w:tcW w:w="892" w:type="dxa"/>
            <w:shd w:val="clear" w:color="auto" w:fill="auto"/>
            <w:vAlign w:val="bottom"/>
          </w:tcPr>
          <w:p w14:paraId="2E36EEC3" w14:textId="77777777" w:rsidR="00C01A50" w:rsidRPr="00482E1C" w:rsidRDefault="00C01A50" w:rsidP="00482E1C">
            <w:pPr>
              <w:jc w:val="right"/>
              <w:rPr>
                <w:rFonts w:ascii="Arial" w:hAnsi="Arial" w:cs="Arial"/>
                <w:b/>
                <w:sz w:val="18"/>
                <w:szCs w:val="18"/>
              </w:rPr>
            </w:pPr>
            <w:r w:rsidRPr="00482E1C">
              <w:rPr>
                <w:rFonts w:ascii="Arial" w:hAnsi="Arial" w:cs="Arial"/>
                <w:b/>
                <w:sz w:val="18"/>
                <w:szCs w:val="18"/>
              </w:rPr>
              <w:t>926</w:t>
            </w:r>
          </w:p>
        </w:tc>
        <w:tc>
          <w:tcPr>
            <w:tcW w:w="893" w:type="dxa"/>
            <w:shd w:val="clear" w:color="auto" w:fill="auto"/>
            <w:vAlign w:val="bottom"/>
          </w:tcPr>
          <w:p w14:paraId="0C727E0B" w14:textId="77777777" w:rsidR="00C01A50" w:rsidRPr="00482E1C" w:rsidRDefault="00C01A50" w:rsidP="00482E1C">
            <w:pPr>
              <w:jc w:val="right"/>
              <w:rPr>
                <w:rFonts w:ascii="Arial" w:hAnsi="Arial" w:cs="Arial"/>
                <w:b/>
                <w:sz w:val="18"/>
                <w:szCs w:val="18"/>
              </w:rPr>
            </w:pPr>
            <w:r w:rsidRPr="00482E1C">
              <w:rPr>
                <w:rFonts w:ascii="Arial" w:hAnsi="Arial" w:cs="Arial"/>
                <w:b/>
                <w:sz w:val="18"/>
                <w:szCs w:val="18"/>
              </w:rPr>
              <w:t>1,210</w:t>
            </w:r>
          </w:p>
        </w:tc>
        <w:tc>
          <w:tcPr>
            <w:tcW w:w="892" w:type="dxa"/>
            <w:shd w:val="clear" w:color="auto" w:fill="auto"/>
            <w:vAlign w:val="bottom"/>
          </w:tcPr>
          <w:p w14:paraId="1F5A1F40" w14:textId="77777777" w:rsidR="00C01A50" w:rsidRPr="00482E1C" w:rsidRDefault="00C01A50" w:rsidP="00482E1C">
            <w:pPr>
              <w:jc w:val="right"/>
              <w:rPr>
                <w:rFonts w:ascii="Arial" w:hAnsi="Arial" w:cs="Arial"/>
                <w:b/>
                <w:sz w:val="18"/>
                <w:szCs w:val="18"/>
              </w:rPr>
            </w:pPr>
            <w:r w:rsidRPr="00482E1C">
              <w:rPr>
                <w:rFonts w:ascii="Arial" w:hAnsi="Arial" w:cs="Arial"/>
                <w:b/>
                <w:sz w:val="18"/>
                <w:szCs w:val="18"/>
              </w:rPr>
              <w:t>899</w:t>
            </w:r>
          </w:p>
        </w:tc>
        <w:tc>
          <w:tcPr>
            <w:tcW w:w="892" w:type="dxa"/>
            <w:shd w:val="clear" w:color="auto" w:fill="auto"/>
            <w:vAlign w:val="bottom"/>
          </w:tcPr>
          <w:p w14:paraId="5F6D9704" w14:textId="77777777" w:rsidR="00C01A50" w:rsidRPr="00482E1C" w:rsidRDefault="00C01A50" w:rsidP="00482E1C">
            <w:pPr>
              <w:jc w:val="right"/>
              <w:rPr>
                <w:rFonts w:ascii="Arial" w:hAnsi="Arial" w:cs="Arial"/>
                <w:b/>
                <w:sz w:val="18"/>
                <w:szCs w:val="18"/>
              </w:rPr>
            </w:pPr>
            <w:r w:rsidRPr="00482E1C">
              <w:rPr>
                <w:rFonts w:ascii="Arial" w:hAnsi="Arial" w:cs="Arial"/>
                <w:b/>
                <w:sz w:val="18"/>
                <w:szCs w:val="18"/>
              </w:rPr>
              <w:t>2,073</w:t>
            </w:r>
          </w:p>
        </w:tc>
        <w:tc>
          <w:tcPr>
            <w:tcW w:w="893" w:type="dxa"/>
            <w:shd w:val="clear" w:color="auto" w:fill="auto"/>
            <w:vAlign w:val="bottom"/>
          </w:tcPr>
          <w:p w14:paraId="0A475A36" w14:textId="77777777" w:rsidR="00C01A50" w:rsidRPr="00482E1C" w:rsidRDefault="00C01A50" w:rsidP="00482E1C">
            <w:pPr>
              <w:jc w:val="right"/>
              <w:rPr>
                <w:rFonts w:ascii="Arial" w:hAnsi="Arial" w:cs="Arial"/>
                <w:b/>
                <w:sz w:val="18"/>
                <w:szCs w:val="18"/>
              </w:rPr>
            </w:pPr>
            <w:r w:rsidRPr="00482E1C">
              <w:rPr>
                <w:rFonts w:ascii="Arial" w:hAnsi="Arial" w:cs="Arial"/>
                <w:b/>
                <w:sz w:val="18"/>
                <w:szCs w:val="18"/>
              </w:rPr>
              <w:t>2,950</w:t>
            </w:r>
          </w:p>
        </w:tc>
        <w:tc>
          <w:tcPr>
            <w:tcW w:w="892" w:type="dxa"/>
            <w:shd w:val="clear" w:color="auto" w:fill="auto"/>
            <w:vAlign w:val="bottom"/>
          </w:tcPr>
          <w:p w14:paraId="6E5C705A" w14:textId="77777777" w:rsidR="00C01A50" w:rsidRPr="00482E1C" w:rsidRDefault="00C01A50" w:rsidP="00482E1C">
            <w:pPr>
              <w:jc w:val="right"/>
              <w:rPr>
                <w:rFonts w:ascii="Arial" w:hAnsi="Arial" w:cs="Arial"/>
                <w:b/>
                <w:sz w:val="18"/>
                <w:szCs w:val="18"/>
              </w:rPr>
            </w:pPr>
            <w:r w:rsidRPr="00482E1C">
              <w:rPr>
                <w:rFonts w:ascii="Arial" w:hAnsi="Arial" w:cs="Arial"/>
                <w:b/>
                <w:sz w:val="18"/>
                <w:szCs w:val="18"/>
              </w:rPr>
              <w:t>2,320</w:t>
            </w:r>
          </w:p>
        </w:tc>
        <w:tc>
          <w:tcPr>
            <w:tcW w:w="892" w:type="dxa"/>
            <w:shd w:val="clear" w:color="auto" w:fill="auto"/>
            <w:vAlign w:val="bottom"/>
          </w:tcPr>
          <w:p w14:paraId="6B4F2960" w14:textId="77777777" w:rsidR="00C01A50" w:rsidRPr="00482E1C" w:rsidRDefault="00C01A50" w:rsidP="00482E1C">
            <w:pPr>
              <w:jc w:val="right"/>
              <w:rPr>
                <w:rFonts w:ascii="Arial" w:hAnsi="Arial" w:cs="Arial"/>
                <w:b/>
                <w:sz w:val="18"/>
                <w:szCs w:val="18"/>
              </w:rPr>
            </w:pPr>
            <w:r w:rsidRPr="00482E1C">
              <w:rPr>
                <w:rFonts w:ascii="Arial" w:hAnsi="Arial" w:cs="Arial"/>
                <w:b/>
                <w:sz w:val="18"/>
                <w:szCs w:val="18"/>
              </w:rPr>
              <w:t>2,535</w:t>
            </w:r>
          </w:p>
        </w:tc>
        <w:tc>
          <w:tcPr>
            <w:tcW w:w="893" w:type="dxa"/>
            <w:shd w:val="clear" w:color="auto" w:fill="auto"/>
            <w:vAlign w:val="bottom"/>
          </w:tcPr>
          <w:p w14:paraId="56F32B4E" w14:textId="77777777" w:rsidR="00C01A50" w:rsidRPr="00482E1C" w:rsidRDefault="00C01A50" w:rsidP="00482E1C">
            <w:pPr>
              <w:jc w:val="right"/>
              <w:rPr>
                <w:rFonts w:ascii="Arial" w:hAnsi="Arial" w:cs="Arial"/>
                <w:b/>
                <w:sz w:val="18"/>
                <w:szCs w:val="18"/>
              </w:rPr>
            </w:pPr>
            <w:r w:rsidRPr="00482E1C">
              <w:rPr>
                <w:rFonts w:ascii="Arial" w:hAnsi="Arial" w:cs="Arial"/>
                <w:b/>
                <w:sz w:val="18"/>
                <w:szCs w:val="18"/>
              </w:rPr>
              <w:t>2,192</w:t>
            </w:r>
          </w:p>
        </w:tc>
      </w:tr>
      <w:tr w:rsidR="00C01A50" w:rsidRPr="00270441" w14:paraId="4D4BFB13" w14:textId="77777777" w:rsidTr="00877C98">
        <w:tc>
          <w:tcPr>
            <w:tcW w:w="1137" w:type="dxa"/>
            <w:shd w:val="clear" w:color="auto" w:fill="auto"/>
          </w:tcPr>
          <w:p w14:paraId="785EF26E" w14:textId="77777777" w:rsidR="00C01A50" w:rsidRPr="00270441" w:rsidRDefault="00C01A50" w:rsidP="00482E1C">
            <w:pPr>
              <w:jc w:val="left"/>
              <w:rPr>
                <w:rFonts w:ascii="Arial" w:hAnsi="Arial" w:cs="Arial"/>
                <w:sz w:val="18"/>
                <w:szCs w:val="18"/>
                <w:lang w:val="en-AU"/>
              </w:rPr>
            </w:pPr>
            <w:r>
              <w:rPr>
                <w:rFonts w:ascii="Arial" w:hAnsi="Arial" w:cs="Arial"/>
                <w:sz w:val="18"/>
                <w:szCs w:val="18"/>
                <w:lang w:val="en-AU"/>
              </w:rPr>
              <w:t>Difference between counter-factual and observed (GL)</w:t>
            </w:r>
          </w:p>
        </w:tc>
        <w:tc>
          <w:tcPr>
            <w:tcW w:w="892" w:type="dxa"/>
            <w:shd w:val="clear" w:color="auto" w:fill="auto"/>
            <w:vAlign w:val="bottom"/>
          </w:tcPr>
          <w:p w14:paraId="6D876004"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0</w:t>
            </w:r>
          </w:p>
        </w:tc>
        <w:tc>
          <w:tcPr>
            <w:tcW w:w="892" w:type="dxa"/>
            <w:shd w:val="clear" w:color="auto" w:fill="auto"/>
            <w:vAlign w:val="bottom"/>
          </w:tcPr>
          <w:p w14:paraId="7D7B759B"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-2</w:t>
            </w:r>
          </w:p>
        </w:tc>
        <w:tc>
          <w:tcPr>
            <w:tcW w:w="893" w:type="dxa"/>
            <w:shd w:val="clear" w:color="auto" w:fill="auto"/>
            <w:vAlign w:val="bottom"/>
          </w:tcPr>
          <w:p w14:paraId="045BBAC4"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-75</w:t>
            </w:r>
          </w:p>
        </w:tc>
        <w:tc>
          <w:tcPr>
            <w:tcW w:w="892" w:type="dxa"/>
            <w:shd w:val="clear" w:color="auto" w:fill="auto"/>
            <w:vAlign w:val="bottom"/>
          </w:tcPr>
          <w:p w14:paraId="4E18A3A1"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-148</w:t>
            </w:r>
          </w:p>
        </w:tc>
        <w:tc>
          <w:tcPr>
            <w:tcW w:w="892" w:type="dxa"/>
            <w:shd w:val="clear" w:color="auto" w:fill="auto"/>
            <w:vAlign w:val="bottom"/>
          </w:tcPr>
          <w:p w14:paraId="224A3AB2"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-342</w:t>
            </w:r>
          </w:p>
        </w:tc>
        <w:tc>
          <w:tcPr>
            <w:tcW w:w="893" w:type="dxa"/>
            <w:shd w:val="clear" w:color="auto" w:fill="auto"/>
            <w:vAlign w:val="bottom"/>
          </w:tcPr>
          <w:p w14:paraId="14BA8506"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-548</w:t>
            </w:r>
          </w:p>
        </w:tc>
        <w:tc>
          <w:tcPr>
            <w:tcW w:w="892" w:type="dxa"/>
            <w:shd w:val="clear" w:color="auto" w:fill="auto"/>
            <w:vAlign w:val="bottom"/>
          </w:tcPr>
          <w:p w14:paraId="528E0029"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-463</w:t>
            </w:r>
          </w:p>
        </w:tc>
        <w:tc>
          <w:tcPr>
            <w:tcW w:w="892" w:type="dxa"/>
            <w:shd w:val="clear" w:color="auto" w:fill="auto"/>
            <w:vAlign w:val="bottom"/>
          </w:tcPr>
          <w:p w14:paraId="2CA8FB97" w14:textId="77777777" w:rsidR="00C01A50" w:rsidRPr="00270441" w:rsidRDefault="00C01A50" w:rsidP="00482E1C">
            <w:pPr>
              <w:jc w:val="right"/>
              <w:rPr>
                <w:rFonts w:ascii="Arial" w:hAnsi="Arial" w:cs="Arial"/>
                <w:sz w:val="18"/>
                <w:szCs w:val="18"/>
              </w:rPr>
            </w:pPr>
            <w:r w:rsidRPr="00482E1C">
              <w:rPr>
                <w:rFonts w:ascii="Arial" w:hAnsi="Arial" w:cs="Arial"/>
                <w:sz w:val="18"/>
                <w:szCs w:val="18"/>
              </w:rPr>
              <w:t>-502</w:t>
            </w:r>
          </w:p>
        </w:tc>
        <w:tc>
          <w:tcPr>
            <w:tcW w:w="893" w:type="dxa"/>
            <w:shd w:val="clear" w:color="auto" w:fill="auto"/>
            <w:vAlign w:val="bottom"/>
          </w:tcPr>
          <w:p w14:paraId="69C88966" w14:textId="77777777" w:rsidR="00C01A50" w:rsidRPr="00482E1C" w:rsidRDefault="00C01A50" w:rsidP="00482E1C">
            <w:pPr>
              <w:jc w:val="right"/>
              <w:rPr>
                <w:rFonts w:ascii="Arial" w:hAnsi="Arial" w:cs="Arial"/>
                <w:sz w:val="18"/>
                <w:szCs w:val="18"/>
              </w:rPr>
            </w:pPr>
            <w:r w:rsidRPr="00482E1C">
              <w:rPr>
                <w:rFonts w:ascii="Arial" w:hAnsi="Arial" w:cs="Arial"/>
                <w:sz w:val="18"/>
                <w:szCs w:val="18"/>
              </w:rPr>
              <w:t>-430</w:t>
            </w:r>
          </w:p>
        </w:tc>
      </w:tr>
    </w:tbl>
    <w:p w14:paraId="76EBECC1" w14:textId="77777777" w:rsidR="00C01A50" w:rsidRDefault="00877C98" w:rsidP="00D276FC">
      <w:pPr>
        <w:keepNext/>
        <w:jc w:val="center"/>
        <w:rPr>
          <w:noProof/>
          <w:lang w:val="en-AU" w:eastAsia="en-AU" w:bidi="ar-SA"/>
        </w:rPr>
      </w:pPr>
      <w:r>
        <w:rPr>
          <w:noProof/>
          <w:lang w:val="en-AU" w:eastAsia="en-AU" w:bidi="ar-SA"/>
        </w:rPr>
        <w:drawing>
          <wp:inline distT="0" distB="0" distL="0" distR="0" wp14:anchorId="05DF6ADD" wp14:editId="7B9B81A2">
            <wp:extent cx="4286250" cy="2857500"/>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E694AF" w14:textId="77777777" w:rsidR="00C01A50" w:rsidRDefault="00C01A50" w:rsidP="00CA494D">
      <w:pPr>
        <w:pStyle w:val="Caption"/>
      </w:pPr>
      <w:bookmarkStart w:id="103" w:name="_Ref347049962"/>
      <w:bookmarkStart w:id="104" w:name="_Ref346124007"/>
      <w:r>
        <w:t xml:space="preserve">Figure </w:t>
      </w:r>
      <w:r>
        <w:fldChar w:fldCharType="begin"/>
      </w:r>
      <w:r>
        <w:instrText xml:space="preserve"> SEQ Figure \* ARABIC </w:instrText>
      </w:r>
      <w:r>
        <w:fldChar w:fldCharType="separate"/>
      </w:r>
      <w:r w:rsidR="008E5D7A">
        <w:rPr>
          <w:noProof/>
        </w:rPr>
        <w:t>23</w:t>
      </w:r>
      <w:r>
        <w:fldChar w:fldCharType="end"/>
      </w:r>
      <w:bookmarkEnd w:id="103"/>
      <w:r>
        <w:t xml:space="preserve">: </w:t>
      </w:r>
      <w:r>
        <w:rPr>
          <w:lang w:val="en-AU"/>
        </w:rPr>
        <w:t>Observed and counterfactual water use (Victoria)</w:t>
      </w:r>
      <w:bookmarkEnd w:id="104"/>
    </w:p>
    <w:p w14:paraId="4FE2DF0E" w14:textId="77777777" w:rsidR="00C01A50" w:rsidRPr="00AE354D" w:rsidRDefault="00C01A50" w:rsidP="00AC44FF">
      <w:pPr>
        <w:rPr>
          <w:lang w:val="en-AU"/>
        </w:rPr>
      </w:pPr>
      <w:r w:rsidRPr="00AE354D">
        <w:rPr>
          <w:lang w:val="en-AU"/>
        </w:rPr>
        <w:lastRenderedPageBreak/>
        <w:t xml:space="preserve">Due to the relatively fixed water demands of horticulture (discussed further in </w:t>
      </w:r>
      <w:r w:rsidRPr="00CA494D">
        <w:rPr>
          <w:lang w:val="en-AU"/>
        </w:rPr>
        <w:t>section 5.5</w:t>
      </w:r>
      <w:r w:rsidRPr="00AE354D">
        <w:rPr>
          <w:lang w:val="en-AU"/>
        </w:rPr>
        <w:t>)</w:t>
      </w:r>
      <w:r>
        <w:rPr>
          <w:lang w:val="en-AU"/>
        </w:rPr>
        <w:t>, it is assumed that LMW’s diverters or districts would not have used this additional water. The larger volumetric change in water use are likely to have been in GMW districts (where dairy and cropping can use additional volumes). The chart below shows the expected change to water use in GMW districts. It should also be noted that the reduced net trade into Victoria is likely to have been applied to rice crops in the Riverina.</w:t>
      </w:r>
    </w:p>
    <w:p w14:paraId="4D9401FD" w14:textId="77777777" w:rsidR="00C01A50" w:rsidRDefault="00877C98" w:rsidP="00D276FC">
      <w:pPr>
        <w:jc w:val="center"/>
        <w:rPr>
          <w:noProof/>
          <w:lang w:val="en-AU" w:eastAsia="en-AU" w:bidi="ar-SA"/>
        </w:rPr>
      </w:pPr>
      <w:r>
        <w:rPr>
          <w:noProof/>
          <w:lang w:val="en-AU" w:eastAsia="en-AU" w:bidi="ar-SA"/>
        </w:rPr>
        <w:drawing>
          <wp:inline distT="0" distB="0" distL="0" distR="0" wp14:anchorId="6B8CB0FE" wp14:editId="17C92BC6">
            <wp:extent cx="4555331" cy="28575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21D21F3" w14:textId="77777777" w:rsidR="00C01A50" w:rsidRDefault="00C01A50" w:rsidP="00CA494D">
      <w:pPr>
        <w:pStyle w:val="Caption"/>
      </w:pPr>
      <w:r>
        <w:t xml:space="preserve">Figure </w:t>
      </w:r>
      <w:r>
        <w:fldChar w:fldCharType="begin"/>
      </w:r>
      <w:r>
        <w:instrText xml:space="preserve"> SEQ Figure \* ARABIC </w:instrText>
      </w:r>
      <w:r>
        <w:fldChar w:fldCharType="separate"/>
      </w:r>
      <w:r w:rsidR="008E5D7A">
        <w:rPr>
          <w:noProof/>
        </w:rPr>
        <w:t>24</w:t>
      </w:r>
      <w:r>
        <w:fldChar w:fldCharType="end"/>
      </w:r>
      <w:r>
        <w:t xml:space="preserve">: </w:t>
      </w:r>
      <w:r>
        <w:rPr>
          <w:lang w:val="en-AU"/>
        </w:rPr>
        <w:t>Observed and counterfactual water use (GMW districts)</w:t>
      </w:r>
    </w:p>
    <w:p w14:paraId="72AC355A" w14:textId="77777777" w:rsidR="00C01A50" w:rsidRPr="00AE354D" w:rsidRDefault="00C01A50" w:rsidP="00AC44FF">
      <w:pPr>
        <w:rPr>
          <w:lang w:val="en-AU"/>
        </w:rPr>
      </w:pPr>
      <w:r w:rsidRPr="00AE354D">
        <w:rPr>
          <w:lang w:val="en-AU"/>
        </w:rPr>
        <w:t>Given the variability observed in GMW diverters, the counterfactual water use is also expected to be higher.</w:t>
      </w:r>
    </w:p>
    <w:p w14:paraId="5387A1E0" w14:textId="77777777" w:rsidR="00C01A50" w:rsidRDefault="00877C98" w:rsidP="00D276FC">
      <w:pPr>
        <w:keepNext/>
        <w:jc w:val="center"/>
        <w:rPr>
          <w:noProof/>
          <w:lang w:val="en-AU" w:eastAsia="en-AU" w:bidi="ar-SA"/>
        </w:rPr>
      </w:pPr>
      <w:r>
        <w:rPr>
          <w:noProof/>
          <w:lang w:val="en-AU" w:eastAsia="en-AU" w:bidi="ar-SA"/>
        </w:rPr>
        <w:drawing>
          <wp:inline distT="0" distB="0" distL="0" distR="0" wp14:anchorId="2DE8774C" wp14:editId="1BA11197">
            <wp:extent cx="4555331" cy="28575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559E2AC" w14:textId="77777777" w:rsidR="00C01A50" w:rsidRDefault="00C01A50" w:rsidP="00CA494D">
      <w:pPr>
        <w:pStyle w:val="Caption"/>
        <w:rPr>
          <w:lang w:val="en-AU"/>
        </w:rPr>
      </w:pPr>
      <w:r>
        <w:t xml:space="preserve">Figure </w:t>
      </w:r>
      <w:r>
        <w:fldChar w:fldCharType="begin"/>
      </w:r>
      <w:r>
        <w:instrText xml:space="preserve"> SEQ Figure \* ARABIC </w:instrText>
      </w:r>
      <w:r>
        <w:fldChar w:fldCharType="separate"/>
      </w:r>
      <w:r w:rsidR="008E5D7A">
        <w:rPr>
          <w:noProof/>
        </w:rPr>
        <w:t>25</w:t>
      </w:r>
      <w:r>
        <w:fldChar w:fldCharType="end"/>
      </w:r>
      <w:r>
        <w:t xml:space="preserve">: </w:t>
      </w:r>
      <w:r>
        <w:rPr>
          <w:lang w:val="en-AU"/>
        </w:rPr>
        <w:t>Observed and counterfactual water use (GMW diverters)</w:t>
      </w:r>
    </w:p>
    <w:p w14:paraId="3459A139" w14:textId="77777777" w:rsidR="00C01A50" w:rsidRDefault="00C01A50" w:rsidP="00972069">
      <w:pPr>
        <w:pStyle w:val="Heading2"/>
      </w:pPr>
      <w:bookmarkStart w:id="105" w:name="_Toc347747806"/>
      <w:r>
        <w:lastRenderedPageBreak/>
        <w:t>Summing up</w:t>
      </w:r>
      <w:bookmarkEnd w:id="105"/>
    </w:p>
    <w:p w14:paraId="6D8ADF25" w14:textId="77777777" w:rsidR="00C01A50" w:rsidRDefault="00C01A50" w:rsidP="00972069">
      <w:pPr>
        <w:rPr>
          <w:lang w:val="en-AU"/>
        </w:rPr>
      </w:pPr>
      <w:r w:rsidRPr="00D718E3">
        <w:rPr>
          <w:lang w:val="en-AU"/>
        </w:rPr>
        <w:t>Irrigation water use in northern Victoria</w:t>
      </w:r>
      <w:r>
        <w:rPr>
          <w:lang w:val="en-AU"/>
        </w:rPr>
        <w:t xml:space="preserve"> varied markedly over the last ten years.</w:t>
      </w:r>
      <w:r w:rsidRPr="00D718E3">
        <w:rPr>
          <w:lang w:val="en-AU"/>
        </w:rPr>
        <w:t xml:space="preserve"> </w:t>
      </w:r>
      <w:r>
        <w:rPr>
          <w:lang w:val="en-AU"/>
        </w:rPr>
        <w:t xml:space="preserve">Buyback commenced at the height of the drought and finished at a time when water allocations combined with carryover volumes could sustain use in excess of entitlement volumes for four years in a row. </w:t>
      </w:r>
    </w:p>
    <w:p w14:paraId="039F8DAC" w14:textId="77777777" w:rsidR="0017559C" w:rsidRDefault="00C01A50" w:rsidP="0017559C">
      <w:pPr>
        <w:rPr>
          <w:lang w:val="en-AU"/>
        </w:rPr>
      </w:pPr>
      <w:r>
        <w:rPr>
          <w:lang w:val="en-AU"/>
        </w:rPr>
        <w:t xml:space="preserve">Off-farm infrastructure savings do not reduce the consumptive pool. By contrast, </w:t>
      </w:r>
      <w:r w:rsidR="0017559C">
        <w:rPr>
          <w:lang w:val="en-AU"/>
        </w:rPr>
        <w:t xml:space="preserve">while on-farm water savings have similar characteristics to off-farm water savings in wet-to-average years. In dry and extreme dry years the on-farm </w:t>
      </w:r>
      <w:r w:rsidR="0017559C" w:rsidRPr="00222DB9">
        <w:rPr>
          <w:lang w:val="en-AU"/>
        </w:rPr>
        <w:t xml:space="preserve">projects reduce the consumptive pool. </w:t>
      </w:r>
      <w:r w:rsidR="0017559C" w:rsidRPr="002E50C5">
        <w:rPr>
          <w:lang w:val="en-AU"/>
        </w:rPr>
        <w:t>Given the average to wet conditions that have prevailed since these programs commenced, with the notable exception of 2015/16, on-farm efficiency measures may not, in effect, have significantly reduced the consumptive pool.</w:t>
      </w:r>
      <w:r w:rsidR="0017559C">
        <w:rPr>
          <w:lang w:val="en-AU"/>
        </w:rPr>
        <w:t xml:space="preserve"> As will be described several times in later chapter</w:t>
      </w:r>
      <w:r w:rsidR="001E45BA">
        <w:rPr>
          <w:lang w:val="en-AU"/>
        </w:rPr>
        <w:t xml:space="preserve"> that </w:t>
      </w:r>
      <w:r w:rsidR="0017559C">
        <w:rPr>
          <w:lang w:val="en-AU"/>
        </w:rPr>
        <w:t xml:space="preserve">one dry year </w:t>
      </w:r>
      <w:r w:rsidR="001E45BA">
        <w:rPr>
          <w:lang w:val="en-AU"/>
        </w:rPr>
        <w:t>is important to understand in terms of the socio-economic impacts of the Basin Plan.</w:t>
      </w:r>
      <w:r w:rsidR="0017559C">
        <w:rPr>
          <w:lang w:val="en-AU"/>
        </w:rPr>
        <w:t xml:space="preserve"> </w:t>
      </w:r>
    </w:p>
    <w:p w14:paraId="1B0AC372" w14:textId="77777777" w:rsidR="00C01A50" w:rsidRPr="001C0C80" w:rsidRDefault="00C01A50" w:rsidP="00972069">
      <w:r>
        <w:rPr>
          <w:lang w:val="en-AU"/>
        </w:rPr>
        <w:t xml:space="preserve">In the absence of the Basin Plan, water use by </w:t>
      </w:r>
      <w:r w:rsidR="001E45BA">
        <w:rPr>
          <w:lang w:val="en-AU"/>
        </w:rPr>
        <w:t xml:space="preserve">horticulturalists, including </w:t>
      </w:r>
      <w:r>
        <w:rPr>
          <w:lang w:val="en-AU"/>
        </w:rPr>
        <w:t>LMW diverters and LMW district</w:t>
      </w:r>
      <w:r w:rsidR="001E45BA">
        <w:rPr>
          <w:lang w:val="en-AU"/>
        </w:rPr>
        <w:t xml:space="preserve"> irrigator</w:t>
      </w:r>
      <w:r>
        <w:rPr>
          <w:lang w:val="en-AU"/>
        </w:rPr>
        <w:t xml:space="preserve">s would have been the same as what has been observed since the Plan commenced. Water use in the GMID and by GMW diverters would have been higher. </w:t>
      </w:r>
    </w:p>
    <w:p w14:paraId="06F8BC97" w14:textId="77777777" w:rsidR="00C01A50" w:rsidRDefault="00C01A50">
      <w:pPr>
        <w:spacing w:before="0" w:after="0" w:line="240" w:lineRule="auto"/>
        <w:rPr>
          <w:b/>
          <w:bCs/>
          <w:caps/>
          <w:color w:val="FFFFFF"/>
          <w:spacing w:val="15"/>
          <w:szCs w:val="22"/>
          <w:lang w:val="en-AU"/>
        </w:rPr>
      </w:pPr>
      <w:r>
        <w:rPr>
          <w:lang w:val="en-AU"/>
        </w:rPr>
        <w:br w:type="page"/>
      </w:r>
    </w:p>
    <w:p w14:paraId="0F67ADF9" w14:textId="77777777" w:rsidR="00C01A50" w:rsidRDefault="00C01A50" w:rsidP="00593A9A">
      <w:pPr>
        <w:pStyle w:val="Heading1"/>
        <w:rPr>
          <w:lang w:val="en-AU"/>
        </w:rPr>
      </w:pPr>
      <w:bookmarkStart w:id="106" w:name="_Ref342482626"/>
      <w:bookmarkStart w:id="107" w:name="_Toc347747807"/>
      <w:r>
        <w:rPr>
          <w:lang w:val="en-AU"/>
        </w:rPr>
        <w:lastRenderedPageBreak/>
        <w:t>The i</w:t>
      </w:r>
      <w:r w:rsidRPr="003B1DA3">
        <w:rPr>
          <w:lang w:val="en-AU"/>
        </w:rPr>
        <w:t xml:space="preserve">mpacts </w:t>
      </w:r>
      <w:r>
        <w:rPr>
          <w:lang w:val="en-AU"/>
        </w:rPr>
        <w:t xml:space="preserve">of the Basin Plan </w:t>
      </w:r>
      <w:r w:rsidRPr="003B1DA3">
        <w:rPr>
          <w:lang w:val="en-AU"/>
        </w:rPr>
        <w:t>at the farm scale</w:t>
      </w:r>
      <w:bookmarkEnd w:id="106"/>
      <w:bookmarkEnd w:id="107"/>
    </w:p>
    <w:p w14:paraId="1789D704" w14:textId="77777777" w:rsidR="00C01A50" w:rsidRDefault="00C01A50" w:rsidP="00A97394">
      <w:pPr>
        <w:pStyle w:val="Heading2"/>
        <w:rPr>
          <w:lang w:val="en-AU"/>
        </w:rPr>
      </w:pPr>
      <w:bookmarkStart w:id="108" w:name="_Toc347747808"/>
      <w:r>
        <w:rPr>
          <w:lang w:val="en-AU"/>
        </w:rPr>
        <w:t>Overview</w:t>
      </w:r>
      <w:bookmarkEnd w:id="108"/>
    </w:p>
    <w:p w14:paraId="1E0A78B7" w14:textId="77777777" w:rsidR="00C01A50" w:rsidRDefault="00C01A50" w:rsidP="00593A9A">
      <w:pPr>
        <w:rPr>
          <w:lang w:val="en-AU"/>
        </w:rPr>
      </w:pPr>
      <w:r>
        <w:rPr>
          <w:lang w:val="en-AU"/>
        </w:rPr>
        <w:t>Much of the discussion about water recovery revolves around the impacts at the farm scale. It is at this scale that vendors receive payments in return for transferring their entitlements to the Commonwealth. And it is at this scale that irrigators invest in on-farm infrastructure savings in return for transferring part of the savings to the Commonwealth.</w:t>
      </w:r>
    </w:p>
    <w:p w14:paraId="12C5CA2B" w14:textId="77777777" w:rsidR="00C01A50" w:rsidRDefault="00C01A50" w:rsidP="00593A9A">
      <w:pPr>
        <w:rPr>
          <w:lang w:val="en-AU"/>
        </w:rPr>
      </w:pPr>
      <w:r>
        <w:rPr>
          <w:lang w:val="en-AU"/>
        </w:rPr>
        <w:t>This chapter begins with an overview of the MDBA’s preferred approach for evaluating the socio-economic impacts of water recovery at this scale</w:t>
      </w:r>
      <w:r w:rsidR="009F6A40">
        <w:rPr>
          <w:lang w:val="en-AU"/>
        </w:rPr>
        <w:t>, before discussing the benefits at the farm scale</w:t>
      </w:r>
      <w:r>
        <w:rPr>
          <w:lang w:val="en-AU"/>
        </w:rPr>
        <w:t>. It then provides empirical evidence of the observed, after the fact, water market behaviour of Victorian irrigators who participated in the buyback to determine the extent to which the buybacks have “assisted [them] to transition to the Sustainable Diversion Limits”. This data from the Victorian Water Register is then compared with data from the ABARES Farm Surveys</w:t>
      </w:r>
      <w:r w:rsidR="00850250">
        <w:rPr>
          <w:lang w:val="en-AU"/>
        </w:rPr>
        <w:t xml:space="preserve"> (ABARES,</w:t>
      </w:r>
      <w:r w:rsidR="002A4FED">
        <w:rPr>
          <w:lang w:val="en-AU"/>
        </w:rPr>
        <w:t xml:space="preserve"> </w:t>
      </w:r>
      <w:r w:rsidR="00850250">
        <w:rPr>
          <w:lang w:val="en-AU"/>
        </w:rPr>
        <w:t>2015)</w:t>
      </w:r>
      <w:r>
        <w:rPr>
          <w:lang w:val="en-AU"/>
        </w:rPr>
        <w:t>.</w:t>
      </w:r>
    </w:p>
    <w:p w14:paraId="48E98440" w14:textId="77777777" w:rsidR="00C01A50" w:rsidRDefault="00C01A50" w:rsidP="00593A9A">
      <w:pPr>
        <w:rPr>
          <w:lang w:val="en-AU"/>
        </w:rPr>
      </w:pPr>
      <w:r>
        <w:rPr>
          <w:lang w:val="en-AU"/>
        </w:rPr>
        <w:t>An analysis of the assumptions implicit in the vendors’ acceptance of the prices at which buyback occurred is then followed by an examination of the trends in reported water use per hectare for different industries.</w:t>
      </w:r>
    </w:p>
    <w:p w14:paraId="418360AB" w14:textId="77777777" w:rsidR="00C01A50" w:rsidRDefault="00C01A50" w:rsidP="005C650B">
      <w:pPr>
        <w:pStyle w:val="Heading2"/>
        <w:rPr>
          <w:lang w:val="en-AU"/>
        </w:rPr>
      </w:pPr>
      <w:bookmarkStart w:id="109" w:name="_Toc347747809"/>
      <w:r>
        <w:rPr>
          <w:lang w:val="en-AU"/>
        </w:rPr>
        <w:t xml:space="preserve">The MDBA’s preferred approach to </w:t>
      </w:r>
      <w:r w:rsidRPr="005C650B">
        <w:rPr>
          <w:lang w:val="en-AU"/>
        </w:rPr>
        <w:t>socio</w:t>
      </w:r>
      <w:r w:rsidR="0097229D">
        <w:rPr>
          <w:lang w:val="en-AU"/>
        </w:rPr>
        <w:t>-</w:t>
      </w:r>
      <w:r w:rsidRPr="005C650B">
        <w:rPr>
          <w:lang w:val="en-AU"/>
        </w:rPr>
        <w:t>economic evaluation</w:t>
      </w:r>
      <w:bookmarkEnd w:id="109"/>
      <w:r w:rsidRPr="005C650B">
        <w:rPr>
          <w:lang w:val="en-AU"/>
        </w:rPr>
        <w:t xml:space="preserve"> </w:t>
      </w:r>
    </w:p>
    <w:p w14:paraId="68205CA8" w14:textId="77777777" w:rsidR="00C01A50" w:rsidRDefault="00C01A50" w:rsidP="000B7ABC">
      <w:pPr>
        <w:rPr>
          <w:lang w:val="en-AU"/>
        </w:rPr>
      </w:pPr>
      <w:r>
        <w:rPr>
          <w:lang w:val="en-AU"/>
        </w:rPr>
        <w:t>The</w:t>
      </w:r>
      <w:r w:rsidRPr="000B7ABC">
        <w:rPr>
          <w:lang w:val="en-AU"/>
        </w:rPr>
        <w:t xml:space="preserve"> Basin Plan evaluation framework</w:t>
      </w:r>
      <w:r>
        <w:rPr>
          <w:lang w:val="en-AU"/>
        </w:rPr>
        <w:t xml:space="preserve"> (MDBA 2014</w:t>
      </w:r>
      <w:r w:rsidR="002A4FED">
        <w:rPr>
          <w:lang w:val="en-AU"/>
        </w:rPr>
        <w:t>c</w:t>
      </w:r>
      <w:r>
        <w:rPr>
          <w:lang w:val="en-AU"/>
        </w:rPr>
        <w:t xml:space="preserve">) </w:t>
      </w:r>
      <w:r w:rsidRPr="000B7ABC">
        <w:rPr>
          <w:lang w:val="en-AU"/>
        </w:rPr>
        <w:t>outlines how the</w:t>
      </w:r>
      <w:r>
        <w:rPr>
          <w:lang w:val="en-AU"/>
        </w:rPr>
        <w:t xml:space="preserve"> MDBA</w:t>
      </w:r>
      <w:r w:rsidRPr="000B7ABC">
        <w:rPr>
          <w:lang w:val="en-AU"/>
        </w:rPr>
        <w:t xml:space="preserve"> will work with partner governments</w:t>
      </w:r>
      <w:r>
        <w:rPr>
          <w:lang w:val="en-AU"/>
        </w:rPr>
        <w:t xml:space="preserve"> and the community to evaluate </w:t>
      </w:r>
      <w:r w:rsidRPr="000B7ABC">
        <w:rPr>
          <w:lang w:val="en-AU"/>
        </w:rPr>
        <w:t>the implementation</w:t>
      </w:r>
      <w:r>
        <w:rPr>
          <w:lang w:val="en-AU"/>
        </w:rPr>
        <w:t xml:space="preserve"> </w:t>
      </w:r>
      <w:r w:rsidRPr="000B7ABC">
        <w:rPr>
          <w:lang w:val="en-AU"/>
        </w:rPr>
        <w:t>of the</w:t>
      </w:r>
      <w:r>
        <w:rPr>
          <w:lang w:val="en-AU"/>
        </w:rPr>
        <w:t xml:space="preserve"> Basin</w:t>
      </w:r>
      <w:r w:rsidRPr="000B7ABC">
        <w:rPr>
          <w:lang w:val="en-AU"/>
        </w:rPr>
        <w:t xml:space="preserve"> Plan</w:t>
      </w:r>
      <w:r>
        <w:rPr>
          <w:lang w:val="en-AU"/>
        </w:rPr>
        <w:t>.</w:t>
      </w:r>
      <w:r w:rsidRPr="000B7ABC">
        <w:rPr>
          <w:lang w:val="en-AU"/>
        </w:rPr>
        <w:t xml:space="preserve"> </w:t>
      </w:r>
      <w:r>
        <w:rPr>
          <w:lang w:val="en-AU"/>
        </w:rPr>
        <w:fldChar w:fldCharType="begin"/>
      </w:r>
      <w:r>
        <w:rPr>
          <w:lang w:val="en-AU"/>
        </w:rPr>
        <w:instrText xml:space="preserve"> REF _Ref342635559 \h </w:instrText>
      </w:r>
      <w:r>
        <w:rPr>
          <w:lang w:val="en-AU"/>
        </w:rPr>
      </w:r>
      <w:r>
        <w:rPr>
          <w:lang w:val="en-AU"/>
        </w:rPr>
        <w:fldChar w:fldCharType="separate"/>
      </w:r>
      <w:r w:rsidR="008E5D7A">
        <w:t xml:space="preserve">Figure </w:t>
      </w:r>
      <w:r w:rsidR="008E5D7A">
        <w:rPr>
          <w:noProof/>
        </w:rPr>
        <w:t>26</w:t>
      </w:r>
      <w:r>
        <w:rPr>
          <w:lang w:val="en-AU"/>
        </w:rPr>
        <w:fldChar w:fldCharType="end"/>
      </w:r>
      <w:r>
        <w:rPr>
          <w:lang w:val="en-AU"/>
        </w:rPr>
        <w:t xml:space="preserve"> is an excerpt from the </w:t>
      </w:r>
      <w:r w:rsidRPr="003B1DA3">
        <w:rPr>
          <w:lang w:val="en-AU"/>
        </w:rPr>
        <w:t xml:space="preserve">MDBA </w:t>
      </w:r>
      <w:r>
        <w:rPr>
          <w:lang w:val="en-AU"/>
        </w:rPr>
        <w:t>socio</w:t>
      </w:r>
      <w:r w:rsidR="0097229D">
        <w:rPr>
          <w:lang w:val="en-AU"/>
        </w:rPr>
        <w:t>-</w:t>
      </w:r>
      <w:r>
        <w:rPr>
          <w:lang w:val="en-AU"/>
        </w:rPr>
        <w:t>economic evaluation regarding elements of ‘productive and resilient industries and communities’ (MDBA, 2014</w:t>
      </w:r>
      <w:r w:rsidR="002A4FED">
        <w:rPr>
          <w:lang w:val="en-AU"/>
        </w:rPr>
        <w:t>c</w:t>
      </w:r>
      <w:r>
        <w:rPr>
          <w:lang w:val="en-AU"/>
        </w:rPr>
        <w:t xml:space="preserve"> p. 4). </w:t>
      </w:r>
      <w:r>
        <w:rPr>
          <w:lang w:val="en-AU"/>
        </w:rPr>
        <w:fldChar w:fldCharType="begin"/>
      </w:r>
      <w:r>
        <w:rPr>
          <w:lang w:val="en-AU"/>
        </w:rPr>
        <w:instrText xml:space="preserve"> REF _Ref342634991 \h </w:instrText>
      </w:r>
      <w:r>
        <w:rPr>
          <w:lang w:val="en-AU"/>
        </w:rPr>
      </w:r>
      <w:r>
        <w:rPr>
          <w:lang w:val="en-AU"/>
        </w:rPr>
        <w:fldChar w:fldCharType="separate"/>
      </w:r>
      <w:r w:rsidR="008E5D7A">
        <w:t xml:space="preserve">Figure </w:t>
      </w:r>
      <w:r w:rsidR="008E5D7A">
        <w:rPr>
          <w:noProof/>
        </w:rPr>
        <w:t>27</w:t>
      </w:r>
      <w:r>
        <w:rPr>
          <w:lang w:val="en-AU"/>
        </w:rPr>
        <w:fldChar w:fldCharType="end"/>
      </w:r>
      <w:r>
        <w:rPr>
          <w:lang w:val="en-AU"/>
        </w:rPr>
        <w:t xml:space="preserve"> shows its sample evaluation questions (MDBA, 2014</w:t>
      </w:r>
      <w:r w:rsidR="002A4FED">
        <w:rPr>
          <w:lang w:val="en-AU"/>
        </w:rPr>
        <w:t>c</w:t>
      </w:r>
      <w:r>
        <w:rPr>
          <w:lang w:val="en-AU"/>
        </w:rPr>
        <w:t>, p. 7).</w:t>
      </w:r>
    </w:p>
    <w:p w14:paraId="3C8F7F62" w14:textId="77777777" w:rsidR="00C01A50" w:rsidRDefault="00C01A50" w:rsidP="002E50C5">
      <w:pPr>
        <w:keepNext/>
        <w:rPr>
          <w:lang w:val="en-AU"/>
        </w:rPr>
      </w:pPr>
      <w:r w:rsidRPr="005C650B">
        <w:rPr>
          <w:noProof/>
          <w:lang w:val="en-AU" w:eastAsia="en-AU" w:bidi="ar-SA"/>
        </w:rPr>
        <w:lastRenderedPageBreak/>
        <w:drawing>
          <wp:inline distT="0" distB="0" distL="0" distR="0" wp14:anchorId="7D2D2A0C" wp14:editId="48B2F71C">
            <wp:extent cx="5828030" cy="489585"/>
            <wp:effectExtent l="0" t="0" r="127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28030" cy="489585"/>
                    </a:xfrm>
                    <a:prstGeom prst="rect">
                      <a:avLst/>
                    </a:prstGeom>
                  </pic:spPr>
                </pic:pic>
              </a:graphicData>
            </a:graphic>
          </wp:inline>
        </w:drawing>
      </w:r>
    </w:p>
    <w:p w14:paraId="6816B116" w14:textId="77777777" w:rsidR="00C01A50" w:rsidRDefault="00C01A50" w:rsidP="0091485B">
      <w:pPr>
        <w:keepNext/>
        <w:rPr>
          <w:lang w:val="en-AU"/>
        </w:rPr>
      </w:pPr>
      <w:r w:rsidRPr="005C650B">
        <w:rPr>
          <w:noProof/>
          <w:lang w:val="en-AU" w:eastAsia="en-AU" w:bidi="ar-SA"/>
        </w:rPr>
        <w:drawing>
          <wp:inline distT="0" distB="0" distL="0" distR="0" wp14:anchorId="14BEC49E" wp14:editId="758993E6">
            <wp:extent cx="5828030" cy="2712085"/>
            <wp:effectExtent l="0" t="0" r="127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28030" cy="2712085"/>
                    </a:xfrm>
                    <a:prstGeom prst="rect">
                      <a:avLst/>
                    </a:prstGeom>
                  </pic:spPr>
                </pic:pic>
              </a:graphicData>
            </a:graphic>
          </wp:inline>
        </w:drawing>
      </w:r>
    </w:p>
    <w:p w14:paraId="499474B4" w14:textId="77777777" w:rsidR="00C01A50" w:rsidRDefault="00C01A50" w:rsidP="001E43DE">
      <w:pPr>
        <w:pStyle w:val="Caption"/>
      </w:pPr>
      <w:bookmarkStart w:id="110" w:name="_Ref342635559"/>
      <w:r>
        <w:t xml:space="preserve">Figure </w:t>
      </w:r>
      <w:r>
        <w:fldChar w:fldCharType="begin"/>
      </w:r>
      <w:r>
        <w:instrText xml:space="preserve"> SEQ Figure \* ARABIC </w:instrText>
      </w:r>
      <w:r>
        <w:fldChar w:fldCharType="separate"/>
      </w:r>
      <w:r w:rsidR="008E5D7A">
        <w:rPr>
          <w:noProof/>
        </w:rPr>
        <w:t>26</w:t>
      </w:r>
      <w:r>
        <w:fldChar w:fldCharType="end"/>
      </w:r>
      <w:bookmarkEnd w:id="110"/>
      <w:r>
        <w:t>: The MDBA’s expected outcomes from the Basin Plan</w:t>
      </w:r>
      <w:r w:rsidRPr="001E43DE">
        <w:t xml:space="preserve"> </w:t>
      </w:r>
    </w:p>
    <w:p w14:paraId="5F4E03D1" w14:textId="77777777" w:rsidR="00C01A50" w:rsidRPr="001E43DE" w:rsidRDefault="00C01A50" w:rsidP="001E43DE">
      <w:pPr>
        <w:pStyle w:val="Caption"/>
        <w:rPr>
          <w:b w:val="0"/>
        </w:rPr>
      </w:pPr>
      <w:r w:rsidRPr="001E43DE">
        <w:rPr>
          <w:rFonts w:eastAsia="Calibri"/>
          <w:b w:val="0"/>
          <w:color w:val="000000"/>
          <w:sz w:val="18"/>
          <w:szCs w:val="22"/>
          <w:lang w:val="en-AU" w:bidi="ar-SA"/>
        </w:rPr>
        <w:t>Source:</w:t>
      </w:r>
      <w:r>
        <w:rPr>
          <w:rFonts w:eastAsia="Calibri"/>
          <w:b w:val="0"/>
          <w:color w:val="000000"/>
          <w:sz w:val="18"/>
          <w:szCs w:val="22"/>
          <w:lang w:val="en-AU" w:bidi="ar-SA"/>
        </w:rPr>
        <w:t xml:space="preserve"> MDBA 2014</w:t>
      </w:r>
      <w:r w:rsidR="002A4FED">
        <w:rPr>
          <w:rFonts w:eastAsia="Calibri"/>
          <w:b w:val="0"/>
          <w:color w:val="000000"/>
          <w:sz w:val="18"/>
          <w:szCs w:val="22"/>
          <w:lang w:val="en-AU" w:bidi="ar-SA"/>
        </w:rPr>
        <w:t>c</w:t>
      </w:r>
      <w:r>
        <w:rPr>
          <w:rFonts w:eastAsia="Calibri"/>
          <w:b w:val="0"/>
          <w:color w:val="000000"/>
          <w:sz w:val="18"/>
          <w:szCs w:val="22"/>
          <w:lang w:val="en-AU" w:bidi="ar-SA"/>
        </w:rPr>
        <w:t>.</w:t>
      </w:r>
    </w:p>
    <w:p w14:paraId="4EF54E61" w14:textId="77777777" w:rsidR="00C01A50" w:rsidRDefault="00C01A50" w:rsidP="002E50C5">
      <w:pPr>
        <w:keepNext/>
        <w:rPr>
          <w:lang w:val="en-AU"/>
        </w:rPr>
      </w:pPr>
      <w:r w:rsidRPr="00E13228">
        <w:rPr>
          <w:noProof/>
          <w:lang w:val="en-AU" w:eastAsia="en-AU" w:bidi="ar-SA"/>
        </w:rPr>
        <w:lastRenderedPageBreak/>
        <w:drawing>
          <wp:inline distT="0" distB="0" distL="0" distR="0" wp14:anchorId="39FBC8BB" wp14:editId="0B507040">
            <wp:extent cx="5828030" cy="490855"/>
            <wp:effectExtent l="0" t="0" r="1270"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28030" cy="490855"/>
                    </a:xfrm>
                    <a:prstGeom prst="rect">
                      <a:avLst/>
                    </a:prstGeom>
                  </pic:spPr>
                </pic:pic>
              </a:graphicData>
            </a:graphic>
          </wp:inline>
        </w:drawing>
      </w:r>
    </w:p>
    <w:p w14:paraId="33CCB6D5" w14:textId="77777777" w:rsidR="00C01A50" w:rsidRDefault="00C01A50" w:rsidP="00593A9A">
      <w:pPr>
        <w:rPr>
          <w:lang w:val="en-AU"/>
        </w:rPr>
      </w:pPr>
      <w:r w:rsidRPr="005C650B">
        <w:rPr>
          <w:noProof/>
          <w:lang w:val="en-AU" w:eastAsia="en-AU" w:bidi="ar-SA"/>
        </w:rPr>
        <w:drawing>
          <wp:inline distT="0" distB="0" distL="0" distR="0" wp14:anchorId="27EEF136" wp14:editId="14A873AB">
            <wp:extent cx="5828030" cy="4833620"/>
            <wp:effectExtent l="0" t="0" r="1270" b="508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8030" cy="4833620"/>
                    </a:xfrm>
                    <a:prstGeom prst="rect">
                      <a:avLst/>
                    </a:prstGeom>
                  </pic:spPr>
                </pic:pic>
              </a:graphicData>
            </a:graphic>
          </wp:inline>
        </w:drawing>
      </w:r>
    </w:p>
    <w:p w14:paraId="4F8EC9D1" w14:textId="77777777" w:rsidR="00C01A50" w:rsidRDefault="00C01A50" w:rsidP="001E43DE">
      <w:pPr>
        <w:pStyle w:val="Caption"/>
      </w:pPr>
      <w:bookmarkStart w:id="111" w:name="_Ref342634991"/>
      <w:bookmarkStart w:id="112" w:name="_Ref342634050"/>
      <w:r>
        <w:t xml:space="preserve">Figure </w:t>
      </w:r>
      <w:r>
        <w:fldChar w:fldCharType="begin"/>
      </w:r>
      <w:r>
        <w:instrText xml:space="preserve"> SEQ Figure \* ARABIC </w:instrText>
      </w:r>
      <w:r>
        <w:fldChar w:fldCharType="separate"/>
      </w:r>
      <w:r w:rsidR="008E5D7A">
        <w:rPr>
          <w:noProof/>
        </w:rPr>
        <w:t>27</w:t>
      </w:r>
      <w:r>
        <w:fldChar w:fldCharType="end"/>
      </w:r>
      <w:bookmarkEnd w:id="111"/>
      <w:r>
        <w:t xml:space="preserve">: The </w:t>
      </w:r>
      <w:r w:rsidRPr="003B1DA3">
        <w:rPr>
          <w:lang w:val="en-AU"/>
        </w:rPr>
        <w:t>MDBA</w:t>
      </w:r>
      <w:r>
        <w:rPr>
          <w:lang w:val="en-AU"/>
        </w:rPr>
        <w:t>’s sample</w:t>
      </w:r>
      <w:r w:rsidRPr="003B1DA3">
        <w:rPr>
          <w:lang w:val="en-AU"/>
        </w:rPr>
        <w:t xml:space="preserve"> </w:t>
      </w:r>
      <w:r>
        <w:rPr>
          <w:lang w:val="en-AU"/>
        </w:rPr>
        <w:t>socio-economic evaluation questions</w:t>
      </w:r>
      <w:bookmarkEnd w:id="112"/>
      <w:r w:rsidRPr="001E43DE">
        <w:t xml:space="preserve"> </w:t>
      </w:r>
    </w:p>
    <w:p w14:paraId="33E138DC" w14:textId="77777777" w:rsidR="00C01A50" w:rsidRPr="001E43DE" w:rsidRDefault="00C01A50" w:rsidP="001E43DE">
      <w:pPr>
        <w:pStyle w:val="Caption"/>
        <w:rPr>
          <w:b w:val="0"/>
        </w:rPr>
      </w:pPr>
      <w:r w:rsidRPr="001E43DE">
        <w:rPr>
          <w:rFonts w:eastAsia="Calibri"/>
          <w:b w:val="0"/>
          <w:color w:val="000000"/>
          <w:sz w:val="18"/>
          <w:szCs w:val="22"/>
          <w:lang w:val="en-AU" w:bidi="ar-SA"/>
        </w:rPr>
        <w:t>Source:</w:t>
      </w:r>
      <w:r>
        <w:rPr>
          <w:rFonts w:eastAsia="Calibri"/>
          <w:b w:val="0"/>
          <w:color w:val="000000"/>
          <w:sz w:val="18"/>
          <w:szCs w:val="22"/>
          <w:lang w:val="en-AU" w:bidi="ar-SA"/>
        </w:rPr>
        <w:t xml:space="preserve"> MDBA 2014</w:t>
      </w:r>
      <w:r w:rsidR="002A4FED">
        <w:rPr>
          <w:rFonts w:eastAsia="Calibri"/>
          <w:b w:val="0"/>
          <w:color w:val="000000"/>
          <w:sz w:val="18"/>
          <w:szCs w:val="22"/>
          <w:lang w:val="en-AU" w:bidi="ar-SA"/>
        </w:rPr>
        <w:t>c</w:t>
      </w:r>
      <w:r>
        <w:rPr>
          <w:rFonts w:eastAsia="Calibri"/>
          <w:b w:val="0"/>
          <w:color w:val="000000"/>
          <w:sz w:val="18"/>
          <w:szCs w:val="22"/>
          <w:lang w:val="en-AU" w:bidi="ar-SA"/>
        </w:rPr>
        <w:t>.</w:t>
      </w:r>
    </w:p>
    <w:p w14:paraId="624F12E8" w14:textId="77777777" w:rsidR="00C01A50" w:rsidRDefault="00C01A50" w:rsidP="00822F8B">
      <w:r w:rsidRPr="000D3453">
        <w:t>The</w:t>
      </w:r>
      <w:r>
        <w:t>se questions are linked together by a</w:t>
      </w:r>
      <w:r w:rsidRPr="000D3453">
        <w:t xml:space="preserve"> chain of logic expected from Basin Plan water reform mechanisms that were specifically designed to achieve social and economic outcomes. </w:t>
      </w:r>
      <w:r>
        <w:t>The MDBA’s preferred approach to the analysis of the socio-economic impacts of</w:t>
      </w:r>
      <w:r w:rsidRPr="005C650B">
        <w:t xml:space="preserve"> the Basin Plan </w:t>
      </w:r>
      <w:r>
        <w:t>is to</w:t>
      </w:r>
      <w:r w:rsidRPr="005C650B">
        <w:t xml:space="preserve"> compar</w:t>
      </w:r>
      <w:r>
        <w:t>e</w:t>
      </w:r>
      <w:r w:rsidRPr="005C650B">
        <w:t xml:space="preserve"> what </w:t>
      </w:r>
      <w:r w:rsidRPr="002D1E55">
        <w:rPr>
          <w:i/>
        </w:rPr>
        <w:t>has happened</w:t>
      </w:r>
      <w:r>
        <w:t xml:space="preserve"> </w:t>
      </w:r>
      <w:r w:rsidRPr="005C650B">
        <w:t xml:space="preserve">with what </w:t>
      </w:r>
      <w:r w:rsidRPr="002D1E55">
        <w:rPr>
          <w:i/>
        </w:rPr>
        <w:t>would have happened</w:t>
      </w:r>
      <w:r>
        <w:t xml:space="preserve"> </w:t>
      </w:r>
      <w:r w:rsidRPr="005C650B">
        <w:t>if the Plan did not exis</w:t>
      </w:r>
      <w:r>
        <w:t xml:space="preserve">t, taking into account </w:t>
      </w:r>
      <w:r w:rsidR="0097229D">
        <w:t>the influences</w:t>
      </w:r>
      <w:r w:rsidRPr="0007199D">
        <w:t xml:space="preserve"> </w:t>
      </w:r>
      <w:r w:rsidR="0097229D">
        <w:t>of</w:t>
      </w:r>
      <w:r w:rsidRPr="0007199D">
        <w:t xml:space="preserve"> factors other than the Basin Plan</w:t>
      </w:r>
      <w:r w:rsidR="00F60210">
        <w:t>.</w:t>
      </w:r>
      <w:r>
        <w:t xml:space="preserve"> This is the approach adopted for this report.</w:t>
      </w:r>
    </w:p>
    <w:p w14:paraId="0E9536F6" w14:textId="77777777" w:rsidR="00F04B3B" w:rsidRDefault="00CF0E0E" w:rsidP="00A97394">
      <w:pPr>
        <w:pStyle w:val="Heading2"/>
        <w:rPr>
          <w:lang w:val="en-AU"/>
        </w:rPr>
      </w:pPr>
      <w:bookmarkStart w:id="113" w:name="_Toc347747810"/>
      <w:r>
        <w:rPr>
          <w:lang w:val="en-AU"/>
        </w:rPr>
        <w:t>Benefits of water recovery at the farm</w:t>
      </w:r>
      <w:r w:rsidR="00F04B3B">
        <w:rPr>
          <w:lang w:val="en-AU"/>
        </w:rPr>
        <w:t xml:space="preserve"> scale</w:t>
      </w:r>
      <w:bookmarkEnd w:id="113"/>
    </w:p>
    <w:p w14:paraId="0D6A2555" w14:textId="77777777" w:rsidR="00F04B3B" w:rsidRDefault="00F04B3B" w:rsidP="00F04B3B">
      <w:pPr>
        <w:rPr>
          <w:lang w:val="en-AU"/>
        </w:rPr>
      </w:pPr>
      <w:r>
        <w:t xml:space="preserve">As is elaborated in more detail in </w:t>
      </w:r>
      <w:r>
        <w:rPr>
          <w:lang w:val="en-AU"/>
        </w:rPr>
        <w:t xml:space="preserve">Chapters </w:t>
      </w:r>
      <w:r>
        <w:rPr>
          <w:lang w:val="en-AU"/>
        </w:rPr>
        <w:fldChar w:fldCharType="begin"/>
      </w:r>
      <w:r>
        <w:rPr>
          <w:lang w:val="en-AU"/>
        </w:rPr>
        <w:instrText xml:space="preserve"> REF _Ref346108198 \r \h </w:instrText>
      </w:r>
      <w:r>
        <w:rPr>
          <w:lang w:val="en-AU"/>
        </w:rPr>
      </w:r>
      <w:r>
        <w:rPr>
          <w:lang w:val="en-AU"/>
        </w:rPr>
        <w:fldChar w:fldCharType="separate"/>
      </w:r>
      <w:r w:rsidR="008E5D7A">
        <w:rPr>
          <w:lang w:val="en-AU"/>
        </w:rPr>
        <w:t>5</w:t>
      </w:r>
      <w:r>
        <w:rPr>
          <w:lang w:val="en-AU"/>
        </w:rPr>
        <w:fldChar w:fldCharType="end"/>
      </w:r>
      <w:r>
        <w:rPr>
          <w:lang w:val="en-AU"/>
        </w:rPr>
        <w:t xml:space="preserve">, </w:t>
      </w:r>
      <w:r>
        <w:rPr>
          <w:lang w:val="en-AU"/>
        </w:rPr>
        <w:fldChar w:fldCharType="begin"/>
      </w:r>
      <w:r>
        <w:rPr>
          <w:lang w:val="en-AU"/>
        </w:rPr>
        <w:instrText xml:space="preserve"> REF _Ref342381415 \r \h </w:instrText>
      </w:r>
      <w:r>
        <w:rPr>
          <w:lang w:val="en-AU"/>
        </w:rPr>
      </w:r>
      <w:r>
        <w:rPr>
          <w:lang w:val="en-AU"/>
        </w:rPr>
        <w:fldChar w:fldCharType="separate"/>
      </w:r>
      <w:r w:rsidR="008E5D7A">
        <w:rPr>
          <w:lang w:val="en-AU"/>
        </w:rPr>
        <w:t>6</w:t>
      </w:r>
      <w:r>
        <w:rPr>
          <w:lang w:val="en-AU"/>
        </w:rPr>
        <w:fldChar w:fldCharType="end"/>
      </w:r>
      <w:r>
        <w:rPr>
          <w:lang w:val="en-AU"/>
        </w:rPr>
        <w:t xml:space="preserve"> and </w:t>
      </w:r>
      <w:r>
        <w:rPr>
          <w:lang w:val="en-AU"/>
        </w:rPr>
        <w:fldChar w:fldCharType="begin"/>
      </w:r>
      <w:r>
        <w:rPr>
          <w:lang w:val="en-AU"/>
        </w:rPr>
        <w:instrText xml:space="preserve"> REF _Ref346108243 \r \h </w:instrText>
      </w:r>
      <w:r>
        <w:rPr>
          <w:lang w:val="en-AU"/>
        </w:rPr>
      </w:r>
      <w:r>
        <w:rPr>
          <w:lang w:val="en-AU"/>
        </w:rPr>
        <w:fldChar w:fldCharType="separate"/>
      </w:r>
      <w:r w:rsidR="008E5D7A">
        <w:rPr>
          <w:lang w:val="en-AU"/>
        </w:rPr>
        <w:t>7</w:t>
      </w:r>
      <w:r>
        <w:rPr>
          <w:lang w:val="en-AU"/>
        </w:rPr>
        <w:fldChar w:fldCharType="end"/>
      </w:r>
      <w:r>
        <w:rPr>
          <w:lang w:val="en-AU"/>
        </w:rPr>
        <w:t xml:space="preserve">, there have been undoubted benefits at the farm scale for irrigators </w:t>
      </w:r>
      <w:r w:rsidR="009F6A40">
        <w:rPr>
          <w:lang w:val="en-AU"/>
        </w:rPr>
        <w:t xml:space="preserve">who participated in the buyback. The money invested in the buyback aided structural adjustment in response to the drought and in response to the collapse in the wine industry. And without </w:t>
      </w:r>
      <w:r w:rsidR="009F6A40">
        <w:rPr>
          <w:lang w:val="en-AU"/>
        </w:rPr>
        <w:lastRenderedPageBreak/>
        <w:t>it there would now be more dairy farmers grappling with low milk prices. It is also possible that buyback helped to forestall a serious disruption to horticultural expansion by LMW diverters.</w:t>
      </w:r>
    </w:p>
    <w:p w14:paraId="3C26D691" w14:textId="77777777" w:rsidR="009F6A40" w:rsidRDefault="009F6A40" w:rsidP="00F04B3B">
      <w:pPr>
        <w:rPr>
          <w:lang w:val="en-AU"/>
        </w:rPr>
      </w:pPr>
      <w:r>
        <w:rPr>
          <w:lang w:val="en-AU"/>
        </w:rPr>
        <w:t>As evidenced by the Participant Profiles on Goulburn Broken CMA’s website (which</w:t>
      </w:r>
      <w:r w:rsidR="00272A77">
        <w:rPr>
          <w:lang w:val="en-AU"/>
        </w:rPr>
        <w:t xml:space="preserve"> were referenced above in Section </w:t>
      </w:r>
      <w:r w:rsidR="00272A77">
        <w:rPr>
          <w:lang w:val="en-AU"/>
        </w:rPr>
        <w:fldChar w:fldCharType="begin"/>
      </w:r>
      <w:r w:rsidR="00272A77">
        <w:rPr>
          <w:lang w:val="en-AU"/>
        </w:rPr>
        <w:instrText xml:space="preserve"> REF _Ref346125188 \r \h </w:instrText>
      </w:r>
      <w:r w:rsidR="00272A77">
        <w:rPr>
          <w:lang w:val="en-AU"/>
        </w:rPr>
      </w:r>
      <w:r w:rsidR="00272A77">
        <w:rPr>
          <w:lang w:val="en-AU"/>
        </w:rPr>
        <w:fldChar w:fldCharType="separate"/>
      </w:r>
      <w:r w:rsidR="008E5D7A">
        <w:rPr>
          <w:lang w:val="en-AU"/>
        </w:rPr>
        <w:t>3.4</w:t>
      </w:r>
      <w:r w:rsidR="00272A77">
        <w:rPr>
          <w:lang w:val="en-AU"/>
        </w:rPr>
        <w:fldChar w:fldCharType="end"/>
      </w:r>
      <w:r w:rsidR="00272A77">
        <w:rPr>
          <w:lang w:val="en-AU"/>
        </w:rPr>
        <w:t>),</w:t>
      </w:r>
      <w:r>
        <w:rPr>
          <w:lang w:val="en-AU"/>
        </w:rPr>
        <w:t xml:space="preserve"> </w:t>
      </w:r>
      <w:r w:rsidR="00272A77">
        <w:rPr>
          <w:lang w:val="en-AU"/>
        </w:rPr>
        <w:t xml:space="preserve">the </w:t>
      </w:r>
      <w:r>
        <w:rPr>
          <w:lang w:val="en-AU"/>
        </w:rPr>
        <w:t xml:space="preserve">investment in on-farm efficiency measures has also </w:t>
      </w:r>
      <w:r w:rsidR="00272A77">
        <w:rPr>
          <w:lang w:val="en-AU"/>
        </w:rPr>
        <w:t>helped many irrigators save time and money in their farming operations. Some quotes from those profiles are reproduced below.</w:t>
      </w:r>
    </w:p>
    <w:p w14:paraId="3902445B" w14:textId="77777777" w:rsidR="00272A77" w:rsidRDefault="00272A77" w:rsidP="00F04B3B">
      <w:pPr>
        <w:rPr>
          <w:lang w:val="en-AU"/>
        </w:rPr>
      </w:pPr>
      <w:r>
        <w:rPr>
          <w:lang w:val="en-AU"/>
        </w:rPr>
        <w:t>Graeme Nurse of Stanhope described the following benefits:</w:t>
      </w:r>
    </w:p>
    <w:p w14:paraId="27051C12" w14:textId="77777777" w:rsidR="00272A77" w:rsidRDefault="00272A77" w:rsidP="00272A77">
      <w:pPr>
        <w:pStyle w:val="Quote"/>
      </w:pPr>
      <w:r>
        <w:t>The work needed to be done and it would have taken me 10 to 12 years to do otherwise. There’s no doubt we’re more efficient – we’re using less water and saving time and labour. The work has definitely at least doubled the value of the property – it’s so much easier to run.</w:t>
      </w:r>
    </w:p>
    <w:p w14:paraId="0A129D2F" w14:textId="77777777" w:rsidR="00272A77" w:rsidRDefault="00272A77" w:rsidP="00272A77">
      <w:r>
        <w:t>Vin Warnock of Goomalibee experienced the following benefits:</w:t>
      </w:r>
    </w:p>
    <w:p w14:paraId="0724C1DC" w14:textId="77777777" w:rsidR="00272A77" w:rsidRDefault="00272A77" w:rsidP="00272A77">
      <w:pPr>
        <w:pStyle w:val="Quote"/>
      </w:pPr>
      <w:r>
        <w:t>After years of drought and poor milk prices it’s been a bit tight (financially). Things are turning around, but they’re turning around very slowly</w:t>
      </w:r>
      <w:r w:rsidR="00F11CB6">
        <w:t>. This funding has allowed me to carry out work now that I probably couldn’t have afforded to do at this time otherwise.</w:t>
      </w:r>
    </w:p>
    <w:p w14:paraId="282DC7BA" w14:textId="77777777" w:rsidR="00F11CB6" w:rsidRDefault="00F11CB6" w:rsidP="00F11CB6">
      <w:r>
        <w:t>Bill Gread of Katunga (among others) sees the benefits extending beyond the farm gate as well:</w:t>
      </w:r>
    </w:p>
    <w:p w14:paraId="7F53E3E3" w14:textId="77777777" w:rsidR="00F11CB6" w:rsidRDefault="00F11CB6" w:rsidP="00F11CB6">
      <w:pPr>
        <w:pStyle w:val="Quote"/>
      </w:pPr>
      <w:r>
        <w:t>I reckon this Goulburn-Murray region is a golden region – a real Garden of Eden – but because of the drought, we were watching it wither before our eyes. This modernisation work and extra funding for on-farm work is completely reinvigorating the region, it’s given us all a new lease on life.</w:t>
      </w:r>
    </w:p>
    <w:p w14:paraId="505A79F1" w14:textId="77777777" w:rsidR="00F11CB6" w:rsidRPr="00F11CB6" w:rsidRDefault="00F11CB6" w:rsidP="00F11CB6">
      <w:r>
        <w:t xml:space="preserve">Bill Gread’s observations suggest that there are synergistic benefits, at the farm-scale, from the Commonwealth’s investment in both on-farm and off-farm efficiencies. As will be discussed in more detail however in Chapter </w:t>
      </w:r>
      <w:r>
        <w:fldChar w:fldCharType="begin"/>
      </w:r>
      <w:r>
        <w:instrText xml:space="preserve"> REF _Ref342381195 \r \h </w:instrText>
      </w:r>
      <w:r>
        <w:fldChar w:fldCharType="separate"/>
      </w:r>
      <w:r w:rsidR="008E5D7A">
        <w:t>8</w:t>
      </w:r>
      <w:r>
        <w:fldChar w:fldCharType="end"/>
      </w:r>
      <w:r>
        <w:t>, the off-farm investment has tended to work at cross-purposes with the buyback.</w:t>
      </w:r>
    </w:p>
    <w:p w14:paraId="3A0503C5" w14:textId="77777777" w:rsidR="00C01A50" w:rsidRDefault="00C01A50" w:rsidP="00A97394">
      <w:pPr>
        <w:pStyle w:val="Heading2"/>
        <w:rPr>
          <w:lang w:val="en-AU"/>
        </w:rPr>
      </w:pPr>
      <w:bookmarkStart w:id="114" w:name="_Toc347747811"/>
      <w:r>
        <w:rPr>
          <w:lang w:val="en-AU"/>
        </w:rPr>
        <w:t>Observed ex-post behaviour of Victorians who participated in the buyback</w:t>
      </w:r>
      <w:bookmarkEnd w:id="114"/>
      <w:r>
        <w:rPr>
          <w:lang w:val="en-AU"/>
        </w:rPr>
        <w:t xml:space="preserve"> </w:t>
      </w:r>
    </w:p>
    <w:p w14:paraId="6D6E61A6" w14:textId="77777777" w:rsidR="00C01A50" w:rsidRDefault="00C01A50" w:rsidP="00593A9A">
      <w:pPr>
        <w:rPr>
          <w:lang w:val="en-AU"/>
        </w:rPr>
      </w:pPr>
      <w:r>
        <w:rPr>
          <w:lang w:val="en-AU"/>
        </w:rPr>
        <w:t xml:space="preserve">To support the production of this report, DELWP staff analysed the water holding and water use records for a sample (11% of the total population) of those irrigators who sold water entitlement to the Commonwealth, but continued to irrigate. </w:t>
      </w:r>
    </w:p>
    <w:p w14:paraId="3EA50947" w14:textId="77777777" w:rsidR="00C01A50" w:rsidRDefault="00C01A50" w:rsidP="00593A9A">
      <w:pPr>
        <w:rPr>
          <w:lang w:val="en-AU"/>
        </w:rPr>
      </w:pPr>
      <w:r>
        <w:rPr>
          <w:lang w:val="en-AU"/>
        </w:rPr>
        <w:t xml:space="preserve">Because water use varies from year to year, their pre-sale water availability and water use was compared with their water availability and use in the 2015/16 year – which </w:t>
      </w:r>
      <w:r w:rsidR="00A5477B">
        <w:rPr>
          <w:lang w:val="en-AU"/>
        </w:rPr>
        <w:t>was</w:t>
      </w:r>
      <w:r>
        <w:rPr>
          <w:lang w:val="en-AU"/>
        </w:rPr>
        <w:t xml:space="preserve"> judged to be the first year of use not masked by the extraordinarily high volumes of carryover made available in the La Nina years</w:t>
      </w:r>
      <w:r w:rsidR="00A5477B">
        <w:rPr>
          <w:lang w:val="en-AU"/>
        </w:rPr>
        <w:t xml:space="preserve"> (DELWP, 2016</w:t>
      </w:r>
      <w:r w:rsidR="004D3C4E">
        <w:rPr>
          <w:lang w:val="en-AU"/>
        </w:rPr>
        <w:t>a</w:t>
      </w:r>
      <w:r w:rsidR="00A5477B">
        <w:rPr>
          <w:lang w:val="en-AU"/>
        </w:rPr>
        <w:t>)</w:t>
      </w:r>
      <w:r>
        <w:rPr>
          <w:lang w:val="en-AU"/>
        </w:rPr>
        <w:t xml:space="preserve">. This separated the sample into three groups depending on the year they sold to the Commonwealth: 2008/09, 2009/10 or 2010/11. </w:t>
      </w:r>
    </w:p>
    <w:p w14:paraId="5C61B8E4" w14:textId="77777777" w:rsidR="00C01A50" w:rsidRDefault="00C01A50" w:rsidP="00593A9A">
      <w:pPr>
        <w:rPr>
          <w:lang w:val="en-AU"/>
        </w:rPr>
      </w:pPr>
      <w:r>
        <w:rPr>
          <w:lang w:val="en-AU"/>
        </w:rPr>
        <w:lastRenderedPageBreak/>
        <w:t>The sample was stratified according to the size of their original holdings and this was compared to a similar stratification of the total population. The 2008/09 sample represented the population well, the later years had a slight overrepresentation of small volume sales.</w:t>
      </w:r>
    </w:p>
    <w:p w14:paraId="2BFEE356" w14:textId="77777777" w:rsidR="00C01A50" w:rsidRPr="00D342D2" w:rsidRDefault="00C01A50" w:rsidP="00D342D2">
      <w:pPr>
        <w:rPr>
          <w:lang w:val="en-AU"/>
        </w:rPr>
      </w:pPr>
      <w:r w:rsidRPr="00D342D2">
        <w:rPr>
          <w:lang w:val="en-AU"/>
        </w:rPr>
        <w:t>Before sale to the Commonwealth, the irrigators in the sample were reliant on the allocations that accrued to their entitlement. Many also traded water and were net purchasers of water allocations (66-69% for 2008</w:t>
      </w:r>
      <w:r w:rsidR="005A3ABF">
        <w:rPr>
          <w:lang w:val="en-AU"/>
        </w:rPr>
        <w:t>/</w:t>
      </w:r>
      <w:r w:rsidRPr="00D342D2">
        <w:rPr>
          <w:lang w:val="en-AU"/>
        </w:rPr>
        <w:t>09 and 2009</w:t>
      </w:r>
      <w:r w:rsidR="005A3ABF">
        <w:rPr>
          <w:lang w:val="en-AU"/>
        </w:rPr>
        <w:t>/</w:t>
      </w:r>
      <w:r w:rsidRPr="00D342D2">
        <w:rPr>
          <w:lang w:val="en-AU"/>
        </w:rPr>
        <w:t>10 sellers, and 29% for 2010</w:t>
      </w:r>
      <w:r w:rsidR="005A3ABF">
        <w:rPr>
          <w:lang w:val="en-AU"/>
        </w:rPr>
        <w:t>/</w:t>
      </w:r>
      <w:r w:rsidRPr="00D342D2">
        <w:rPr>
          <w:lang w:val="en-AU"/>
        </w:rPr>
        <w:t>11 sellers). After the sale of entitlement to the Commonwealth, many changes to water sourcing decisions occurred:</w:t>
      </w:r>
    </w:p>
    <w:p w14:paraId="6C643248" w14:textId="77777777" w:rsidR="00C01A50" w:rsidRPr="008C4B29" w:rsidRDefault="00C01A50" w:rsidP="00302BD9">
      <w:pPr>
        <w:pStyle w:val="ListParagraph"/>
        <w:numPr>
          <w:ilvl w:val="0"/>
          <w:numId w:val="50"/>
        </w:numPr>
        <w:rPr>
          <w:lang w:val="en-AU"/>
        </w:rPr>
      </w:pPr>
      <w:r w:rsidRPr="008C4B29">
        <w:rPr>
          <w:lang w:val="en-AU"/>
        </w:rPr>
        <w:t>Many irrigators had sold all of their original entitlement (only 61-74% of the sample of irrigators from each year of selling still received allocations to their pre-buyback entitlement)</w:t>
      </w:r>
    </w:p>
    <w:p w14:paraId="5AE9DE67" w14:textId="77777777" w:rsidR="00C01A50" w:rsidRPr="008C4B29" w:rsidRDefault="00C01A50" w:rsidP="00302BD9">
      <w:pPr>
        <w:pStyle w:val="ListParagraph"/>
        <w:numPr>
          <w:ilvl w:val="0"/>
          <w:numId w:val="50"/>
        </w:numPr>
        <w:rPr>
          <w:lang w:val="en-AU"/>
        </w:rPr>
      </w:pPr>
      <w:r w:rsidRPr="008C4B29">
        <w:rPr>
          <w:lang w:val="en-AU"/>
        </w:rPr>
        <w:t>Many had purchased new entitlements (37-49% of the sample of irrigators from each year of selling received allocations to new entitlements purchased)</w:t>
      </w:r>
    </w:p>
    <w:p w14:paraId="59060523" w14:textId="77777777" w:rsidR="00C01A50" w:rsidRPr="008C4B29" w:rsidRDefault="00C01A50" w:rsidP="00302BD9">
      <w:pPr>
        <w:pStyle w:val="ListParagraph"/>
        <w:numPr>
          <w:ilvl w:val="0"/>
          <w:numId w:val="50"/>
        </w:numPr>
        <w:rPr>
          <w:lang w:val="en-AU"/>
        </w:rPr>
      </w:pPr>
      <w:r w:rsidRPr="008C4B29">
        <w:rPr>
          <w:lang w:val="en-AU"/>
        </w:rPr>
        <w:t>The proportion of net purchasers of water allocations increased:</w:t>
      </w:r>
    </w:p>
    <w:p w14:paraId="56FFE2E2" w14:textId="77777777" w:rsidR="00C01A50" w:rsidRPr="00106379" w:rsidRDefault="00C01A50" w:rsidP="00302BD9">
      <w:pPr>
        <w:pStyle w:val="ListParagraph"/>
        <w:numPr>
          <w:ilvl w:val="1"/>
          <w:numId w:val="39"/>
        </w:numPr>
        <w:rPr>
          <w:lang w:val="en-AU"/>
        </w:rPr>
      </w:pPr>
      <w:r w:rsidRPr="00106379">
        <w:rPr>
          <w:lang w:val="en-AU"/>
        </w:rPr>
        <w:t>from 69% to 77% for 2008</w:t>
      </w:r>
      <w:r>
        <w:rPr>
          <w:lang w:val="en-AU"/>
        </w:rPr>
        <w:t>/</w:t>
      </w:r>
      <w:r w:rsidRPr="00106379">
        <w:rPr>
          <w:lang w:val="en-AU"/>
        </w:rPr>
        <w:t>09 sellers</w:t>
      </w:r>
      <w:r>
        <w:rPr>
          <w:lang w:val="en-AU"/>
        </w:rPr>
        <w:t xml:space="preserve"> of entitlement under buyback</w:t>
      </w:r>
    </w:p>
    <w:p w14:paraId="31AFE9C5" w14:textId="77777777" w:rsidR="00C01A50" w:rsidRPr="00106379" w:rsidRDefault="00C01A50" w:rsidP="00302BD9">
      <w:pPr>
        <w:pStyle w:val="ListParagraph"/>
        <w:numPr>
          <w:ilvl w:val="1"/>
          <w:numId w:val="39"/>
        </w:numPr>
        <w:rPr>
          <w:lang w:val="en-AU"/>
        </w:rPr>
      </w:pPr>
      <w:r>
        <w:rPr>
          <w:lang w:val="en-AU"/>
        </w:rPr>
        <w:t>from 66% to 78% for 2009/</w:t>
      </w:r>
      <w:r w:rsidRPr="00106379">
        <w:rPr>
          <w:lang w:val="en-AU"/>
        </w:rPr>
        <w:t>10 sellers</w:t>
      </w:r>
      <w:r>
        <w:rPr>
          <w:lang w:val="en-AU"/>
        </w:rPr>
        <w:t xml:space="preserve"> of entitlement under buyback</w:t>
      </w:r>
    </w:p>
    <w:p w14:paraId="44A7F319" w14:textId="77777777" w:rsidR="00C01A50" w:rsidRPr="00106379" w:rsidRDefault="00C01A50" w:rsidP="00302BD9">
      <w:pPr>
        <w:pStyle w:val="ListParagraph"/>
        <w:numPr>
          <w:ilvl w:val="1"/>
          <w:numId w:val="39"/>
        </w:numPr>
        <w:rPr>
          <w:lang w:val="en-AU"/>
        </w:rPr>
      </w:pPr>
      <w:r>
        <w:rPr>
          <w:lang w:val="en-AU"/>
        </w:rPr>
        <w:t>from 29% to 63% for 2010/</w:t>
      </w:r>
      <w:r w:rsidRPr="00106379">
        <w:rPr>
          <w:lang w:val="en-AU"/>
        </w:rPr>
        <w:t>11 sellers</w:t>
      </w:r>
      <w:r>
        <w:rPr>
          <w:lang w:val="en-AU"/>
        </w:rPr>
        <w:t xml:space="preserve"> of entitlement under buyback</w:t>
      </w:r>
    </w:p>
    <w:p w14:paraId="7A25D953" w14:textId="77777777" w:rsidR="00C01A50" w:rsidRPr="008C4B29" w:rsidRDefault="00C01A50" w:rsidP="00302BD9">
      <w:pPr>
        <w:pStyle w:val="ListParagraph"/>
        <w:numPr>
          <w:ilvl w:val="0"/>
          <w:numId w:val="39"/>
        </w:numPr>
        <w:rPr>
          <w:lang w:val="en-AU"/>
        </w:rPr>
      </w:pPr>
      <w:r w:rsidRPr="008C4B29">
        <w:rPr>
          <w:lang w:val="en-AU"/>
        </w:rPr>
        <w:t>The reliance on water allocation purchases increased:</w:t>
      </w:r>
    </w:p>
    <w:p w14:paraId="190F3DCA" w14:textId="77777777" w:rsidR="00C01A50" w:rsidRPr="00106379" w:rsidRDefault="00C01A50" w:rsidP="00302BD9">
      <w:pPr>
        <w:pStyle w:val="ListParagraph"/>
        <w:numPr>
          <w:ilvl w:val="1"/>
          <w:numId w:val="38"/>
        </w:numPr>
        <w:rPr>
          <w:lang w:val="en-AU"/>
        </w:rPr>
      </w:pPr>
      <w:r w:rsidRPr="00106379">
        <w:rPr>
          <w:lang w:val="en-AU"/>
        </w:rPr>
        <w:t>from 11% of water available t</w:t>
      </w:r>
      <w:r>
        <w:rPr>
          <w:lang w:val="en-AU"/>
        </w:rPr>
        <w:t>o 52% across the sample of 2008/</w:t>
      </w:r>
      <w:r w:rsidRPr="00106379">
        <w:rPr>
          <w:lang w:val="en-AU"/>
        </w:rPr>
        <w:t>09 sellers</w:t>
      </w:r>
    </w:p>
    <w:p w14:paraId="78C232F0" w14:textId="77777777" w:rsidR="00C01A50" w:rsidRPr="00106379" w:rsidRDefault="00C01A50" w:rsidP="00302BD9">
      <w:pPr>
        <w:pStyle w:val="ListParagraph"/>
        <w:numPr>
          <w:ilvl w:val="1"/>
          <w:numId w:val="38"/>
        </w:numPr>
        <w:rPr>
          <w:lang w:val="en-AU"/>
        </w:rPr>
      </w:pPr>
      <w:r w:rsidRPr="00106379">
        <w:rPr>
          <w:lang w:val="en-AU"/>
        </w:rPr>
        <w:t>from 12% of water available t</w:t>
      </w:r>
      <w:r>
        <w:rPr>
          <w:lang w:val="en-AU"/>
        </w:rPr>
        <w:t>o 39% across the sample of 2009/</w:t>
      </w:r>
      <w:r w:rsidRPr="00106379">
        <w:rPr>
          <w:lang w:val="en-AU"/>
        </w:rPr>
        <w:t>10 sellers</w:t>
      </w:r>
    </w:p>
    <w:p w14:paraId="4D29291B" w14:textId="77777777" w:rsidR="00C01A50" w:rsidRPr="00106379" w:rsidRDefault="00C01A50" w:rsidP="00302BD9">
      <w:pPr>
        <w:pStyle w:val="ListParagraph"/>
        <w:numPr>
          <w:ilvl w:val="1"/>
          <w:numId w:val="38"/>
        </w:numPr>
        <w:rPr>
          <w:lang w:val="en-AU"/>
        </w:rPr>
      </w:pPr>
      <w:r w:rsidRPr="00106379">
        <w:rPr>
          <w:lang w:val="en-AU"/>
        </w:rPr>
        <w:t>from -3% of water available t</w:t>
      </w:r>
      <w:r>
        <w:rPr>
          <w:lang w:val="en-AU"/>
        </w:rPr>
        <w:t>o 26% across the sample of 2010/</w:t>
      </w:r>
      <w:r w:rsidRPr="00106379">
        <w:rPr>
          <w:lang w:val="en-AU"/>
        </w:rPr>
        <w:t>11 sellers</w:t>
      </w:r>
    </w:p>
    <w:p w14:paraId="3F1ADDD4" w14:textId="77777777" w:rsidR="00C01A50" w:rsidRDefault="00C01A50" w:rsidP="00593A9A">
      <w:pPr>
        <w:rPr>
          <w:lang w:val="en-AU"/>
        </w:rPr>
      </w:pPr>
      <w:r>
        <w:rPr>
          <w:lang w:val="en-AU"/>
        </w:rPr>
        <w:t xml:space="preserve">The key results are summarised in the following charts. </w:t>
      </w:r>
    </w:p>
    <w:p w14:paraId="04BCF2E0" w14:textId="77777777" w:rsidR="00C01A50" w:rsidRDefault="00877C98" w:rsidP="00DE7091">
      <w:pPr>
        <w:keepNext/>
        <w:jc w:val="center"/>
      </w:pPr>
      <w:r>
        <w:rPr>
          <w:noProof/>
          <w:lang w:val="en-AU" w:eastAsia="en-AU" w:bidi="ar-SA"/>
        </w:rPr>
        <w:drawing>
          <wp:inline distT="0" distB="0" distL="0" distR="0" wp14:anchorId="1D6A32CD" wp14:editId="0110F88B">
            <wp:extent cx="452755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FBE1B38" w14:textId="77777777" w:rsidR="00C01A50" w:rsidRDefault="00C01A50" w:rsidP="008C0A30">
      <w:pPr>
        <w:pStyle w:val="Caption"/>
      </w:pPr>
      <w:r>
        <w:t xml:space="preserve">Figure </w:t>
      </w:r>
      <w:r>
        <w:fldChar w:fldCharType="begin"/>
      </w:r>
      <w:r>
        <w:instrText xml:space="preserve"> SEQ Figure \* ARABIC </w:instrText>
      </w:r>
      <w:r>
        <w:fldChar w:fldCharType="separate"/>
      </w:r>
      <w:r w:rsidR="008E5D7A">
        <w:rPr>
          <w:noProof/>
        </w:rPr>
        <w:t>28</w:t>
      </w:r>
      <w:r>
        <w:fldChar w:fldCharType="end"/>
      </w:r>
      <w:r>
        <w:t>: Volumetric water sourcing and use before and after selling entitlements to the Commonwealth (for sample of sellers who participated in 2009</w:t>
      </w:r>
      <w:r w:rsidR="005A3ABF">
        <w:t>/</w:t>
      </w:r>
      <w:r>
        <w:t>10 buyback)</w:t>
      </w:r>
      <w:r w:rsidRPr="008C0A30">
        <w:t xml:space="preserve"> </w:t>
      </w:r>
    </w:p>
    <w:p w14:paraId="1B2714C1" w14:textId="77777777" w:rsidR="00C01A50" w:rsidRPr="001E43DE" w:rsidRDefault="00C01A50" w:rsidP="008C0A30">
      <w:pPr>
        <w:pStyle w:val="Caption"/>
        <w:rPr>
          <w:b w:val="0"/>
        </w:rPr>
      </w:pPr>
      <w:r w:rsidRPr="001E43DE">
        <w:rPr>
          <w:rFonts w:eastAsia="Calibri"/>
          <w:b w:val="0"/>
          <w:color w:val="000000"/>
          <w:sz w:val="18"/>
          <w:szCs w:val="22"/>
          <w:lang w:val="en-AU" w:bidi="ar-SA"/>
        </w:rPr>
        <w:t>Source:</w:t>
      </w:r>
      <w:r>
        <w:rPr>
          <w:rFonts w:eastAsia="Calibri"/>
          <w:b w:val="0"/>
          <w:color w:val="000000"/>
          <w:sz w:val="18"/>
          <w:szCs w:val="22"/>
          <w:lang w:val="en-AU" w:bidi="ar-SA"/>
        </w:rPr>
        <w:t xml:space="preserve">  pers. comm. DELWP 2016.</w:t>
      </w:r>
    </w:p>
    <w:p w14:paraId="4553E8AF" w14:textId="77777777" w:rsidR="00C01A50" w:rsidRDefault="00877C98" w:rsidP="00DE7091">
      <w:pPr>
        <w:keepNext/>
        <w:jc w:val="center"/>
        <w:rPr>
          <w:lang w:val="en-AU"/>
        </w:rPr>
      </w:pPr>
      <w:r>
        <w:rPr>
          <w:noProof/>
          <w:lang w:val="en-AU" w:eastAsia="en-AU" w:bidi="ar-SA"/>
        </w:rPr>
        <w:lastRenderedPageBreak/>
        <w:drawing>
          <wp:inline distT="0" distB="0" distL="0" distR="0" wp14:anchorId="3BC4FEB0" wp14:editId="56F73811">
            <wp:extent cx="452755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F1260BC" w14:textId="77777777" w:rsidR="00C01A50" w:rsidRDefault="00C01A50" w:rsidP="008C0A30">
      <w:pPr>
        <w:pStyle w:val="Caption"/>
      </w:pPr>
      <w:r>
        <w:t xml:space="preserve">Figure </w:t>
      </w:r>
      <w:r>
        <w:fldChar w:fldCharType="begin"/>
      </w:r>
      <w:r>
        <w:instrText xml:space="preserve"> SEQ Figure \* ARABIC </w:instrText>
      </w:r>
      <w:r>
        <w:fldChar w:fldCharType="separate"/>
      </w:r>
      <w:r w:rsidR="008E5D7A">
        <w:rPr>
          <w:noProof/>
        </w:rPr>
        <w:t>29</w:t>
      </w:r>
      <w:r>
        <w:fldChar w:fldCharType="end"/>
      </w:r>
      <w:r>
        <w:t>: Percentage water sourcing and use before and after selling entitlements to the Commonwealth (for sample of sellers who participated in 2009</w:t>
      </w:r>
      <w:r w:rsidR="005A3ABF">
        <w:t>/</w:t>
      </w:r>
      <w:r>
        <w:t>10 buyback)</w:t>
      </w:r>
      <w:r w:rsidRPr="008C0A30">
        <w:t xml:space="preserve"> </w:t>
      </w:r>
    </w:p>
    <w:p w14:paraId="3F15D9FF" w14:textId="77777777" w:rsidR="00C01A50" w:rsidRDefault="00C01A50" w:rsidP="008C0A30">
      <w:pPr>
        <w:pStyle w:val="Caption"/>
      </w:pPr>
      <w:r w:rsidRPr="001E43DE">
        <w:rPr>
          <w:rFonts w:eastAsia="Calibri"/>
          <w:b w:val="0"/>
          <w:color w:val="000000"/>
          <w:sz w:val="18"/>
          <w:szCs w:val="22"/>
          <w:lang w:val="en-AU" w:bidi="ar-SA"/>
        </w:rPr>
        <w:t>Source:</w:t>
      </w:r>
      <w:r>
        <w:rPr>
          <w:rFonts w:eastAsia="Calibri"/>
          <w:b w:val="0"/>
          <w:color w:val="000000"/>
          <w:sz w:val="18"/>
          <w:szCs w:val="22"/>
          <w:lang w:val="en-AU" w:bidi="ar-SA"/>
        </w:rPr>
        <w:t xml:space="preserve">  pers. comm. DELWP 2016.</w:t>
      </w:r>
    </w:p>
    <w:p w14:paraId="4458F356" w14:textId="77777777" w:rsidR="00C01A50" w:rsidRDefault="00877C98" w:rsidP="00DE7091">
      <w:pPr>
        <w:keepNext/>
        <w:jc w:val="center"/>
        <w:rPr>
          <w:lang w:val="en-AU"/>
        </w:rPr>
      </w:pPr>
      <w:r>
        <w:rPr>
          <w:noProof/>
          <w:lang w:val="en-AU" w:eastAsia="en-AU" w:bidi="ar-SA"/>
        </w:rPr>
        <w:drawing>
          <wp:inline distT="0" distB="0" distL="0" distR="0" wp14:anchorId="293750CC" wp14:editId="4FC1AD20">
            <wp:extent cx="452755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37C1312" w14:textId="77777777" w:rsidR="00C01A50" w:rsidRDefault="00C01A50" w:rsidP="008C0A30">
      <w:pPr>
        <w:pStyle w:val="Caption"/>
      </w:pPr>
      <w:r>
        <w:t xml:space="preserve">Figure </w:t>
      </w:r>
      <w:r>
        <w:fldChar w:fldCharType="begin"/>
      </w:r>
      <w:r>
        <w:instrText xml:space="preserve"> SEQ Figure \* ARABIC </w:instrText>
      </w:r>
      <w:r>
        <w:fldChar w:fldCharType="separate"/>
      </w:r>
      <w:r w:rsidR="008E5D7A">
        <w:rPr>
          <w:noProof/>
        </w:rPr>
        <w:t>30</w:t>
      </w:r>
      <w:r>
        <w:fldChar w:fldCharType="end"/>
      </w:r>
      <w:r>
        <w:t>: Volumetric water sourcing and use before and after selling entitlements to the Commonwealth (for sample of sellers who participated in 2010</w:t>
      </w:r>
      <w:r w:rsidR="005A3ABF">
        <w:t>/</w:t>
      </w:r>
      <w:r>
        <w:t>11 buyback)</w:t>
      </w:r>
      <w:r w:rsidRPr="008C0A30">
        <w:t xml:space="preserve"> </w:t>
      </w:r>
    </w:p>
    <w:p w14:paraId="69F4516F" w14:textId="77777777" w:rsidR="00C01A50" w:rsidRDefault="00C01A50" w:rsidP="008C0A30">
      <w:pPr>
        <w:pStyle w:val="Caption"/>
      </w:pPr>
      <w:r w:rsidRPr="001E43DE">
        <w:rPr>
          <w:rFonts w:eastAsia="Calibri"/>
          <w:b w:val="0"/>
          <w:color w:val="000000"/>
          <w:sz w:val="18"/>
          <w:szCs w:val="22"/>
          <w:lang w:val="en-AU" w:bidi="ar-SA"/>
        </w:rPr>
        <w:t>Source:</w:t>
      </w:r>
      <w:r>
        <w:rPr>
          <w:rFonts w:eastAsia="Calibri"/>
          <w:b w:val="0"/>
          <w:color w:val="000000"/>
          <w:sz w:val="18"/>
          <w:szCs w:val="22"/>
          <w:lang w:val="en-AU" w:bidi="ar-SA"/>
        </w:rPr>
        <w:t xml:space="preserve">  pers. comm. DELWP 2016.</w:t>
      </w:r>
    </w:p>
    <w:p w14:paraId="5CE4FC7E" w14:textId="77777777" w:rsidR="00C01A50" w:rsidRDefault="00877C98" w:rsidP="00DE7091">
      <w:pPr>
        <w:keepNext/>
        <w:jc w:val="center"/>
      </w:pPr>
      <w:r>
        <w:rPr>
          <w:noProof/>
          <w:lang w:val="en-AU" w:eastAsia="en-AU" w:bidi="ar-SA"/>
        </w:rPr>
        <w:lastRenderedPageBreak/>
        <w:drawing>
          <wp:inline distT="0" distB="0" distL="0" distR="0" wp14:anchorId="49776314" wp14:editId="3EF49FB6">
            <wp:extent cx="452755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7B76090" w14:textId="77777777" w:rsidR="00C01A50" w:rsidRDefault="00C01A50" w:rsidP="008C0A30">
      <w:pPr>
        <w:pStyle w:val="Caption"/>
      </w:pPr>
      <w:r>
        <w:t xml:space="preserve">Figure </w:t>
      </w:r>
      <w:r>
        <w:fldChar w:fldCharType="begin"/>
      </w:r>
      <w:r>
        <w:instrText xml:space="preserve"> SEQ Figure \* ARABIC </w:instrText>
      </w:r>
      <w:r>
        <w:fldChar w:fldCharType="separate"/>
      </w:r>
      <w:r w:rsidR="008E5D7A">
        <w:rPr>
          <w:noProof/>
        </w:rPr>
        <w:t>31</w:t>
      </w:r>
      <w:r>
        <w:fldChar w:fldCharType="end"/>
      </w:r>
      <w:r>
        <w:t>: Percentage water sourcing and use before and after selling entitlements to the Commonwealth (for sample of sellers who participated in 2010</w:t>
      </w:r>
      <w:r w:rsidR="005A3ABF">
        <w:t>/</w:t>
      </w:r>
      <w:r>
        <w:t>11 buyback)</w:t>
      </w:r>
      <w:r w:rsidRPr="008C0A30">
        <w:t xml:space="preserve"> </w:t>
      </w:r>
    </w:p>
    <w:p w14:paraId="310058A5" w14:textId="77777777" w:rsidR="00C01A50" w:rsidRDefault="00C01A50" w:rsidP="008C0A30">
      <w:pPr>
        <w:pStyle w:val="Caption"/>
      </w:pPr>
      <w:r w:rsidRPr="001E43DE">
        <w:rPr>
          <w:rFonts w:eastAsia="Calibri"/>
          <w:b w:val="0"/>
          <w:color w:val="000000"/>
          <w:sz w:val="18"/>
          <w:szCs w:val="22"/>
          <w:lang w:val="en-AU" w:bidi="ar-SA"/>
        </w:rPr>
        <w:t>Source:</w:t>
      </w:r>
      <w:r>
        <w:rPr>
          <w:rFonts w:eastAsia="Calibri"/>
          <w:b w:val="0"/>
          <w:color w:val="000000"/>
          <w:sz w:val="18"/>
          <w:szCs w:val="22"/>
          <w:lang w:val="en-AU" w:bidi="ar-SA"/>
        </w:rPr>
        <w:t xml:space="preserve">  pers. comm. DELWP 2016.</w:t>
      </w:r>
    </w:p>
    <w:p w14:paraId="75556DBB" w14:textId="77777777" w:rsidR="00C01A50" w:rsidRPr="00D61747" w:rsidRDefault="00877C98" w:rsidP="00DE7091">
      <w:pPr>
        <w:keepNext/>
        <w:jc w:val="center"/>
      </w:pPr>
      <w:r>
        <w:rPr>
          <w:noProof/>
          <w:lang w:val="en-AU" w:eastAsia="en-AU" w:bidi="ar-SA"/>
        </w:rPr>
        <w:drawing>
          <wp:inline distT="0" distB="0" distL="0" distR="0" wp14:anchorId="779D8758" wp14:editId="1600A09C">
            <wp:extent cx="452755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95F9D30" w14:textId="77777777" w:rsidR="00C01A50" w:rsidRDefault="00C01A50" w:rsidP="00DE7091">
      <w:pPr>
        <w:pStyle w:val="Caption"/>
      </w:pPr>
      <w:r>
        <w:t xml:space="preserve">Figure </w:t>
      </w:r>
      <w:r>
        <w:fldChar w:fldCharType="begin"/>
      </w:r>
      <w:r>
        <w:instrText xml:space="preserve"> SEQ Figure \* ARABIC </w:instrText>
      </w:r>
      <w:r>
        <w:fldChar w:fldCharType="separate"/>
      </w:r>
      <w:r w:rsidR="008E5D7A">
        <w:rPr>
          <w:noProof/>
        </w:rPr>
        <w:t>32</w:t>
      </w:r>
      <w:r>
        <w:fldChar w:fldCharType="end"/>
      </w:r>
      <w:r>
        <w:t>: Volumetric water sourcing and use before and after selling entitlements to the Commonwealth (for sample of sellers who participated in 20</w:t>
      </w:r>
      <w:r w:rsidR="00877C98">
        <w:t>1</w:t>
      </w:r>
      <w:r>
        <w:t>1</w:t>
      </w:r>
      <w:r w:rsidR="005A3ABF">
        <w:t>/</w:t>
      </w:r>
      <w:r>
        <w:t>12 buyback)</w:t>
      </w:r>
      <w:r w:rsidRPr="00DE7091">
        <w:t xml:space="preserve"> </w:t>
      </w:r>
    </w:p>
    <w:p w14:paraId="141E16D4" w14:textId="77777777" w:rsidR="00C01A50" w:rsidRDefault="00C01A50" w:rsidP="00DE7091">
      <w:pPr>
        <w:pStyle w:val="Caption"/>
      </w:pPr>
      <w:r w:rsidRPr="001E43DE">
        <w:rPr>
          <w:rFonts w:eastAsia="Calibri"/>
          <w:b w:val="0"/>
          <w:color w:val="000000"/>
          <w:sz w:val="18"/>
          <w:szCs w:val="22"/>
          <w:lang w:val="en-AU" w:bidi="ar-SA"/>
        </w:rPr>
        <w:t>Source:</w:t>
      </w:r>
      <w:r>
        <w:rPr>
          <w:rFonts w:eastAsia="Calibri"/>
          <w:b w:val="0"/>
          <w:color w:val="000000"/>
          <w:sz w:val="18"/>
          <w:szCs w:val="22"/>
          <w:lang w:val="en-AU" w:bidi="ar-SA"/>
        </w:rPr>
        <w:t xml:space="preserve">  pers. comm. DELWP 2016.</w:t>
      </w:r>
    </w:p>
    <w:p w14:paraId="615E7511" w14:textId="77777777" w:rsidR="00C01A50" w:rsidRDefault="00877C98" w:rsidP="00DE7091">
      <w:pPr>
        <w:keepNext/>
        <w:jc w:val="center"/>
        <w:rPr>
          <w:lang w:val="en-AU"/>
        </w:rPr>
      </w:pPr>
      <w:r>
        <w:rPr>
          <w:noProof/>
          <w:lang w:val="en-AU" w:eastAsia="en-AU" w:bidi="ar-SA"/>
        </w:rPr>
        <w:lastRenderedPageBreak/>
        <w:drawing>
          <wp:inline distT="0" distB="0" distL="0" distR="0" wp14:anchorId="4408BBA6" wp14:editId="705015A0">
            <wp:extent cx="452755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FBDF3E6" w14:textId="77777777" w:rsidR="00C01A50" w:rsidRDefault="00C01A50" w:rsidP="00DE7091">
      <w:pPr>
        <w:pStyle w:val="Caption"/>
      </w:pPr>
      <w:r>
        <w:t xml:space="preserve">Figure </w:t>
      </w:r>
      <w:r>
        <w:fldChar w:fldCharType="begin"/>
      </w:r>
      <w:r>
        <w:instrText xml:space="preserve"> SEQ Figure \* ARABIC </w:instrText>
      </w:r>
      <w:r>
        <w:fldChar w:fldCharType="separate"/>
      </w:r>
      <w:r w:rsidR="008E5D7A">
        <w:rPr>
          <w:noProof/>
        </w:rPr>
        <w:t>33</w:t>
      </w:r>
      <w:r>
        <w:fldChar w:fldCharType="end"/>
      </w:r>
      <w:r>
        <w:t>: Percentage water sourcing and use before and after selling entitlements to the Commonwealth (for sample of sellers who participated in 2011</w:t>
      </w:r>
      <w:r w:rsidR="005A3ABF">
        <w:t>/</w:t>
      </w:r>
      <w:r>
        <w:t>12 buyback)</w:t>
      </w:r>
      <w:r w:rsidRPr="00DE7091">
        <w:t xml:space="preserve"> </w:t>
      </w:r>
    </w:p>
    <w:p w14:paraId="3542BFE2" w14:textId="77777777" w:rsidR="00C01A50" w:rsidRDefault="00C01A50" w:rsidP="00DE7091">
      <w:pPr>
        <w:pStyle w:val="Caption"/>
      </w:pPr>
      <w:r w:rsidRPr="001E43DE">
        <w:rPr>
          <w:rFonts w:eastAsia="Calibri"/>
          <w:b w:val="0"/>
          <w:color w:val="000000"/>
          <w:sz w:val="18"/>
          <w:szCs w:val="22"/>
          <w:lang w:val="en-AU" w:bidi="ar-SA"/>
        </w:rPr>
        <w:t>Source:</w:t>
      </w:r>
      <w:r>
        <w:rPr>
          <w:rFonts w:eastAsia="Calibri"/>
          <w:b w:val="0"/>
          <w:color w:val="000000"/>
          <w:sz w:val="18"/>
          <w:szCs w:val="22"/>
          <w:lang w:val="en-AU" w:bidi="ar-SA"/>
        </w:rPr>
        <w:t xml:space="preserve">  pers. comm. DELWP 2016.</w:t>
      </w:r>
    </w:p>
    <w:p w14:paraId="5CC8085B" w14:textId="77777777" w:rsidR="00C01A50" w:rsidRDefault="00C01A50" w:rsidP="00CC5E2A">
      <w:pPr>
        <w:pStyle w:val="Heading2"/>
        <w:rPr>
          <w:lang w:val="en-AU"/>
        </w:rPr>
      </w:pPr>
      <w:bookmarkStart w:id="115" w:name="_Toc347747812"/>
      <w:r>
        <w:rPr>
          <w:lang w:val="en-AU"/>
        </w:rPr>
        <w:t>Corroborating evidence from ABARES Farm Surveys</w:t>
      </w:r>
      <w:bookmarkEnd w:id="115"/>
    </w:p>
    <w:p w14:paraId="00F5814D" w14:textId="77777777" w:rsidR="00C01A50" w:rsidRDefault="00C01A50" w:rsidP="00593A9A">
      <w:pPr>
        <w:rPr>
          <w:lang w:val="en-AU"/>
        </w:rPr>
      </w:pPr>
      <w:r>
        <w:rPr>
          <w:lang w:val="en-AU"/>
        </w:rPr>
        <w:t>Results from ABARES Farm Surveys corroborate the above analysis with respect to dairy farms. ABARES (2015) found:</w:t>
      </w:r>
    </w:p>
    <w:p w14:paraId="656E0C36" w14:textId="77777777" w:rsidR="00C01A50" w:rsidRDefault="00C01A50" w:rsidP="009F035D">
      <w:pPr>
        <w:pStyle w:val="Quote"/>
        <w:rPr>
          <w:lang w:val="en-AU"/>
        </w:rPr>
      </w:pPr>
      <w:r w:rsidRPr="008D32D8">
        <w:rPr>
          <w:lang w:val="en-AU"/>
        </w:rPr>
        <w:t>In 2012–13 and 2013–14 the proportion of dairy farmers trading water increased significantly as a result of permanent water access entitlement sales and a change in business and risk management strategies. Many farmers had sold water access entitlements and, subject to price, opted to purchase temporary water as required</w:t>
      </w:r>
    </w:p>
    <w:p w14:paraId="49D75806" w14:textId="77777777" w:rsidR="00C01A50" w:rsidRDefault="00C01A50" w:rsidP="009F035D">
      <w:pPr>
        <w:pStyle w:val="Quote"/>
        <w:rPr>
          <w:lang w:val="en-AU"/>
        </w:rPr>
      </w:pPr>
      <w:r>
        <w:rPr>
          <w:lang w:val="en-AU"/>
        </w:rPr>
        <w:t xml:space="preserve">… </w:t>
      </w:r>
      <w:r w:rsidRPr="008D32D8">
        <w:rPr>
          <w:lang w:val="en-AU"/>
        </w:rPr>
        <w:t>Some dairy farmers at the workshop indicated this was because of changes in business strategy to source water from temporary markets rather than holding permanent entitlements</w:t>
      </w:r>
    </w:p>
    <w:p w14:paraId="6558AC67" w14:textId="77777777" w:rsidR="00C01A50" w:rsidRDefault="00C01A50" w:rsidP="009F035D">
      <w:pPr>
        <w:pStyle w:val="Quote"/>
        <w:rPr>
          <w:lang w:val="en-AU"/>
        </w:rPr>
      </w:pPr>
      <w:r>
        <w:rPr>
          <w:lang w:val="en-AU"/>
        </w:rPr>
        <w:t xml:space="preserve">… </w:t>
      </w:r>
      <w:r w:rsidRPr="008D32D8">
        <w:rPr>
          <w:lang w:val="en-AU"/>
        </w:rPr>
        <w:t>Some dairy farms now have no or few permanent water entitlements and completely rely on the temporary water market.</w:t>
      </w:r>
    </w:p>
    <w:p w14:paraId="15DADD89" w14:textId="77777777" w:rsidR="00C01A50" w:rsidRDefault="00C01A50" w:rsidP="00593A9A">
      <w:pPr>
        <w:rPr>
          <w:lang w:val="en-AU"/>
        </w:rPr>
      </w:pPr>
      <w:r>
        <w:rPr>
          <w:lang w:val="en-AU"/>
        </w:rPr>
        <w:t>In the years after the bulk of buyback had occurred, the majority of dairy farms surveyed by ABARES were net buyers in the allocation market. In 2012</w:t>
      </w:r>
      <w:r w:rsidR="005A3ABF">
        <w:rPr>
          <w:lang w:val="en-AU"/>
        </w:rPr>
        <w:t>/</w:t>
      </w:r>
      <w:r>
        <w:rPr>
          <w:lang w:val="en-AU"/>
        </w:rPr>
        <w:t>13 and 2013</w:t>
      </w:r>
      <w:r w:rsidR="005A3ABF">
        <w:rPr>
          <w:lang w:val="en-AU"/>
        </w:rPr>
        <w:t>/</w:t>
      </w:r>
      <w:r>
        <w:rPr>
          <w:lang w:val="en-AU"/>
        </w:rPr>
        <w:t>14, around 60% of farms were net buyers.</w:t>
      </w:r>
    </w:p>
    <w:p w14:paraId="08719CC0" w14:textId="77777777" w:rsidR="00C01A50" w:rsidRDefault="00C01A50" w:rsidP="008E300C">
      <w:pPr>
        <w:pStyle w:val="NoSpacing"/>
        <w:jc w:val="center"/>
      </w:pPr>
      <w:r>
        <w:rPr>
          <w:noProof/>
          <w:lang w:eastAsia="en-AU"/>
        </w:rPr>
        <w:lastRenderedPageBreak/>
        <w:drawing>
          <wp:inline distT="0" distB="0" distL="0" distR="0" wp14:anchorId="744F7679" wp14:editId="2780E616">
            <wp:extent cx="5743575" cy="3267075"/>
            <wp:effectExtent l="19050" t="0" r="9525" b="0"/>
            <wp:docPr id="210" name="Picture 15" descr="From 2006-07 to 2013-14, a high proportion of dairy farms did not trad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5743575" cy="3267075"/>
                    </a:xfrm>
                    <a:prstGeom prst="rect">
                      <a:avLst/>
                    </a:prstGeom>
                    <a:noFill/>
                    <a:ln w="9525">
                      <a:noFill/>
                      <a:miter lim="800000"/>
                      <a:headEnd/>
                      <a:tailEnd/>
                    </a:ln>
                  </pic:spPr>
                </pic:pic>
              </a:graphicData>
            </a:graphic>
          </wp:inline>
        </w:drawing>
      </w:r>
    </w:p>
    <w:p w14:paraId="09972C46" w14:textId="77777777" w:rsidR="00C01A50" w:rsidRDefault="00C01A50" w:rsidP="00593A9A">
      <w:pPr>
        <w:pStyle w:val="Caption"/>
      </w:pPr>
      <w:bookmarkStart w:id="116" w:name="_Ref419967404"/>
      <w:bookmarkStart w:id="117" w:name="_Toc437954731"/>
      <w:r>
        <w:t xml:space="preserve">Figure </w:t>
      </w:r>
      <w:r>
        <w:fldChar w:fldCharType="begin"/>
      </w:r>
      <w:r>
        <w:instrText xml:space="preserve"> SEQ Figure \* ARABIC </w:instrText>
      </w:r>
      <w:r>
        <w:fldChar w:fldCharType="separate"/>
      </w:r>
      <w:r w:rsidR="008E5D7A">
        <w:rPr>
          <w:noProof/>
        </w:rPr>
        <w:t>34</w:t>
      </w:r>
      <w:r>
        <w:fldChar w:fldCharType="end"/>
      </w:r>
      <w:bookmarkEnd w:id="116"/>
      <w:r>
        <w:t xml:space="preserve"> Percentage of dairy farms by allocation water trading activity, Murray–Darling Basin, 2006–07 to 2013–14</w:t>
      </w:r>
      <w:bookmarkEnd w:id="117"/>
    </w:p>
    <w:p w14:paraId="078A2797" w14:textId="77777777" w:rsidR="00C01A50" w:rsidRDefault="00C01A50" w:rsidP="00593A9A">
      <w:pPr>
        <w:pStyle w:val="Notesourcetext"/>
      </w:pPr>
      <w:r>
        <w:t>Note: Net buyers/sellers are farms that bought/sold more water than they sold/bought. Survey estimates for water trading are not available for 2014–15.</w:t>
      </w:r>
      <w:r>
        <w:br/>
        <w:t>Source: ABARES 2015.</w:t>
      </w:r>
    </w:p>
    <w:p w14:paraId="5A1D7B22" w14:textId="77777777" w:rsidR="00C01A50" w:rsidRDefault="00C01A50" w:rsidP="00593A9A">
      <w:pPr>
        <w:rPr>
          <w:lang w:val="en-AU"/>
        </w:rPr>
      </w:pPr>
      <w:r>
        <w:rPr>
          <w:lang w:val="en-AU"/>
        </w:rPr>
        <w:t xml:space="preserve">This is in contrast to horticultural farms in the MDB, many of which were net buyers of water allocations during the drought, but have not been observed to be as active in water allocation purchases in the years since the bulk of buyback occurred. ABARES (2016) presents the proportions of horticultural farms that were net seller </w:t>
      </w:r>
      <w:r w:rsidR="00EB24E5">
        <w:rPr>
          <w:lang w:val="en-AU"/>
        </w:rPr>
        <w:t>of</w:t>
      </w:r>
      <w:r>
        <w:rPr>
          <w:lang w:val="en-AU"/>
        </w:rPr>
        <w:t xml:space="preserve"> citrus and pome and stone fruits, however does not report similar information on other types of horticultural</w:t>
      </w:r>
      <w:r w:rsidR="00EB24E5">
        <w:rPr>
          <w:lang w:val="en-AU"/>
        </w:rPr>
        <w:t xml:space="preserve"> farms that were net sellers of</w:t>
      </w:r>
      <w:r>
        <w:rPr>
          <w:lang w:val="en-AU"/>
        </w:rPr>
        <w:t xml:space="preserve"> grapes or nuts.</w:t>
      </w:r>
    </w:p>
    <w:p w14:paraId="3809B8CB" w14:textId="77777777" w:rsidR="00C01A50" w:rsidRDefault="00C01A50" w:rsidP="008E300C">
      <w:pPr>
        <w:pStyle w:val="Notesourcetext"/>
        <w:jc w:val="center"/>
      </w:pPr>
      <w:r w:rsidRPr="00AC71CE">
        <w:rPr>
          <w:noProof/>
          <w:lang w:eastAsia="en-AU"/>
        </w:rPr>
        <w:drawing>
          <wp:inline distT="0" distB="0" distL="0" distR="0" wp14:anchorId="1707A3A6" wp14:editId="1B1DDFFD">
            <wp:extent cx="4676775" cy="2409825"/>
            <wp:effectExtent l="0" t="0" r="9525" b="9525"/>
            <wp:docPr id="216" name="Picture 216" descr="The highest proportions of citrus farms buying or selling water occurred during the drought years from 2006–07 to 2009–10. A minimum of 27 per cent of farms did not trade water in an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4676775" cy="2409825"/>
                    </a:xfrm>
                    <a:prstGeom prst="rect">
                      <a:avLst/>
                    </a:prstGeom>
                    <a:noFill/>
                    <a:ln w="9525">
                      <a:noFill/>
                      <a:miter lim="800000"/>
                      <a:headEnd/>
                      <a:tailEnd/>
                    </a:ln>
                  </pic:spPr>
                </pic:pic>
              </a:graphicData>
            </a:graphic>
          </wp:inline>
        </w:drawing>
      </w:r>
    </w:p>
    <w:p w14:paraId="68031DBC" w14:textId="77777777" w:rsidR="00C01A50" w:rsidRDefault="00C01A50" w:rsidP="00593A9A">
      <w:pPr>
        <w:pStyle w:val="Caption"/>
      </w:pPr>
      <w:bookmarkStart w:id="118" w:name="_Toc427244879"/>
      <w:bookmarkStart w:id="119" w:name="_Toc436297319"/>
      <w:bookmarkStart w:id="120" w:name="_Toc454183132"/>
      <w:r>
        <w:t xml:space="preserve">Figure </w:t>
      </w:r>
      <w:r>
        <w:fldChar w:fldCharType="begin"/>
      </w:r>
      <w:r>
        <w:instrText xml:space="preserve"> SEQ Figure \* ARABIC </w:instrText>
      </w:r>
      <w:r>
        <w:fldChar w:fldCharType="separate"/>
      </w:r>
      <w:r w:rsidR="008E5D7A">
        <w:rPr>
          <w:noProof/>
        </w:rPr>
        <w:t>35</w:t>
      </w:r>
      <w:r>
        <w:fldChar w:fldCharType="end"/>
      </w:r>
      <w:r>
        <w:t xml:space="preserve"> Percentage of citrus farms by allocation water trade group, Murray–Darling Basin</w:t>
      </w:r>
      <w:bookmarkEnd w:id="118"/>
      <w:r>
        <w:t>, 2006–07 to 2013–14</w:t>
      </w:r>
      <w:bookmarkEnd w:id="119"/>
      <w:bookmarkEnd w:id="120"/>
    </w:p>
    <w:p w14:paraId="5A9894E7" w14:textId="77777777" w:rsidR="00C01A50" w:rsidRDefault="00C01A50" w:rsidP="00593A9A">
      <w:pPr>
        <w:pStyle w:val="Notesourcetext"/>
      </w:pPr>
      <w:r>
        <w:lastRenderedPageBreak/>
        <w:t>Note: Net buyers/sellers are farms that bought/sold more water than they sold/bought.</w:t>
      </w:r>
    </w:p>
    <w:p w14:paraId="2A95596E" w14:textId="77777777" w:rsidR="00C01A50" w:rsidRDefault="00C01A50" w:rsidP="00593A9A">
      <w:pPr>
        <w:pStyle w:val="Notesourcetext"/>
      </w:pPr>
      <w:r>
        <w:t>Source: ABARES 2016</w:t>
      </w:r>
    </w:p>
    <w:p w14:paraId="3E949FF0" w14:textId="77777777" w:rsidR="00C01A50" w:rsidRDefault="00C01A50" w:rsidP="008E300C">
      <w:pPr>
        <w:pStyle w:val="Notesourcetext"/>
        <w:jc w:val="center"/>
      </w:pPr>
      <w:r w:rsidRPr="00211102">
        <w:rPr>
          <w:noProof/>
          <w:lang w:eastAsia="en-AU"/>
        </w:rPr>
        <w:drawing>
          <wp:inline distT="0" distB="0" distL="0" distR="0" wp14:anchorId="6426A7BA" wp14:editId="39FD7AF7">
            <wp:extent cx="4676775" cy="2409825"/>
            <wp:effectExtent l="0" t="0" r="9525" b="9525"/>
            <wp:docPr id="217" name="Picture 4" descr="On average, 64 per cent of pome and stone fruit farms did not trade allocation water from 2006–07 to 2013–14. Up to around 50 per cent of farms purchased allocation water during the drier years 2006–07 to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4676775" cy="2409825"/>
                    </a:xfrm>
                    <a:prstGeom prst="rect">
                      <a:avLst/>
                    </a:prstGeom>
                    <a:noFill/>
                    <a:ln w="9525">
                      <a:noFill/>
                      <a:miter lim="800000"/>
                      <a:headEnd/>
                      <a:tailEnd/>
                    </a:ln>
                  </pic:spPr>
                </pic:pic>
              </a:graphicData>
            </a:graphic>
          </wp:inline>
        </w:drawing>
      </w:r>
    </w:p>
    <w:p w14:paraId="66C87EE5" w14:textId="77777777" w:rsidR="00C01A50" w:rsidRDefault="00C01A50" w:rsidP="00593A9A">
      <w:pPr>
        <w:pStyle w:val="Caption"/>
      </w:pPr>
      <w:bookmarkStart w:id="121" w:name="_Ref446410649"/>
      <w:bookmarkStart w:id="122" w:name="_Toc454183133"/>
      <w:r>
        <w:t xml:space="preserve">Figure </w:t>
      </w:r>
      <w:r>
        <w:fldChar w:fldCharType="begin"/>
      </w:r>
      <w:r>
        <w:instrText xml:space="preserve"> SEQ Figure \* ARABIC </w:instrText>
      </w:r>
      <w:r>
        <w:fldChar w:fldCharType="separate"/>
      </w:r>
      <w:r w:rsidR="008E5D7A">
        <w:rPr>
          <w:noProof/>
        </w:rPr>
        <w:t>36</w:t>
      </w:r>
      <w:r>
        <w:fldChar w:fldCharType="end"/>
      </w:r>
      <w:bookmarkEnd w:id="121"/>
      <w:r>
        <w:t xml:space="preserve"> Percentage of pome and stone fruit farms by allocation water trade group, Murray–Darling Basin, 2006–07 to 2013–14</w:t>
      </w:r>
      <w:bookmarkEnd w:id="122"/>
    </w:p>
    <w:p w14:paraId="34B906B0" w14:textId="77777777" w:rsidR="00C01A50" w:rsidRDefault="00C01A50" w:rsidP="00593A9A">
      <w:pPr>
        <w:pStyle w:val="Notesourcetext"/>
      </w:pPr>
      <w:r>
        <w:t>Note: Net buyers/sellers are farms that bought/sold more water than they sold/bought.</w:t>
      </w:r>
    </w:p>
    <w:p w14:paraId="39424C34" w14:textId="77777777" w:rsidR="00C01A50" w:rsidRDefault="00C01A50" w:rsidP="00593A9A">
      <w:pPr>
        <w:pStyle w:val="Notesourcetext"/>
      </w:pPr>
      <w:r>
        <w:t>Source: ABARES 2016</w:t>
      </w:r>
    </w:p>
    <w:p w14:paraId="3F723E8F" w14:textId="77777777" w:rsidR="00C01A50" w:rsidRDefault="00C01A50" w:rsidP="000935CA">
      <w:pPr>
        <w:pStyle w:val="Heading2"/>
        <w:rPr>
          <w:lang w:val="en-AU"/>
        </w:rPr>
      </w:pPr>
      <w:bookmarkStart w:id="123" w:name="_Toc347747813"/>
      <w:r>
        <w:rPr>
          <w:lang w:val="en-AU"/>
        </w:rPr>
        <w:t xml:space="preserve">An analysis of the assumptions implicit in the </w:t>
      </w:r>
      <w:r w:rsidR="00CC7FC5">
        <w:rPr>
          <w:lang w:val="en-AU"/>
        </w:rPr>
        <w:t>v</w:t>
      </w:r>
      <w:r>
        <w:rPr>
          <w:lang w:val="en-AU"/>
        </w:rPr>
        <w:t>endors’ acceptance of the prices at which buyback occurred</w:t>
      </w:r>
      <w:bookmarkEnd w:id="123"/>
      <w:r>
        <w:rPr>
          <w:lang w:val="en-AU"/>
        </w:rPr>
        <w:t xml:space="preserve"> </w:t>
      </w:r>
    </w:p>
    <w:p w14:paraId="1CD6BB5C" w14:textId="77777777" w:rsidR="00C01A50" w:rsidRDefault="00C01A50" w:rsidP="00593A9A">
      <w:pPr>
        <w:rPr>
          <w:lang w:val="en-AU"/>
        </w:rPr>
      </w:pPr>
      <w:r>
        <w:rPr>
          <w:lang w:val="en-AU"/>
        </w:rPr>
        <w:t>The decision to sell water entitlements and rely instead on water allocation purchases introduces the farm enterprise to water price risk — which will benefit the business if water allocation can be purchased cheaply but will reduce profitability if water must be secured at high allocation prices. A simple comparison can be made between:</w:t>
      </w:r>
    </w:p>
    <w:p w14:paraId="74DE6FDE" w14:textId="77777777" w:rsidR="00C01A50" w:rsidRDefault="00C01A50" w:rsidP="00302BD9">
      <w:pPr>
        <w:pStyle w:val="ListParagraph"/>
        <w:numPr>
          <w:ilvl w:val="0"/>
          <w:numId w:val="15"/>
        </w:numPr>
        <w:rPr>
          <w:lang w:val="en-AU"/>
        </w:rPr>
      </w:pPr>
      <w:r>
        <w:rPr>
          <w:lang w:val="en-AU"/>
        </w:rPr>
        <w:t xml:space="preserve">The interest saved by selling entitlement and retiring farm debt. </w:t>
      </w:r>
    </w:p>
    <w:p w14:paraId="14768160" w14:textId="77777777" w:rsidR="00C01A50" w:rsidRPr="00A75B02" w:rsidRDefault="00C01A50" w:rsidP="00302BD9">
      <w:pPr>
        <w:pStyle w:val="ListParagraph"/>
        <w:numPr>
          <w:ilvl w:val="1"/>
          <w:numId w:val="15"/>
        </w:numPr>
        <w:rPr>
          <w:lang w:val="en-AU"/>
        </w:rPr>
      </w:pPr>
      <w:r w:rsidRPr="00A75B02">
        <w:rPr>
          <w:lang w:val="en-AU"/>
        </w:rPr>
        <w:t xml:space="preserve">For example, if the Victorian HRWS was sold for $2400 per </w:t>
      </w:r>
      <w:r w:rsidR="00FF192A">
        <w:rPr>
          <w:lang w:val="en-AU"/>
        </w:rPr>
        <w:t>ML</w:t>
      </w:r>
      <w:r w:rsidRPr="00A75B02">
        <w:rPr>
          <w:lang w:val="en-AU"/>
        </w:rPr>
        <w:t xml:space="preserve"> during the buyback and the interest rate on the business loan is 6%, then the interest saving is $144 per </w:t>
      </w:r>
      <w:r w:rsidR="00FF192A">
        <w:rPr>
          <w:lang w:val="en-AU"/>
        </w:rPr>
        <w:t>ML</w:t>
      </w:r>
      <w:r w:rsidRPr="00A75B02">
        <w:rPr>
          <w:lang w:val="en-AU"/>
        </w:rPr>
        <w:t xml:space="preserve"> sold.</w:t>
      </w:r>
      <w:r w:rsidRPr="00A75B02">
        <w:rPr>
          <w:rStyle w:val="FootnoteReference"/>
          <w:lang w:val="en-AU"/>
        </w:rPr>
        <w:footnoteReference w:id="10"/>
      </w:r>
    </w:p>
    <w:p w14:paraId="214DFEBE" w14:textId="77777777" w:rsidR="00C01A50" w:rsidRDefault="00C01A50" w:rsidP="00302BD9">
      <w:pPr>
        <w:pStyle w:val="ListParagraph"/>
        <w:numPr>
          <w:ilvl w:val="0"/>
          <w:numId w:val="15"/>
        </w:numPr>
        <w:rPr>
          <w:lang w:val="en-AU"/>
        </w:rPr>
      </w:pPr>
      <w:r>
        <w:rPr>
          <w:lang w:val="en-AU"/>
        </w:rPr>
        <w:t xml:space="preserve">The water allocation price. </w:t>
      </w:r>
    </w:p>
    <w:p w14:paraId="483281B6" w14:textId="77777777" w:rsidR="00C01A50" w:rsidRPr="0067118C" w:rsidRDefault="00C01A50" w:rsidP="00302BD9">
      <w:pPr>
        <w:pStyle w:val="ListParagraph"/>
        <w:numPr>
          <w:ilvl w:val="1"/>
          <w:numId w:val="15"/>
        </w:numPr>
        <w:rPr>
          <w:lang w:val="en-AU"/>
        </w:rPr>
      </w:pPr>
      <w:r>
        <w:rPr>
          <w:lang w:val="en-AU"/>
        </w:rPr>
        <w:t xml:space="preserve">From the water allocation prices presented in the figure below, the strategy to generate interest savings of $144 per </w:t>
      </w:r>
      <w:r w:rsidR="00FF192A">
        <w:rPr>
          <w:lang w:val="en-AU"/>
        </w:rPr>
        <w:t>ML</w:t>
      </w:r>
      <w:r>
        <w:rPr>
          <w:lang w:val="en-AU"/>
        </w:rPr>
        <w:t xml:space="preserve"> could have been profitable in every year after buyback until 2015</w:t>
      </w:r>
      <w:r w:rsidR="005A3ABF">
        <w:rPr>
          <w:lang w:val="en-AU"/>
        </w:rPr>
        <w:t>/</w:t>
      </w:r>
      <w:r>
        <w:rPr>
          <w:lang w:val="en-AU"/>
        </w:rPr>
        <w:t>16. In 2015</w:t>
      </w:r>
      <w:r w:rsidR="005A3ABF">
        <w:rPr>
          <w:lang w:val="en-AU"/>
        </w:rPr>
        <w:t>/</w:t>
      </w:r>
      <w:r>
        <w:rPr>
          <w:lang w:val="en-AU"/>
        </w:rPr>
        <w:t xml:space="preserve">16, prices were generally in excess of $200 per </w:t>
      </w:r>
      <w:r w:rsidR="00FF192A">
        <w:rPr>
          <w:lang w:val="en-AU"/>
        </w:rPr>
        <w:t>ML</w:t>
      </w:r>
      <w:r>
        <w:rPr>
          <w:lang w:val="en-AU"/>
        </w:rPr>
        <w:t xml:space="preserve"> (</w:t>
      </w:r>
      <w:r>
        <w:rPr>
          <w:lang w:val="en-AU"/>
        </w:rPr>
        <w:fldChar w:fldCharType="begin"/>
      </w:r>
      <w:r>
        <w:rPr>
          <w:lang w:val="en-AU"/>
        </w:rPr>
        <w:instrText xml:space="preserve"> REF _Ref464770064 \h </w:instrText>
      </w:r>
      <w:r>
        <w:rPr>
          <w:lang w:val="en-AU"/>
        </w:rPr>
      </w:r>
      <w:r>
        <w:rPr>
          <w:lang w:val="en-AU"/>
        </w:rPr>
        <w:fldChar w:fldCharType="separate"/>
      </w:r>
      <w:r w:rsidR="008E5D7A">
        <w:t xml:space="preserve">Figure </w:t>
      </w:r>
      <w:r w:rsidR="008E5D7A">
        <w:rPr>
          <w:noProof/>
        </w:rPr>
        <w:t>37</w:t>
      </w:r>
      <w:r>
        <w:rPr>
          <w:lang w:val="en-AU"/>
        </w:rPr>
        <w:fldChar w:fldCharType="end"/>
      </w:r>
      <w:r>
        <w:rPr>
          <w:lang w:val="en-AU"/>
        </w:rPr>
        <w:t>).</w:t>
      </w:r>
    </w:p>
    <w:p w14:paraId="54A6EFEB" w14:textId="77777777" w:rsidR="00C01A50" w:rsidRDefault="00C01A50" w:rsidP="00DC7155">
      <w:pPr>
        <w:jc w:val="center"/>
        <w:rPr>
          <w:lang w:val="en-AU"/>
        </w:rPr>
      </w:pPr>
      <w:r w:rsidRPr="0067118C">
        <w:rPr>
          <w:noProof/>
          <w:lang w:val="en-AU" w:eastAsia="en-AU" w:bidi="ar-SA"/>
        </w:rPr>
        <w:lastRenderedPageBreak/>
        <w:drawing>
          <wp:inline distT="0" distB="0" distL="0" distR="0" wp14:anchorId="4C631AE4" wp14:editId="110B6968">
            <wp:extent cx="5828030" cy="2940050"/>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28030" cy="2940050"/>
                    </a:xfrm>
                    <a:prstGeom prst="rect">
                      <a:avLst/>
                    </a:prstGeom>
                  </pic:spPr>
                </pic:pic>
              </a:graphicData>
            </a:graphic>
          </wp:inline>
        </w:drawing>
      </w:r>
    </w:p>
    <w:p w14:paraId="234EEB2E" w14:textId="77777777" w:rsidR="00C01A50" w:rsidRDefault="00C01A50" w:rsidP="00593A9A">
      <w:pPr>
        <w:pStyle w:val="Caption"/>
        <w:rPr>
          <w:lang w:val="en-AU"/>
        </w:rPr>
      </w:pPr>
      <w:bookmarkStart w:id="124" w:name="_Ref464770064"/>
      <w:r>
        <w:t xml:space="preserve">Figure </w:t>
      </w:r>
      <w:r>
        <w:fldChar w:fldCharType="begin"/>
      </w:r>
      <w:r>
        <w:instrText xml:space="preserve"> SEQ Figure \* ARABIC </w:instrText>
      </w:r>
      <w:r>
        <w:fldChar w:fldCharType="separate"/>
      </w:r>
      <w:r w:rsidR="008E5D7A">
        <w:rPr>
          <w:noProof/>
        </w:rPr>
        <w:t>37</w:t>
      </w:r>
      <w:r>
        <w:fldChar w:fldCharType="end"/>
      </w:r>
      <w:bookmarkEnd w:id="124"/>
      <w:r>
        <w:t>: Water allocation prices in the southern</w:t>
      </w:r>
      <w:r w:rsidR="00ED2249">
        <w:t>-connected Basin</w:t>
      </w:r>
      <w:r>
        <w:t xml:space="preserve"> </w:t>
      </w:r>
    </w:p>
    <w:p w14:paraId="25A11143" w14:textId="77777777" w:rsidR="00C01A50" w:rsidRPr="008344B9" w:rsidRDefault="00C01A50" w:rsidP="00593A9A">
      <w:pPr>
        <w:rPr>
          <w:rFonts w:eastAsia="Calibri"/>
          <w:color w:val="000000"/>
          <w:sz w:val="18"/>
          <w:szCs w:val="22"/>
          <w:lang w:val="en-AU" w:bidi="ar-SA"/>
        </w:rPr>
      </w:pPr>
      <w:r w:rsidRPr="008344B9">
        <w:rPr>
          <w:rFonts w:eastAsia="Calibri"/>
          <w:color w:val="000000"/>
          <w:sz w:val="18"/>
          <w:szCs w:val="22"/>
          <w:lang w:val="en-AU" w:bidi="ar-SA"/>
        </w:rPr>
        <w:t>Source: Aither 2016</w:t>
      </w:r>
      <w:r>
        <w:rPr>
          <w:rFonts w:eastAsia="Calibri"/>
          <w:color w:val="000000"/>
          <w:sz w:val="18"/>
          <w:szCs w:val="22"/>
          <w:lang w:val="en-AU" w:bidi="ar-SA"/>
        </w:rPr>
        <w:t>c</w:t>
      </w:r>
      <w:r w:rsidRPr="008344B9">
        <w:rPr>
          <w:rFonts w:eastAsia="Calibri"/>
          <w:color w:val="000000"/>
          <w:sz w:val="18"/>
          <w:szCs w:val="22"/>
          <w:lang w:val="en-AU" w:bidi="ar-SA"/>
        </w:rPr>
        <w:t>.</w:t>
      </w:r>
    </w:p>
    <w:p w14:paraId="2F20111B" w14:textId="77777777" w:rsidR="00C01A50" w:rsidRDefault="00C01A50" w:rsidP="00593A9A">
      <w:pPr>
        <w:rPr>
          <w:lang w:val="en-AU"/>
        </w:rPr>
      </w:pPr>
      <w:r>
        <w:rPr>
          <w:lang w:val="en-AU"/>
        </w:rPr>
        <w:t>The relative benefits and costs would be different for those that participated in the 2013</w:t>
      </w:r>
      <w:r w:rsidR="005A3ABF">
        <w:rPr>
          <w:lang w:val="en-AU"/>
        </w:rPr>
        <w:t>/</w:t>
      </w:r>
      <w:r>
        <w:rPr>
          <w:lang w:val="en-AU"/>
        </w:rPr>
        <w:t xml:space="preserve">14 buyback tender where the average price for Goulburn HRWS was $1600 per </w:t>
      </w:r>
      <w:r w:rsidR="00FF192A">
        <w:rPr>
          <w:lang w:val="en-AU"/>
        </w:rPr>
        <w:t>ML</w:t>
      </w:r>
      <w:r>
        <w:rPr>
          <w:lang w:val="en-AU"/>
        </w:rPr>
        <w:t xml:space="preserve"> (DAWR</w:t>
      </w:r>
      <w:r w:rsidR="000B115A">
        <w:rPr>
          <w:lang w:val="en-AU"/>
        </w:rPr>
        <w:t>,</w:t>
      </w:r>
      <w:r>
        <w:rPr>
          <w:lang w:val="en-AU"/>
        </w:rPr>
        <w:t xml:space="preserve"> 2016</w:t>
      </w:r>
      <w:r w:rsidR="000B115A">
        <w:rPr>
          <w:lang w:val="en-AU"/>
        </w:rPr>
        <w:t>a</w:t>
      </w:r>
      <w:r>
        <w:rPr>
          <w:lang w:val="en-AU"/>
        </w:rPr>
        <w:t xml:space="preserve">). At a business loan interest rate of 6%, this would imply a cut off price of $96 per </w:t>
      </w:r>
      <w:r w:rsidR="00FF192A">
        <w:rPr>
          <w:lang w:val="en-AU"/>
        </w:rPr>
        <w:t>ML</w:t>
      </w:r>
      <w:r>
        <w:rPr>
          <w:lang w:val="en-AU"/>
        </w:rPr>
        <w:t xml:space="preserve">. It is important to remember that interruptible and semi-interruptible production systems do have significant scope to vary their water use, and this will be influenced by the prevailing price of water allocations. </w:t>
      </w:r>
    </w:p>
    <w:p w14:paraId="7C3D0382" w14:textId="77777777" w:rsidR="00C01A50" w:rsidRDefault="00C01A50" w:rsidP="00593A9A">
      <w:pPr>
        <w:rPr>
          <w:lang w:val="en-AU"/>
        </w:rPr>
      </w:pPr>
      <w:r>
        <w:rPr>
          <w:lang w:val="en-AU"/>
        </w:rPr>
        <w:t xml:space="preserve">Given that many farm enterprises have chosen to pursue the strategy of selling water entitlements and increasing reliance on water allocation purchases, and that the water recovery has reduced the consumptive pool of water available for use, the water market price will be higher than it otherwise would be. A discussion </w:t>
      </w:r>
      <w:r w:rsidRPr="00A75B02">
        <w:rPr>
          <w:lang w:val="en-AU"/>
        </w:rPr>
        <w:t xml:space="preserve">of the price effects of water recovery on water allocation markets is presented in Appendix </w:t>
      </w:r>
      <w:r>
        <w:rPr>
          <w:lang w:val="en-AU"/>
        </w:rPr>
        <w:fldChar w:fldCharType="begin"/>
      </w:r>
      <w:r>
        <w:rPr>
          <w:lang w:val="en-AU"/>
        </w:rPr>
        <w:instrText xml:space="preserve"> REF _Ref342400081 \r \h </w:instrText>
      </w:r>
      <w:r>
        <w:rPr>
          <w:lang w:val="en-AU"/>
        </w:rPr>
      </w:r>
      <w:r>
        <w:rPr>
          <w:lang w:val="en-AU"/>
        </w:rPr>
        <w:fldChar w:fldCharType="separate"/>
      </w:r>
      <w:r w:rsidR="008E5D7A">
        <w:rPr>
          <w:lang w:val="en-AU"/>
        </w:rPr>
        <w:t>4</w:t>
      </w:r>
      <w:r>
        <w:rPr>
          <w:lang w:val="en-AU"/>
        </w:rPr>
        <w:fldChar w:fldCharType="end"/>
      </w:r>
      <w:r w:rsidRPr="00A75B02">
        <w:rPr>
          <w:lang w:val="en-AU"/>
        </w:rPr>
        <w:t>. A key</w:t>
      </w:r>
      <w:r>
        <w:rPr>
          <w:lang w:val="en-AU"/>
        </w:rPr>
        <w:t xml:space="preserve"> finding is that allocation prices are expected to be higher, for given seasonal conditions, as a result of buyback. Those irrigators that have chosen to increase their reliance on water allocation markets will be worse off than if the water allocation price remained unaffected. For example, a dairy farmer who made the decision to sell water entitlements and rely on water allocation purchases might still expect to use the same volume of water in an average year with medium allocations. However the water price impacts of water recovery (and associated changes in industry water demand) are estimated to have led to a $17-47/ML increase </w:t>
      </w:r>
      <w:r>
        <w:rPr>
          <w:rStyle w:val="FootnoteReference"/>
          <w:lang w:val="en-AU"/>
        </w:rPr>
        <w:footnoteReference w:id="11"/>
      </w:r>
      <w:r>
        <w:rPr>
          <w:lang w:val="en-AU"/>
        </w:rPr>
        <w:t xml:space="preserve"> in the price of water allocations under these conditions. This corresponds to increased water costs of 0.9-2.5 cents per litre of milk produced</w:t>
      </w:r>
      <w:r>
        <w:rPr>
          <w:rStyle w:val="FootnoteReference"/>
          <w:lang w:val="en-AU"/>
        </w:rPr>
        <w:footnoteReference w:id="12"/>
      </w:r>
      <w:r>
        <w:rPr>
          <w:lang w:val="en-AU"/>
        </w:rPr>
        <w:t>, as compared to the average milk price in northern Victoria of 46 cents per litre</w:t>
      </w:r>
      <w:r>
        <w:rPr>
          <w:rStyle w:val="FootnoteReference"/>
          <w:lang w:val="en-AU"/>
        </w:rPr>
        <w:footnoteReference w:id="13"/>
      </w:r>
      <w:r>
        <w:rPr>
          <w:lang w:val="en-AU"/>
        </w:rPr>
        <w:t>.</w:t>
      </w:r>
    </w:p>
    <w:p w14:paraId="4BBC961A" w14:textId="77777777" w:rsidR="00C01A50" w:rsidRDefault="00C01A50" w:rsidP="00593A9A">
      <w:pPr>
        <w:rPr>
          <w:lang w:val="en-AU"/>
        </w:rPr>
      </w:pPr>
      <w:r>
        <w:rPr>
          <w:lang w:val="en-AU"/>
        </w:rPr>
        <w:lastRenderedPageBreak/>
        <w:t>What is unclear from this type of analysis is whether the sale of entitlement to the Commonwealth and continued water use relying on water allocations was a default strategy, or an adaptation strategy and informed risk decision, or somewhere in-between.</w:t>
      </w:r>
    </w:p>
    <w:p w14:paraId="1CD7314C" w14:textId="77777777" w:rsidR="00C01A50" w:rsidRDefault="00C01A50" w:rsidP="00612EC4">
      <w:pPr>
        <w:pStyle w:val="ListParagraph"/>
        <w:numPr>
          <w:ilvl w:val="0"/>
          <w:numId w:val="11"/>
        </w:numPr>
        <w:rPr>
          <w:lang w:val="en-AU"/>
        </w:rPr>
      </w:pPr>
      <w:r>
        <w:rPr>
          <w:lang w:val="en-AU"/>
        </w:rPr>
        <w:t>Buyback occurred when many farmers had accumulated high levels of debt during the drought. The sale of entitlement provided a mechanism to retire some of this debt and continue business.</w:t>
      </w:r>
    </w:p>
    <w:p w14:paraId="068AFFE3" w14:textId="77777777" w:rsidR="00C01A50" w:rsidRDefault="00C01A50" w:rsidP="00612EC4">
      <w:pPr>
        <w:pStyle w:val="ListParagraph"/>
        <w:numPr>
          <w:ilvl w:val="0"/>
          <w:numId w:val="11"/>
        </w:numPr>
        <w:rPr>
          <w:lang w:val="en-AU"/>
        </w:rPr>
      </w:pPr>
      <w:r>
        <w:rPr>
          <w:lang w:val="en-AU"/>
        </w:rPr>
        <w:t>Given that large numbers of farmers were all</w:t>
      </w:r>
      <w:r w:rsidR="00672AD1">
        <w:rPr>
          <w:lang w:val="en-AU"/>
        </w:rPr>
        <w:t xml:space="preserve"> seeking to increase reliance on</w:t>
      </w:r>
      <w:r>
        <w:rPr>
          <w:lang w:val="en-AU"/>
        </w:rPr>
        <w:t xml:space="preserve"> water allocation purchases, it was foreseeable that competition for water allocations would increase prices. The same level of irrigated water demand could not be supported under a reduced consumptive pool.</w:t>
      </w:r>
    </w:p>
    <w:p w14:paraId="1D8761B0" w14:textId="77777777" w:rsidR="00C01A50" w:rsidRPr="003F79A2" w:rsidRDefault="00C01A50" w:rsidP="00612EC4">
      <w:pPr>
        <w:pStyle w:val="ListParagraph"/>
        <w:numPr>
          <w:ilvl w:val="0"/>
          <w:numId w:val="11"/>
        </w:numPr>
        <w:rPr>
          <w:lang w:val="en-AU"/>
        </w:rPr>
      </w:pPr>
      <w:r>
        <w:rPr>
          <w:lang w:val="en-AU"/>
        </w:rPr>
        <w:t>As discussed in the later dairy section, adaptation opportunities exist that may allow water users to be more flexible and therefore benefit from water allocation purchases in abundant years when the price of allocations is lower while reducing reliance on allocation purchases under drier years when prices are higher.</w:t>
      </w:r>
    </w:p>
    <w:p w14:paraId="6DBB5595" w14:textId="77777777" w:rsidR="00C01A50" w:rsidRDefault="00C01A50" w:rsidP="00593A9A">
      <w:pPr>
        <w:rPr>
          <w:lang w:val="en-AU"/>
        </w:rPr>
      </w:pPr>
      <w:r w:rsidRPr="00580684">
        <w:rPr>
          <w:lang w:val="en-AU"/>
        </w:rPr>
        <w:t xml:space="preserve">ABARES </w:t>
      </w:r>
      <w:r>
        <w:rPr>
          <w:lang w:val="en-AU"/>
        </w:rPr>
        <w:t xml:space="preserve">(2015) </w:t>
      </w:r>
      <w:r w:rsidRPr="00580684">
        <w:rPr>
          <w:lang w:val="en-AU"/>
        </w:rPr>
        <w:t xml:space="preserve">also provides insights </w:t>
      </w:r>
      <w:r>
        <w:rPr>
          <w:lang w:val="en-AU"/>
        </w:rPr>
        <w:t>on</w:t>
      </w:r>
      <w:r w:rsidRPr="00580684">
        <w:rPr>
          <w:lang w:val="en-AU"/>
        </w:rPr>
        <w:t xml:space="preserve"> farms that did not continue water use, which are not picked up in the water register analysis. ABARES identified that some irrigators sold entitlements and ceased irrigating or farming altogether, </w:t>
      </w:r>
      <w:r>
        <w:rPr>
          <w:lang w:val="en-AU"/>
        </w:rPr>
        <w:t>while</w:t>
      </w:r>
      <w:r w:rsidRPr="00580684">
        <w:rPr>
          <w:lang w:val="en-AU"/>
        </w:rPr>
        <w:t xml:space="preserve"> others continued irrigated farming by purchasing seasonal water allocations or entitlements.</w:t>
      </w:r>
    </w:p>
    <w:p w14:paraId="46CF1B42" w14:textId="77777777" w:rsidR="00C01A50" w:rsidRPr="00580684" w:rsidRDefault="00C01A50" w:rsidP="00794ABC">
      <w:pPr>
        <w:pStyle w:val="Heading2"/>
        <w:rPr>
          <w:lang w:val="en-AU"/>
        </w:rPr>
      </w:pPr>
      <w:bookmarkStart w:id="125" w:name="_Toc347747814"/>
      <w:r>
        <w:rPr>
          <w:lang w:val="en-AU"/>
        </w:rPr>
        <w:t>Trends in water use per hectare for different industries</w:t>
      </w:r>
      <w:bookmarkEnd w:id="125"/>
    </w:p>
    <w:p w14:paraId="12557CA2" w14:textId="77777777" w:rsidR="00C01A50" w:rsidRPr="00580684" w:rsidRDefault="00C01A50" w:rsidP="00593A9A">
      <w:pPr>
        <w:rPr>
          <w:lang w:val="en-AU"/>
        </w:rPr>
      </w:pPr>
      <w:r w:rsidRPr="00580684">
        <w:rPr>
          <w:lang w:val="en-AU"/>
        </w:rPr>
        <w:t>ABARES (2015) report</w:t>
      </w:r>
      <w:r>
        <w:rPr>
          <w:lang w:val="en-AU"/>
        </w:rPr>
        <w:t>ed</w:t>
      </w:r>
      <w:r w:rsidRPr="00580684">
        <w:rPr>
          <w:lang w:val="en-AU"/>
        </w:rPr>
        <w:t xml:space="preserve"> on the on-farm water use efficiency of dairy farms in the MDB</w:t>
      </w:r>
      <w:r>
        <w:rPr>
          <w:lang w:val="en-AU"/>
        </w:rPr>
        <w:t>. This included a comparison of different types of irrigation technologies including flood irrigation using border-check irrigations systems and ‘travelling irrigators’ such as centre pivot and lateral move systems. They</w:t>
      </w:r>
      <w:r w:rsidRPr="00580684">
        <w:rPr>
          <w:lang w:val="en-AU"/>
        </w:rPr>
        <w:t xml:space="preserve"> found water use per hectare had increased in recent years:</w:t>
      </w:r>
    </w:p>
    <w:p w14:paraId="749B1B87" w14:textId="77777777" w:rsidR="00C01A50" w:rsidRDefault="00C01A50" w:rsidP="00593A9A">
      <w:pPr>
        <w:pStyle w:val="Quote"/>
        <w:ind w:left="720"/>
        <w:jc w:val="left"/>
        <w:rPr>
          <w:lang w:val="en-AU"/>
        </w:rPr>
      </w:pPr>
      <w:r>
        <w:t>Water use and application rates declined from 2006–07 to 2008–09 as irrigators modified their irrigation practices to accommodate reduced water allocations. An improvement in water availability in 2009–10 resulted in increased water use on farms and higher application rates per hectare as many dairy farms returned to using pre-drought irrigation management practices. (p. 14)</w:t>
      </w:r>
    </w:p>
    <w:p w14:paraId="7D7C1196" w14:textId="77777777" w:rsidR="00C01A50" w:rsidRDefault="00C01A50" w:rsidP="004D0842">
      <w:pPr>
        <w:pStyle w:val="Notesourcetext"/>
        <w:jc w:val="center"/>
      </w:pPr>
      <w:r>
        <w:rPr>
          <w:noProof/>
          <w:lang w:eastAsia="en-AU"/>
        </w:rPr>
        <w:lastRenderedPageBreak/>
        <w:drawing>
          <wp:inline distT="0" distB="0" distL="0" distR="0" wp14:anchorId="7DD786AE" wp14:editId="5056C17D">
            <wp:extent cx="4581525" cy="3048000"/>
            <wp:effectExtent l="19050" t="0" r="9525" b="0"/>
            <wp:docPr id="219" name="Picture 14" descr="Average water application rates per hectare for flood/furrow and travelling irrigation systems varied from year-to-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a:stretch>
                      <a:fillRect/>
                    </a:stretch>
                  </pic:blipFill>
                  <pic:spPr bwMode="auto">
                    <a:xfrm>
                      <a:off x="0" y="0"/>
                      <a:ext cx="4581525" cy="3048000"/>
                    </a:xfrm>
                    <a:prstGeom prst="rect">
                      <a:avLst/>
                    </a:prstGeom>
                    <a:noFill/>
                    <a:ln w="9525">
                      <a:noFill/>
                      <a:miter lim="800000"/>
                      <a:headEnd/>
                      <a:tailEnd/>
                    </a:ln>
                  </pic:spPr>
                </pic:pic>
              </a:graphicData>
            </a:graphic>
          </wp:inline>
        </w:drawing>
      </w:r>
    </w:p>
    <w:p w14:paraId="1BBB97F6" w14:textId="77777777" w:rsidR="00C01A50" w:rsidRDefault="00C01A50" w:rsidP="00DC7155">
      <w:pPr>
        <w:pStyle w:val="Caption"/>
      </w:pPr>
      <w:bookmarkStart w:id="126" w:name="_Ref420577630"/>
      <w:bookmarkStart w:id="127" w:name="_Toc437954730"/>
      <w:r>
        <w:t xml:space="preserve">Figure </w:t>
      </w:r>
      <w:r>
        <w:fldChar w:fldCharType="begin"/>
      </w:r>
      <w:r>
        <w:instrText xml:space="preserve"> SEQ Figure \* ARABIC </w:instrText>
      </w:r>
      <w:r>
        <w:fldChar w:fldCharType="separate"/>
      </w:r>
      <w:r w:rsidR="008E5D7A">
        <w:rPr>
          <w:noProof/>
        </w:rPr>
        <w:t>38</w:t>
      </w:r>
      <w:r>
        <w:rPr>
          <w:noProof/>
        </w:rPr>
        <w:fldChar w:fldCharType="end"/>
      </w:r>
      <w:bookmarkEnd w:id="126"/>
      <w:r>
        <w:t xml:space="preserve"> Water application rates by technology, dairy farms, Murray–Darling Basin, 2006–07 to 2014–15</w:t>
      </w:r>
      <w:bookmarkEnd w:id="127"/>
    </w:p>
    <w:p w14:paraId="06C18493" w14:textId="77777777" w:rsidR="00C01A50" w:rsidRPr="00DC7155" w:rsidRDefault="00C01A50" w:rsidP="00DC7155">
      <w:pPr>
        <w:jc w:val="left"/>
        <w:rPr>
          <w:rFonts w:eastAsia="Calibri"/>
          <w:color w:val="000000"/>
          <w:sz w:val="18"/>
          <w:szCs w:val="22"/>
          <w:lang w:val="en-AU" w:bidi="ar-SA"/>
        </w:rPr>
      </w:pPr>
      <w:r w:rsidRPr="00DC7155">
        <w:rPr>
          <w:rFonts w:eastAsia="Calibri"/>
          <w:color w:val="000000"/>
          <w:sz w:val="18"/>
          <w:szCs w:val="22"/>
          <w:lang w:val="en-AU" w:bidi="ar-SA"/>
        </w:rPr>
        <w:t>Note: 2014–15 data are provisional estimates. Water application rates are average per farm.</w:t>
      </w:r>
      <w:r>
        <w:rPr>
          <w:rFonts w:eastAsia="Calibri"/>
          <w:color w:val="000000"/>
          <w:sz w:val="18"/>
          <w:szCs w:val="22"/>
          <w:lang w:val="en-AU" w:bidi="ar-SA"/>
        </w:rPr>
        <w:br/>
      </w:r>
      <w:r w:rsidRPr="00DC7155">
        <w:rPr>
          <w:rFonts w:eastAsia="Calibri"/>
          <w:color w:val="000000"/>
          <w:sz w:val="18"/>
          <w:szCs w:val="22"/>
          <w:lang w:val="en-AU" w:bidi="ar-SA"/>
        </w:rPr>
        <w:t>Source: ABARES 2015</w:t>
      </w:r>
    </w:p>
    <w:p w14:paraId="4907A476" w14:textId="77777777" w:rsidR="00C01A50" w:rsidRPr="00580684" w:rsidRDefault="00C01A50" w:rsidP="00593A9A">
      <w:pPr>
        <w:rPr>
          <w:lang w:val="en-AU"/>
        </w:rPr>
      </w:pPr>
      <w:r w:rsidRPr="00580684">
        <w:rPr>
          <w:lang w:val="en-AU"/>
        </w:rPr>
        <w:t>ABARES (2016) reports similar information for horticultural farms in the MDB. Water use per hectare remained broadly steady or increased since the end of the drought.</w:t>
      </w:r>
    </w:p>
    <w:p w14:paraId="453D3163" w14:textId="77777777" w:rsidR="00C01A50" w:rsidRDefault="00C01A50" w:rsidP="004D0842">
      <w:pPr>
        <w:pStyle w:val="Caption"/>
        <w:jc w:val="center"/>
      </w:pPr>
      <w:r w:rsidRPr="000D76B5">
        <w:rPr>
          <w:noProof/>
          <w:lang w:val="en-AU" w:eastAsia="en-AU" w:bidi="ar-SA"/>
        </w:rPr>
        <w:drawing>
          <wp:inline distT="0" distB="0" distL="0" distR="0" wp14:anchorId="2B49B10D" wp14:editId="451A14FE">
            <wp:extent cx="5739949" cy="2437749"/>
            <wp:effectExtent l="19050" t="0" r="0" b="0"/>
            <wp:docPr id="220" name="Picture 3" descr="The total average volume of water applied on citrus farms was higher than on pome and stone fruit farms. This reflects both larger crop areas for citrus farms and higher per hectare applic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5739949" cy="2437749"/>
                    </a:xfrm>
                    <a:prstGeom prst="rect">
                      <a:avLst/>
                    </a:prstGeom>
                    <a:noFill/>
                    <a:ln w="9525">
                      <a:noFill/>
                      <a:miter lim="800000"/>
                      <a:headEnd/>
                      <a:tailEnd/>
                    </a:ln>
                  </pic:spPr>
                </pic:pic>
              </a:graphicData>
            </a:graphic>
          </wp:inline>
        </w:drawing>
      </w:r>
      <w:bookmarkStart w:id="128" w:name="_Ref424800349"/>
      <w:bookmarkStart w:id="129" w:name="_Toc436297316"/>
      <w:bookmarkStart w:id="130" w:name="_Toc454183129"/>
    </w:p>
    <w:p w14:paraId="579C79BB" w14:textId="77777777" w:rsidR="00C01A50" w:rsidRDefault="00C01A50" w:rsidP="00DC7155">
      <w:pPr>
        <w:pStyle w:val="Caption"/>
      </w:pPr>
      <w:r>
        <w:t xml:space="preserve">Figure </w:t>
      </w:r>
      <w:r>
        <w:fldChar w:fldCharType="begin"/>
      </w:r>
      <w:r>
        <w:instrText xml:space="preserve"> SEQ Figure \* ARABIC </w:instrText>
      </w:r>
      <w:r>
        <w:fldChar w:fldCharType="separate"/>
      </w:r>
      <w:r w:rsidR="008E5D7A">
        <w:rPr>
          <w:noProof/>
        </w:rPr>
        <w:t>39</w:t>
      </w:r>
      <w:r>
        <w:fldChar w:fldCharType="end"/>
      </w:r>
      <w:bookmarkEnd w:id="128"/>
      <w:r>
        <w:t xml:space="preserve"> </w:t>
      </w:r>
      <w:r>
        <w:rPr>
          <w:noProof/>
        </w:rPr>
        <w:t>Water</w:t>
      </w:r>
      <w:r>
        <w:t xml:space="preserve"> applied</w:t>
      </w:r>
      <w:r w:rsidRPr="0069395F">
        <w:t xml:space="preserve"> </w:t>
      </w:r>
      <w:r>
        <w:t xml:space="preserve">by farm type, Murray–Darling Basin, </w:t>
      </w:r>
      <w:r w:rsidRPr="0052656F">
        <w:t>2006–07 to 2014–15</w:t>
      </w:r>
      <w:bookmarkEnd w:id="129"/>
      <w:bookmarkEnd w:id="130"/>
    </w:p>
    <w:p w14:paraId="28F6E1D0" w14:textId="77777777" w:rsidR="00C01A50" w:rsidRPr="00DC7155" w:rsidRDefault="00C01A50" w:rsidP="00DC7155">
      <w:pPr>
        <w:jc w:val="left"/>
        <w:rPr>
          <w:rFonts w:eastAsia="Calibri"/>
          <w:color w:val="000000"/>
          <w:sz w:val="18"/>
          <w:szCs w:val="22"/>
          <w:lang w:val="en-AU" w:bidi="ar-SA"/>
        </w:rPr>
      </w:pPr>
      <w:r w:rsidRPr="00DC7155">
        <w:rPr>
          <w:rFonts w:eastAsia="Calibri"/>
          <w:color w:val="000000"/>
          <w:sz w:val="18"/>
          <w:szCs w:val="22"/>
          <w:lang w:val="en-AU" w:bidi="ar-SA"/>
        </w:rPr>
        <w:t>Note: Data for 2014–15 are provisional estimates. Water application rates are average per farm.</w:t>
      </w:r>
      <w:r>
        <w:rPr>
          <w:rFonts w:eastAsia="Calibri"/>
          <w:color w:val="000000"/>
          <w:sz w:val="18"/>
          <w:szCs w:val="22"/>
          <w:lang w:val="en-AU" w:bidi="ar-SA"/>
        </w:rPr>
        <w:br/>
      </w:r>
      <w:r w:rsidRPr="00DC7155">
        <w:rPr>
          <w:rFonts w:eastAsia="Calibri"/>
          <w:color w:val="000000"/>
          <w:sz w:val="18"/>
          <w:szCs w:val="22"/>
          <w:lang w:val="en-AU" w:bidi="ar-SA"/>
        </w:rPr>
        <w:t>Source: ABARES 2016</w:t>
      </w:r>
    </w:p>
    <w:p w14:paraId="2241AB1A" w14:textId="77777777" w:rsidR="00C01A50" w:rsidRDefault="00C01A50" w:rsidP="00EB0E2A">
      <w:pPr>
        <w:pStyle w:val="Heading2"/>
        <w:rPr>
          <w:lang w:val="en-AU"/>
        </w:rPr>
      </w:pPr>
      <w:bookmarkStart w:id="131" w:name="_Toc347747815"/>
      <w:r>
        <w:rPr>
          <w:lang w:val="en-AU"/>
        </w:rPr>
        <w:lastRenderedPageBreak/>
        <w:t>Summing up</w:t>
      </w:r>
      <w:bookmarkEnd w:id="131"/>
    </w:p>
    <w:p w14:paraId="4C4DC34F" w14:textId="77777777" w:rsidR="007862AA" w:rsidRDefault="00465EF4" w:rsidP="00EB0E2A">
      <w:r>
        <w:t xml:space="preserve">Those farmers who participated in the buyback or in the </w:t>
      </w:r>
      <w:r w:rsidR="007862AA">
        <w:t>Commonwealth</w:t>
      </w:r>
      <w:r>
        <w:t>’s investments in on-farm efficiency benefited from that participation</w:t>
      </w:r>
      <w:r w:rsidR="00F933E0">
        <w:t>.</w:t>
      </w:r>
      <w:r>
        <w:t xml:space="preserve"> </w:t>
      </w:r>
    </w:p>
    <w:p w14:paraId="5E4A96BF" w14:textId="77777777" w:rsidR="00C01A50" w:rsidRDefault="00C01A50" w:rsidP="00EB0E2A">
      <w:r>
        <w:t>The key finding in this chapter is</w:t>
      </w:r>
      <w:r w:rsidR="007862AA">
        <w:t xml:space="preserve"> however</w:t>
      </w:r>
      <w:r w:rsidR="0000068E">
        <w:t>,</w:t>
      </w:r>
      <w:r>
        <w:t xml:space="preserve"> that Victorian irrigators who sold water entitlements to the Commonwealth </w:t>
      </w:r>
      <w:r w:rsidR="00465EF4">
        <w:t>but</w:t>
      </w:r>
      <w:r w:rsidR="007862AA">
        <w:t xml:space="preserve"> remained in farming</w:t>
      </w:r>
      <w:r w:rsidR="00465EF4">
        <w:t>,</w:t>
      </w:r>
      <w:r w:rsidR="007862AA">
        <w:t xml:space="preserve"> </w:t>
      </w:r>
      <w:r>
        <w:t>a</w:t>
      </w:r>
      <w:r w:rsidRPr="005D0073">
        <w:t xml:space="preserve">re now more reliant on allocation purchases than they would have been without the Basin Plan. </w:t>
      </w:r>
      <w:r>
        <w:t xml:space="preserve">As will be argued in more detail in Chapter </w:t>
      </w:r>
      <w:r>
        <w:fldChar w:fldCharType="begin"/>
      </w:r>
      <w:r>
        <w:instrText xml:space="preserve"> REF _Ref342381415 \r \h </w:instrText>
      </w:r>
      <w:r>
        <w:fldChar w:fldCharType="separate"/>
      </w:r>
      <w:r w:rsidR="008E5D7A">
        <w:t>6</w:t>
      </w:r>
      <w:r>
        <w:fldChar w:fldCharType="end"/>
      </w:r>
      <w:r>
        <w:t xml:space="preserve">, for dairy farmers this </w:t>
      </w:r>
      <w:r w:rsidR="00F83FBE">
        <w:t>has</w:t>
      </w:r>
      <w:r>
        <w:t xml:space="preserve"> increased their </w:t>
      </w:r>
      <w:r w:rsidR="007862AA">
        <w:t>reliance on more complex feeding systems</w:t>
      </w:r>
      <w:r>
        <w:t xml:space="preserve">. And as has already been demonstrated in Chapter </w:t>
      </w:r>
      <w:r>
        <w:fldChar w:fldCharType="begin"/>
      </w:r>
      <w:r>
        <w:instrText xml:space="preserve"> REF _Ref342400627 \r \h </w:instrText>
      </w:r>
      <w:r>
        <w:fldChar w:fldCharType="separate"/>
      </w:r>
      <w:r w:rsidR="008E5D7A">
        <w:t>3</w:t>
      </w:r>
      <w:r>
        <w:fldChar w:fldCharType="end"/>
      </w:r>
      <w:r>
        <w:t xml:space="preserve">, dairy farmers sold more entitlements to the Commonwealth than any other group of farmers. A potential mitigating factor is that these farmers may be in a position to manage </w:t>
      </w:r>
      <w:r w:rsidR="007862AA">
        <w:t>the</w:t>
      </w:r>
      <w:r>
        <w:t xml:space="preserve"> risk</w:t>
      </w:r>
      <w:r w:rsidR="007862AA">
        <w:t>s associated with these more complex feeding systems</w:t>
      </w:r>
      <w:r>
        <w:t xml:space="preserve"> where buyback funds were used to retire debt.</w:t>
      </w:r>
    </w:p>
    <w:p w14:paraId="6E86108D" w14:textId="77777777" w:rsidR="00C01A50" w:rsidRDefault="00C01A50" w:rsidP="00EB0E2A">
      <w:r>
        <w:t xml:space="preserve">Trends in </w:t>
      </w:r>
      <w:r w:rsidRPr="005D0073">
        <w:t xml:space="preserve">water use per hectare </w:t>
      </w:r>
      <w:r>
        <w:t xml:space="preserve">are difficult to interpret because of the pressing needs to improve efficiencies in a range of measures during the drought. </w:t>
      </w:r>
      <w:r w:rsidR="006A0C38">
        <w:t xml:space="preserve">The ABARES </w:t>
      </w:r>
      <w:r w:rsidR="00850250">
        <w:t xml:space="preserve">(2015) </w:t>
      </w:r>
      <w:r w:rsidR="006A0C38">
        <w:t xml:space="preserve">data show that water </w:t>
      </w:r>
      <w:r>
        <w:t xml:space="preserve">use per hectare </w:t>
      </w:r>
      <w:r w:rsidRPr="005D0073">
        <w:t>trended down during the drought</w:t>
      </w:r>
      <w:r w:rsidR="006A0C38">
        <w:t xml:space="preserve">, but it </w:t>
      </w:r>
      <w:r>
        <w:t>trend</w:t>
      </w:r>
      <w:r w:rsidR="006A0C38">
        <w:t>ed</w:t>
      </w:r>
      <w:r>
        <w:t xml:space="preserve"> up again immediately afterwards. </w:t>
      </w:r>
      <w:r w:rsidR="00CD601B">
        <w:t xml:space="preserve">Outside of individual case studies, it </w:t>
      </w:r>
      <w:r>
        <w:t xml:space="preserve">will take time before the </w:t>
      </w:r>
      <w:r w:rsidR="00CD601B">
        <w:t xml:space="preserve">overall </w:t>
      </w:r>
      <w:r>
        <w:t xml:space="preserve">impacts of the Basin Plan on-farm </w:t>
      </w:r>
      <w:r w:rsidR="00CD601B">
        <w:t xml:space="preserve">water use </w:t>
      </w:r>
      <w:r>
        <w:t xml:space="preserve">efficiency can be fully evaluated. </w:t>
      </w:r>
    </w:p>
    <w:p w14:paraId="2835D208" w14:textId="77777777" w:rsidR="00C01A50" w:rsidRPr="005D0073" w:rsidRDefault="008E1912" w:rsidP="00EB0E2A">
      <w:r>
        <w:t>Although</w:t>
      </w:r>
      <w:r w:rsidR="00C01A50">
        <w:t xml:space="preserve"> water use efficiency </w:t>
      </w:r>
      <w:r>
        <w:t xml:space="preserve">went up </w:t>
      </w:r>
      <w:r w:rsidR="00C01A50">
        <w:t>for dairy farmers during the drought</w:t>
      </w:r>
      <w:r>
        <w:t xml:space="preserve">, as will be shown in Chapter </w:t>
      </w:r>
      <w:r>
        <w:fldChar w:fldCharType="begin"/>
      </w:r>
      <w:r>
        <w:instrText xml:space="preserve"> REF _Ref342381415 \r \h </w:instrText>
      </w:r>
      <w:r>
        <w:fldChar w:fldCharType="separate"/>
      </w:r>
      <w:r w:rsidR="008E5D7A">
        <w:t>6</w:t>
      </w:r>
      <w:r>
        <w:fldChar w:fldCharType="end"/>
      </w:r>
      <w:r>
        <w:t>, their indebtedness rose during the same period.</w:t>
      </w:r>
      <w:r w:rsidR="00C01A50">
        <w:t xml:space="preserve"> This is a reminder that the concept of water use efficiency is more complex than the universal good that it is often portrayed to be; it </w:t>
      </w:r>
      <w:r>
        <w:t>should not</w:t>
      </w:r>
      <w:r w:rsidR="00C01A50">
        <w:t xml:space="preserve"> be considered in isolation of risk.</w:t>
      </w:r>
    </w:p>
    <w:p w14:paraId="33C74A75" w14:textId="77777777" w:rsidR="00C01A50" w:rsidRDefault="00C01A50">
      <w:pPr>
        <w:spacing w:before="0" w:after="0" w:line="240" w:lineRule="auto"/>
        <w:jc w:val="left"/>
        <w:rPr>
          <w:highlight w:val="yellow"/>
        </w:rPr>
      </w:pPr>
      <w:r>
        <w:rPr>
          <w:highlight w:val="yellow"/>
        </w:rPr>
        <w:br w:type="page"/>
      </w:r>
    </w:p>
    <w:p w14:paraId="7F804444" w14:textId="77777777" w:rsidR="00C01A50" w:rsidRDefault="00C01A50" w:rsidP="00593A9A">
      <w:pPr>
        <w:pStyle w:val="Heading1"/>
        <w:rPr>
          <w:lang w:val="en-AU"/>
        </w:rPr>
      </w:pPr>
      <w:bookmarkStart w:id="132" w:name="_Ref464762211"/>
      <w:bookmarkStart w:id="133" w:name="_Ref464762220"/>
      <w:bookmarkStart w:id="134" w:name="_Ref346108198"/>
      <w:bookmarkStart w:id="135" w:name="_Toc347747816"/>
      <w:bookmarkStart w:id="136" w:name="_Ref342394173"/>
      <w:r>
        <w:rPr>
          <w:lang w:val="en-AU"/>
        </w:rPr>
        <w:lastRenderedPageBreak/>
        <w:t>The i</w:t>
      </w:r>
      <w:r w:rsidRPr="003B1DA3">
        <w:rPr>
          <w:lang w:val="en-AU"/>
        </w:rPr>
        <w:t xml:space="preserve">mpacts </w:t>
      </w:r>
      <w:r>
        <w:rPr>
          <w:lang w:val="en-AU"/>
        </w:rPr>
        <w:t xml:space="preserve">of the Basin Plan on horticultural </w:t>
      </w:r>
      <w:bookmarkEnd w:id="132"/>
      <w:bookmarkEnd w:id="133"/>
      <w:r>
        <w:rPr>
          <w:lang w:val="en-AU"/>
        </w:rPr>
        <w:t>industries</w:t>
      </w:r>
      <w:bookmarkEnd w:id="134"/>
      <w:bookmarkEnd w:id="135"/>
    </w:p>
    <w:p w14:paraId="76C7D5C4" w14:textId="77777777" w:rsidR="00C01A50" w:rsidRDefault="00C01A50" w:rsidP="008F5436">
      <w:pPr>
        <w:pStyle w:val="Heading2"/>
        <w:rPr>
          <w:lang w:val="en-AU"/>
        </w:rPr>
      </w:pPr>
      <w:bookmarkStart w:id="137" w:name="_Toc347747817"/>
      <w:r>
        <w:rPr>
          <w:lang w:val="en-AU"/>
        </w:rPr>
        <w:t>Overview</w:t>
      </w:r>
      <w:bookmarkEnd w:id="137"/>
    </w:p>
    <w:p w14:paraId="6B60C426" w14:textId="77777777" w:rsidR="00C01A50" w:rsidRDefault="00C01A50" w:rsidP="00593A9A">
      <w:pPr>
        <w:rPr>
          <w:lang w:val="en-AU"/>
        </w:rPr>
      </w:pPr>
      <w:r>
        <w:rPr>
          <w:lang w:val="en-AU"/>
        </w:rPr>
        <w:t xml:space="preserve">As outlined in Chapter </w:t>
      </w:r>
      <w:r>
        <w:rPr>
          <w:lang w:val="en-AU"/>
        </w:rPr>
        <w:fldChar w:fldCharType="begin"/>
      </w:r>
      <w:r>
        <w:rPr>
          <w:lang w:val="en-AU"/>
        </w:rPr>
        <w:instrText xml:space="preserve"> REF _Ref342404937 \r \h </w:instrText>
      </w:r>
      <w:r>
        <w:rPr>
          <w:lang w:val="en-AU"/>
        </w:rPr>
      </w:r>
      <w:r>
        <w:rPr>
          <w:lang w:val="en-AU"/>
        </w:rPr>
        <w:fldChar w:fldCharType="separate"/>
      </w:r>
      <w:r w:rsidR="008E5D7A">
        <w:rPr>
          <w:lang w:val="en-AU"/>
        </w:rPr>
        <w:t>3</w:t>
      </w:r>
      <w:r>
        <w:rPr>
          <w:lang w:val="en-AU"/>
        </w:rPr>
        <w:fldChar w:fldCharType="end"/>
      </w:r>
      <w:r>
        <w:rPr>
          <w:lang w:val="en-AU"/>
        </w:rPr>
        <w:t xml:space="preserve"> the total water use on horticultural crops is the same for the counterfactual as it is with the Basin Plan. This chapter explains that horticultural plantings are continuing to expand in the southern-connected Basin. Most of that expansion to date has occurred in the Mallee regions of NSW, South Australia and Victoria, but expansion is starting to occur in the Murrumbidgee, and the current rejuvenation of horticulture in the GMID can ultimately be expected to result in an expansion there as well.</w:t>
      </w:r>
    </w:p>
    <w:p w14:paraId="7A51E10F" w14:textId="77777777" w:rsidR="00C01A50" w:rsidRDefault="00C01A50" w:rsidP="00593A9A">
      <w:pPr>
        <w:rPr>
          <w:lang w:val="en-AU"/>
        </w:rPr>
      </w:pPr>
      <w:r>
        <w:rPr>
          <w:lang w:val="en-AU"/>
        </w:rPr>
        <w:t>This chapter explains that even without further expansion the maturation of existing plantings will result in an increase in horticultural demands for water. It also explains that while total horticultural water use is unaffected by the Basin Plan, because the consumptive pool has been reduced, horticulture now accounts for a greater proportion of the total water available for irrigation. The Basin Plan has therefore increased the risk of horticultural land being dried off in the next drought. This chapter finishes by exploring the implications of the Basin Plan for horticulturalists in different parts of the Basin.</w:t>
      </w:r>
    </w:p>
    <w:p w14:paraId="3233F503" w14:textId="77777777" w:rsidR="00C01A50" w:rsidRDefault="00C01A50" w:rsidP="008F5436">
      <w:pPr>
        <w:pStyle w:val="Heading2"/>
        <w:rPr>
          <w:lang w:val="en-AU"/>
        </w:rPr>
      </w:pPr>
      <w:bookmarkStart w:id="138" w:name="_Toc347747818"/>
      <w:r>
        <w:rPr>
          <w:lang w:val="en-AU"/>
        </w:rPr>
        <w:t>Trends in horticultural expansion</w:t>
      </w:r>
      <w:bookmarkEnd w:id="138"/>
    </w:p>
    <w:p w14:paraId="0E4B319C" w14:textId="77777777" w:rsidR="00C01A50" w:rsidRDefault="00C01A50" w:rsidP="00E60AC9">
      <w:pPr>
        <w:rPr>
          <w:lang w:val="en-AU"/>
        </w:rPr>
      </w:pPr>
      <w:r w:rsidRPr="00B534C5">
        <w:rPr>
          <w:lang w:val="en-AU"/>
        </w:rPr>
        <w:t>Horticultural plantings in the Mallee regions of NSW, South Australia and Victoria have continued to expand</w:t>
      </w:r>
      <w:r>
        <w:rPr>
          <w:lang w:val="en-AU"/>
        </w:rPr>
        <w:t xml:space="preserve"> since the Basin Plan commenced</w:t>
      </w:r>
      <w:r w:rsidRPr="00B534C5">
        <w:rPr>
          <w:lang w:val="en-AU"/>
        </w:rPr>
        <w:t xml:space="preserve">, continuing the trend that started with the introduction of entitlement trade in Victoria in 1994. </w:t>
      </w:r>
      <w:r>
        <w:rPr>
          <w:lang w:val="en-AU"/>
        </w:rPr>
        <w:t xml:space="preserve">According to the Mallee CMA’s data, </w:t>
      </w:r>
      <w:r w:rsidRPr="00B534C5">
        <w:rPr>
          <w:lang w:val="en-AU"/>
        </w:rPr>
        <w:t xml:space="preserve">the total area irrigable for horticulture in the Victorian Mallee increased from 39,700 to 73,000 ha </w:t>
      </w:r>
      <w:r>
        <w:rPr>
          <w:lang w:val="en-AU"/>
        </w:rPr>
        <w:t>between</w:t>
      </w:r>
      <w:r w:rsidRPr="00B534C5">
        <w:rPr>
          <w:lang w:val="en-AU"/>
        </w:rPr>
        <w:t xml:space="preserve"> 1997 </w:t>
      </w:r>
      <w:r>
        <w:rPr>
          <w:lang w:val="en-AU"/>
        </w:rPr>
        <w:t xml:space="preserve">and </w:t>
      </w:r>
      <w:r w:rsidRPr="00B534C5">
        <w:rPr>
          <w:lang w:val="en-AU"/>
        </w:rPr>
        <w:t xml:space="preserve">2015. In 2015, 70% of this area was devoted to perennial crops, 13% supported </w:t>
      </w:r>
      <w:r>
        <w:rPr>
          <w:lang w:val="en-AU"/>
        </w:rPr>
        <w:t>seasonal</w:t>
      </w:r>
      <w:r w:rsidRPr="00B534C5">
        <w:rPr>
          <w:lang w:val="en-AU"/>
        </w:rPr>
        <w:t xml:space="preserve"> crops </w:t>
      </w:r>
      <w:r>
        <w:rPr>
          <w:lang w:val="en-AU"/>
        </w:rPr>
        <w:t>including</w:t>
      </w:r>
      <w:r w:rsidRPr="00B534C5">
        <w:rPr>
          <w:lang w:val="en-AU"/>
        </w:rPr>
        <w:t xml:space="preserve"> vegetables and 17% was vacant (Argus, 2016).</w:t>
      </w:r>
    </w:p>
    <w:p w14:paraId="75BAE604" w14:textId="77777777" w:rsidR="00C01A50" w:rsidRDefault="00C01A50" w:rsidP="00593A9A">
      <w:pPr>
        <w:rPr>
          <w:lang w:val="en-AU"/>
        </w:rPr>
      </w:pPr>
      <w:r>
        <w:rPr>
          <w:lang w:val="en-AU"/>
        </w:rPr>
        <w:t>In contrast, t</w:t>
      </w:r>
      <w:r w:rsidRPr="00B534C5">
        <w:rPr>
          <w:lang w:val="en-AU"/>
        </w:rPr>
        <w:t>he area of horticultural plantings in the GMID has remained relatively constant since the Basin Plan commenced. In the GMID the value of horticultural production has nonetheless increased as plantings for the declining canning industry have been replaced by pome and stone fruit plantings for the fresh market.</w:t>
      </w:r>
      <w:r>
        <w:rPr>
          <w:lang w:val="en-AU"/>
        </w:rPr>
        <w:t xml:space="preserve"> </w:t>
      </w:r>
      <w:r w:rsidRPr="00B534C5">
        <w:rPr>
          <w:lang w:val="en-AU"/>
        </w:rPr>
        <w:t>This is reflected in the 2013</w:t>
      </w:r>
      <w:r w:rsidR="005A3ABF">
        <w:rPr>
          <w:lang w:val="en-AU"/>
        </w:rPr>
        <w:t>/</w:t>
      </w:r>
      <w:r w:rsidRPr="00B534C5">
        <w:rPr>
          <w:lang w:val="en-AU"/>
        </w:rPr>
        <w:t xml:space="preserve">14 decline in </w:t>
      </w:r>
      <w:r w:rsidR="00A34F27">
        <w:rPr>
          <w:lang w:val="en-AU"/>
        </w:rPr>
        <w:t xml:space="preserve">tree plantings for the Goulburn </w:t>
      </w:r>
      <w:r w:rsidRPr="00B534C5">
        <w:rPr>
          <w:lang w:val="en-AU"/>
        </w:rPr>
        <w:t>Broken region followed by a return to previous levels in 2014</w:t>
      </w:r>
      <w:r w:rsidR="005A3ABF">
        <w:rPr>
          <w:lang w:val="en-AU"/>
        </w:rPr>
        <w:t>/</w:t>
      </w:r>
      <w:r w:rsidRPr="00B534C5">
        <w:rPr>
          <w:lang w:val="en-AU"/>
        </w:rPr>
        <w:t>15.</w:t>
      </w:r>
      <w:r>
        <w:rPr>
          <w:lang w:val="en-AU"/>
        </w:rPr>
        <w:t xml:space="preserve"> This rejuvenation of horticulture in the GMID </w:t>
      </w:r>
      <w:r w:rsidR="000E700A">
        <w:rPr>
          <w:lang w:val="en-AU"/>
        </w:rPr>
        <w:t>is likely to</w:t>
      </w:r>
      <w:r>
        <w:rPr>
          <w:lang w:val="en-AU"/>
        </w:rPr>
        <w:t xml:space="preserve"> lead to expansion in the future.</w:t>
      </w:r>
    </w:p>
    <w:p w14:paraId="1E171813" w14:textId="77777777" w:rsidR="00C01A50" w:rsidRDefault="00C01A50" w:rsidP="00593A9A">
      <w:pPr>
        <w:rPr>
          <w:lang w:val="en-AU"/>
        </w:rPr>
      </w:pPr>
      <w:r>
        <w:rPr>
          <w:lang w:val="en-AU"/>
        </w:rPr>
        <w:t xml:space="preserve">As discussed in Chapter </w:t>
      </w:r>
      <w:r>
        <w:rPr>
          <w:lang w:val="en-AU"/>
        </w:rPr>
        <w:fldChar w:fldCharType="begin"/>
      </w:r>
      <w:r>
        <w:rPr>
          <w:lang w:val="en-AU"/>
        </w:rPr>
        <w:instrText xml:space="preserve"> REF _Ref342456059 \r \h </w:instrText>
      </w:r>
      <w:r>
        <w:rPr>
          <w:lang w:val="en-AU"/>
        </w:rPr>
      </w:r>
      <w:r>
        <w:rPr>
          <w:lang w:val="en-AU"/>
        </w:rPr>
        <w:fldChar w:fldCharType="separate"/>
      </w:r>
      <w:r w:rsidR="008E5D7A">
        <w:rPr>
          <w:lang w:val="en-AU"/>
        </w:rPr>
        <w:t>7</w:t>
      </w:r>
      <w:r>
        <w:rPr>
          <w:lang w:val="en-AU"/>
        </w:rPr>
        <w:fldChar w:fldCharType="end"/>
      </w:r>
      <w:r w:rsidR="00866806">
        <w:rPr>
          <w:lang w:val="en-AU"/>
        </w:rPr>
        <w:t>,</w:t>
      </w:r>
      <w:r>
        <w:rPr>
          <w:lang w:val="en-AU"/>
        </w:rPr>
        <w:t xml:space="preserve"> </w:t>
      </w:r>
      <w:r w:rsidR="00866806" w:rsidRPr="00B534C5">
        <w:rPr>
          <w:lang w:val="en-AU"/>
        </w:rPr>
        <w:t>horticultural plantings in the Murrumbidgee</w:t>
      </w:r>
      <w:r w:rsidR="00866806">
        <w:rPr>
          <w:lang w:val="en-AU"/>
        </w:rPr>
        <w:t xml:space="preserve"> have remained relatively constant. However</w:t>
      </w:r>
      <w:r>
        <w:rPr>
          <w:lang w:val="en-AU"/>
        </w:rPr>
        <w:t>, nut crops are currently expanding in the Murrumbidgee.</w:t>
      </w:r>
    </w:p>
    <w:p w14:paraId="770344AD" w14:textId="77777777" w:rsidR="00C01A50" w:rsidRDefault="00C01A50" w:rsidP="00BA0D84">
      <w:pPr>
        <w:rPr>
          <w:lang w:val="en-AU"/>
        </w:rPr>
      </w:pPr>
      <w:r>
        <w:rPr>
          <w:lang w:val="en-AU"/>
        </w:rPr>
        <w:t xml:space="preserve">As discussed in Chapter </w:t>
      </w:r>
      <w:r>
        <w:rPr>
          <w:lang w:val="en-AU"/>
        </w:rPr>
        <w:fldChar w:fldCharType="begin"/>
      </w:r>
      <w:r>
        <w:rPr>
          <w:lang w:val="en-AU"/>
        </w:rPr>
        <w:instrText xml:space="preserve"> REF _Ref342404866 \r \h </w:instrText>
      </w:r>
      <w:r>
        <w:rPr>
          <w:lang w:val="en-AU"/>
        </w:rPr>
      </w:r>
      <w:r>
        <w:rPr>
          <w:lang w:val="en-AU"/>
        </w:rPr>
        <w:fldChar w:fldCharType="separate"/>
      </w:r>
      <w:r w:rsidR="008E5D7A">
        <w:rPr>
          <w:lang w:val="en-AU"/>
        </w:rPr>
        <w:t>2</w:t>
      </w:r>
      <w:r>
        <w:rPr>
          <w:lang w:val="en-AU"/>
        </w:rPr>
        <w:fldChar w:fldCharType="end"/>
      </w:r>
      <w:r>
        <w:rPr>
          <w:lang w:val="en-AU"/>
        </w:rPr>
        <w:t xml:space="preserve">, the irrigation demand for perennial horticultural crops is essentially </w:t>
      </w:r>
      <w:r>
        <w:rPr>
          <w:i/>
          <w:lang w:val="en-AU"/>
        </w:rPr>
        <w:t>non-i</w:t>
      </w:r>
      <w:r w:rsidRPr="003C478D">
        <w:rPr>
          <w:i/>
          <w:lang w:val="en-AU"/>
        </w:rPr>
        <w:t>nterruptible</w:t>
      </w:r>
      <w:r w:rsidRPr="003B1DA3">
        <w:rPr>
          <w:lang w:val="en-AU"/>
        </w:rPr>
        <w:t xml:space="preserve"> </w:t>
      </w:r>
      <w:r>
        <w:rPr>
          <w:lang w:val="en-AU"/>
        </w:rPr>
        <w:t xml:space="preserve">and, depending on relative commodity prices, in times of low water availability horticulturalists are likely to remain as buyers when the price of water hits the point where dairy farmers start to substitute feed for water. </w:t>
      </w:r>
    </w:p>
    <w:p w14:paraId="536E8E64" w14:textId="77777777" w:rsidR="00C01A50" w:rsidRDefault="00C01A50" w:rsidP="00BA0D84">
      <w:pPr>
        <w:rPr>
          <w:lang w:val="en-AU"/>
        </w:rPr>
      </w:pPr>
      <w:r>
        <w:rPr>
          <w:lang w:val="en-AU"/>
        </w:rPr>
        <w:t xml:space="preserve">Nonetheless, as happened during the last drought, when allocations are low and allocation prices are high, marginally profitable and unprofitable horticultural crops will be dried-off, and the crops that can be mothballed will be. This is why the percentage of vacant irrigable land in the Mallee went from 3% in 1997 (about the rate necessary for continual renewal of orchards and vineyards) to 20% in 2009 and </w:t>
      </w:r>
      <w:r>
        <w:rPr>
          <w:lang w:val="en-AU"/>
        </w:rPr>
        <w:lastRenderedPageBreak/>
        <w:t>back to 17% in 2015. The unprofitability of many wine grape varieties at that time was reflected in a 35% reduction in total wine grape plantings (Argus, 2016). As that land is being gradually replanted, wine grapes are being replaced by crops such as almonds and table grapes, which use more water per hectare.</w:t>
      </w:r>
    </w:p>
    <w:p w14:paraId="535981BF" w14:textId="77777777" w:rsidR="00C01A50" w:rsidRDefault="00C01A50" w:rsidP="00BA0D84">
      <w:pPr>
        <w:rPr>
          <w:lang w:val="en-AU"/>
        </w:rPr>
      </w:pPr>
      <w:r>
        <w:rPr>
          <w:lang w:val="en-AU"/>
        </w:rPr>
        <w:t xml:space="preserve">As horticulture continues to expand and use a larger proportion of the diminished consumptive pool, the scale of </w:t>
      </w:r>
      <w:r w:rsidR="009D6B03">
        <w:rPr>
          <w:lang w:val="en-AU"/>
        </w:rPr>
        <w:t xml:space="preserve">horticultural </w:t>
      </w:r>
      <w:r>
        <w:rPr>
          <w:lang w:val="en-AU"/>
        </w:rPr>
        <w:t>land to be dried-off in the next drought will increase</w:t>
      </w:r>
      <w:r w:rsidR="009D6B03">
        <w:rPr>
          <w:lang w:val="en-AU"/>
        </w:rPr>
        <w:t xml:space="preserve">, and as outlined in Chapter </w:t>
      </w:r>
      <w:r w:rsidR="009D6B03">
        <w:rPr>
          <w:lang w:val="en-AU"/>
        </w:rPr>
        <w:fldChar w:fldCharType="begin"/>
      </w:r>
      <w:r w:rsidR="009D6B03">
        <w:rPr>
          <w:lang w:val="en-AU"/>
        </w:rPr>
        <w:instrText xml:space="preserve"> REF _Ref342457448 \r \h </w:instrText>
      </w:r>
      <w:r w:rsidR="009D6B03">
        <w:rPr>
          <w:lang w:val="en-AU"/>
        </w:rPr>
      </w:r>
      <w:r w:rsidR="009D6B03">
        <w:rPr>
          <w:lang w:val="en-AU"/>
        </w:rPr>
        <w:fldChar w:fldCharType="separate"/>
      </w:r>
      <w:r w:rsidR="008E5D7A">
        <w:rPr>
          <w:lang w:val="en-AU"/>
        </w:rPr>
        <w:t>11</w:t>
      </w:r>
      <w:r w:rsidR="009D6B03">
        <w:rPr>
          <w:lang w:val="en-AU"/>
        </w:rPr>
        <w:fldChar w:fldCharType="end"/>
      </w:r>
      <w:r w:rsidR="009D6B03">
        <w:rPr>
          <w:lang w:val="en-AU"/>
        </w:rPr>
        <w:t xml:space="preserve"> it would increase even more in the higher water recovery scenarios.</w:t>
      </w:r>
      <w:r>
        <w:rPr>
          <w:lang w:val="en-AU"/>
        </w:rPr>
        <w:t xml:space="preserve"> The variability in total water availability in the southern-connected Basin as a whole makes it extremely unlikely that </w:t>
      </w:r>
      <w:r>
        <w:rPr>
          <w:i/>
          <w:lang w:val="en-AU"/>
        </w:rPr>
        <w:t xml:space="preserve">non-interruptible </w:t>
      </w:r>
      <w:r>
        <w:rPr>
          <w:lang w:val="en-AU"/>
        </w:rPr>
        <w:t xml:space="preserve">crops could sustainably account for the majority of water use. The sustainable limits to </w:t>
      </w:r>
      <w:r>
        <w:rPr>
          <w:i/>
          <w:lang w:val="en-AU"/>
        </w:rPr>
        <w:t xml:space="preserve">non-interruptible </w:t>
      </w:r>
      <w:r>
        <w:rPr>
          <w:lang w:val="en-AU"/>
        </w:rPr>
        <w:t>plantings, which will depend on the commodity prices prevailing at the time, will be revealed in times of low allocations and high allocation prices. Given that horticultural investment is subject to waves of optimism and pessimism, it is likely that total plantings will oscillate around those limits. New entrants are likely to assume that they will be the ones best placed to cope with high allocation prices; and</w:t>
      </w:r>
      <w:r w:rsidR="009D6B03">
        <w:rPr>
          <w:lang w:val="en-AU"/>
        </w:rPr>
        <w:t>, depending on their financial resources and their farming systems,</w:t>
      </w:r>
      <w:r>
        <w:rPr>
          <w:lang w:val="en-AU"/>
        </w:rPr>
        <w:t xml:space="preserve"> they may be right. </w:t>
      </w:r>
    </w:p>
    <w:p w14:paraId="2BD35A0C" w14:textId="77777777" w:rsidR="00C01A50" w:rsidRDefault="00C01A50" w:rsidP="00593A9A">
      <w:pPr>
        <w:rPr>
          <w:lang w:val="en-AU"/>
        </w:rPr>
      </w:pPr>
      <w:r>
        <w:rPr>
          <w:lang w:val="en-AU"/>
        </w:rPr>
        <w:t xml:space="preserve">It is important to note </w:t>
      </w:r>
      <w:r w:rsidR="00E274F8">
        <w:rPr>
          <w:lang w:val="en-AU"/>
        </w:rPr>
        <w:t>that a</w:t>
      </w:r>
      <w:r>
        <w:rPr>
          <w:lang w:val="en-AU"/>
        </w:rPr>
        <w:t xml:space="preserve"> significant proportion (8%) of the irrigable land in the Victorian Mallee is supporting high value vegetable crops including carrots (accounting for half), potatoes, cucurbits, asparagus and others (Argus, 2016). Although these crops are </w:t>
      </w:r>
      <w:r w:rsidRPr="00CA694C">
        <w:rPr>
          <w:i/>
          <w:lang w:val="en-AU"/>
        </w:rPr>
        <w:t>interruptible</w:t>
      </w:r>
      <w:r>
        <w:rPr>
          <w:lang w:val="en-AU"/>
        </w:rPr>
        <w:t>, their high value</w:t>
      </w:r>
      <w:r w:rsidR="007E1A2E">
        <w:rPr>
          <w:lang w:val="en-AU"/>
        </w:rPr>
        <w:t>,</w:t>
      </w:r>
      <w:r>
        <w:rPr>
          <w:lang w:val="en-AU"/>
        </w:rPr>
        <w:t xml:space="preserve"> </w:t>
      </w:r>
      <w:r w:rsidR="007E1A2E">
        <w:rPr>
          <w:lang w:val="en-AU"/>
        </w:rPr>
        <w:t>and their contract-based production systems</w:t>
      </w:r>
      <w:r w:rsidR="00E274F8">
        <w:rPr>
          <w:lang w:val="en-AU"/>
        </w:rPr>
        <w:t>,</w:t>
      </w:r>
      <w:r w:rsidR="007E1A2E">
        <w:rPr>
          <w:lang w:val="en-AU"/>
        </w:rPr>
        <w:t xml:space="preserve"> </w:t>
      </w:r>
      <w:r>
        <w:rPr>
          <w:lang w:val="en-AU"/>
        </w:rPr>
        <w:t xml:space="preserve">makes it unlikely that they will be dried-off during all but the most severe water shortages. </w:t>
      </w:r>
    </w:p>
    <w:p w14:paraId="66325A25" w14:textId="77777777" w:rsidR="00C01A50" w:rsidRDefault="00C01A50" w:rsidP="00593A9A">
      <w:pPr>
        <w:rPr>
          <w:lang w:val="en-AU"/>
        </w:rPr>
      </w:pPr>
      <w:r w:rsidRPr="00B624A5">
        <w:rPr>
          <w:lang w:val="en-AU"/>
        </w:rPr>
        <w:t xml:space="preserve">It is also important to note that many of the perennial horticultural plantings in the Victorian Mallee are yet to mature. Therefore their demand for water is likely to continue to increase over the next few years. And redevelopment on the vacant land has hastened in the current financial year, since Argus (2016) completed her assessments of crop areas (pers. com., LMW). </w:t>
      </w:r>
    </w:p>
    <w:p w14:paraId="34B92AD6" w14:textId="77777777" w:rsidR="00C01A50" w:rsidRDefault="00C01A50" w:rsidP="00593A9A">
      <w:pPr>
        <w:rPr>
          <w:lang w:val="en-AU"/>
        </w:rPr>
      </w:pPr>
      <w:r>
        <w:rPr>
          <w:lang w:val="en-AU"/>
        </w:rPr>
        <w:t xml:space="preserve">Based on the reported areas of horticultural plantings in the Victorian Mallee (Argus, 2016) and the reported areas in the Lower Murray-Darling (Sunrise, 2015), we were able to calculate the mature irrigation requirements for existing plantings </w:t>
      </w:r>
      <w:r w:rsidRPr="00B624A5">
        <w:rPr>
          <w:lang w:val="en-AU"/>
        </w:rPr>
        <w:t xml:space="preserve">(Appendix </w:t>
      </w:r>
      <w:r w:rsidRPr="00B624A5">
        <w:rPr>
          <w:lang w:val="en-AU"/>
        </w:rPr>
        <w:fldChar w:fldCharType="begin"/>
      </w:r>
      <w:r w:rsidRPr="00B624A5">
        <w:rPr>
          <w:lang w:val="en-AU"/>
        </w:rPr>
        <w:instrText xml:space="preserve"> REF _Ref342404337 \r \h </w:instrText>
      </w:r>
      <w:r w:rsidRPr="00B624A5">
        <w:rPr>
          <w:lang w:val="en-AU"/>
        </w:rPr>
      </w:r>
      <w:r w:rsidRPr="00B624A5">
        <w:rPr>
          <w:lang w:val="en-AU"/>
        </w:rPr>
        <w:fldChar w:fldCharType="separate"/>
      </w:r>
      <w:r w:rsidR="008E5D7A">
        <w:rPr>
          <w:lang w:val="en-AU"/>
        </w:rPr>
        <w:t>5</w:t>
      </w:r>
      <w:r w:rsidRPr="00B624A5">
        <w:rPr>
          <w:lang w:val="en-AU"/>
        </w:rPr>
        <w:fldChar w:fldCharType="end"/>
      </w:r>
      <w:r w:rsidRPr="00B624A5">
        <w:rPr>
          <w:lang w:val="en-AU"/>
        </w:rPr>
        <w:t>)</w:t>
      </w:r>
      <w:r>
        <w:rPr>
          <w:lang w:val="en-AU"/>
        </w:rPr>
        <w:t xml:space="preserve">. </w:t>
      </w:r>
    </w:p>
    <w:p w14:paraId="3EAD3513" w14:textId="561ED29A" w:rsidR="00C01A50" w:rsidRDefault="00712766" w:rsidP="00593A9A">
      <w:pPr>
        <w:rPr>
          <w:lang w:val="en-AU"/>
        </w:rPr>
      </w:pPr>
      <w:r>
        <w:rPr>
          <w:lang w:val="en-AU"/>
        </w:rPr>
        <w:t xml:space="preserve">Discussions </w:t>
      </w:r>
      <w:r w:rsidR="00C01A50">
        <w:rPr>
          <w:lang w:val="en-AU"/>
        </w:rPr>
        <w:t xml:space="preserve">with Lower Murray Water and the Mallee CMA allowed us to forecast additional demand based on currently approved developments that have not yet been planted, proposed developments currently subject to approval, and potential developments currently being subject to due diligence and the expectations, based on current trends, of how much of the dried off land is likely to be redeveloped. Taking account of the varying levels of certainty surrounding these figures, </w:t>
      </w:r>
      <w:r w:rsidR="00C01A50" w:rsidRPr="00B624A5">
        <w:rPr>
          <w:lang w:val="en-AU"/>
        </w:rPr>
        <w:t>our initial estimates</w:t>
      </w:r>
      <w:r w:rsidR="00C01A50">
        <w:rPr>
          <w:lang w:val="en-AU"/>
        </w:rPr>
        <w:t>, as outline in</w:t>
      </w:r>
      <w:r w:rsidR="00C01A50" w:rsidRPr="00B624A5">
        <w:rPr>
          <w:lang w:val="en-AU"/>
        </w:rPr>
        <w:t xml:space="preserve"> Appendix </w:t>
      </w:r>
      <w:r w:rsidR="00C01A50" w:rsidRPr="00B624A5">
        <w:rPr>
          <w:lang w:val="en-AU"/>
        </w:rPr>
        <w:fldChar w:fldCharType="begin"/>
      </w:r>
      <w:r w:rsidR="00C01A50" w:rsidRPr="00B624A5">
        <w:rPr>
          <w:lang w:val="en-AU"/>
        </w:rPr>
        <w:instrText xml:space="preserve"> REF _Ref342404337 \r \h </w:instrText>
      </w:r>
      <w:r w:rsidR="00C01A50" w:rsidRPr="00B624A5">
        <w:rPr>
          <w:lang w:val="en-AU"/>
        </w:rPr>
      </w:r>
      <w:r w:rsidR="00C01A50" w:rsidRPr="00B624A5">
        <w:rPr>
          <w:lang w:val="en-AU"/>
        </w:rPr>
        <w:fldChar w:fldCharType="separate"/>
      </w:r>
      <w:r w:rsidR="008E5D7A">
        <w:rPr>
          <w:lang w:val="en-AU"/>
        </w:rPr>
        <w:t>5</w:t>
      </w:r>
      <w:r w:rsidR="00C01A50" w:rsidRPr="00B624A5">
        <w:rPr>
          <w:lang w:val="en-AU"/>
        </w:rPr>
        <w:fldChar w:fldCharType="end"/>
      </w:r>
      <w:r w:rsidR="00C01A50">
        <w:rPr>
          <w:lang w:val="en-AU"/>
        </w:rPr>
        <w:t xml:space="preserve">, </w:t>
      </w:r>
      <w:r w:rsidR="00C01A50" w:rsidRPr="00B624A5">
        <w:rPr>
          <w:lang w:val="en-AU"/>
        </w:rPr>
        <w:t xml:space="preserve">suggest that irrigation demands for crops in the Victorian Mallee are likely to increase by something between 50 </w:t>
      </w:r>
      <w:r w:rsidR="00C01A50" w:rsidRPr="003C1C21">
        <w:rPr>
          <w:lang w:val="en-AU"/>
        </w:rPr>
        <w:t xml:space="preserve">and 200 GL per annum </w:t>
      </w:r>
      <w:r w:rsidR="003C1C21" w:rsidRPr="003C1C21">
        <w:rPr>
          <w:lang w:val="en-AU"/>
        </w:rPr>
        <w:t>in the</w:t>
      </w:r>
      <w:r w:rsidR="003C1C21">
        <w:rPr>
          <w:lang w:val="en-AU"/>
        </w:rPr>
        <w:t xml:space="preserve"> medium term.</w:t>
      </w:r>
    </w:p>
    <w:p w14:paraId="15D9F1DF" w14:textId="77777777" w:rsidR="003C1C21" w:rsidRDefault="003C1C21" w:rsidP="00593A9A">
      <w:pPr>
        <w:pStyle w:val="Heading2"/>
        <w:rPr>
          <w:lang w:val="en-AU"/>
        </w:rPr>
      </w:pPr>
      <w:bookmarkStart w:id="139" w:name="_Toc347747819"/>
      <w:r>
        <w:rPr>
          <w:lang w:val="en-AU"/>
        </w:rPr>
        <w:t>Irrigated horticulture in the counterfactual</w:t>
      </w:r>
      <w:bookmarkEnd w:id="139"/>
    </w:p>
    <w:p w14:paraId="6520B4ED" w14:textId="77777777" w:rsidR="003C1C21" w:rsidRPr="003C1C21" w:rsidRDefault="003C1C21" w:rsidP="003C1C21">
      <w:r>
        <w:t xml:space="preserve">As outlined in Chapter </w:t>
      </w:r>
      <w:r>
        <w:fldChar w:fldCharType="begin"/>
      </w:r>
      <w:r>
        <w:instrText xml:space="preserve"> REF _Ref342400627 \r \h </w:instrText>
      </w:r>
      <w:r>
        <w:fldChar w:fldCharType="separate"/>
      </w:r>
      <w:r w:rsidR="008E5D7A">
        <w:t>3</w:t>
      </w:r>
      <w:r>
        <w:fldChar w:fldCharType="end"/>
      </w:r>
      <w:r>
        <w:t>, we</w:t>
      </w:r>
      <w:r w:rsidR="0064679C">
        <w:t xml:space="preserve"> assume that horticultural water use in Victoria would be the same without the Basin Plan as it is with the Basin Plan. We assume that this would also be true for horticulture in NSW and South Australia.</w:t>
      </w:r>
    </w:p>
    <w:p w14:paraId="32C9DBCA" w14:textId="77777777" w:rsidR="00C01A50" w:rsidRDefault="00C01A50" w:rsidP="00593A9A">
      <w:pPr>
        <w:pStyle w:val="Heading2"/>
        <w:rPr>
          <w:lang w:val="en-AU"/>
        </w:rPr>
      </w:pPr>
      <w:bookmarkStart w:id="140" w:name="_Toc347747820"/>
      <w:r>
        <w:rPr>
          <w:lang w:val="en-AU"/>
        </w:rPr>
        <w:lastRenderedPageBreak/>
        <w:t>Overall implications of the Basin Plan for horticulture</w:t>
      </w:r>
      <w:bookmarkEnd w:id="140"/>
    </w:p>
    <w:p w14:paraId="0501993F" w14:textId="77777777" w:rsidR="00C01A50" w:rsidRDefault="00C01A50" w:rsidP="00B624A5">
      <w:pPr>
        <w:rPr>
          <w:lang w:val="en-AU"/>
        </w:rPr>
      </w:pPr>
      <w:r>
        <w:rPr>
          <w:lang w:val="en-AU"/>
        </w:rPr>
        <w:t xml:space="preserve">The structural adjustment issues associated with the 35% drop in wine grape plantings in the Victorian Mallee, and similar reductions in other parts of the Basin, were undoubtedly smoothed by the ability of wine grape growers to raise money by selling their water entitlements to the Commonwealth. Similarly, </w:t>
      </w:r>
      <w:r w:rsidRPr="00B4379F">
        <w:rPr>
          <w:lang w:val="en-AU"/>
        </w:rPr>
        <w:t>it is possible that by further limiting the total volume of high reliability water shares that can be used to support perennial horticulture development below the Barmah Choke,</w:t>
      </w:r>
      <w:r>
        <w:rPr>
          <w:lang w:val="en-AU"/>
        </w:rPr>
        <w:t xml:space="preserve"> the Basin Plan may have helped maintain</w:t>
      </w:r>
      <w:r w:rsidRPr="00B4379F">
        <w:rPr>
          <w:lang w:val="en-AU"/>
        </w:rPr>
        <w:t xml:space="preserve"> the risk of congestion in the Choke at existing levels</w:t>
      </w:r>
      <w:r>
        <w:rPr>
          <w:lang w:val="en-AU"/>
        </w:rPr>
        <w:t>,</w:t>
      </w:r>
      <w:r w:rsidRPr="00B4379F">
        <w:rPr>
          <w:lang w:val="en-AU"/>
        </w:rPr>
        <w:t xml:space="preserve"> when </w:t>
      </w:r>
      <w:r>
        <w:rPr>
          <w:lang w:val="en-AU"/>
        </w:rPr>
        <w:t xml:space="preserve">in the absence of the Basin Plan </w:t>
      </w:r>
      <w:r w:rsidRPr="00B4379F">
        <w:rPr>
          <w:lang w:val="en-AU"/>
        </w:rPr>
        <w:t>it may otherwise have increased.</w:t>
      </w:r>
    </w:p>
    <w:p w14:paraId="2960B698" w14:textId="77777777" w:rsidR="00C01A50" w:rsidRDefault="00C01A50" w:rsidP="00593A9A">
      <w:pPr>
        <w:rPr>
          <w:lang w:val="en-AU"/>
        </w:rPr>
      </w:pPr>
      <w:r>
        <w:rPr>
          <w:lang w:val="en-AU"/>
        </w:rPr>
        <w:t xml:space="preserve">However, </w:t>
      </w:r>
      <w:r w:rsidRPr="00B4379F">
        <w:rPr>
          <w:lang w:val="en-AU"/>
        </w:rPr>
        <w:t>because it significantly reduced the consumptive pool</w:t>
      </w:r>
      <w:r>
        <w:rPr>
          <w:lang w:val="en-AU"/>
        </w:rPr>
        <w:t xml:space="preserve"> available for irrigation</w:t>
      </w:r>
      <w:r w:rsidRPr="00B4379F">
        <w:rPr>
          <w:lang w:val="en-AU"/>
        </w:rPr>
        <w:t xml:space="preserve">, the Basin Plan has </w:t>
      </w:r>
      <w:r>
        <w:rPr>
          <w:lang w:val="en-AU"/>
        </w:rPr>
        <w:t xml:space="preserve">increased the risk of horticultural land being dried-off during the next drought (although horticultural enterprises may outbid other water users, the risk is that there would be not water available beyond that required to meet horticultural demands). As outlined in Chapter </w:t>
      </w:r>
      <w:r>
        <w:rPr>
          <w:lang w:val="en-AU"/>
        </w:rPr>
        <w:fldChar w:fldCharType="begin"/>
      </w:r>
      <w:r>
        <w:rPr>
          <w:lang w:val="en-AU"/>
        </w:rPr>
        <w:instrText xml:space="preserve"> REF _Ref342400627 \r \h </w:instrText>
      </w:r>
      <w:r>
        <w:rPr>
          <w:lang w:val="en-AU"/>
        </w:rPr>
      </w:r>
      <w:r>
        <w:rPr>
          <w:lang w:val="en-AU"/>
        </w:rPr>
        <w:fldChar w:fldCharType="separate"/>
      </w:r>
      <w:r w:rsidR="008E5D7A">
        <w:rPr>
          <w:lang w:val="en-AU"/>
        </w:rPr>
        <w:t>3</w:t>
      </w:r>
      <w:r>
        <w:rPr>
          <w:lang w:val="en-AU"/>
        </w:rPr>
        <w:fldChar w:fldCharType="end"/>
      </w:r>
      <w:r>
        <w:rPr>
          <w:lang w:val="en-AU"/>
        </w:rPr>
        <w:t>, total water use for horticulture is the same with the Basin Plan as it would have been for the counterfactual. This means that horticultural demands now account for a higher proportion of the total consumptive pool.</w:t>
      </w:r>
      <w:r w:rsidRPr="00B4379F">
        <w:rPr>
          <w:lang w:val="en-AU"/>
        </w:rPr>
        <w:t xml:space="preserve"> </w:t>
      </w:r>
    </w:p>
    <w:p w14:paraId="7E499B3D" w14:textId="77777777" w:rsidR="00C01A50" w:rsidRDefault="00C01A50" w:rsidP="00593A9A">
      <w:pPr>
        <w:rPr>
          <w:lang w:val="en-AU"/>
        </w:rPr>
      </w:pPr>
      <w:r>
        <w:rPr>
          <w:lang w:val="en-AU"/>
        </w:rPr>
        <w:t>To put this in stark relief:</w:t>
      </w:r>
    </w:p>
    <w:p w14:paraId="68D571F0" w14:textId="77777777" w:rsidR="00C01A50" w:rsidRPr="007A3241" w:rsidRDefault="00C01A50" w:rsidP="00612EC4">
      <w:pPr>
        <w:pStyle w:val="ListParagraph"/>
        <w:numPr>
          <w:ilvl w:val="0"/>
          <w:numId w:val="12"/>
        </w:numPr>
      </w:pPr>
      <w:r w:rsidRPr="007A3241">
        <w:t>Before the Basin Plan</w:t>
      </w:r>
      <w:r>
        <w:t xml:space="preserve"> horticultural demands accounted for </w:t>
      </w:r>
      <w:r w:rsidRPr="007A3241">
        <w:t>32%</w:t>
      </w:r>
      <w:r>
        <w:t xml:space="preserve"> of the consumptive pool of high reliability entitlements.</w:t>
      </w:r>
    </w:p>
    <w:p w14:paraId="5F80EAEA" w14:textId="77777777" w:rsidR="00C01A50" w:rsidRPr="007A3241" w:rsidRDefault="00C01A50" w:rsidP="00612EC4">
      <w:pPr>
        <w:pStyle w:val="ListParagraph"/>
        <w:numPr>
          <w:ilvl w:val="0"/>
          <w:numId w:val="12"/>
        </w:numPr>
      </w:pPr>
      <w:r>
        <w:t xml:space="preserve">Under </w:t>
      </w:r>
      <w:r w:rsidRPr="007A3241">
        <w:t xml:space="preserve">the </w:t>
      </w:r>
      <w:r w:rsidR="0064679C">
        <w:t>2100 GL</w:t>
      </w:r>
      <w:r w:rsidRPr="007A3241">
        <w:t xml:space="preserve"> water recovery scenario (</w:t>
      </w:r>
      <w:r w:rsidR="0064679C">
        <w:t xml:space="preserve">which is equivalent to </w:t>
      </w:r>
      <w:r>
        <w:t xml:space="preserve">the </w:t>
      </w:r>
      <w:r w:rsidRPr="007A3241">
        <w:t>current situation)</w:t>
      </w:r>
      <w:r w:rsidRPr="00EF646B">
        <w:t xml:space="preserve"> </w:t>
      </w:r>
      <w:r>
        <w:t xml:space="preserve">it now accounts </w:t>
      </w:r>
      <w:r w:rsidRPr="007A3241">
        <w:t>for 40%</w:t>
      </w:r>
      <w:r>
        <w:t xml:space="preserve"> of high reliability entitlements.</w:t>
      </w:r>
      <w:r w:rsidRPr="007A3241">
        <w:t xml:space="preserve"> </w:t>
      </w:r>
    </w:p>
    <w:p w14:paraId="6FC0EDF8" w14:textId="77777777" w:rsidR="00C01A50" w:rsidRPr="00B4379F" w:rsidRDefault="0064679C" w:rsidP="00593A9A">
      <w:pPr>
        <w:rPr>
          <w:lang w:val="en-AU"/>
        </w:rPr>
      </w:pPr>
      <w:r>
        <w:rPr>
          <w:lang w:val="en-AU"/>
        </w:rPr>
        <w:t>Put differently, if allocations in a future drought were to drop to 32% one fifth of current horticultural plantings may need to</w:t>
      </w:r>
      <w:r w:rsidR="00E274F8">
        <w:rPr>
          <w:lang w:val="en-AU"/>
        </w:rPr>
        <w:t xml:space="preserve"> </w:t>
      </w:r>
      <w:r>
        <w:rPr>
          <w:lang w:val="en-AU"/>
        </w:rPr>
        <w:t xml:space="preserve">be dried off assuming that no water was used for dairying or rice production. </w:t>
      </w:r>
      <w:r w:rsidR="00C01A50">
        <w:rPr>
          <w:lang w:val="en-AU"/>
        </w:rPr>
        <w:t xml:space="preserve">As discussed in Chapter </w:t>
      </w:r>
      <w:r w:rsidR="00C01A50">
        <w:rPr>
          <w:lang w:val="en-AU"/>
        </w:rPr>
        <w:fldChar w:fldCharType="begin"/>
      </w:r>
      <w:r w:rsidR="00C01A50">
        <w:rPr>
          <w:lang w:val="en-AU"/>
        </w:rPr>
        <w:instrText xml:space="preserve"> REF _Ref342457448 \r \h </w:instrText>
      </w:r>
      <w:r w:rsidR="00C01A50">
        <w:rPr>
          <w:lang w:val="en-AU"/>
        </w:rPr>
      </w:r>
      <w:r w:rsidR="00C01A50">
        <w:rPr>
          <w:lang w:val="en-AU"/>
        </w:rPr>
        <w:fldChar w:fldCharType="separate"/>
      </w:r>
      <w:r w:rsidR="008E5D7A">
        <w:rPr>
          <w:lang w:val="en-AU"/>
        </w:rPr>
        <w:t>11</w:t>
      </w:r>
      <w:r w:rsidR="00C01A50">
        <w:rPr>
          <w:lang w:val="en-AU"/>
        </w:rPr>
        <w:fldChar w:fldCharType="end"/>
      </w:r>
      <w:r w:rsidR="00C01A50">
        <w:rPr>
          <w:lang w:val="en-AU"/>
        </w:rPr>
        <w:t xml:space="preserve">, the risk of horticultural land being dried off during periods of low allocations increases further for the </w:t>
      </w:r>
      <w:r>
        <w:rPr>
          <w:lang w:val="en-AU"/>
        </w:rPr>
        <w:t>2750</w:t>
      </w:r>
      <w:r w:rsidR="00C01A50">
        <w:rPr>
          <w:lang w:val="en-AU"/>
        </w:rPr>
        <w:t xml:space="preserve"> and </w:t>
      </w:r>
      <w:r>
        <w:rPr>
          <w:lang w:val="en-AU"/>
        </w:rPr>
        <w:t>3200 GL</w:t>
      </w:r>
      <w:r w:rsidR="00C01A50">
        <w:rPr>
          <w:lang w:val="en-AU"/>
        </w:rPr>
        <w:t xml:space="preserve"> water recovery scenarios.</w:t>
      </w:r>
    </w:p>
    <w:p w14:paraId="57763090" w14:textId="77777777" w:rsidR="00C01A50" w:rsidRDefault="00C01A50" w:rsidP="00593A9A">
      <w:pPr>
        <w:pStyle w:val="Heading2"/>
        <w:rPr>
          <w:lang w:val="en-AU"/>
        </w:rPr>
      </w:pPr>
      <w:bookmarkStart w:id="141" w:name="_Toc347747821"/>
      <w:r>
        <w:rPr>
          <w:lang w:val="en-AU"/>
        </w:rPr>
        <w:t>I</w:t>
      </w:r>
      <w:r w:rsidRPr="003B1DA3">
        <w:rPr>
          <w:lang w:val="en-AU"/>
        </w:rPr>
        <w:t>mplications for LMW diverters</w:t>
      </w:r>
      <w:bookmarkEnd w:id="141"/>
    </w:p>
    <w:p w14:paraId="6C31ECAF" w14:textId="77777777" w:rsidR="00C01A50" w:rsidRDefault="00C01A50" w:rsidP="00593A9A">
      <w:pPr>
        <w:rPr>
          <w:lang w:val="en-AU"/>
        </w:rPr>
      </w:pPr>
      <w:r w:rsidRPr="00EE2BE6">
        <w:rPr>
          <w:lang w:val="en-AU"/>
        </w:rPr>
        <w:t xml:space="preserve">Horticultural development by LMW diverters was initially supported by entitlement purchase, but the total volume of entitlement linked to land for greenfield developments peaked at 323 GL at 30 June </w:t>
      </w:r>
      <w:r w:rsidRPr="00544B04">
        <w:rPr>
          <w:lang w:val="en-AU"/>
        </w:rPr>
        <w:t>2009 – just before the Commonwealth began purchasing water for the environment. Their entitlement holdings declined to 216 GL at 30 June 2015. In the same period their use rose from 236 to 397 GL (DELWP, 2016</w:t>
      </w:r>
      <w:r w:rsidR="004D3C4E">
        <w:rPr>
          <w:lang w:val="en-AU"/>
        </w:rPr>
        <w:t>a</w:t>
      </w:r>
      <w:r w:rsidRPr="00544B04">
        <w:rPr>
          <w:lang w:val="en-AU"/>
        </w:rPr>
        <w:t>).</w:t>
      </w:r>
      <w:r>
        <w:rPr>
          <w:lang w:val="en-AU"/>
        </w:rPr>
        <w:t xml:space="preserve"> </w:t>
      </w:r>
    </w:p>
    <w:p w14:paraId="5251F6C0" w14:textId="77777777" w:rsidR="00C01A50" w:rsidRDefault="00C01A50" w:rsidP="00593A9A">
      <w:pPr>
        <w:rPr>
          <w:lang w:val="en-AU"/>
        </w:rPr>
      </w:pPr>
      <w:r>
        <w:rPr>
          <w:lang w:val="en-AU"/>
        </w:rPr>
        <w:t xml:space="preserve">A former director of a managed investment scheme, who was interviewed for this report, suggested that the collapse of Timbercorp in April 2009 so affected the investment climate that his firm judged that the only way to secure their business continuity, in the period after the collapse, was to raise capital by selling the majority of their water entitlement holdings to the Commonwealth. They were successful in that strategy. </w:t>
      </w:r>
    </w:p>
    <w:p w14:paraId="2D740349" w14:textId="77777777" w:rsidR="00C01A50" w:rsidRPr="00544B04" w:rsidRDefault="00C01A50" w:rsidP="00593A9A">
      <w:pPr>
        <w:rPr>
          <w:lang w:val="en-AU"/>
        </w:rPr>
      </w:pPr>
      <w:r>
        <w:rPr>
          <w:lang w:val="en-AU"/>
        </w:rPr>
        <w:t xml:space="preserve">Similarly, he suggested that some of the firms who purchased individual Timbercorp and Great Southern orchards did so for not much more than the value of the associated water entitlements. In some cases those entitlements were then sold, in part at least, to the Commonwealth to help finance the purchase. </w:t>
      </w:r>
      <w:r>
        <w:rPr>
          <w:lang w:val="en-AU"/>
        </w:rPr>
        <w:lastRenderedPageBreak/>
        <w:t xml:space="preserve">Alternatively, the water entitlements were sold to superannuation companies with </w:t>
      </w:r>
      <w:r w:rsidRPr="00544B04">
        <w:rPr>
          <w:lang w:val="en-AU"/>
        </w:rPr>
        <w:t xml:space="preserve">lease-back arrangements that benefitted the ongoing management of the orchard. </w:t>
      </w:r>
    </w:p>
    <w:p w14:paraId="56AED1B3" w14:textId="77777777" w:rsidR="00C01A50" w:rsidRPr="00544B04" w:rsidRDefault="00C01A50" w:rsidP="00593A9A">
      <w:pPr>
        <w:rPr>
          <w:lang w:val="en-AU"/>
        </w:rPr>
      </w:pPr>
      <w:r w:rsidRPr="00544B04">
        <w:rPr>
          <w:lang w:val="en-AU"/>
        </w:rPr>
        <w:t>In effect, it is likely that buyback helped avoid a serious disruption to the development of horticultural industries in the Basin. Collectively, those orchards and vineyards employ thousands of people with most jobs occurring during the development phase.</w:t>
      </w:r>
    </w:p>
    <w:p w14:paraId="0BAF9320" w14:textId="77777777" w:rsidR="00C01A50" w:rsidRDefault="00C01A50" w:rsidP="00593A9A">
      <w:pPr>
        <w:rPr>
          <w:lang w:val="en-AU"/>
        </w:rPr>
      </w:pPr>
      <w:r w:rsidRPr="00544B04">
        <w:rPr>
          <w:lang w:val="en-AU"/>
        </w:rPr>
        <w:t>While the irrigable area LMW diverters continued to expand during the drought, the older parts of those developments, such as the Nangiloc-Colignan region and the areas fringing the pumped districts</w:t>
      </w:r>
      <w:r>
        <w:rPr>
          <w:lang w:val="en-AU"/>
        </w:rPr>
        <w:t xml:space="preserve"> were affected in ways similar to the pumped irrigation districts. Land there was dried-off during the drought. The area of vacant land in Nangiloc-Colignan remained at 16% in 2015 (Argus, 2016). Though, as with the pumped districts, personal communication with LMW and DELWP regional staff suggests that redevelopment has accelerated this financial year.</w:t>
      </w:r>
    </w:p>
    <w:p w14:paraId="69ABF6F5" w14:textId="77777777" w:rsidR="00C01A50" w:rsidRDefault="00C01A50" w:rsidP="00593A9A">
      <w:pPr>
        <w:pStyle w:val="Heading2"/>
        <w:rPr>
          <w:lang w:val="en-AU"/>
        </w:rPr>
      </w:pPr>
      <w:bookmarkStart w:id="142" w:name="_Toc347747822"/>
      <w:r>
        <w:rPr>
          <w:lang w:val="en-AU"/>
        </w:rPr>
        <w:t>I</w:t>
      </w:r>
      <w:r w:rsidRPr="003B1DA3">
        <w:rPr>
          <w:lang w:val="en-AU"/>
        </w:rPr>
        <w:t>mplications for the pumped districts</w:t>
      </w:r>
      <w:bookmarkEnd w:id="142"/>
    </w:p>
    <w:p w14:paraId="052E0806" w14:textId="77777777" w:rsidR="00C01A50" w:rsidRDefault="00C01A50" w:rsidP="00593A9A">
      <w:pPr>
        <w:rPr>
          <w:lang w:val="en-AU"/>
        </w:rPr>
      </w:pPr>
      <w:r>
        <w:rPr>
          <w:lang w:val="en-AU"/>
        </w:rPr>
        <w:t>Commonwealth purchase of water entitlements undoubtedly helped wine</w:t>
      </w:r>
      <w:r w:rsidR="0082080C">
        <w:rPr>
          <w:lang w:val="en-AU"/>
        </w:rPr>
        <w:t xml:space="preserve"> </w:t>
      </w:r>
      <w:r>
        <w:rPr>
          <w:lang w:val="en-AU"/>
        </w:rPr>
        <w:t xml:space="preserve">grape growers to adjust to the combined effects of the collapse of the wine boom and the high cost of purchasing allocations during the drought. Many growers took the opportunity to exit the industry in a better financial situation than they would have been without the Basin Plan. </w:t>
      </w:r>
    </w:p>
    <w:p w14:paraId="51F67AB0" w14:textId="77777777" w:rsidR="00C01A50" w:rsidRDefault="00C01A50" w:rsidP="00593A9A">
      <w:pPr>
        <w:rPr>
          <w:lang w:val="en-AU"/>
        </w:rPr>
      </w:pPr>
      <w:r>
        <w:rPr>
          <w:lang w:val="en-AU"/>
        </w:rPr>
        <w:t>Other irrigators, including one interviewed for this report took the opportunity to diversify their portfolios of water entitlements after having sold to the Commonwealth. This irrigator purchased some NSW high security entitlements because their opening seasonal allocations were close to 100% while Victorian HRWS allocations started the season at low levels and typically built during the course of the year – making it more difficult to plan a water budget. Other irrigators purchased Victorian low reliability water shares for the advantages they provided in terms of carryover.</w:t>
      </w:r>
    </w:p>
    <w:p w14:paraId="77CD87BA" w14:textId="77777777" w:rsidR="00C01A50" w:rsidRDefault="00C01A50" w:rsidP="00593A9A">
      <w:pPr>
        <w:rPr>
          <w:lang w:val="en-AU"/>
        </w:rPr>
      </w:pPr>
      <w:r>
        <w:rPr>
          <w:lang w:val="en-AU"/>
        </w:rPr>
        <w:t>Other drought response measures such as the Small Block Irrigators Exit Grant also played a role in the adjustment process. The average proportion of vacant land in the pumped districts went from 4% in 2003 to a peak of 29% in 2012, with Merbein peaking at 39% in 2015.</w:t>
      </w:r>
    </w:p>
    <w:p w14:paraId="22DCE9F3" w14:textId="77777777" w:rsidR="00C01A50" w:rsidRDefault="00C01A50" w:rsidP="00593A9A">
      <w:pPr>
        <w:pStyle w:val="Heading2"/>
        <w:rPr>
          <w:lang w:val="en-AU"/>
        </w:rPr>
      </w:pPr>
      <w:bookmarkStart w:id="143" w:name="_Toc347747823"/>
      <w:r>
        <w:rPr>
          <w:lang w:val="en-AU"/>
        </w:rPr>
        <w:t>I</w:t>
      </w:r>
      <w:r w:rsidRPr="003B1DA3">
        <w:rPr>
          <w:lang w:val="en-AU"/>
        </w:rPr>
        <w:t>mplications for the gravity districts</w:t>
      </w:r>
      <w:bookmarkEnd w:id="143"/>
    </w:p>
    <w:p w14:paraId="1007E107" w14:textId="77777777" w:rsidR="00C01A50" w:rsidRPr="0073705E" w:rsidRDefault="00C01A50" w:rsidP="00593A9A">
      <w:pPr>
        <w:rPr>
          <w:lang w:val="en-AU"/>
        </w:rPr>
      </w:pPr>
      <w:r>
        <w:rPr>
          <w:lang w:val="en-AU"/>
        </w:rPr>
        <w:t xml:space="preserve">Horticulture in the GMID has changed rapidly and radically over the last 15 years. It has a history of </w:t>
      </w:r>
      <w:r w:rsidRPr="0073705E">
        <w:rPr>
          <w:lang w:val="en-AU"/>
        </w:rPr>
        <w:t xml:space="preserve">fluctuations in the dominance of </w:t>
      </w:r>
      <w:r>
        <w:rPr>
          <w:lang w:val="en-AU"/>
        </w:rPr>
        <w:t xml:space="preserve">different types of tree crops depending on the relative dominance of </w:t>
      </w:r>
      <w:r w:rsidRPr="0073705E">
        <w:rPr>
          <w:lang w:val="en-AU"/>
        </w:rPr>
        <w:t xml:space="preserve">processed versus fresh production and </w:t>
      </w:r>
      <w:r>
        <w:rPr>
          <w:lang w:val="en-AU"/>
        </w:rPr>
        <w:t xml:space="preserve">on </w:t>
      </w:r>
      <w:r w:rsidRPr="0073705E">
        <w:rPr>
          <w:lang w:val="en-AU"/>
        </w:rPr>
        <w:t xml:space="preserve">differences in the preference for particular commodities. </w:t>
      </w:r>
      <w:r>
        <w:rPr>
          <w:lang w:val="en-AU"/>
        </w:rPr>
        <w:t>Historically fresh</w:t>
      </w:r>
      <w:r w:rsidRPr="0073705E">
        <w:rPr>
          <w:lang w:val="en-AU"/>
        </w:rPr>
        <w:t xml:space="preserve"> fruit production</w:t>
      </w:r>
      <w:r>
        <w:rPr>
          <w:lang w:val="en-AU"/>
        </w:rPr>
        <w:t xml:space="preserve"> in the GMID was</w:t>
      </w:r>
      <w:r w:rsidRPr="0073705E">
        <w:rPr>
          <w:lang w:val="en-AU"/>
        </w:rPr>
        <w:t xml:space="preserve"> for the domestic </w:t>
      </w:r>
      <w:r>
        <w:rPr>
          <w:lang w:val="en-AU"/>
        </w:rPr>
        <w:t>market, but increasingly</w:t>
      </w:r>
      <w:r w:rsidRPr="0073705E">
        <w:rPr>
          <w:lang w:val="en-AU"/>
        </w:rPr>
        <w:t xml:space="preserve"> </w:t>
      </w:r>
      <w:r>
        <w:rPr>
          <w:lang w:val="en-AU"/>
        </w:rPr>
        <w:t>it</w:t>
      </w:r>
      <w:r w:rsidRPr="0073705E">
        <w:rPr>
          <w:lang w:val="en-AU"/>
        </w:rPr>
        <w:t xml:space="preserve"> </w:t>
      </w:r>
      <w:r>
        <w:rPr>
          <w:lang w:val="en-AU"/>
        </w:rPr>
        <w:t xml:space="preserve">is being grown for export. </w:t>
      </w:r>
      <w:r w:rsidRPr="0073705E">
        <w:rPr>
          <w:lang w:val="en-AU"/>
        </w:rPr>
        <w:t>Revenue from fruit growing in the Goulburn Valley has increased over time although production volumes have reduced</w:t>
      </w:r>
      <w:r>
        <w:rPr>
          <w:lang w:val="en-AU"/>
        </w:rPr>
        <w:t xml:space="preserve"> (RMCG, 2013)</w:t>
      </w:r>
      <w:r w:rsidRPr="0073705E">
        <w:rPr>
          <w:lang w:val="en-AU"/>
        </w:rPr>
        <w:t xml:space="preserve">. </w:t>
      </w:r>
    </w:p>
    <w:p w14:paraId="1950838A" w14:textId="77777777" w:rsidR="00C01A50" w:rsidRDefault="00C01A50" w:rsidP="00593A9A">
      <w:pPr>
        <w:rPr>
          <w:lang w:val="en-AU"/>
        </w:rPr>
      </w:pPr>
      <w:r>
        <w:rPr>
          <w:lang w:val="en-AU"/>
        </w:rPr>
        <w:t xml:space="preserve">Like the other horticultural areas the Goulburn Valley has been largely unaffected by the Basin Plan to date. But since it is dependent on allocations from Victorian High Reliability Water Shares, it will be affected by the system-scale change of the reduction in the consumptive pool. </w:t>
      </w:r>
      <w:r w:rsidR="009D16E5">
        <w:rPr>
          <w:lang w:val="en-AU"/>
        </w:rPr>
        <w:t xml:space="preserve">RMCG (2016) estimate total horticultural demand at 97 GL. We were unable to generate a demand figure based on </w:t>
      </w:r>
      <w:r w:rsidR="00102332">
        <w:rPr>
          <w:lang w:val="en-AU"/>
        </w:rPr>
        <w:t xml:space="preserve">detailed </w:t>
      </w:r>
      <w:r w:rsidR="00102332">
        <w:rPr>
          <w:lang w:val="en-AU"/>
        </w:rPr>
        <w:lastRenderedPageBreak/>
        <w:t xml:space="preserve">assessments of </w:t>
      </w:r>
      <w:r w:rsidR="009D16E5">
        <w:rPr>
          <w:lang w:val="en-AU"/>
        </w:rPr>
        <w:t>actual plantings in the GMID, but we accept RMCG’s figure as being</w:t>
      </w:r>
      <w:r w:rsidR="00102332">
        <w:rPr>
          <w:lang w:val="en-AU"/>
        </w:rPr>
        <w:t xml:space="preserve"> broadly </w:t>
      </w:r>
      <w:r w:rsidR="009D16E5">
        <w:rPr>
          <w:lang w:val="en-AU"/>
        </w:rPr>
        <w:t xml:space="preserve">consistent with the </w:t>
      </w:r>
      <w:r w:rsidR="00102332">
        <w:rPr>
          <w:lang w:val="en-AU"/>
        </w:rPr>
        <w:t>likely demands of the reported planted area.</w:t>
      </w:r>
    </w:p>
    <w:p w14:paraId="40D30F3D" w14:textId="77777777" w:rsidR="00C01A50" w:rsidRDefault="00C01A50" w:rsidP="00593A9A">
      <w:pPr>
        <w:pStyle w:val="Heading2"/>
        <w:rPr>
          <w:lang w:val="en-AU"/>
        </w:rPr>
      </w:pPr>
      <w:bookmarkStart w:id="144" w:name="_Toc347747824"/>
      <w:r>
        <w:rPr>
          <w:lang w:val="en-AU"/>
        </w:rPr>
        <w:t>Implications for South Australian horticulture</w:t>
      </w:r>
      <w:bookmarkEnd w:id="144"/>
    </w:p>
    <w:p w14:paraId="7BFC6349" w14:textId="77777777" w:rsidR="00C01A50" w:rsidRDefault="00C01A50" w:rsidP="00593A9A">
      <w:pPr>
        <w:rPr>
          <w:lang w:val="en-AU"/>
        </w:rPr>
      </w:pPr>
      <w:r>
        <w:rPr>
          <w:lang w:val="en-AU"/>
        </w:rPr>
        <w:t>South Australia’s irrigated horticultural centres, especially those in the Mallee region have much in common with both the pumped districts and LMW diverters; there is much shared history. The low allocations in 2007/08 hit South Australian irrigators very hard, largely because it was the first time in living memory that they had not received 100% allocations. This was true of Victorian horticulturalists on the Murray as well, but the difference was that irrigators there had seen Goulburn allocations drop to very low levels in 2002/03, and the twice-monthly seasonal allocation announcement procedures were familiar to them. The potential for low allocations was telegraphed to them well in advance.</w:t>
      </w:r>
    </w:p>
    <w:p w14:paraId="1C79D657" w14:textId="77777777" w:rsidR="00C01A50" w:rsidRDefault="00C01A50" w:rsidP="00593A9A">
      <w:pPr>
        <w:rPr>
          <w:lang w:val="en-AU"/>
        </w:rPr>
      </w:pPr>
      <w:r>
        <w:rPr>
          <w:lang w:val="en-AU"/>
        </w:rPr>
        <w:t>South Australia had to develop its seasonal allocation announcement procedures during the course of that season and there were some teething problems. For example, on 30 October 2007 the South Australian Government announced</w:t>
      </w:r>
      <w:r w:rsidRPr="003F6949">
        <w:rPr>
          <w:lang w:val="en-AU"/>
        </w:rPr>
        <w:t xml:space="preserve"> that allocations were unlikely to increase above 16</w:t>
      </w:r>
      <w:r>
        <w:rPr>
          <w:lang w:val="en-AU"/>
        </w:rPr>
        <w:t>%, but</w:t>
      </w:r>
      <w:r w:rsidRPr="003F6949">
        <w:rPr>
          <w:lang w:val="en-AU"/>
        </w:rPr>
        <w:t xml:space="preserve"> on 14 November </w:t>
      </w:r>
      <w:r>
        <w:rPr>
          <w:lang w:val="en-AU"/>
        </w:rPr>
        <w:t xml:space="preserve">it unexpectedly announced a 6% </w:t>
      </w:r>
      <w:r w:rsidRPr="003F6949">
        <w:rPr>
          <w:lang w:val="en-AU"/>
        </w:rPr>
        <w:t>increase and on 4 December a further 10</w:t>
      </w:r>
      <w:r>
        <w:rPr>
          <w:lang w:val="en-AU"/>
        </w:rPr>
        <w:t>%</w:t>
      </w:r>
      <w:r w:rsidRPr="003F6949">
        <w:rPr>
          <w:lang w:val="en-AU"/>
        </w:rPr>
        <w:t xml:space="preserve"> increase</w:t>
      </w:r>
      <w:r>
        <w:rPr>
          <w:lang w:val="en-AU"/>
        </w:rPr>
        <w:t>. T</w:t>
      </w:r>
      <w:r w:rsidRPr="003F6949">
        <w:rPr>
          <w:lang w:val="en-AU"/>
        </w:rPr>
        <w:t>his doubled the amount of water available to SA irrigators and</w:t>
      </w:r>
      <w:r>
        <w:rPr>
          <w:lang w:val="en-AU"/>
        </w:rPr>
        <w:t xml:space="preserve"> as shown in </w:t>
      </w:r>
      <w:r>
        <w:rPr>
          <w:lang w:val="en-AU"/>
        </w:rPr>
        <w:fldChar w:fldCharType="begin"/>
      </w:r>
      <w:r>
        <w:rPr>
          <w:lang w:val="en-AU"/>
        </w:rPr>
        <w:instrText xml:space="preserve"> REF _Ref338680784 \h </w:instrText>
      </w:r>
      <w:r>
        <w:rPr>
          <w:lang w:val="en-AU"/>
        </w:rPr>
      </w:r>
      <w:r>
        <w:rPr>
          <w:lang w:val="en-AU"/>
        </w:rPr>
        <w:fldChar w:fldCharType="separate"/>
      </w:r>
      <w:r w:rsidR="008E5D7A">
        <w:t xml:space="preserve">Figure </w:t>
      </w:r>
      <w:r w:rsidR="008E5D7A">
        <w:rPr>
          <w:noProof/>
        </w:rPr>
        <w:t>40</w:t>
      </w:r>
      <w:r>
        <w:rPr>
          <w:lang w:val="en-AU"/>
        </w:rPr>
        <w:fldChar w:fldCharType="end"/>
      </w:r>
      <w:r w:rsidRPr="003F6949">
        <w:rPr>
          <w:lang w:val="en-AU"/>
        </w:rPr>
        <w:t xml:space="preserve"> reduced the market demand</w:t>
      </w:r>
      <w:r>
        <w:rPr>
          <w:lang w:val="en-AU"/>
        </w:rPr>
        <w:t xml:space="preserve"> and caused allocation prices in Victoria to fall (Watson and Cummins, 2008)</w:t>
      </w:r>
      <w:r w:rsidRPr="003F6949">
        <w:rPr>
          <w:lang w:val="en-AU"/>
        </w:rPr>
        <w:t xml:space="preserve">. </w:t>
      </w:r>
    </w:p>
    <w:p w14:paraId="092093F6" w14:textId="77777777" w:rsidR="00C01A50" w:rsidRDefault="00C01A50" w:rsidP="00593A9A">
      <w:pPr>
        <w:keepNext/>
      </w:pPr>
      <w:r>
        <w:rPr>
          <w:rFonts w:ascii="Arial" w:hAnsi="Arial" w:cs="Arial"/>
          <w:noProof/>
          <w:sz w:val="26"/>
          <w:szCs w:val="26"/>
          <w:lang w:val="en-AU" w:eastAsia="en-AU" w:bidi="ar-SA"/>
        </w:rPr>
        <w:drawing>
          <wp:inline distT="0" distB="0" distL="0" distR="0" wp14:anchorId="14A422E0" wp14:editId="77DAB39A">
            <wp:extent cx="5732145" cy="3987800"/>
            <wp:effectExtent l="25400" t="25400" r="33655" b="25400"/>
            <wp:docPr id="221" name="Picture 19" descr="http://www.watermove.com.au/images/2007-2008_Z4_P8_tra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atermove.com.au/images/2007-2008_Z4_P8_trade.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2145" cy="3987800"/>
                    </a:xfrm>
                    <a:prstGeom prst="rect">
                      <a:avLst/>
                    </a:prstGeom>
                    <a:noFill/>
                    <a:ln w="28575" cmpd="sng">
                      <a:solidFill>
                        <a:srgbClr val="000000"/>
                      </a:solidFill>
                      <a:miter lim="800000"/>
                      <a:headEnd/>
                      <a:tailEnd/>
                    </a:ln>
                    <a:effectLst/>
                  </pic:spPr>
                </pic:pic>
              </a:graphicData>
            </a:graphic>
          </wp:inline>
        </w:drawing>
      </w:r>
    </w:p>
    <w:p w14:paraId="41D8FB5D" w14:textId="77777777" w:rsidR="00C01A50" w:rsidRDefault="00C01A50" w:rsidP="00593A9A">
      <w:pPr>
        <w:pStyle w:val="Caption"/>
        <w:rPr>
          <w:rFonts w:ascii="Arial" w:hAnsi="Arial" w:cs="Arial"/>
          <w:noProof/>
          <w:sz w:val="26"/>
          <w:szCs w:val="26"/>
          <w:lang w:val="en-AU" w:eastAsia="en-AU" w:bidi="ar-SA"/>
        </w:rPr>
      </w:pPr>
      <w:bookmarkStart w:id="145" w:name="_Ref338680784"/>
      <w:r>
        <w:t xml:space="preserve">Figure </w:t>
      </w:r>
      <w:r>
        <w:fldChar w:fldCharType="begin"/>
      </w:r>
      <w:r>
        <w:instrText xml:space="preserve"> SEQ Figure \* ARABIC </w:instrText>
      </w:r>
      <w:r>
        <w:fldChar w:fldCharType="separate"/>
      </w:r>
      <w:r w:rsidR="008E5D7A">
        <w:rPr>
          <w:noProof/>
        </w:rPr>
        <w:t>40</w:t>
      </w:r>
      <w:r>
        <w:fldChar w:fldCharType="end"/>
      </w:r>
      <w:bookmarkEnd w:id="145"/>
      <w:r>
        <w:t xml:space="preserve"> </w:t>
      </w:r>
      <w:r w:rsidRPr="006C3C71">
        <w:t>Murray allocation trade 2007</w:t>
      </w:r>
      <w:r w:rsidR="005A3ABF">
        <w:t>/</w:t>
      </w:r>
      <w:r w:rsidRPr="006C3C71">
        <w:t>08 prices and volumes</w:t>
      </w:r>
    </w:p>
    <w:p w14:paraId="3C300510" w14:textId="77777777" w:rsidR="00C01A50" w:rsidRDefault="00C01A50" w:rsidP="00593A9A">
      <w:pPr>
        <w:rPr>
          <w:lang w:val="en-AU"/>
        </w:rPr>
      </w:pPr>
      <w:r>
        <w:rPr>
          <w:lang w:val="en-AU"/>
        </w:rPr>
        <w:t xml:space="preserve">South Australia’s seasonal allocation announcement procedures are now much more mature, and horticulturalists throughout the southern-connected basin are now much more experienced water </w:t>
      </w:r>
      <w:r>
        <w:rPr>
          <w:lang w:val="en-AU"/>
        </w:rPr>
        <w:lastRenderedPageBreak/>
        <w:t>market participants. Few horticulturalists now try to secure their entire annual needs at the start of the season. They are much more willing to wait and see how the market responds to the potential for allocations to rise during the course of the season.</w:t>
      </w:r>
    </w:p>
    <w:p w14:paraId="193F0E55" w14:textId="77777777" w:rsidR="000D5F26" w:rsidRDefault="00C01A50" w:rsidP="00593A9A">
      <w:pPr>
        <w:rPr>
          <w:lang w:val="en-AU"/>
        </w:rPr>
      </w:pPr>
      <w:r>
        <w:rPr>
          <w:lang w:val="en-AU"/>
        </w:rPr>
        <w:fldChar w:fldCharType="begin"/>
      </w:r>
      <w:r>
        <w:rPr>
          <w:lang w:val="en-AU"/>
        </w:rPr>
        <w:instrText xml:space="preserve"> REF _Ref338680784 \h </w:instrText>
      </w:r>
      <w:r>
        <w:rPr>
          <w:lang w:val="en-AU"/>
        </w:rPr>
      </w:r>
      <w:r>
        <w:rPr>
          <w:lang w:val="en-AU"/>
        </w:rPr>
        <w:fldChar w:fldCharType="separate"/>
      </w:r>
      <w:r w:rsidR="008E5D7A">
        <w:t xml:space="preserve">Figure </w:t>
      </w:r>
      <w:r w:rsidR="008E5D7A">
        <w:rPr>
          <w:noProof/>
        </w:rPr>
        <w:t>40</w:t>
      </w:r>
      <w:r>
        <w:rPr>
          <w:lang w:val="en-AU"/>
        </w:rPr>
        <w:fldChar w:fldCharType="end"/>
      </w:r>
      <w:r>
        <w:rPr>
          <w:lang w:val="en-AU"/>
        </w:rPr>
        <w:t xml:space="preserve"> shows that horticulturalists in South Australia </w:t>
      </w:r>
      <w:r w:rsidR="000D5F26">
        <w:rPr>
          <w:lang w:val="en-AU"/>
        </w:rPr>
        <w:t>have traditionally been</w:t>
      </w:r>
      <w:r>
        <w:rPr>
          <w:lang w:val="en-AU"/>
        </w:rPr>
        <w:t xml:space="preserve"> exposed to the same market forces as those in Victoria. </w:t>
      </w:r>
      <w:r w:rsidR="000D5F26">
        <w:rPr>
          <w:lang w:val="en-AU"/>
        </w:rPr>
        <w:t>Ostensibly,</w:t>
      </w:r>
      <w:r>
        <w:rPr>
          <w:lang w:val="en-AU"/>
        </w:rPr>
        <w:t xml:space="preserve"> they will</w:t>
      </w:r>
      <w:r w:rsidR="000D5F26">
        <w:rPr>
          <w:lang w:val="en-AU"/>
        </w:rPr>
        <w:t xml:space="preserve"> therefore</w:t>
      </w:r>
      <w:r>
        <w:rPr>
          <w:lang w:val="en-AU"/>
        </w:rPr>
        <w:t xml:space="preserve"> be exposed to the same system-scale impacts of the Basin Plan. </w:t>
      </w:r>
      <w:r w:rsidR="000D5F26">
        <w:rPr>
          <w:lang w:val="en-AU"/>
        </w:rPr>
        <w:t xml:space="preserve">However, as described in Chapter </w:t>
      </w:r>
      <w:r w:rsidR="000D5F26">
        <w:rPr>
          <w:lang w:val="en-AU"/>
        </w:rPr>
        <w:fldChar w:fldCharType="begin"/>
      </w:r>
      <w:r w:rsidR="000D5F26">
        <w:rPr>
          <w:lang w:val="en-AU"/>
        </w:rPr>
        <w:instrText xml:space="preserve"> REF _Ref342404866 \r \h </w:instrText>
      </w:r>
      <w:r w:rsidR="000D5F26">
        <w:rPr>
          <w:lang w:val="en-AU"/>
        </w:rPr>
      </w:r>
      <w:r w:rsidR="000D5F26">
        <w:rPr>
          <w:lang w:val="en-AU"/>
        </w:rPr>
        <w:fldChar w:fldCharType="separate"/>
      </w:r>
      <w:r w:rsidR="008E5D7A">
        <w:rPr>
          <w:lang w:val="en-AU"/>
        </w:rPr>
        <w:t>2</w:t>
      </w:r>
      <w:r w:rsidR="000D5F26">
        <w:rPr>
          <w:lang w:val="en-AU"/>
        </w:rPr>
        <w:fldChar w:fldCharType="end"/>
      </w:r>
      <w:r w:rsidR="000D5F26">
        <w:rPr>
          <w:lang w:val="en-AU"/>
        </w:rPr>
        <w:t>, South Australia has changed its water allocation framework, at least temporarily, to ensure that its irrigators receive 100% allocations until actual flows into South Australia fall 16% below entitlement flows. The effect</w:t>
      </w:r>
      <w:r w:rsidR="009C3841">
        <w:rPr>
          <w:lang w:val="en-AU"/>
        </w:rPr>
        <w:t>s</w:t>
      </w:r>
      <w:r w:rsidR="000D5F26">
        <w:rPr>
          <w:lang w:val="en-AU"/>
        </w:rPr>
        <w:t xml:space="preserve"> of this change </w:t>
      </w:r>
      <w:r w:rsidR="009C3841">
        <w:rPr>
          <w:lang w:val="en-AU"/>
        </w:rPr>
        <w:t>have</w:t>
      </w:r>
      <w:r w:rsidR="000D5F26">
        <w:rPr>
          <w:lang w:val="en-AU"/>
        </w:rPr>
        <w:t xml:space="preserve"> not be</w:t>
      </w:r>
      <w:r w:rsidR="0000068E">
        <w:rPr>
          <w:lang w:val="en-AU"/>
        </w:rPr>
        <w:t>e</w:t>
      </w:r>
      <w:r w:rsidR="000D5F26">
        <w:rPr>
          <w:lang w:val="en-AU"/>
        </w:rPr>
        <w:t>n evalu</w:t>
      </w:r>
      <w:r w:rsidR="009C3841">
        <w:rPr>
          <w:lang w:val="en-AU"/>
        </w:rPr>
        <w:t xml:space="preserve">ated for this report, therefore it is not clear what effect the change will have </w:t>
      </w:r>
      <w:r w:rsidR="00FF118A">
        <w:rPr>
          <w:lang w:val="en-AU"/>
        </w:rPr>
        <w:t>in terms of</w:t>
      </w:r>
      <w:r w:rsidR="004B6BAB">
        <w:rPr>
          <w:lang w:val="en-AU"/>
        </w:rPr>
        <w:t xml:space="preserve"> allocation prices or flows into the </w:t>
      </w:r>
      <w:r w:rsidR="00FF118A">
        <w:rPr>
          <w:lang w:val="en-AU"/>
        </w:rPr>
        <w:t>Lower Lakes</w:t>
      </w:r>
      <w:r w:rsidR="004B6BAB">
        <w:rPr>
          <w:lang w:val="en-AU"/>
        </w:rPr>
        <w:t>.</w:t>
      </w:r>
    </w:p>
    <w:p w14:paraId="23158C5A" w14:textId="77777777" w:rsidR="00C01A50" w:rsidRDefault="00C01A50" w:rsidP="00593A9A">
      <w:pPr>
        <w:pStyle w:val="Heading2"/>
        <w:rPr>
          <w:lang w:val="en-AU"/>
        </w:rPr>
      </w:pPr>
      <w:bookmarkStart w:id="146" w:name="_Toc347747825"/>
      <w:r>
        <w:rPr>
          <w:lang w:val="en-AU"/>
        </w:rPr>
        <w:t>Implications for NSW Horticulture</w:t>
      </w:r>
      <w:bookmarkEnd w:id="146"/>
    </w:p>
    <w:p w14:paraId="0CB61863" w14:textId="77777777" w:rsidR="00C01A50" w:rsidRPr="007A3960" w:rsidRDefault="00C01A50" w:rsidP="00593A9A">
      <w:r>
        <w:t xml:space="preserve">Most existing horticulture in NSW is supported by allocations against high security entitlements. </w:t>
      </w:r>
      <w:r w:rsidRPr="007A3960">
        <w:t>The NSW water allocation framework is such that anyone irrigating with NSW high security entitlements can be very confident that they will receive 95% allocations in all but the most extreme circumstances. Consequently, the changes to the consumptive pool resulting from the Basin Plan will have no negative impacts on them.</w:t>
      </w:r>
    </w:p>
    <w:p w14:paraId="40D25094" w14:textId="77777777" w:rsidR="00C01A50" w:rsidRDefault="00C01A50" w:rsidP="00544B04">
      <w:pPr>
        <w:pStyle w:val="Heading2"/>
      </w:pPr>
      <w:bookmarkStart w:id="147" w:name="_Toc347747826"/>
      <w:r>
        <w:t>Summing up</w:t>
      </w:r>
      <w:bookmarkEnd w:id="147"/>
    </w:p>
    <w:p w14:paraId="5F6A0399" w14:textId="77777777" w:rsidR="00ED7742" w:rsidRDefault="00ED7742" w:rsidP="00544B04">
      <w:r>
        <w:t xml:space="preserve">The recovery of water for the environments through Commonwealth buyback aided structural adjustment for the wine industry and it helped to avoid </w:t>
      </w:r>
      <w:r w:rsidR="00735D24">
        <w:t>a disruption to the continued expansion of horticulture that would otherwise have followed the collapse of the large managed investment schemes.</w:t>
      </w:r>
    </w:p>
    <w:p w14:paraId="0118E984" w14:textId="77777777" w:rsidR="00866806" w:rsidRDefault="00866806" w:rsidP="00544B04">
      <w:r>
        <w:t xml:space="preserve">Horticultural plantings in the southern-connected Basin are continuing to increase. </w:t>
      </w:r>
      <w:r w:rsidR="00C01A50">
        <w:t xml:space="preserve">Total horticultural water use has to date been unaffected by the Basin Plan. However, </w:t>
      </w:r>
      <w:r>
        <w:t>before the Basin Plan was introduced most horticulturalists held sufficient entitlement to meet their long-term aver</w:t>
      </w:r>
      <w:r w:rsidR="00585A8F">
        <w:t>age annual irrigation requirements. Many horticulturalists sold water to the Commonwealth during the buyback, but continued to irrigate by relying on allocation purchases. They are now more exposed to the risk of low allocations, but</w:t>
      </w:r>
      <w:r w:rsidR="00ED7742">
        <w:t xml:space="preserve"> as illustrated in Chapter </w:t>
      </w:r>
      <w:r w:rsidR="00ED7742">
        <w:fldChar w:fldCharType="begin"/>
      </w:r>
      <w:r w:rsidR="00ED7742">
        <w:instrText xml:space="preserve"> REF _Ref342400627 \r \h </w:instrText>
      </w:r>
      <w:r w:rsidR="00ED7742">
        <w:fldChar w:fldCharType="separate"/>
      </w:r>
      <w:r w:rsidR="008E5D7A">
        <w:t>3</w:t>
      </w:r>
      <w:r w:rsidR="00ED7742">
        <w:fldChar w:fldCharType="end"/>
      </w:r>
      <w:r w:rsidR="00ED7742">
        <w:t>,</w:t>
      </w:r>
      <w:r w:rsidR="00585A8F">
        <w:t xml:space="preserve"> until 2015/16 the full nature of that risk was masked by the extraordinarily high levels of carryover built up just as the buyback was finishing.</w:t>
      </w:r>
    </w:p>
    <w:p w14:paraId="33C313C4" w14:textId="77777777" w:rsidR="00C01A50" w:rsidRDefault="00866806" w:rsidP="00544B04">
      <w:r>
        <w:t xml:space="preserve">Because water recovery under </w:t>
      </w:r>
      <w:r w:rsidR="00C01A50">
        <w:t xml:space="preserve">the Basin </w:t>
      </w:r>
      <w:r>
        <w:t xml:space="preserve">Plan </w:t>
      </w:r>
      <w:r w:rsidR="00C01A50">
        <w:t xml:space="preserve">has reduced the size of the consumptive pool, horticultural demands as a proportion of that pool at full allocation </w:t>
      </w:r>
      <w:r w:rsidR="00585A8F">
        <w:t>are now at</w:t>
      </w:r>
      <w:r w:rsidR="00C01A50">
        <w:t xml:space="preserve"> 40%</w:t>
      </w:r>
      <w:r w:rsidR="00ED7742">
        <w:t>,</w:t>
      </w:r>
      <w:r w:rsidR="00EB64DA">
        <w:t xml:space="preserve"> which is higher than the counterfactual level of 32%</w:t>
      </w:r>
      <w:r w:rsidR="00C01A50">
        <w:t xml:space="preserve">. The Basin Plan has therefore increased the risk of horticultural land being dried off in the next drought. As will be explained in Chapter </w:t>
      </w:r>
      <w:r w:rsidR="00C01A50">
        <w:fldChar w:fldCharType="begin"/>
      </w:r>
      <w:r w:rsidR="00C01A50">
        <w:instrText xml:space="preserve"> REF _Ref342458542 \r \h </w:instrText>
      </w:r>
      <w:r w:rsidR="00C01A50">
        <w:fldChar w:fldCharType="separate"/>
      </w:r>
      <w:r w:rsidR="008E5D7A">
        <w:t>11</w:t>
      </w:r>
      <w:r w:rsidR="00C01A50">
        <w:fldChar w:fldCharType="end"/>
      </w:r>
      <w:r w:rsidR="00C01A50">
        <w:t>, this risk would increase further in the other water recovery scenarios.</w:t>
      </w:r>
    </w:p>
    <w:p w14:paraId="5DDA237D" w14:textId="77777777" w:rsidR="00EB64DA" w:rsidRPr="00544B04" w:rsidRDefault="00EB64DA" w:rsidP="00544B04">
      <w:r>
        <w:t>The characteristics of NSW High Security entitlements mean that NSW horticulturalists are largely shielded from these risks. By contrast Victorian and South Australian horticulturalists are exposed to a similar degree.</w:t>
      </w:r>
    </w:p>
    <w:p w14:paraId="14905D39" w14:textId="77777777" w:rsidR="00C01A50" w:rsidRDefault="00C01A50" w:rsidP="00593A9A">
      <w:pPr>
        <w:spacing w:before="0" w:after="0" w:line="240" w:lineRule="auto"/>
        <w:rPr>
          <w:caps/>
          <w:spacing w:val="15"/>
          <w:szCs w:val="22"/>
          <w:lang w:val="en-AU"/>
        </w:rPr>
      </w:pPr>
      <w:r>
        <w:rPr>
          <w:lang w:val="en-AU"/>
        </w:rPr>
        <w:br w:type="page"/>
      </w:r>
    </w:p>
    <w:p w14:paraId="01551799" w14:textId="77777777" w:rsidR="00C01A50" w:rsidRPr="00565364" w:rsidRDefault="00C01A50" w:rsidP="00565364">
      <w:pPr>
        <w:pStyle w:val="Heading1"/>
      </w:pPr>
      <w:bookmarkStart w:id="148" w:name="_Ref342381415"/>
      <w:bookmarkStart w:id="149" w:name="_Toc347747827"/>
      <w:r>
        <w:rPr>
          <w:lang w:val="en-AU"/>
        </w:rPr>
        <w:lastRenderedPageBreak/>
        <w:t>The i</w:t>
      </w:r>
      <w:r w:rsidRPr="003B1DA3">
        <w:rPr>
          <w:lang w:val="en-AU"/>
        </w:rPr>
        <w:t xml:space="preserve">mpacts </w:t>
      </w:r>
      <w:r>
        <w:rPr>
          <w:lang w:val="en-AU"/>
        </w:rPr>
        <w:t>of the Basin Plan on the d</w:t>
      </w:r>
      <w:r w:rsidRPr="003B1DA3">
        <w:rPr>
          <w:lang w:val="en-AU"/>
        </w:rPr>
        <w:t>airy</w:t>
      </w:r>
      <w:r>
        <w:rPr>
          <w:lang w:val="en-AU"/>
        </w:rPr>
        <w:t xml:space="preserve"> </w:t>
      </w:r>
      <w:r w:rsidRPr="003B1DA3">
        <w:rPr>
          <w:lang w:val="en-AU"/>
        </w:rPr>
        <w:t>i</w:t>
      </w:r>
      <w:r>
        <w:rPr>
          <w:lang w:val="en-AU"/>
        </w:rPr>
        <w:t>ndustry</w:t>
      </w:r>
      <w:bookmarkEnd w:id="148"/>
      <w:bookmarkEnd w:id="149"/>
    </w:p>
    <w:p w14:paraId="3876EB6D" w14:textId="77777777" w:rsidR="00C01A50" w:rsidRPr="00B05427" w:rsidRDefault="00C01A50" w:rsidP="00B05427">
      <w:pPr>
        <w:pStyle w:val="Heading2"/>
      </w:pPr>
      <w:bookmarkStart w:id="150" w:name="_Toc347747828"/>
      <w:r w:rsidRPr="00B05427">
        <w:t>Overview</w:t>
      </w:r>
      <w:bookmarkEnd w:id="150"/>
    </w:p>
    <w:p w14:paraId="453279D5" w14:textId="77777777" w:rsidR="00C01A50" w:rsidRDefault="00C01A50" w:rsidP="00B05427">
      <w:r>
        <w:t xml:space="preserve">As explained in Chapter </w:t>
      </w:r>
      <w:r>
        <w:fldChar w:fldCharType="begin"/>
      </w:r>
      <w:r>
        <w:instrText xml:space="preserve"> REF _Ref342404866 \r \h </w:instrText>
      </w:r>
      <w:r>
        <w:fldChar w:fldCharType="separate"/>
      </w:r>
      <w:r w:rsidR="008E5D7A">
        <w:t>2</w:t>
      </w:r>
      <w:r>
        <w:fldChar w:fldCharType="end"/>
      </w:r>
      <w:r>
        <w:t xml:space="preserve">, irrigated dairying is a semi-interruptible enterprise in that to some extent purchased feed can be used as a substitute for grazing. In this way, total or partial mixed rations can substitute for irrigation water. </w:t>
      </w:r>
    </w:p>
    <w:p w14:paraId="3C78BF63" w14:textId="77777777" w:rsidR="00C01A50" w:rsidRDefault="00C01A50" w:rsidP="00B05427">
      <w:r>
        <w:t xml:space="preserve">This chapter shows that these alternative feeding strategies are more complex than pasture grazing; </w:t>
      </w:r>
      <w:r w:rsidR="00D03713">
        <w:t xml:space="preserve">they </w:t>
      </w:r>
      <w:r w:rsidR="00E031C9">
        <w:t>have a different and more complex risk profile</w:t>
      </w:r>
      <w:r w:rsidR="00D03713">
        <w:t xml:space="preserve">, they are </w:t>
      </w:r>
      <w:r w:rsidR="00E031C9">
        <w:t>more capital-intensive</w:t>
      </w:r>
      <w:r w:rsidR="00D03713">
        <w:t>,</w:t>
      </w:r>
      <w:r w:rsidR="00E031C9">
        <w:t xml:space="preserve"> </w:t>
      </w:r>
      <w:r w:rsidR="00D03713">
        <w:t>and</w:t>
      </w:r>
      <w:r w:rsidR="00E031C9">
        <w:t xml:space="preserve"> </w:t>
      </w:r>
      <w:r w:rsidR="00D03713">
        <w:t xml:space="preserve">they </w:t>
      </w:r>
      <w:r w:rsidR="00E031C9">
        <w:t>require more active management of risks</w:t>
      </w:r>
      <w:r w:rsidR="00D03713">
        <w:t>.</w:t>
      </w:r>
      <w:r w:rsidR="00E031C9">
        <w:t xml:space="preserve"> </w:t>
      </w:r>
      <w:r>
        <w:t xml:space="preserve">Irrigated dairy farmers in the GMID used them as loss minimisation strategies during the drought, but their indebtedness increased. It also shows that when compared with the counterfactual outlined in Chapter </w:t>
      </w:r>
      <w:r>
        <w:fldChar w:fldCharType="begin"/>
      </w:r>
      <w:r>
        <w:instrText xml:space="preserve"> REF _Ref342400627 \r \h </w:instrText>
      </w:r>
      <w:r>
        <w:fldChar w:fldCharType="separate"/>
      </w:r>
      <w:r w:rsidR="008E5D7A">
        <w:t>3</w:t>
      </w:r>
      <w:r>
        <w:fldChar w:fldCharType="end"/>
      </w:r>
      <w:r>
        <w:t xml:space="preserve">, the reduction in the consumptive pool under the Basin Plan has resulted in a reduction in the GMID’s </w:t>
      </w:r>
      <w:r w:rsidRPr="00B05427">
        <w:t>milk production</w:t>
      </w:r>
      <w:r>
        <w:t>.</w:t>
      </w:r>
      <w:r w:rsidRPr="00B05427">
        <w:t xml:space="preserve"> </w:t>
      </w:r>
      <w:r>
        <w:t>The increasing water demand associated with continued expansion of horticulture is also further reducing milk production. However, it is also important to note that despite high allocation levels and low allocation prices at the time of writing, milk production was being strongly affected by low milk prices with dairy farmers reducing inputs of purchased feed and fertiliser in the short-term.</w:t>
      </w:r>
    </w:p>
    <w:p w14:paraId="7F531F17" w14:textId="77777777" w:rsidR="00C01A50" w:rsidRDefault="00C01A50" w:rsidP="00B05427">
      <w:r>
        <w:t xml:space="preserve">As also explained in Chapter </w:t>
      </w:r>
      <w:r>
        <w:fldChar w:fldCharType="begin"/>
      </w:r>
      <w:r>
        <w:instrText xml:space="preserve"> REF _Ref342404866 \r \h </w:instrText>
      </w:r>
      <w:r>
        <w:fldChar w:fldCharType="separate"/>
      </w:r>
      <w:r w:rsidR="008E5D7A">
        <w:t>2</w:t>
      </w:r>
      <w:r>
        <w:fldChar w:fldCharType="end"/>
      </w:r>
      <w:r>
        <w:t>, in simple terms, the volume of NSW allocations that can be traded into Victoria to support the horticultural and dairy industries is limited under current trade management settings. Irrigated dairying therefore is underpinned by allocations against Victorian high reliability entitlements. This chapter explains that horticultural demands for these allocations are relatively fixed, that, in effect, leaves dairying to soak up the variability in allocation levels. With further reductions to the consumptive pool and further horticultural expansion the variability in the dairy industry’s share of available allocations will increase relative to average availability.</w:t>
      </w:r>
    </w:p>
    <w:p w14:paraId="32DCA54D" w14:textId="77777777" w:rsidR="00C01A50" w:rsidRDefault="00C01A50" w:rsidP="00B05427">
      <w:r>
        <w:t>The chapter concludes with a discussion of the implications of these changes with regard to the future viability and growth of irrigated dairying.</w:t>
      </w:r>
    </w:p>
    <w:p w14:paraId="55BE3CD5" w14:textId="77777777" w:rsidR="00C01A50" w:rsidRDefault="00C01A50" w:rsidP="006901FA">
      <w:pPr>
        <w:pStyle w:val="Heading2"/>
      </w:pPr>
      <w:bookmarkStart w:id="151" w:name="_Toc347747829"/>
      <w:r>
        <w:t>A brief discussion of the complexity involved in substituting feed for water</w:t>
      </w:r>
      <w:bookmarkEnd w:id="151"/>
    </w:p>
    <w:p w14:paraId="7E30AA9D" w14:textId="77777777" w:rsidR="00C01A50" w:rsidRDefault="00C01A50" w:rsidP="00593A9A">
      <w:r>
        <w:t>Irrigated dairy farming is more complex than irrigated cropping because on top of the complexity of growing and sourcing feed, the technical efficiency of cattle feeding systems also varies. For example, the responses in production from feeding concentrate supplements varies widely depending on operator knowledge and skills, the amount and characteristics of pasture being offered and consumed, the amount and composition of the supplement being fed and genetics, stage of lactation and production level of cows in the herd (</w:t>
      </w:r>
      <w:r w:rsidRPr="008B250A">
        <w:t>Doyle, Gibb and Ho, 2009</w:t>
      </w:r>
      <w:r>
        <w:t xml:space="preserve">). </w:t>
      </w:r>
    </w:p>
    <w:p w14:paraId="2C0E572D" w14:textId="77777777" w:rsidR="00C01A50" w:rsidRDefault="00C01A50" w:rsidP="00593A9A">
      <w:r w:rsidRPr="00FF65E8">
        <w:t xml:space="preserve">Each dairy farm business is unique. Farmers each have different goals, business skills and knowledge, technical skills and knowledge, and attitudes to risk. Farm resources in terms of land (area and capability), water (rainfall and entitlements), infrastructure, labour (skills and knowledge) and herd characteristics vary. Dairy farm businesses also operate in an economic environment where milk prices vary depending on the company supplied, as well as from year to year and within </w:t>
      </w:r>
      <w:r>
        <w:t>each</w:t>
      </w:r>
      <w:r w:rsidRPr="00FF65E8">
        <w:t xml:space="preserve"> year. The climate </w:t>
      </w:r>
      <w:r w:rsidRPr="00FF65E8">
        <w:lastRenderedPageBreak/>
        <w:t>across the southern-connected basin varies and there are marked variations in seasonal weather patterns in different areas. This complexity means that the efficiency (productivity) of any one</w:t>
      </w:r>
      <w:r>
        <w:t xml:space="preserve"> dairy</w:t>
      </w:r>
      <w:r w:rsidRPr="00FF65E8">
        <w:t xml:space="preserve"> farm is likely to differ to </w:t>
      </w:r>
      <w:r>
        <w:t>that of</w:t>
      </w:r>
      <w:r w:rsidRPr="00FF65E8">
        <w:t xml:space="preserve"> an</w:t>
      </w:r>
      <w:r>
        <w:t xml:space="preserve">y </w:t>
      </w:r>
      <w:r w:rsidRPr="00FF65E8">
        <w:t>other farm</w:t>
      </w:r>
      <w:r w:rsidRPr="003D11CE">
        <w:t xml:space="preserve"> </w:t>
      </w:r>
      <w:r>
        <w:t>using a</w:t>
      </w:r>
      <w:r w:rsidRPr="00FF65E8">
        <w:t xml:space="preserve"> similar system. Flexibility in the production system is therefore essential</w:t>
      </w:r>
      <w:r>
        <w:t>. T</w:t>
      </w:r>
      <w:r w:rsidRPr="00FF65E8">
        <w:t>his means that tactical (within year or season) decisions are as important as strategic (longer term) decisions to dairy farm business performance</w:t>
      </w:r>
      <w:r>
        <w:t xml:space="preserve"> (</w:t>
      </w:r>
      <w:r w:rsidRPr="008B250A">
        <w:t>Doyle, Gibb and Ho, 2009</w:t>
      </w:r>
      <w:r>
        <w:t>)</w:t>
      </w:r>
      <w:r w:rsidRPr="00FF65E8">
        <w:t>.</w:t>
      </w:r>
    </w:p>
    <w:p w14:paraId="3D3322DA" w14:textId="77777777" w:rsidR="00C01A50" w:rsidRDefault="00C01A50" w:rsidP="00C113FE">
      <w:r w:rsidRPr="00F7574A">
        <w:t>The Victorian dairy industry has always needed to deal with seasonal variability but with increased intensity of farming, together with volatility in milk price</w:t>
      </w:r>
      <w:r>
        <w:t>s, allocation prices</w:t>
      </w:r>
      <w:r w:rsidRPr="00F7574A">
        <w:t xml:space="preserve"> and</w:t>
      </w:r>
      <w:r>
        <w:t xml:space="preserve"> other</w:t>
      </w:r>
      <w:r w:rsidRPr="00F7574A">
        <w:t xml:space="preserve"> input costs, there is an increasing emphasis on the need for adaptive strategies. The last decade of extreme weather in many areas of Victoria has highlighted just how variable the seasons can be. Feed is the largest cost </w:t>
      </w:r>
      <w:r>
        <w:t>for</w:t>
      </w:r>
      <w:r w:rsidRPr="00F7574A">
        <w:t xml:space="preserve"> a dairy farm and the growing conditions are a major variable. This makes selecting the most appropriate mix of forages and adaptive feeding strategies very important for dairy farms</w:t>
      </w:r>
      <w:r>
        <w:t xml:space="preserve"> (Mickan, 2015)</w:t>
      </w:r>
      <w:r w:rsidRPr="00F7574A">
        <w:t>.</w:t>
      </w:r>
    </w:p>
    <w:p w14:paraId="6DCCE64D" w14:textId="77777777" w:rsidR="00C01A50" w:rsidRPr="0026692E" w:rsidRDefault="00C01A50" w:rsidP="00593A9A">
      <w:pPr>
        <w:rPr>
          <w:lang w:val="en-US"/>
        </w:rPr>
      </w:pPr>
      <w:r>
        <w:rPr>
          <w:lang w:val="en-US"/>
        </w:rPr>
        <w:t xml:space="preserve">Five </w:t>
      </w:r>
      <w:r w:rsidRPr="00A2057E">
        <w:rPr>
          <w:lang w:val="en-US"/>
        </w:rPr>
        <w:t>different dairy feeding systems</w:t>
      </w:r>
      <w:r>
        <w:rPr>
          <w:lang w:val="en-US"/>
        </w:rPr>
        <w:t xml:space="preserve"> are common in Australia. They can be summarised as follows:</w:t>
      </w:r>
    </w:p>
    <w:p w14:paraId="68AC0165" w14:textId="77777777" w:rsidR="00C01A50" w:rsidRPr="00601687" w:rsidRDefault="00C01A50" w:rsidP="00302BD9">
      <w:pPr>
        <w:pStyle w:val="ListParagraph"/>
        <w:numPr>
          <w:ilvl w:val="0"/>
          <w:numId w:val="22"/>
        </w:numPr>
        <w:rPr>
          <w:lang w:val="en-US"/>
        </w:rPr>
      </w:pPr>
      <w:r w:rsidRPr="00601687">
        <w:rPr>
          <w:lang w:val="en-US"/>
        </w:rPr>
        <w:t>Grazed pasture and other forages with up to one tonne per year of grain and concentrate feeding in bail</w:t>
      </w:r>
    </w:p>
    <w:p w14:paraId="29BE6F69" w14:textId="77777777" w:rsidR="00C01A50" w:rsidRPr="00601687" w:rsidRDefault="00C01A50" w:rsidP="00302BD9">
      <w:pPr>
        <w:pStyle w:val="ListParagraph"/>
        <w:numPr>
          <w:ilvl w:val="0"/>
          <w:numId w:val="22"/>
        </w:numPr>
        <w:rPr>
          <w:lang w:val="en-US"/>
        </w:rPr>
      </w:pPr>
      <w:r w:rsidRPr="00601687">
        <w:rPr>
          <w:lang w:val="en-US"/>
        </w:rPr>
        <w:t>Grazed pasture and other forages with more than one tonne per year of grain and concentrate feeding in bail</w:t>
      </w:r>
    </w:p>
    <w:p w14:paraId="09C4E252" w14:textId="77777777" w:rsidR="00C01A50" w:rsidRPr="00601687" w:rsidRDefault="00C01A50" w:rsidP="00302BD9">
      <w:pPr>
        <w:pStyle w:val="ListParagraph"/>
        <w:numPr>
          <w:ilvl w:val="0"/>
          <w:numId w:val="22"/>
        </w:numPr>
        <w:rPr>
          <w:lang w:val="en-US"/>
        </w:rPr>
      </w:pPr>
      <w:r w:rsidRPr="00601687">
        <w:rPr>
          <w:lang w:val="en-US"/>
        </w:rPr>
        <w:t>Grazed pasture for most or all of year, with partial-mixed-rations consumed on a feed pad with or without grain and concentrate feeding in bail</w:t>
      </w:r>
    </w:p>
    <w:p w14:paraId="612B08BA" w14:textId="77777777" w:rsidR="00C01A50" w:rsidRPr="00601687" w:rsidRDefault="00C01A50" w:rsidP="00302BD9">
      <w:pPr>
        <w:pStyle w:val="ListParagraph"/>
        <w:numPr>
          <w:ilvl w:val="0"/>
          <w:numId w:val="22"/>
        </w:numPr>
        <w:rPr>
          <w:lang w:val="en-US"/>
        </w:rPr>
      </w:pPr>
      <w:r w:rsidRPr="00601687">
        <w:rPr>
          <w:lang w:val="en-US"/>
        </w:rPr>
        <w:t>Hybrid system – grazed pasture for less than nine months per year, with partial-mixed-rations consumed on a feed pad with or without grain and concentrate feeding in bail</w:t>
      </w:r>
      <w:r>
        <w:rPr>
          <w:lang w:val="en-US"/>
        </w:rPr>
        <w:t xml:space="preserve"> and </w:t>
      </w:r>
      <w:r w:rsidRPr="00601687">
        <w:rPr>
          <w:lang w:val="en-US"/>
        </w:rPr>
        <w:t>total-mixed-rations</w:t>
      </w:r>
      <w:r>
        <w:rPr>
          <w:lang w:val="en-US"/>
        </w:rPr>
        <w:t xml:space="preserve"> for more than three months per year</w:t>
      </w:r>
    </w:p>
    <w:p w14:paraId="4AFAB677" w14:textId="77777777" w:rsidR="00C01A50" w:rsidRPr="00601687" w:rsidRDefault="00C01A50" w:rsidP="00302BD9">
      <w:pPr>
        <w:pStyle w:val="ListParagraph"/>
        <w:numPr>
          <w:ilvl w:val="0"/>
          <w:numId w:val="22"/>
        </w:numPr>
        <w:rPr>
          <w:lang w:val="en-US"/>
        </w:rPr>
      </w:pPr>
      <w:r w:rsidRPr="00601687">
        <w:rPr>
          <w:lang w:val="en-US"/>
        </w:rPr>
        <w:t xml:space="preserve">Total-mixed-rations system – no grazing because cows </w:t>
      </w:r>
      <w:r>
        <w:rPr>
          <w:lang w:val="en-US"/>
        </w:rPr>
        <w:t xml:space="preserve">are </w:t>
      </w:r>
      <w:r w:rsidRPr="00601687">
        <w:rPr>
          <w:lang w:val="en-US"/>
        </w:rPr>
        <w:t>housed and fed total-mixed-rations</w:t>
      </w:r>
    </w:p>
    <w:p w14:paraId="0F36C67B" w14:textId="77777777" w:rsidR="00C01A50" w:rsidRDefault="00C01A50" w:rsidP="00593A9A">
      <w:pPr>
        <w:rPr>
          <w:lang w:val="en-AU"/>
        </w:rPr>
      </w:pPr>
      <w:r>
        <w:rPr>
          <w:lang w:val="en-AU"/>
        </w:rPr>
        <w:t>Moving from the first system to the fifth requires progressively more focus on the balance of dietary fibre, rumen health, feed quality, feed palatability and nutritional balance. It therefore involves taking on increasing levels of risk and making a commitment to acquire more skills.</w:t>
      </w:r>
    </w:p>
    <w:p w14:paraId="43690897" w14:textId="77777777" w:rsidR="00C01A50" w:rsidRDefault="00C01A50" w:rsidP="00593A9A">
      <w:pPr>
        <w:rPr>
          <w:lang w:val="en-AU"/>
        </w:rPr>
      </w:pPr>
      <w:r>
        <w:rPr>
          <w:lang w:val="en-US"/>
        </w:rPr>
        <w:t>Despite their differences each of the five main feeding strategies aims to:</w:t>
      </w:r>
    </w:p>
    <w:p w14:paraId="2F7B73A1" w14:textId="77777777" w:rsidR="00C01A50" w:rsidRPr="0026692E" w:rsidRDefault="00C01A50" w:rsidP="00302BD9">
      <w:pPr>
        <w:pStyle w:val="ListParagraph"/>
        <w:numPr>
          <w:ilvl w:val="0"/>
          <w:numId w:val="21"/>
        </w:numPr>
        <w:rPr>
          <w:lang w:val="en-US"/>
        </w:rPr>
      </w:pPr>
      <w:r w:rsidRPr="0026692E">
        <w:rPr>
          <w:lang w:val="en-US"/>
        </w:rPr>
        <w:t>Optimise total daily feed intake</w:t>
      </w:r>
      <w:r>
        <w:rPr>
          <w:lang w:val="en-US"/>
        </w:rPr>
        <w:t xml:space="preserve"> (with the optimum intake changing in line with milk prices)</w:t>
      </w:r>
    </w:p>
    <w:p w14:paraId="2E0FBB1C" w14:textId="77777777" w:rsidR="00C01A50" w:rsidRPr="0026692E" w:rsidRDefault="00C01A50" w:rsidP="00302BD9">
      <w:pPr>
        <w:pStyle w:val="ListParagraph"/>
        <w:numPr>
          <w:ilvl w:val="0"/>
          <w:numId w:val="21"/>
        </w:numPr>
        <w:rPr>
          <w:lang w:val="en-US"/>
        </w:rPr>
      </w:pPr>
      <w:r w:rsidRPr="0026692E">
        <w:rPr>
          <w:lang w:val="en-US"/>
        </w:rPr>
        <w:t>Maintain high feed quality</w:t>
      </w:r>
    </w:p>
    <w:p w14:paraId="2C89EFEC" w14:textId="77777777" w:rsidR="00C01A50" w:rsidRPr="0026692E" w:rsidRDefault="00C01A50" w:rsidP="00302BD9">
      <w:pPr>
        <w:pStyle w:val="ListParagraph"/>
        <w:numPr>
          <w:ilvl w:val="0"/>
          <w:numId w:val="21"/>
        </w:numPr>
        <w:rPr>
          <w:lang w:val="en-US"/>
        </w:rPr>
      </w:pPr>
      <w:r w:rsidRPr="0026692E">
        <w:rPr>
          <w:lang w:val="en-US"/>
        </w:rPr>
        <w:t>Maintain good rumen function</w:t>
      </w:r>
    </w:p>
    <w:p w14:paraId="42C606E7" w14:textId="77777777" w:rsidR="00C01A50" w:rsidRPr="0026692E" w:rsidRDefault="00C01A50" w:rsidP="00302BD9">
      <w:pPr>
        <w:pStyle w:val="ListParagraph"/>
        <w:numPr>
          <w:ilvl w:val="0"/>
          <w:numId w:val="21"/>
        </w:numPr>
        <w:rPr>
          <w:lang w:val="en-US"/>
        </w:rPr>
      </w:pPr>
      <w:r w:rsidRPr="0026692E">
        <w:rPr>
          <w:lang w:val="en-US"/>
        </w:rPr>
        <w:t>Minimise feed gaps throughout the year</w:t>
      </w:r>
    </w:p>
    <w:p w14:paraId="4203A169" w14:textId="77777777" w:rsidR="00C01A50" w:rsidRPr="0026692E" w:rsidRDefault="00C01A50" w:rsidP="00302BD9">
      <w:pPr>
        <w:pStyle w:val="ListParagraph"/>
        <w:numPr>
          <w:ilvl w:val="0"/>
          <w:numId w:val="21"/>
        </w:numPr>
        <w:rPr>
          <w:lang w:val="en-US"/>
        </w:rPr>
      </w:pPr>
      <w:r w:rsidRPr="0026692E">
        <w:rPr>
          <w:lang w:val="en-US"/>
        </w:rPr>
        <w:t>Minimise feed wastage</w:t>
      </w:r>
    </w:p>
    <w:p w14:paraId="20541CA7" w14:textId="77777777" w:rsidR="00C01A50" w:rsidRDefault="00C01A50" w:rsidP="00537970">
      <w:pPr>
        <w:pStyle w:val="Heading2"/>
        <w:rPr>
          <w:lang w:val="en-AU"/>
        </w:rPr>
      </w:pPr>
      <w:bookmarkStart w:id="152" w:name="_Toc347747830"/>
      <w:r>
        <w:rPr>
          <w:lang w:val="en-AU"/>
        </w:rPr>
        <w:t>A short history of irrigator experience with different feeding systems</w:t>
      </w:r>
      <w:bookmarkEnd w:id="152"/>
    </w:p>
    <w:p w14:paraId="55DBEE89" w14:textId="77777777" w:rsidR="00C01A50" w:rsidRPr="00867773" w:rsidRDefault="00C01A50" w:rsidP="00593A9A">
      <w:pPr>
        <w:rPr>
          <w:lang w:val="en-AU"/>
        </w:rPr>
      </w:pPr>
      <w:r>
        <w:rPr>
          <w:lang w:val="en-AU"/>
        </w:rPr>
        <w:t>Before</w:t>
      </w:r>
      <w:r w:rsidRPr="00867773">
        <w:rPr>
          <w:lang w:val="en-AU"/>
        </w:rPr>
        <w:t xml:space="preserve"> the </w:t>
      </w:r>
      <w:r>
        <w:rPr>
          <w:lang w:val="en-AU"/>
        </w:rPr>
        <w:t xml:space="preserve">Millennium </w:t>
      </w:r>
      <w:r w:rsidRPr="00867773">
        <w:rPr>
          <w:lang w:val="en-AU"/>
        </w:rPr>
        <w:t>Drought</w:t>
      </w:r>
      <w:r>
        <w:rPr>
          <w:lang w:val="en-AU"/>
        </w:rPr>
        <w:t xml:space="preserve"> (the</w:t>
      </w:r>
      <w:r w:rsidRPr="00867773">
        <w:rPr>
          <w:lang w:val="en-AU"/>
        </w:rPr>
        <w:t xml:space="preserve"> dry period </w:t>
      </w:r>
      <w:r>
        <w:rPr>
          <w:lang w:val="en-AU"/>
        </w:rPr>
        <w:t xml:space="preserve">that </w:t>
      </w:r>
      <w:r w:rsidRPr="00867773">
        <w:rPr>
          <w:lang w:val="en-AU"/>
        </w:rPr>
        <w:t>extended from late 1996 until mid</w:t>
      </w:r>
      <w:r>
        <w:rPr>
          <w:lang w:val="en-AU"/>
        </w:rPr>
        <w:t xml:space="preserve"> 2010</w:t>
      </w:r>
      <w:r w:rsidRPr="00DC56CC">
        <w:rPr>
          <w:lang w:val="en-AU"/>
        </w:rPr>
        <w:t xml:space="preserve"> in Southern Australia</w:t>
      </w:r>
      <w:r>
        <w:rPr>
          <w:lang w:val="en-AU"/>
        </w:rPr>
        <w:t>)</w:t>
      </w:r>
      <w:r w:rsidRPr="00867773">
        <w:rPr>
          <w:lang w:val="en-AU"/>
        </w:rPr>
        <w:t>, northern Victoria</w:t>
      </w:r>
      <w:r>
        <w:rPr>
          <w:lang w:val="en-AU"/>
        </w:rPr>
        <w:t>’s</w:t>
      </w:r>
      <w:r w:rsidRPr="00867773">
        <w:rPr>
          <w:lang w:val="en-AU"/>
        </w:rPr>
        <w:t xml:space="preserve"> dairy industry had</w:t>
      </w:r>
      <w:r>
        <w:rPr>
          <w:lang w:val="en-AU"/>
        </w:rPr>
        <w:t>,</w:t>
      </w:r>
      <w:r w:rsidRPr="00867773">
        <w:rPr>
          <w:lang w:val="en-AU"/>
        </w:rPr>
        <w:t xml:space="preserve"> </w:t>
      </w:r>
      <w:r>
        <w:rPr>
          <w:lang w:val="en-AU"/>
        </w:rPr>
        <w:t xml:space="preserve">for </w:t>
      </w:r>
      <w:r w:rsidRPr="00867773">
        <w:rPr>
          <w:lang w:val="en-AU"/>
        </w:rPr>
        <w:t>an extended period</w:t>
      </w:r>
      <w:r>
        <w:rPr>
          <w:lang w:val="en-AU"/>
        </w:rPr>
        <w:t>,</w:t>
      </w:r>
      <w:r w:rsidRPr="00867773">
        <w:rPr>
          <w:lang w:val="en-AU"/>
        </w:rPr>
        <w:t xml:space="preserve"> experienced weather conditions in line with long</w:t>
      </w:r>
      <w:r>
        <w:rPr>
          <w:lang w:val="en-AU"/>
        </w:rPr>
        <w:t>-</w:t>
      </w:r>
      <w:r w:rsidRPr="00867773">
        <w:rPr>
          <w:lang w:val="en-AU"/>
        </w:rPr>
        <w:t xml:space="preserve">term climate averages. </w:t>
      </w:r>
      <w:r w:rsidRPr="00867773">
        <w:rPr>
          <w:lang w:val="en-US"/>
        </w:rPr>
        <w:t xml:space="preserve">Regional milk production in 2000/01 was 2,751 million litres, with an estimated farm gate value of $780 million </w:t>
      </w:r>
      <w:r>
        <w:rPr>
          <w:lang w:val="en-US"/>
        </w:rPr>
        <w:t>(</w:t>
      </w:r>
      <w:r w:rsidRPr="00867773">
        <w:rPr>
          <w:lang w:val="en-US"/>
        </w:rPr>
        <w:t>Murray Dairy</w:t>
      </w:r>
      <w:r>
        <w:rPr>
          <w:lang w:val="en-US"/>
        </w:rPr>
        <w:t>,</w:t>
      </w:r>
      <w:r w:rsidRPr="00867773">
        <w:rPr>
          <w:lang w:val="en-US"/>
        </w:rPr>
        <w:t xml:space="preserve"> 2001</w:t>
      </w:r>
      <w:r>
        <w:rPr>
          <w:lang w:val="en-US"/>
        </w:rPr>
        <w:t>)</w:t>
      </w:r>
      <w:r w:rsidRPr="00867773">
        <w:rPr>
          <w:lang w:val="en-US"/>
        </w:rPr>
        <w:t xml:space="preserve">. Nearly all (96%) </w:t>
      </w:r>
      <w:r>
        <w:rPr>
          <w:lang w:val="en-US"/>
        </w:rPr>
        <w:t xml:space="preserve">of </w:t>
      </w:r>
      <w:r w:rsidRPr="00867773">
        <w:rPr>
          <w:lang w:val="en-US"/>
        </w:rPr>
        <w:t>the milk was used for manufactured products</w:t>
      </w:r>
      <w:r w:rsidRPr="00867773">
        <w:rPr>
          <w:lang w:val="en-AU"/>
        </w:rPr>
        <w:t xml:space="preserve">. The region </w:t>
      </w:r>
      <w:r>
        <w:rPr>
          <w:lang w:val="en-AU"/>
        </w:rPr>
        <w:t>contained</w:t>
      </w:r>
      <w:r w:rsidRPr="00867773">
        <w:rPr>
          <w:lang w:val="en-AU"/>
        </w:rPr>
        <w:t xml:space="preserve"> </w:t>
      </w:r>
      <w:r w:rsidRPr="00CB5959">
        <w:rPr>
          <w:lang w:val="en-AU"/>
        </w:rPr>
        <w:t>approximately 2,640 farms</w:t>
      </w:r>
      <w:r>
        <w:rPr>
          <w:lang w:val="en-US"/>
        </w:rPr>
        <w:t xml:space="preserve"> </w:t>
      </w:r>
      <w:r w:rsidRPr="00867773">
        <w:rPr>
          <w:lang w:val="en-AU"/>
        </w:rPr>
        <w:t xml:space="preserve">with a total regional herd size of 508,613 cows </w:t>
      </w:r>
      <w:r>
        <w:rPr>
          <w:lang w:val="en-AU"/>
        </w:rPr>
        <w:t>(</w:t>
      </w:r>
      <w:r w:rsidRPr="00867773">
        <w:rPr>
          <w:lang w:val="en-AU"/>
        </w:rPr>
        <w:t>Dairy Australia</w:t>
      </w:r>
      <w:r>
        <w:rPr>
          <w:lang w:val="en-AU"/>
        </w:rPr>
        <w:t>,</w:t>
      </w:r>
      <w:r w:rsidRPr="00867773">
        <w:rPr>
          <w:lang w:val="en-AU"/>
        </w:rPr>
        <w:t xml:space="preserve"> 2016</w:t>
      </w:r>
      <w:r>
        <w:rPr>
          <w:lang w:val="en-AU"/>
        </w:rPr>
        <w:t>)</w:t>
      </w:r>
      <w:r w:rsidRPr="00867773">
        <w:rPr>
          <w:lang w:val="en-AU"/>
        </w:rPr>
        <w:t xml:space="preserve">. Average farm debt was $105,000 </w:t>
      </w:r>
      <w:r w:rsidRPr="00867773">
        <w:rPr>
          <w:lang w:val="en-AU"/>
        </w:rPr>
        <w:lastRenderedPageBreak/>
        <w:t xml:space="preserve">(2009/10 dollars) for dairy farms </w:t>
      </w:r>
      <w:r>
        <w:rPr>
          <w:lang w:val="en-AU"/>
        </w:rPr>
        <w:t>across Victoria,</w:t>
      </w:r>
      <w:r w:rsidRPr="00867773">
        <w:rPr>
          <w:lang w:val="en-AU"/>
        </w:rPr>
        <w:t xml:space="preserve"> and this was comparable with estimated figures for northern Victoria </w:t>
      </w:r>
      <w:r>
        <w:rPr>
          <w:lang w:val="en-AU"/>
        </w:rPr>
        <w:t>(</w:t>
      </w:r>
      <w:r w:rsidRPr="00867773">
        <w:rPr>
          <w:lang w:val="en-AU"/>
        </w:rPr>
        <w:t>Harris</w:t>
      </w:r>
      <w:r>
        <w:rPr>
          <w:lang w:val="en-AU"/>
        </w:rPr>
        <w:t>,</w:t>
      </w:r>
      <w:r w:rsidRPr="00867773">
        <w:rPr>
          <w:lang w:val="en-AU"/>
        </w:rPr>
        <w:t xml:space="preserve"> 2011</w:t>
      </w:r>
      <w:r>
        <w:rPr>
          <w:lang w:val="en-AU"/>
        </w:rPr>
        <w:t>)</w:t>
      </w:r>
      <w:r w:rsidRPr="00867773">
        <w:rPr>
          <w:lang w:val="en-AU"/>
        </w:rPr>
        <w:t xml:space="preserve">. </w:t>
      </w:r>
    </w:p>
    <w:p w14:paraId="715ADCA0" w14:textId="77777777" w:rsidR="00C01A50" w:rsidRPr="00867773" w:rsidRDefault="00C01A50" w:rsidP="00593A9A">
      <w:pPr>
        <w:rPr>
          <w:lang w:val="en-AU"/>
        </w:rPr>
      </w:pPr>
      <w:r w:rsidRPr="00867773">
        <w:rPr>
          <w:lang w:val="en-AU"/>
        </w:rPr>
        <w:t>A survey of irrigation farms in the GMID in 1988 showed that 68.5% of their irrigation water came from water right</w:t>
      </w:r>
      <w:r>
        <w:rPr>
          <w:lang w:val="en-AU"/>
        </w:rPr>
        <w:t>s</w:t>
      </w:r>
      <w:r w:rsidRPr="00867773">
        <w:rPr>
          <w:lang w:val="en-AU"/>
        </w:rPr>
        <w:t xml:space="preserve"> (now high reliability water shares) with 17.1% from sales</w:t>
      </w:r>
      <w:r>
        <w:rPr>
          <w:lang w:val="en-AU"/>
        </w:rPr>
        <w:t xml:space="preserve"> water</w:t>
      </w:r>
      <w:r w:rsidRPr="00867773">
        <w:rPr>
          <w:lang w:val="en-AU"/>
        </w:rPr>
        <w:t xml:space="preserve"> (similar to today’s low reliability water shares) and the remaining 15% from other sources such as groundwater </w:t>
      </w:r>
      <w:r>
        <w:rPr>
          <w:lang w:val="en-AU"/>
        </w:rPr>
        <w:t>(</w:t>
      </w:r>
      <w:r w:rsidRPr="00867773">
        <w:rPr>
          <w:lang w:val="en-AU"/>
        </w:rPr>
        <w:t>SIRLWSMP</w:t>
      </w:r>
      <w:r>
        <w:rPr>
          <w:lang w:val="en-AU"/>
        </w:rPr>
        <w:t>, 1989)</w:t>
      </w:r>
      <w:r w:rsidRPr="00867773">
        <w:rPr>
          <w:lang w:val="en-AU"/>
        </w:rPr>
        <w:t xml:space="preserve">. This distribution was little changed at the commencement of the Millennium </w:t>
      </w:r>
      <w:r>
        <w:rPr>
          <w:lang w:val="en-AU"/>
        </w:rPr>
        <w:t>D</w:t>
      </w:r>
      <w:r w:rsidRPr="00867773">
        <w:rPr>
          <w:lang w:val="en-AU"/>
        </w:rPr>
        <w:t xml:space="preserve">rought. The industry </w:t>
      </w:r>
      <w:r>
        <w:rPr>
          <w:lang w:val="en-AU"/>
        </w:rPr>
        <w:t>was continuing to improve</w:t>
      </w:r>
      <w:r w:rsidRPr="00867773">
        <w:rPr>
          <w:lang w:val="en-AU"/>
        </w:rPr>
        <w:t xml:space="preserve"> its use of water</w:t>
      </w:r>
      <w:r>
        <w:rPr>
          <w:lang w:val="en-AU"/>
        </w:rPr>
        <w:t>,</w:t>
      </w:r>
      <w:r w:rsidRPr="00867773">
        <w:rPr>
          <w:lang w:val="en-AU"/>
        </w:rPr>
        <w:t xml:space="preserve"> and by the mid 1990s over 60% of the irrigated area in the Goulburn Broken catchment </w:t>
      </w:r>
      <w:r>
        <w:rPr>
          <w:lang w:val="en-AU"/>
        </w:rPr>
        <w:t>was</w:t>
      </w:r>
      <w:r w:rsidRPr="00867773">
        <w:rPr>
          <w:lang w:val="en-AU"/>
        </w:rPr>
        <w:t xml:space="preserve"> laser graded, </w:t>
      </w:r>
      <w:r>
        <w:rPr>
          <w:lang w:val="en-AU"/>
        </w:rPr>
        <w:t xml:space="preserve">and </w:t>
      </w:r>
      <w:r w:rsidRPr="00867773">
        <w:rPr>
          <w:lang w:val="en-AU"/>
        </w:rPr>
        <w:t xml:space="preserve">1,250 re-use systems </w:t>
      </w:r>
      <w:r>
        <w:rPr>
          <w:lang w:val="en-AU"/>
        </w:rPr>
        <w:t xml:space="preserve">had been </w:t>
      </w:r>
      <w:r w:rsidRPr="00867773">
        <w:rPr>
          <w:lang w:val="en-AU"/>
        </w:rPr>
        <w:t xml:space="preserve">installed </w:t>
      </w:r>
      <w:r>
        <w:rPr>
          <w:lang w:val="en-AU"/>
        </w:rPr>
        <w:t>(</w:t>
      </w:r>
      <w:r w:rsidRPr="00867773">
        <w:rPr>
          <w:lang w:val="en-AU"/>
        </w:rPr>
        <w:t>GB CMA</w:t>
      </w:r>
      <w:r>
        <w:rPr>
          <w:lang w:val="en-AU"/>
        </w:rPr>
        <w:t>,</w:t>
      </w:r>
      <w:r w:rsidRPr="00867773">
        <w:rPr>
          <w:lang w:val="en-AU"/>
        </w:rPr>
        <w:t xml:space="preserve"> 1997</w:t>
      </w:r>
      <w:r>
        <w:rPr>
          <w:lang w:val="en-AU"/>
        </w:rPr>
        <w:t>). Landholders</w:t>
      </w:r>
      <w:r w:rsidRPr="00867773">
        <w:rPr>
          <w:lang w:val="en-AU"/>
        </w:rPr>
        <w:t xml:space="preserve"> invest</w:t>
      </w:r>
      <w:r>
        <w:rPr>
          <w:lang w:val="en-AU"/>
        </w:rPr>
        <w:t>ed an</w:t>
      </w:r>
      <w:r w:rsidRPr="00867773">
        <w:rPr>
          <w:lang w:val="en-AU"/>
        </w:rPr>
        <w:t xml:space="preserve"> estimated $126m </w:t>
      </w:r>
      <w:r>
        <w:rPr>
          <w:lang w:val="en-AU"/>
        </w:rPr>
        <w:t xml:space="preserve">in these initiatives </w:t>
      </w:r>
      <w:r w:rsidRPr="00867773">
        <w:rPr>
          <w:lang w:val="en-AU"/>
        </w:rPr>
        <w:t xml:space="preserve">with government </w:t>
      </w:r>
      <w:r>
        <w:rPr>
          <w:lang w:val="en-AU"/>
        </w:rPr>
        <w:t>co-investment adding</w:t>
      </w:r>
      <w:r w:rsidRPr="00867773">
        <w:rPr>
          <w:lang w:val="en-AU"/>
        </w:rPr>
        <w:t xml:space="preserve"> $60.7m </w:t>
      </w:r>
      <w:r>
        <w:rPr>
          <w:lang w:val="en-AU"/>
        </w:rPr>
        <w:t>(</w:t>
      </w:r>
      <w:r w:rsidRPr="00867773">
        <w:rPr>
          <w:lang w:val="en-AU"/>
        </w:rPr>
        <w:t>GB CMA</w:t>
      </w:r>
      <w:r>
        <w:rPr>
          <w:lang w:val="en-AU"/>
        </w:rPr>
        <w:t>,</w:t>
      </w:r>
      <w:r w:rsidRPr="00867773">
        <w:rPr>
          <w:lang w:val="en-AU"/>
        </w:rPr>
        <w:t xml:space="preserve"> 1996</w:t>
      </w:r>
      <w:r>
        <w:rPr>
          <w:lang w:val="en-AU"/>
        </w:rPr>
        <w:t>)</w:t>
      </w:r>
      <w:r w:rsidRPr="00867773">
        <w:rPr>
          <w:lang w:val="en-AU"/>
        </w:rPr>
        <w:t xml:space="preserve">. </w:t>
      </w:r>
    </w:p>
    <w:p w14:paraId="45CEE4AE" w14:textId="77777777" w:rsidR="00C01A50" w:rsidRDefault="00C01A50" w:rsidP="00593A9A">
      <w:pPr>
        <w:rPr>
          <w:lang w:val="en-AU"/>
        </w:rPr>
      </w:pPr>
      <w:r>
        <w:rPr>
          <w:lang w:val="en-AU"/>
        </w:rPr>
        <w:t xml:space="preserve">At that time, </w:t>
      </w:r>
      <w:r w:rsidRPr="00867773">
        <w:rPr>
          <w:lang w:val="en-AU"/>
        </w:rPr>
        <w:t xml:space="preserve">the three </w:t>
      </w:r>
      <w:r>
        <w:rPr>
          <w:lang w:val="en-AU"/>
        </w:rPr>
        <w:t>less</w:t>
      </w:r>
      <w:r w:rsidRPr="00867773">
        <w:rPr>
          <w:lang w:val="en-AU"/>
        </w:rPr>
        <w:t xml:space="preserve"> capital intensive, less complex </w:t>
      </w:r>
      <w:r>
        <w:rPr>
          <w:lang w:val="en-AU"/>
        </w:rPr>
        <w:t xml:space="preserve">feeding </w:t>
      </w:r>
      <w:r w:rsidRPr="00867773">
        <w:rPr>
          <w:lang w:val="en-AU"/>
        </w:rPr>
        <w:t>systems</w:t>
      </w:r>
      <w:r>
        <w:rPr>
          <w:lang w:val="en-AU"/>
        </w:rPr>
        <w:t xml:space="preserve"> outlined above</w:t>
      </w:r>
      <w:r w:rsidRPr="004863D7">
        <w:rPr>
          <w:lang w:val="en-AU"/>
        </w:rPr>
        <w:t xml:space="preserve"> </w:t>
      </w:r>
      <w:r w:rsidRPr="00867773">
        <w:rPr>
          <w:lang w:val="en-AU"/>
        </w:rPr>
        <w:t xml:space="preserve">were dominant </w:t>
      </w:r>
      <w:r>
        <w:rPr>
          <w:lang w:val="en-AU"/>
        </w:rPr>
        <w:t>(</w:t>
      </w:r>
      <w:r w:rsidRPr="00867773">
        <w:rPr>
          <w:lang w:val="en-AU"/>
        </w:rPr>
        <w:t>Little</w:t>
      </w:r>
      <w:r w:rsidR="000C1D6C">
        <w:rPr>
          <w:lang w:val="en-AU"/>
        </w:rPr>
        <w:t xml:space="preserve"> et al</w:t>
      </w:r>
      <w:r>
        <w:rPr>
          <w:lang w:val="en-AU"/>
        </w:rPr>
        <w:t>,</w:t>
      </w:r>
      <w:r w:rsidRPr="00867773">
        <w:rPr>
          <w:lang w:val="en-AU"/>
        </w:rPr>
        <w:t xml:space="preserve"> 2009</w:t>
      </w:r>
      <w:r>
        <w:rPr>
          <w:lang w:val="en-AU"/>
        </w:rPr>
        <w:t>)</w:t>
      </w:r>
      <w:r w:rsidRPr="00867773">
        <w:rPr>
          <w:lang w:val="en-AU"/>
        </w:rPr>
        <w:t>.</w:t>
      </w:r>
      <w:r>
        <w:rPr>
          <w:lang w:val="en-AU"/>
        </w:rPr>
        <w:t xml:space="preserve"> Those less complex feed systems are</w:t>
      </w:r>
      <w:r w:rsidRPr="00867773">
        <w:rPr>
          <w:lang w:val="en-AU"/>
        </w:rPr>
        <w:t xml:space="preserve"> based on </w:t>
      </w:r>
      <w:r w:rsidR="009949AF" w:rsidRPr="00867773">
        <w:rPr>
          <w:lang w:val="en-AU"/>
        </w:rPr>
        <w:t>home</w:t>
      </w:r>
      <w:r w:rsidR="009949AF">
        <w:rPr>
          <w:lang w:val="en-AU"/>
        </w:rPr>
        <w:t>grown</w:t>
      </w:r>
      <w:r w:rsidRPr="00867773">
        <w:rPr>
          <w:lang w:val="en-AU"/>
        </w:rPr>
        <w:t xml:space="preserve"> pasture</w:t>
      </w:r>
      <w:r>
        <w:rPr>
          <w:lang w:val="en-AU"/>
        </w:rPr>
        <w:t xml:space="preserve">. </w:t>
      </w:r>
      <w:r w:rsidRPr="00867773">
        <w:rPr>
          <w:lang w:val="en-AU"/>
        </w:rPr>
        <w:t>Dairy farm</w:t>
      </w:r>
      <w:r>
        <w:rPr>
          <w:lang w:val="en-AU"/>
        </w:rPr>
        <w:t>er</w:t>
      </w:r>
      <w:r w:rsidRPr="00867773">
        <w:rPr>
          <w:lang w:val="en-AU"/>
        </w:rPr>
        <w:t xml:space="preserve">s </w:t>
      </w:r>
      <w:r>
        <w:rPr>
          <w:lang w:val="en-AU"/>
        </w:rPr>
        <w:t xml:space="preserve">endowed </w:t>
      </w:r>
      <w:r w:rsidRPr="00867773">
        <w:rPr>
          <w:lang w:val="en-AU"/>
        </w:rPr>
        <w:t>with</w:t>
      </w:r>
      <w:r>
        <w:rPr>
          <w:lang w:val="en-AU"/>
        </w:rPr>
        <w:t xml:space="preserve"> </w:t>
      </w:r>
      <w:r w:rsidRPr="00867773">
        <w:rPr>
          <w:lang w:val="en-AU"/>
        </w:rPr>
        <w:t>high volumes of water entitlement per hectare</w:t>
      </w:r>
      <w:r>
        <w:rPr>
          <w:lang w:val="en-AU"/>
        </w:rPr>
        <w:t>, for example those in the eastern GMID,</w:t>
      </w:r>
      <w:r w:rsidRPr="00867773">
        <w:rPr>
          <w:lang w:val="en-AU"/>
        </w:rPr>
        <w:t xml:space="preserve"> </w:t>
      </w:r>
      <w:r>
        <w:rPr>
          <w:lang w:val="en-AU"/>
        </w:rPr>
        <w:t>grew</w:t>
      </w:r>
      <w:r w:rsidRPr="00867773">
        <w:rPr>
          <w:lang w:val="en-AU"/>
        </w:rPr>
        <w:t xml:space="preserve"> perennial pastures to optimise stocking rates and </w:t>
      </w:r>
      <w:r>
        <w:rPr>
          <w:lang w:val="en-AU"/>
        </w:rPr>
        <w:t>hence returns per hectare</w:t>
      </w:r>
      <w:r w:rsidRPr="00867773">
        <w:rPr>
          <w:lang w:val="en-AU"/>
        </w:rPr>
        <w:t>. Farm</w:t>
      </w:r>
      <w:r>
        <w:rPr>
          <w:lang w:val="en-AU"/>
        </w:rPr>
        <w:t>er</w:t>
      </w:r>
      <w:r w:rsidRPr="00867773">
        <w:rPr>
          <w:lang w:val="en-AU"/>
        </w:rPr>
        <w:t xml:space="preserve">s </w:t>
      </w:r>
      <w:r>
        <w:rPr>
          <w:lang w:val="en-AU"/>
        </w:rPr>
        <w:t xml:space="preserve">endowed </w:t>
      </w:r>
      <w:r w:rsidRPr="00867773">
        <w:rPr>
          <w:lang w:val="en-AU"/>
        </w:rPr>
        <w:t xml:space="preserve">with lower </w:t>
      </w:r>
      <w:r>
        <w:rPr>
          <w:lang w:val="en-AU"/>
        </w:rPr>
        <w:t xml:space="preserve">volumes of </w:t>
      </w:r>
      <w:r w:rsidRPr="00867773">
        <w:rPr>
          <w:lang w:val="en-AU"/>
        </w:rPr>
        <w:t>water entitlements</w:t>
      </w:r>
      <w:r>
        <w:rPr>
          <w:lang w:val="en-AU"/>
        </w:rPr>
        <w:t xml:space="preserve"> per hectare</w:t>
      </w:r>
      <w:r w:rsidRPr="00867773">
        <w:rPr>
          <w:lang w:val="en-AU"/>
        </w:rPr>
        <w:t xml:space="preserve">, </w:t>
      </w:r>
      <w:r>
        <w:rPr>
          <w:lang w:val="en-AU"/>
        </w:rPr>
        <w:t xml:space="preserve">for example those in the western GMID, where water was more limiting than land, </w:t>
      </w:r>
      <w:r w:rsidRPr="00867773">
        <w:rPr>
          <w:lang w:val="en-AU"/>
        </w:rPr>
        <w:t xml:space="preserve">generally </w:t>
      </w:r>
      <w:r>
        <w:rPr>
          <w:lang w:val="en-AU"/>
        </w:rPr>
        <w:t>relied</w:t>
      </w:r>
      <w:r w:rsidRPr="00867773">
        <w:rPr>
          <w:lang w:val="en-AU"/>
        </w:rPr>
        <w:t xml:space="preserve"> more </w:t>
      </w:r>
      <w:r>
        <w:rPr>
          <w:lang w:val="en-AU"/>
        </w:rPr>
        <w:t xml:space="preserve">on </w:t>
      </w:r>
      <w:r w:rsidRPr="00867773">
        <w:rPr>
          <w:lang w:val="en-AU"/>
        </w:rPr>
        <w:t>annual pastures and often grew fodder crops away from the milking area, as a risk management</w:t>
      </w:r>
      <w:r>
        <w:rPr>
          <w:lang w:val="en-AU"/>
        </w:rPr>
        <w:t xml:space="preserve"> strategy  (Dairy </w:t>
      </w:r>
      <w:r w:rsidRPr="001514EA">
        <w:rPr>
          <w:lang w:val="en-AU"/>
        </w:rPr>
        <w:t>Australia, 2009).</w:t>
      </w:r>
    </w:p>
    <w:p w14:paraId="2D27B91C" w14:textId="77777777" w:rsidR="00C01A50" w:rsidRPr="00867773" w:rsidRDefault="00C01A50" w:rsidP="00593A9A">
      <w:pPr>
        <w:rPr>
          <w:lang w:val="en-AU"/>
        </w:rPr>
      </w:pPr>
      <w:r>
        <w:rPr>
          <w:lang w:val="en-AU"/>
        </w:rPr>
        <w:t xml:space="preserve">Feeding </w:t>
      </w:r>
      <w:r w:rsidRPr="00867773">
        <w:rPr>
          <w:lang w:val="en-AU"/>
        </w:rPr>
        <w:t>strategies</w:t>
      </w:r>
      <w:r>
        <w:rPr>
          <w:lang w:val="en-AU"/>
        </w:rPr>
        <w:t xml:space="preserve"> at that time</w:t>
      </w:r>
      <w:r w:rsidRPr="00867773">
        <w:rPr>
          <w:lang w:val="en-AU"/>
        </w:rPr>
        <w:t xml:space="preserve"> were </w:t>
      </w:r>
      <w:r w:rsidR="00BB6C3F">
        <w:rPr>
          <w:lang w:val="en-AU"/>
        </w:rPr>
        <w:t>focused</w:t>
      </w:r>
      <w:r w:rsidRPr="00867773">
        <w:rPr>
          <w:lang w:val="en-AU"/>
        </w:rPr>
        <w:t xml:space="preserve"> on improving pasture growth through better nutrient management and </w:t>
      </w:r>
      <w:r>
        <w:rPr>
          <w:lang w:val="en-AU"/>
        </w:rPr>
        <w:t xml:space="preserve">improving </w:t>
      </w:r>
      <w:r w:rsidRPr="00867773">
        <w:rPr>
          <w:lang w:val="en-AU"/>
        </w:rPr>
        <w:t xml:space="preserve">pasture </w:t>
      </w:r>
      <w:r>
        <w:rPr>
          <w:lang w:val="en-AU"/>
        </w:rPr>
        <w:t>conversion efficiency</w:t>
      </w:r>
      <w:r w:rsidRPr="00867773">
        <w:rPr>
          <w:lang w:val="en-AU"/>
        </w:rPr>
        <w:t xml:space="preserve"> th</w:t>
      </w:r>
      <w:r>
        <w:rPr>
          <w:lang w:val="en-AU"/>
        </w:rPr>
        <w:t>r</w:t>
      </w:r>
      <w:r w:rsidRPr="00867773">
        <w:rPr>
          <w:lang w:val="en-AU"/>
        </w:rPr>
        <w:t>ough bett</w:t>
      </w:r>
      <w:r>
        <w:rPr>
          <w:lang w:val="en-AU"/>
        </w:rPr>
        <w:t>er grazing management. Although</w:t>
      </w:r>
      <w:r w:rsidRPr="00867773">
        <w:rPr>
          <w:lang w:val="en-AU"/>
        </w:rPr>
        <w:t xml:space="preserve"> feed concentrates and grains </w:t>
      </w:r>
      <w:r>
        <w:rPr>
          <w:lang w:val="en-AU"/>
        </w:rPr>
        <w:t>began to be used</w:t>
      </w:r>
      <w:r w:rsidRPr="00867773">
        <w:rPr>
          <w:lang w:val="en-AU"/>
        </w:rPr>
        <w:t xml:space="preserve"> </w:t>
      </w:r>
      <w:r>
        <w:rPr>
          <w:lang w:val="en-AU"/>
        </w:rPr>
        <w:t>in</w:t>
      </w:r>
      <w:r w:rsidRPr="00867773">
        <w:rPr>
          <w:lang w:val="en-AU"/>
        </w:rPr>
        <w:t xml:space="preserve"> the drought</w:t>
      </w:r>
      <w:r>
        <w:rPr>
          <w:lang w:val="en-AU"/>
        </w:rPr>
        <w:t xml:space="preserve"> of 1982/83,</w:t>
      </w:r>
      <w:r w:rsidRPr="00867773">
        <w:rPr>
          <w:lang w:val="en-AU"/>
        </w:rPr>
        <w:t xml:space="preserve"> </w:t>
      </w:r>
      <w:r>
        <w:rPr>
          <w:lang w:val="en-AU"/>
        </w:rPr>
        <w:t xml:space="preserve">they were still being used </w:t>
      </w:r>
      <w:r w:rsidRPr="00867773">
        <w:rPr>
          <w:lang w:val="en-AU"/>
        </w:rPr>
        <w:t>at relatively low levels</w:t>
      </w:r>
      <w:r>
        <w:rPr>
          <w:lang w:val="en-AU"/>
        </w:rPr>
        <w:t xml:space="preserve"> at the start of the Millennium Drought, when they</w:t>
      </w:r>
      <w:r w:rsidRPr="00867773">
        <w:rPr>
          <w:lang w:val="en-AU"/>
        </w:rPr>
        <w:t xml:space="preserve"> averag</w:t>
      </w:r>
      <w:r>
        <w:rPr>
          <w:lang w:val="en-AU"/>
        </w:rPr>
        <w:t>ed</w:t>
      </w:r>
      <w:r w:rsidRPr="00867773">
        <w:rPr>
          <w:lang w:val="en-AU"/>
        </w:rPr>
        <w:t xml:space="preserve"> 0.6 tonnes per head </w:t>
      </w:r>
      <w:r>
        <w:rPr>
          <w:lang w:val="en-AU"/>
        </w:rPr>
        <w:t>(</w:t>
      </w:r>
      <w:r w:rsidRPr="00867773">
        <w:rPr>
          <w:lang w:val="en-AU"/>
        </w:rPr>
        <w:t>Harris</w:t>
      </w:r>
      <w:r>
        <w:rPr>
          <w:lang w:val="en-AU"/>
        </w:rPr>
        <w:t>,</w:t>
      </w:r>
      <w:r w:rsidRPr="00867773">
        <w:rPr>
          <w:lang w:val="en-AU"/>
        </w:rPr>
        <w:t xml:space="preserve"> 2011</w:t>
      </w:r>
      <w:r>
        <w:rPr>
          <w:lang w:val="en-AU"/>
        </w:rPr>
        <w:t>)</w:t>
      </w:r>
      <w:r w:rsidRPr="00867773">
        <w:rPr>
          <w:lang w:val="en-AU"/>
        </w:rPr>
        <w:t xml:space="preserve">. </w:t>
      </w:r>
    </w:p>
    <w:p w14:paraId="67F52F1A" w14:textId="77777777" w:rsidR="00C01A50" w:rsidRDefault="00C01A50" w:rsidP="006D4CFC">
      <w:pPr>
        <w:rPr>
          <w:lang w:val="en-AU"/>
        </w:rPr>
      </w:pPr>
      <w:r w:rsidRPr="00867773">
        <w:rPr>
          <w:lang w:val="en-AU"/>
        </w:rPr>
        <w:t xml:space="preserve">During the </w:t>
      </w:r>
      <w:r>
        <w:rPr>
          <w:lang w:val="en-AU"/>
        </w:rPr>
        <w:t xml:space="preserve">Millennium </w:t>
      </w:r>
      <w:r w:rsidRPr="00867773">
        <w:rPr>
          <w:lang w:val="en-AU"/>
        </w:rPr>
        <w:t>Drought</w:t>
      </w:r>
      <w:r>
        <w:rPr>
          <w:lang w:val="en-AU"/>
        </w:rPr>
        <w:t>,</w:t>
      </w:r>
      <w:r w:rsidRPr="00867773">
        <w:rPr>
          <w:lang w:val="en-AU"/>
        </w:rPr>
        <w:t xml:space="preserve"> the dairy industry</w:t>
      </w:r>
      <w:r>
        <w:rPr>
          <w:lang w:val="en-AU"/>
        </w:rPr>
        <w:t>’s</w:t>
      </w:r>
      <w:r w:rsidRPr="00867773">
        <w:rPr>
          <w:lang w:val="en-AU"/>
        </w:rPr>
        <w:t xml:space="preserve"> </w:t>
      </w:r>
      <w:r>
        <w:rPr>
          <w:lang w:val="en-AU"/>
        </w:rPr>
        <w:t xml:space="preserve">water </w:t>
      </w:r>
      <w:r w:rsidRPr="00867773">
        <w:rPr>
          <w:lang w:val="en-AU"/>
        </w:rPr>
        <w:t xml:space="preserve">substitution </w:t>
      </w:r>
      <w:r>
        <w:rPr>
          <w:lang w:val="en-AU"/>
        </w:rPr>
        <w:t xml:space="preserve">strategies </w:t>
      </w:r>
      <w:r w:rsidRPr="00867773">
        <w:rPr>
          <w:lang w:val="en-AU"/>
        </w:rPr>
        <w:t>included purchasing fodder, changing pasture t</w:t>
      </w:r>
      <w:r>
        <w:rPr>
          <w:lang w:val="en-AU"/>
        </w:rPr>
        <w:t>ype (from perennial to annual) and</w:t>
      </w:r>
      <w:r w:rsidRPr="00867773">
        <w:rPr>
          <w:lang w:val="en-AU"/>
        </w:rPr>
        <w:t xml:space="preserve"> </w:t>
      </w:r>
      <w:r>
        <w:rPr>
          <w:lang w:val="en-AU"/>
        </w:rPr>
        <w:t>agisting</w:t>
      </w:r>
      <w:r w:rsidRPr="00867773">
        <w:rPr>
          <w:lang w:val="en-AU"/>
        </w:rPr>
        <w:t xml:space="preserve"> non-milking cows</w:t>
      </w:r>
      <w:r w:rsidRPr="00095334">
        <w:rPr>
          <w:lang w:val="en-AU"/>
        </w:rPr>
        <w:t xml:space="preserve"> </w:t>
      </w:r>
      <w:r w:rsidRPr="00867773">
        <w:rPr>
          <w:lang w:val="en-AU"/>
        </w:rPr>
        <w:t xml:space="preserve">or </w:t>
      </w:r>
      <w:r>
        <w:rPr>
          <w:lang w:val="en-AU"/>
        </w:rPr>
        <w:t>grazing them on non-irrigated pastures</w:t>
      </w:r>
      <w:r w:rsidRPr="00285268">
        <w:rPr>
          <w:lang w:val="en-AU"/>
        </w:rPr>
        <w:t>. It is important to note that for many farmers this meant a move away from the three least capital intensive, least complex feed</w:t>
      </w:r>
      <w:r>
        <w:rPr>
          <w:lang w:val="en-AU"/>
        </w:rPr>
        <w:t>-</w:t>
      </w:r>
      <w:r w:rsidRPr="00285268">
        <w:rPr>
          <w:lang w:val="en-AU"/>
        </w:rPr>
        <w:t>base systems</w:t>
      </w:r>
      <w:r>
        <w:rPr>
          <w:lang w:val="en-AU"/>
        </w:rPr>
        <w:t>, which as outlined above</w:t>
      </w:r>
      <w:r w:rsidRPr="00285268">
        <w:rPr>
          <w:lang w:val="en-AU"/>
        </w:rPr>
        <w:t xml:space="preserve"> had previously been most common in northern Victoria. Moving into the other two more capital intensive, more complex systems was a rational choice in order to minimise losses and maintain productive potential for when the drought broke, but it proved costly</w:t>
      </w:r>
      <w:r>
        <w:rPr>
          <w:lang w:val="en-AU"/>
        </w:rPr>
        <w:t xml:space="preserve"> for most dairy farmers.</w:t>
      </w:r>
      <w:r w:rsidRPr="0034606D">
        <w:rPr>
          <w:lang w:val="en-AU"/>
        </w:rPr>
        <w:t xml:space="preserve"> </w:t>
      </w:r>
      <w:r>
        <w:rPr>
          <w:lang w:val="en-AU"/>
        </w:rPr>
        <w:t>Dairy Australia (2009), writing at that time, said that “</w:t>
      </w:r>
      <w:r w:rsidRPr="0075786B">
        <w:rPr>
          <w:lang w:val="en-AU"/>
        </w:rPr>
        <w:t>a number of dairy farms in the region have</w:t>
      </w:r>
      <w:r>
        <w:rPr>
          <w:lang w:val="en-AU"/>
        </w:rPr>
        <w:t xml:space="preserve"> </w:t>
      </w:r>
      <w:r w:rsidRPr="0075786B">
        <w:rPr>
          <w:lang w:val="en-AU"/>
        </w:rPr>
        <w:t>generated competitive rates of return</w:t>
      </w:r>
      <w:r>
        <w:rPr>
          <w:lang w:val="en-AU"/>
        </w:rPr>
        <w:t xml:space="preserve">”. They were in the minority however; </w:t>
      </w:r>
      <w:r w:rsidR="009C74C6">
        <w:rPr>
          <w:lang w:val="en-AU"/>
        </w:rPr>
        <w:t>ABARES (2015</w:t>
      </w:r>
      <w:r w:rsidRPr="00285268">
        <w:rPr>
          <w:lang w:val="en-AU"/>
        </w:rPr>
        <w:t>) data show</w:t>
      </w:r>
      <w:r>
        <w:rPr>
          <w:lang w:val="en-AU"/>
        </w:rPr>
        <w:t>s</w:t>
      </w:r>
      <w:r w:rsidRPr="00285268">
        <w:rPr>
          <w:lang w:val="en-AU"/>
        </w:rPr>
        <w:t xml:space="preserve"> </w:t>
      </w:r>
      <w:r>
        <w:rPr>
          <w:lang w:val="en-AU"/>
        </w:rPr>
        <w:t xml:space="preserve">that overall </w:t>
      </w:r>
      <w:r w:rsidRPr="00285268">
        <w:rPr>
          <w:lang w:val="en-AU"/>
        </w:rPr>
        <w:t>dairy farmers’ indebtedness increased in this period.</w:t>
      </w:r>
      <w:r>
        <w:rPr>
          <w:lang w:val="en-AU"/>
        </w:rPr>
        <w:t xml:space="preserve"> In fact, dairy farm cash incomes generally fared worse than horticultural or broadacre farms during the drought (</w:t>
      </w:r>
      <w:r>
        <w:rPr>
          <w:lang w:val="en-AU"/>
        </w:rPr>
        <w:fldChar w:fldCharType="begin"/>
      </w:r>
      <w:r>
        <w:rPr>
          <w:lang w:val="en-AU"/>
        </w:rPr>
        <w:instrText xml:space="preserve"> REF _Ref464765346 \h </w:instrText>
      </w:r>
      <w:r>
        <w:rPr>
          <w:lang w:val="en-AU"/>
        </w:rPr>
      </w:r>
      <w:r>
        <w:rPr>
          <w:lang w:val="en-AU"/>
        </w:rPr>
        <w:fldChar w:fldCharType="separate"/>
      </w:r>
      <w:r w:rsidR="008E5D7A" w:rsidRPr="008D2521">
        <w:t xml:space="preserve">Figure </w:t>
      </w:r>
      <w:r w:rsidR="008E5D7A">
        <w:rPr>
          <w:noProof/>
        </w:rPr>
        <w:t>41</w:t>
      </w:r>
      <w:r>
        <w:rPr>
          <w:lang w:val="en-AU"/>
        </w:rPr>
        <w:fldChar w:fldCharType="end"/>
      </w:r>
      <w:r>
        <w:rPr>
          <w:lang w:val="en-AU"/>
        </w:rPr>
        <w:t>).</w:t>
      </w:r>
    </w:p>
    <w:p w14:paraId="441CE0AC" w14:textId="77777777" w:rsidR="00C01A50" w:rsidRPr="008D2521" w:rsidRDefault="00C01A50" w:rsidP="004D0842">
      <w:pPr>
        <w:spacing w:before="0" w:line="280" w:lineRule="atLeast"/>
        <w:jc w:val="center"/>
        <w:rPr>
          <w:rFonts w:ascii="Cambria" w:eastAsia="Calibri" w:hAnsi="Cambria"/>
          <w:color w:val="000000"/>
          <w:szCs w:val="22"/>
          <w:lang w:val="en-AU"/>
        </w:rPr>
      </w:pPr>
      <w:r w:rsidRPr="008D2521">
        <w:rPr>
          <w:rFonts w:ascii="Cambria" w:eastAsia="Calibri" w:hAnsi="Cambria"/>
          <w:noProof/>
          <w:color w:val="000000"/>
          <w:szCs w:val="22"/>
          <w:lang w:val="en-AU" w:eastAsia="en-AU" w:bidi="ar-SA"/>
        </w:rPr>
        <w:lastRenderedPageBreak/>
        <w:drawing>
          <wp:inline distT="0" distB="0" distL="0" distR="0" wp14:anchorId="1C291F0C" wp14:editId="7098CBD3">
            <wp:extent cx="5720080" cy="3180080"/>
            <wp:effectExtent l="0" t="0" r="0" b="0"/>
            <wp:docPr id="222" name="Picture 2" descr="Shows farm cash income trends for broadacre, horticulture, and dairy farms in 2012–13 dollars. Farm cash income was positive in all years. The figure is discuss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ws farm cash income trends for broadacre, horticulture, and dairy farms in 2012–13 dollars. Farm cash income was positive in all years. The figure is discussed in the previous para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0080" cy="3180080"/>
                    </a:xfrm>
                    <a:prstGeom prst="rect">
                      <a:avLst/>
                    </a:prstGeom>
                    <a:noFill/>
                    <a:ln>
                      <a:noFill/>
                    </a:ln>
                  </pic:spPr>
                </pic:pic>
              </a:graphicData>
            </a:graphic>
          </wp:inline>
        </w:drawing>
      </w:r>
    </w:p>
    <w:p w14:paraId="22E3F35D" w14:textId="77777777" w:rsidR="00C01A50" w:rsidRPr="00E7037E" w:rsidRDefault="00C01A50" w:rsidP="006D4CFC">
      <w:pPr>
        <w:pStyle w:val="Caption"/>
      </w:pPr>
      <w:bookmarkStart w:id="153" w:name="_Ref464765346"/>
      <w:bookmarkStart w:id="154" w:name="_Ref464765341"/>
      <w:r w:rsidRPr="008D2521">
        <w:t xml:space="preserve">Figure </w:t>
      </w:r>
      <w:r w:rsidRPr="008D2521">
        <w:fldChar w:fldCharType="begin"/>
      </w:r>
      <w:r w:rsidRPr="008D2521">
        <w:instrText xml:space="preserve"> SEQ Figure \* ARABIC </w:instrText>
      </w:r>
      <w:r w:rsidRPr="008D2521">
        <w:fldChar w:fldCharType="separate"/>
      </w:r>
      <w:r w:rsidR="008E5D7A">
        <w:rPr>
          <w:noProof/>
        </w:rPr>
        <w:t>41</w:t>
      </w:r>
      <w:r w:rsidRPr="008D2521">
        <w:fldChar w:fldCharType="end"/>
      </w:r>
      <w:bookmarkEnd w:id="153"/>
      <w:r w:rsidRPr="008D2521">
        <w:t>: Farm cash income, by industry, 2006–07 to 2012–13</w:t>
      </w:r>
      <w:bookmarkEnd w:id="154"/>
    </w:p>
    <w:p w14:paraId="1DFBF833" w14:textId="77777777" w:rsidR="00C01A50" w:rsidRPr="00285268" w:rsidRDefault="00C01A50" w:rsidP="004D0842">
      <w:pPr>
        <w:jc w:val="left"/>
        <w:rPr>
          <w:lang w:val="en-AU"/>
        </w:rPr>
      </w:pPr>
      <w:r>
        <w:rPr>
          <w:rFonts w:eastAsia="Calibri"/>
          <w:color w:val="000000"/>
          <w:sz w:val="18"/>
          <w:szCs w:val="22"/>
          <w:lang w:val="en-AU"/>
        </w:rPr>
        <w:t>Note: Farm cash incomes are average per farm.</w:t>
      </w:r>
      <w:r>
        <w:rPr>
          <w:rFonts w:eastAsia="Calibri"/>
          <w:color w:val="000000"/>
          <w:sz w:val="18"/>
          <w:szCs w:val="22"/>
          <w:lang w:val="en-AU"/>
        </w:rPr>
        <w:br/>
      </w:r>
      <w:r w:rsidRPr="008D2521">
        <w:rPr>
          <w:rFonts w:eastAsia="Calibri"/>
          <w:color w:val="000000"/>
          <w:sz w:val="18"/>
          <w:szCs w:val="22"/>
          <w:lang w:val="en-AU"/>
        </w:rPr>
        <w:t>Source: ABARES 2014.10 from ABARES survey of irrigation farms in the Murray–Darling Basin</w:t>
      </w:r>
      <w:r>
        <w:rPr>
          <w:rFonts w:eastAsia="Calibri"/>
          <w:color w:val="000000"/>
          <w:sz w:val="18"/>
          <w:szCs w:val="22"/>
          <w:lang w:val="en-AU"/>
        </w:rPr>
        <w:t>.</w:t>
      </w:r>
    </w:p>
    <w:p w14:paraId="666D85F4" w14:textId="77777777" w:rsidR="00C01A50" w:rsidRPr="00867773" w:rsidRDefault="00C01A50" w:rsidP="00593A9A">
      <w:pPr>
        <w:pStyle w:val="Heading2"/>
        <w:rPr>
          <w:lang w:val="en-AU"/>
        </w:rPr>
      </w:pPr>
      <w:bookmarkStart w:id="155" w:name="_Toc347747831"/>
      <w:r>
        <w:rPr>
          <w:lang w:val="en-AU"/>
        </w:rPr>
        <w:t>The irrigated dairy industry in the counterfactual</w:t>
      </w:r>
      <w:bookmarkEnd w:id="155"/>
    </w:p>
    <w:p w14:paraId="12B8E225" w14:textId="77777777" w:rsidR="00C01A50" w:rsidRPr="00205849" w:rsidRDefault="00C01A50" w:rsidP="00593A9A">
      <w:pPr>
        <w:rPr>
          <w:lang w:val="en-AU"/>
        </w:rPr>
      </w:pPr>
      <w:r w:rsidRPr="00205849">
        <w:rPr>
          <w:lang w:val="en-AU"/>
        </w:rPr>
        <w:t xml:space="preserve">Milk production </w:t>
      </w:r>
      <w:r>
        <w:rPr>
          <w:lang w:val="en-AU"/>
        </w:rPr>
        <w:t>is expected to</w:t>
      </w:r>
      <w:r w:rsidRPr="00205849">
        <w:rPr>
          <w:lang w:val="en-AU"/>
        </w:rPr>
        <w:t xml:space="preserve"> have been greater </w:t>
      </w:r>
      <w:r w:rsidRPr="00205849">
        <w:rPr>
          <w:i/>
          <w:lang w:val="en-AU"/>
        </w:rPr>
        <w:t>but for</w:t>
      </w:r>
      <w:r w:rsidRPr="00205849">
        <w:rPr>
          <w:lang w:val="en-AU"/>
        </w:rPr>
        <w:t xml:space="preserve"> the water recovery for the Basin Plan</w:t>
      </w:r>
      <w:r>
        <w:rPr>
          <w:lang w:val="en-AU"/>
        </w:rPr>
        <w:t xml:space="preserve"> which reduced the consumptive pool of water</w:t>
      </w:r>
      <w:r w:rsidRPr="00205849">
        <w:rPr>
          <w:lang w:val="en-AU"/>
        </w:rPr>
        <w:t xml:space="preserve">. </w:t>
      </w:r>
      <w:r>
        <w:fldChar w:fldCharType="begin"/>
      </w:r>
      <w:r>
        <w:instrText xml:space="preserve"> REF _Ref464768231 \h  \* MERGEFORMAT </w:instrText>
      </w:r>
      <w:r>
        <w:fldChar w:fldCharType="separate"/>
      </w:r>
      <w:r w:rsidR="008E5D7A" w:rsidRPr="008E5D7A">
        <w:rPr>
          <w:bCs/>
        </w:rPr>
        <w:t xml:space="preserve">Figure </w:t>
      </w:r>
      <w:r w:rsidR="008E5D7A" w:rsidRPr="008E5D7A">
        <w:rPr>
          <w:bCs/>
          <w:noProof/>
        </w:rPr>
        <w:t>42</w:t>
      </w:r>
      <w:r>
        <w:fldChar w:fldCharType="end"/>
      </w:r>
      <w:r w:rsidRPr="00A73EB9">
        <w:rPr>
          <w:lang w:val="en-AU"/>
        </w:rPr>
        <w:t xml:space="preserve"> </w:t>
      </w:r>
      <w:r w:rsidRPr="00205849">
        <w:rPr>
          <w:lang w:val="en-AU"/>
        </w:rPr>
        <w:t xml:space="preserve">presents observed and counterfactual milk production for the GMID. The counterfactual is based on milk production maintaining the same milk/irrigation water relationship as observed, across the additional water volume of the counterfactual scenario. </w:t>
      </w:r>
      <w:r>
        <w:rPr>
          <w:lang w:val="en-AU"/>
        </w:rPr>
        <w:t xml:space="preserve">The difference between observed and counterfactual milk production would be less if it </w:t>
      </w:r>
      <w:r w:rsidR="009949AF">
        <w:rPr>
          <w:lang w:val="en-AU"/>
        </w:rPr>
        <w:t>were</w:t>
      </w:r>
      <w:r>
        <w:rPr>
          <w:lang w:val="en-AU"/>
        </w:rPr>
        <w:t xml:space="preserve"> assumed the additional water use was less efficient than the observed average.</w:t>
      </w:r>
    </w:p>
    <w:p w14:paraId="59C86C9F" w14:textId="77777777" w:rsidR="00C01A50" w:rsidRPr="00205849" w:rsidRDefault="00877C98" w:rsidP="004D0842">
      <w:pPr>
        <w:keepNext/>
        <w:jc w:val="center"/>
        <w:rPr>
          <w:lang w:val="en-AU"/>
        </w:rPr>
      </w:pPr>
      <w:r>
        <w:rPr>
          <w:noProof/>
          <w:lang w:val="en-AU" w:eastAsia="en-AU" w:bidi="ar-SA"/>
        </w:rPr>
        <w:lastRenderedPageBreak/>
        <w:drawing>
          <wp:inline distT="0" distB="0" distL="0" distR="0" wp14:anchorId="30D04DE5" wp14:editId="6EF72C65">
            <wp:extent cx="4467225" cy="2857500"/>
            <wp:effectExtent l="0" t="0" r="317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8FBFF07" w14:textId="77777777" w:rsidR="00C01A50" w:rsidRPr="00074ABB" w:rsidRDefault="00C01A50" w:rsidP="00593A9A">
      <w:pPr>
        <w:rPr>
          <w:b/>
          <w:bCs/>
        </w:rPr>
      </w:pPr>
      <w:bookmarkStart w:id="156" w:name="_Ref464768231"/>
      <w:r w:rsidRPr="00074ABB">
        <w:rPr>
          <w:b/>
          <w:bCs/>
        </w:rPr>
        <w:t xml:space="preserve">Figure </w:t>
      </w:r>
      <w:r w:rsidRPr="00074ABB">
        <w:rPr>
          <w:b/>
          <w:bCs/>
        </w:rPr>
        <w:fldChar w:fldCharType="begin"/>
      </w:r>
      <w:r w:rsidRPr="00074ABB">
        <w:rPr>
          <w:b/>
          <w:bCs/>
        </w:rPr>
        <w:instrText xml:space="preserve"> SEQ Figure \* ARABIC </w:instrText>
      </w:r>
      <w:r w:rsidRPr="00074ABB">
        <w:rPr>
          <w:b/>
          <w:bCs/>
        </w:rPr>
        <w:fldChar w:fldCharType="separate"/>
      </w:r>
      <w:r w:rsidR="008E5D7A">
        <w:rPr>
          <w:b/>
          <w:bCs/>
          <w:noProof/>
        </w:rPr>
        <w:t>42</w:t>
      </w:r>
      <w:r w:rsidRPr="00074ABB">
        <w:rPr>
          <w:b/>
          <w:bCs/>
          <w:noProof/>
        </w:rPr>
        <w:fldChar w:fldCharType="end"/>
      </w:r>
      <w:bookmarkEnd w:id="156"/>
      <w:r w:rsidRPr="00074ABB">
        <w:rPr>
          <w:b/>
          <w:bCs/>
        </w:rPr>
        <w:t xml:space="preserve"> </w:t>
      </w:r>
      <w:r>
        <w:rPr>
          <w:b/>
          <w:bCs/>
        </w:rPr>
        <w:t>GMID milk production (observed and counterfactual)</w:t>
      </w:r>
    </w:p>
    <w:p w14:paraId="7673A5A1" w14:textId="77777777" w:rsidR="00C01A50" w:rsidRDefault="00C01A50" w:rsidP="00593A9A">
      <w:pPr>
        <w:rPr>
          <w:lang w:val="en-AU"/>
        </w:rPr>
      </w:pPr>
      <w:r>
        <w:rPr>
          <w:lang w:val="en-AU"/>
        </w:rPr>
        <w:t>RMCG (2016) estimated foregone milk production of a similar magnitude and equated this to a reduction in the annual farm-gate value of dairy production of $200 million per year. It is important to note that this value of output is not only attributable to the additional water volumes but also to the other inputs to production — it is not a measure of the economic value-add from the water.</w:t>
      </w:r>
    </w:p>
    <w:p w14:paraId="4DA5F584" w14:textId="77777777" w:rsidR="00C01A50" w:rsidRPr="00205849" w:rsidRDefault="00C01A50" w:rsidP="00593A9A">
      <w:pPr>
        <w:rPr>
          <w:lang w:val="en-AU"/>
        </w:rPr>
      </w:pPr>
      <w:r w:rsidRPr="00205849">
        <w:rPr>
          <w:lang w:val="en-AU"/>
        </w:rPr>
        <w:t>This reduced supply has reduced throughput in dairy processing. Although milk processing is not reported by factory, milk manufacturers operate farm to factory milk pick-up and milk is generally processed in the region of production. For example, Murray-Goulburn Cooperative (</w:t>
      </w:r>
      <w:r w:rsidR="00A30AAF">
        <w:rPr>
          <w:lang w:val="en-AU"/>
        </w:rPr>
        <w:t>MG</w:t>
      </w:r>
      <w:r w:rsidRPr="00205849">
        <w:rPr>
          <w:lang w:val="en-AU"/>
        </w:rPr>
        <w:t>) have milk processing sites in northern Victoria at Cobram (</w:t>
      </w:r>
      <w:r>
        <w:rPr>
          <w:lang w:val="en-AU"/>
        </w:rPr>
        <w:t>c</w:t>
      </w:r>
      <w:r w:rsidRPr="00205849">
        <w:rPr>
          <w:lang w:val="en-AU"/>
        </w:rPr>
        <w:t>heese, milk powders, infant formula) Kiewa (</w:t>
      </w:r>
      <w:r>
        <w:rPr>
          <w:lang w:val="en-AU"/>
        </w:rPr>
        <w:t>d</w:t>
      </w:r>
      <w:r w:rsidRPr="00205849">
        <w:rPr>
          <w:lang w:val="en-AU"/>
        </w:rPr>
        <w:t>aily pasteurised milk, cream cheese, yoghurt, cream) and Rochester (</w:t>
      </w:r>
      <w:r>
        <w:rPr>
          <w:lang w:val="en-AU"/>
        </w:rPr>
        <w:t>c</w:t>
      </w:r>
      <w:r w:rsidRPr="00205849">
        <w:rPr>
          <w:lang w:val="en-AU"/>
        </w:rPr>
        <w:t>heese, milk powders), as well as elsewhere in Victoria (Koroit, Laverton, Leongatha and Maffra).</w:t>
      </w:r>
    </w:p>
    <w:p w14:paraId="72C8B5AC" w14:textId="77777777" w:rsidR="00C01A50" w:rsidRPr="00205849" w:rsidRDefault="00A30AAF" w:rsidP="00593A9A">
      <w:pPr>
        <w:rPr>
          <w:lang w:val="en-AU"/>
        </w:rPr>
      </w:pPr>
      <w:r>
        <w:rPr>
          <w:lang w:val="en-AU"/>
        </w:rPr>
        <w:t>MG</w:t>
      </w:r>
      <w:r w:rsidR="00C01A50" w:rsidRPr="00205849">
        <w:rPr>
          <w:lang w:val="en-AU"/>
        </w:rPr>
        <w:t xml:space="preserve"> milk intake </w:t>
      </w:r>
      <w:r w:rsidR="00C01A50">
        <w:rPr>
          <w:lang w:val="en-AU"/>
        </w:rPr>
        <w:t>has</w:t>
      </w:r>
      <w:r w:rsidR="00C01A50" w:rsidRPr="00205849">
        <w:rPr>
          <w:lang w:val="en-AU"/>
        </w:rPr>
        <w:t xml:space="preserve"> </w:t>
      </w:r>
      <w:r w:rsidR="00C01A50">
        <w:rPr>
          <w:lang w:val="en-AU"/>
        </w:rPr>
        <w:t xml:space="preserve">fluctuated </w:t>
      </w:r>
      <w:r w:rsidR="00C01A50" w:rsidRPr="00205849">
        <w:rPr>
          <w:lang w:val="en-AU"/>
        </w:rPr>
        <w:t>in line with variation</w:t>
      </w:r>
      <w:r w:rsidR="00C01A50">
        <w:rPr>
          <w:lang w:val="en-AU"/>
        </w:rPr>
        <w:t>s</w:t>
      </w:r>
      <w:r w:rsidR="00C01A50" w:rsidRPr="00205849">
        <w:rPr>
          <w:lang w:val="en-AU"/>
        </w:rPr>
        <w:t xml:space="preserve"> in GMID milk production (</w:t>
      </w:r>
      <w:r w:rsidR="00C01A50">
        <w:fldChar w:fldCharType="begin"/>
      </w:r>
      <w:r w:rsidR="00C01A50">
        <w:instrText xml:space="preserve"> REF _Ref464768206 \h  \* MERGEFORMAT </w:instrText>
      </w:r>
      <w:r w:rsidR="00C01A50">
        <w:fldChar w:fldCharType="separate"/>
      </w:r>
      <w:r w:rsidR="008E5D7A" w:rsidRPr="008E5D7A">
        <w:rPr>
          <w:bCs/>
        </w:rPr>
        <w:t xml:space="preserve">Figure </w:t>
      </w:r>
      <w:r w:rsidR="008E5D7A" w:rsidRPr="008E5D7A">
        <w:rPr>
          <w:bCs/>
          <w:noProof/>
        </w:rPr>
        <w:t>43</w:t>
      </w:r>
      <w:r w:rsidR="00C01A50">
        <w:fldChar w:fldCharType="end"/>
      </w:r>
      <w:r w:rsidR="00C01A50" w:rsidRPr="00205849">
        <w:rPr>
          <w:lang w:val="en-AU"/>
        </w:rPr>
        <w:t>)</w:t>
      </w:r>
      <w:r w:rsidR="00C01A50">
        <w:rPr>
          <w:lang w:val="en-AU"/>
        </w:rPr>
        <w:t>. I</w:t>
      </w:r>
      <w:r w:rsidR="00C01A50" w:rsidRPr="00205849">
        <w:rPr>
          <w:lang w:val="en-AU"/>
        </w:rPr>
        <w:t>t would be expected that additional milk volumes under the counterfactual would be processed within</w:t>
      </w:r>
      <w:r>
        <w:rPr>
          <w:lang w:val="en-AU"/>
        </w:rPr>
        <w:t xml:space="preserve"> the region at sites such as MG</w:t>
      </w:r>
      <w:r w:rsidR="00C01A50" w:rsidRPr="00205849">
        <w:rPr>
          <w:lang w:val="en-AU"/>
        </w:rPr>
        <w:t>’s.</w:t>
      </w:r>
    </w:p>
    <w:p w14:paraId="18EE76D5" w14:textId="77777777" w:rsidR="00C01A50" w:rsidRPr="00205849" w:rsidRDefault="00877C98" w:rsidP="004D0842">
      <w:pPr>
        <w:jc w:val="center"/>
        <w:rPr>
          <w:lang w:val="en-AU"/>
        </w:rPr>
      </w:pPr>
      <w:r>
        <w:rPr>
          <w:noProof/>
          <w:lang w:val="en-AU" w:eastAsia="en-AU" w:bidi="ar-SA"/>
        </w:rPr>
        <w:lastRenderedPageBreak/>
        <w:drawing>
          <wp:inline distT="0" distB="0" distL="0" distR="0" wp14:anchorId="0B8D91DB" wp14:editId="1B6F2484">
            <wp:extent cx="4404360" cy="28575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F5179DC" w14:textId="77777777" w:rsidR="00C01A50" w:rsidRPr="00074ABB" w:rsidRDefault="00C01A50" w:rsidP="00593A9A">
      <w:pPr>
        <w:rPr>
          <w:b/>
          <w:bCs/>
        </w:rPr>
      </w:pPr>
      <w:bookmarkStart w:id="157" w:name="_Ref464768206"/>
      <w:r w:rsidRPr="00074ABB">
        <w:rPr>
          <w:b/>
          <w:bCs/>
        </w:rPr>
        <w:t xml:space="preserve">Figure </w:t>
      </w:r>
      <w:r w:rsidRPr="00074ABB">
        <w:rPr>
          <w:b/>
          <w:bCs/>
        </w:rPr>
        <w:fldChar w:fldCharType="begin"/>
      </w:r>
      <w:r w:rsidRPr="00074ABB">
        <w:rPr>
          <w:b/>
          <w:bCs/>
        </w:rPr>
        <w:instrText xml:space="preserve"> SEQ Figure \* ARABIC </w:instrText>
      </w:r>
      <w:r w:rsidRPr="00074ABB">
        <w:rPr>
          <w:b/>
          <w:bCs/>
        </w:rPr>
        <w:fldChar w:fldCharType="separate"/>
      </w:r>
      <w:r w:rsidR="008E5D7A">
        <w:rPr>
          <w:b/>
          <w:bCs/>
          <w:noProof/>
        </w:rPr>
        <w:t>43</w:t>
      </w:r>
      <w:r w:rsidRPr="00074ABB">
        <w:rPr>
          <w:b/>
          <w:bCs/>
          <w:noProof/>
        </w:rPr>
        <w:fldChar w:fldCharType="end"/>
      </w:r>
      <w:bookmarkEnd w:id="157"/>
      <w:r w:rsidRPr="00074ABB">
        <w:rPr>
          <w:b/>
          <w:bCs/>
        </w:rPr>
        <w:t xml:space="preserve"> </w:t>
      </w:r>
      <w:r w:rsidR="00A30AAF">
        <w:rPr>
          <w:b/>
          <w:bCs/>
        </w:rPr>
        <w:t>GMID milk production and MG</w:t>
      </w:r>
      <w:r>
        <w:rPr>
          <w:b/>
          <w:bCs/>
        </w:rPr>
        <w:t xml:space="preserve"> milk intake</w:t>
      </w:r>
    </w:p>
    <w:p w14:paraId="43BCB467" w14:textId="77777777" w:rsidR="00C01A50" w:rsidRPr="00205849" w:rsidRDefault="00C01A50" w:rsidP="00593A9A">
      <w:pPr>
        <w:keepLines/>
        <w:spacing w:after="240"/>
        <w:contextualSpacing/>
        <w:rPr>
          <w:rFonts w:eastAsia="Calibri"/>
          <w:color w:val="000000"/>
          <w:sz w:val="18"/>
          <w:szCs w:val="22"/>
          <w:lang w:val="en-AU"/>
        </w:rPr>
      </w:pPr>
      <w:r w:rsidRPr="00205849">
        <w:rPr>
          <w:rFonts w:eastAsia="Calibri"/>
          <w:color w:val="000000"/>
          <w:sz w:val="18"/>
          <w:szCs w:val="22"/>
          <w:lang w:val="en-AU"/>
        </w:rPr>
        <w:t>Source: Devondale Murray Goulburn 2016</w:t>
      </w:r>
      <w:r>
        <w:rPr>
          <w:rFonts w:eastAsia="Calibri"/>
          <w:color w:val="000000"/>
          <w:sz w:val="18"/>
          <w:szCs w:val="22"/>
          <w:lang w:val="en-AU"/>
        </w:rPr>
        <w:t>.</w:t>
      </w:r>
    </w:p>
    <w:p w14:paraId="3961B832" w14:textId="77777777" w:rsidR="00C01A50" w:rsidRPr="00867773" w:rsidRDefault="00C01A50" w:rsidP="00593A9A">
      <w:pPr>
        <w:pStyle w:val="Heading2"/>
        <w:rPr>
          <w:lang w:val="en-AU"/>
        </w:rPr>
      </w:pPr>
      <w:bookmarkStart w:id="158" w:name="_Toc347747832"/>
      <w:r w:rsidRPr="00867773">
        <w:rPr>
          <w:lang w:val="en-AU"/>
        </w:rPr>
        <w:t xml:space="preserve">The </w:t>
      </w:r>
      <w:r>
        <w:rPr>
          <w:lang w:val="en-AU"/>
        </w:rPr>
        <w:t>Irrigated dairy industry today</w:t>
      </w:r>
      <w:bookmarkEnd w:id="158"/>
      <w:r>
        <w:rPr>
          <w:lang w:val="en-AU"/>
        </w:rPr>
        <w:t xml:space="preserve"> </w:t>
      </w:r>
    </w:p>
    <w:p w14:paraId="74E43BC4" w14:textId="77777777" w:rsidR="00C01A50" w:rsidRPr="00867773" w:rsidRDefault="00C01A50" w:rsidP="00593A9A">
      <w:pPr>
        <w:rPr>
          <w:lang w:val="en-AU"/>
        </w:rPr>
      </w:pPr>
      <w:r w:rsidRPr="00867773">
        <w:rPr>
          <w:lang w:val="en-AU"/>
        </w:rPr>
        <w:t>In 2015/16</w:t>
      </w:r>
      <w:r>
        <w:rPr>
          <w:lang w:val="en-AU"/>
        </w:rPr>
        <w:t>,</w:t>
      </w:r>
      <w:r w:rsidRPr="00867773">
        <w:rPr>
          <w:lang w:val="en-AU"/>
        </w:rPr>
        <w:t xml:space="preserve"> </w:t>
      </w:r>
      <w:r w:rsidRPr="00867773">
        <w:rPr>
          <w:lang w:val="en-US"/>
        </w:rPr>
        <w:t xml:space="preserve">regional milk production in </w:t>
      </w:r>
      <w:r>
        <w:rPr>
          <w:lang w:val="en-US"/>
        </w:rPr>
        <w:t>northern Victoria</w:t>
      </w:r>
      <w:r w:rsidRPr="00867773">
        <w:rPr>
          <w:lang w:val="en-US"/>
        </w:rPr>
        <w:t xml:space="preserve"> had settled at close to 2,000</w:t>
      </w:r>
      <w:r>
        <w:rPr>
          <w:lang w:val="en-US"/>
        </w:rPr>
        <w:t xml:space="preserve"> </w:t>
      </w:r>
      <w:r w:rsidRPr="00867773">
        <w:rPr>
          <w:lang w:val="en-US"/>
        </w:rPr>
        <w:t>million litres</w:t>
      </w:r>
      <w:r>
        <w:rPr>
          <w:lang w:val="en-US"/>
        </w:rPr>
        <w:t xml:space="preserve">, </w:t>
      </w:r>
      <w:r w:rsidRPr="00867773">
        <w:rPr>
          <w:lang w:val="en-US"/>
        </w:rPr>
        <w:t xml:space="preserve">down by 28% from pre-drought figures </w:t>
      </w:r>
      <w:r>
        <w:rPr>
          <w:lang w:val="en-US"/>
        </w:rPr>
        <w:t>(</w:t>
      </w:r>
      <w:r w:rsidRPr="00867773">
        <w:rPr>
          <w:lang w:val="en-US"/>
        </w:rPr>
        <w:t>Dairy Australia</w:t>
      </w:r>
      <w:r>
        <w:rPr>
          <w:lang w:val="en-US"/>
        </w:rPr>
        <w:t>,</w:t>
      </w:r>
      <w:r w:rsidRPr="00867773">
        <w:rPr>
          <w:lang w:val="en-US"/>
        </w:rPr>
        <w:t xml:space="preserve"> 2016</w:t>
      </w:r>
      <w:r>
        <w:rPr>
          <w:lang w:val="en-US"/>
        </w:rPr>
        <w:t>)</w:t>
      </w:r>
      <w:r w:rsidRPr="00867773">
        <w:rPr>
          <w:lang w:val="en-US"/>
        </w:rPr>
        <w:t xml:space="preserve">. </w:t>
      </w:r>
      <w:r w:rsidRPr="00867773">
        <w:rPr>
          <w:lang w:val="en-AU"/>
        </w:rPr>
        <w:t>The region had seen a 50% drop in farm numbers to 1</w:t>
      </w:r>
      <w:r>
        <w:rPr>
          <w:lang w:val="en-AU"/>
        </w:rPr>
        <w:t>,</w:t>
      </w:r>
      <w:r w:rsidRPr="00867773">
        <w:rPr>
          <w:lang w:val="en-AU"/>
        </w:rPr>
        <w:t>140 properties</w:t>
      </w:r>
      <w:r w:rsidR="00C47EE8">
        <w:rPr>
          <w:lang w:val="en-AU"/>
        </w:rPr>
        <w:t xml:space="preserve"> </w:t>
      </w:r>
      <w:r>
        <w:rPr>
          <w:lang w:val="en-AU"/>
        </w:rPr>
        <w:t>(</w:t>
      </w:r>
      <w:r w:rsidR="00A34F27">
        <w:rPr>
          <w:lang w:val="en-AU"/>
        </w:rPr>
        <w:t>Goulburn Broken</w:t>
      </w:r>
      <w:r>
        <w:rPr>
          <w:lang w:val="en-AU"/>
        </w:rPr>
        <w:t xml:space="preserve"> CMA, unpublished)</w:t>
      </w:r>
      <w:r w:rsidRPr="00867773">
        <w:rPr>
          <w:lang w:val="en-AU"/>
        </w:rPr>
        <w:t xml:space="preserve"> supporting a total regional herd of </w:t>
      </w:r>
      <w:r>
        <w:rPr>
          <w:lang w:val="en-AU"/>
        </w:rPr>
        <w:t>306,832</w:t>
      </w:r>
      <w:r w:rsidRPr="00867773">
        <w:rPr>
          <w:lang w:val="en-AU"/>
        </w:rPr>
        <w:t xml:space="preserve"> cows </w:t>
      </w:r>
      <w:r>
        <w:rPr>
          <w:lang w:val="en-AU"/>
        </w:rPr>
        <w:t>(</w:t>
      </w:r>
      <w:r w:rsidRPr="00867773">
        <w:rPr>
          <w:lang w:val="en-AU"/>
        </w:rPr>
        <w:t>Dairy Australia</w:t>
      </w:r>
      <w:r>
        <w:rPr>
          <w:lang w:val="en-AU"/>
        </w:rPr>
        <w:t>,</w:t>
      </w:r>
      <w:r w:rsidRPr="00867773">
        <w:rPr>
          <w:lang w:val="en-AU"/>
        </w:rPr>
        <w:t xml:space="preserve"> 2016</w:t>
      </w:r>
      <w:r>
        <w:rPr>
          <w:lang w:val="en-AU"/>
        </w:rPr>
        <w:t>)</w:t>
      </w:r>
      <w:r w:rsidRPr="00867773">
        <w:rPr>
          <w:lang w:val="en-AU"/>
        </w:rPr>
        <w:t xml:space="preserve">. The number of rotary </w:t>
      </w:r>
      <w:r>
        <w:rPr>
          <w:lang w:val="en-AU"/>
        </w:rPr>
        <w:t>dairies</w:t>
      </w:r>
      <w:r w:rsidRPr="00867773">
        <w:rPr>
          <w:lang w:val="en-AU"/>
        </w:rPr>
        <w:t xml:space="preserve"> </w:t>
      </w:r>
      <w:r>
        <w:rPr>
          <w:lang w:val="en-AU"/>
        </w:rPr>
        <w:t>has</w:t>
      </w:r>
      <w:r w:rsidRPr="00867773">
        <w:rPr>
          <w:lang w:val="en-AU"/>
        </w:rPr>
        <w:t xml:space="preserve"> increased; they </w:t>
      </w:r>
      <w:r>
        <w:rPr>
          <w:lang w:val="en-AU"/>
        </w:rPr>
        <w:t>had</w:t>
      </w:r>
      <w:r w:rsidRPr="00867773">
        <w:rPr>
          <w:lang w:val="en-AU"/>
        </w:rPr>
        <w:t xml:space="preserve"> the</w:t>
      </w:r>
      <w:r>
        <w:rPr>
          <w:lang w:val="en-AU"/>
        </w:rPr>
        <w:t xml:space="preserve"> capacity to handle around 50% of total milk capacity</w:t>
      </w:r>
      <w:r w:rsidRPr="00867773">
        <w:rPr>
          <w:lang w:val="en-AU"/>
        </w:rPr>
        <w:t xml:space="preserve"> </w:t>
      </w:r>
      <w:r>
        <w:rPr>
          <w:lang w:val="en-AU"/>
        </w:rPr>
        <w:t>(</w:t>
      </w:r>
      <w:r w:rsidR="00A34F27">
        <w:rPr>
          <w:lang w:val="en-AU"/>
        </w:rPr>
        <w:t>Goulburn Broken</w:t>
      </w:r>
      <w:r>
        <w:rPr>
          <w:lang w:val="en-AU"/>
        </w:rPr>
        <w:t xml:space="preserve"> CMA, unpublished).</w:t>
      </w:r>
      <w:r w:rsidRPr="00867773">
        <w:rPr>
          <w:lang w:val="en-AU"/>
        </w:rPr>
        <w:t xml:space="preserve"> Average </w:t>
      </w:r>
      <w:r>
        <w:rPr>
          <w:lang w:val="en-AU"/>
        </w:rPr>
        <w:t xml:space="preserve">Victorian dairy </w:t>
      </w:r>
      <w:r w:rsidRPr="00867773">
        <w:rPr>
          <w:lang w:val="en-AU"/>
        </w:rPr>
        <w:t>farm debt had increased to $806,000 in 2014/15</w:t>
      </w:r>
      <w:r>
        <w:rPr>
          <w:lang w:val="en-AU"/>
        </w:rPr>
        <w:t xml:space="preserve"> from $105,000 in 2009/10,</w:t>
      </w:r>
      <w:r w:rsidRPr="00867773">
        <w:rPr>
          <w:lang w:val="en-AU"/>
        </w:rPr>
        <w:t xml:space="preserve"> and this was comparable with estimated figures for northern Victoria </w:t>
      </w:r>
      <w:r>
        <w:rPr>
          <w:lang w:val="en-AU"/>
        </w:rPr>
        <w:t>(</w:t>
      </w:r>
      <w:r w:rsidRPr="00867773">
        <w:rPr>
          <w:lang w:val="en-AU"/>
        </w:rPr>
        <w:t>ABARES</w:t>
      </w:r>
      <w:r>
        <w:rPr>
          <w:lang w:val="en-AU"/>
        </w:rPr>
        <w:t>,</w:t>
      </w:r>
      <w:r w:rsidRPr="00867773">
        <w:rPr>
          <w:lang w:val="en-AU"/>
        </w:rPr>
        <w:t xml:space="preserve"> 2015</w:t>
      </w:r>
      <w:r>
        <w:rPr>
          <w:lang w:val="en-AU"/>
        </w:rPr>
        <w:t>)</w:t>
      </w:r>
      <w:r w:rsidRPr="00867773">
        <w:rPr>
          <w:lang w:val="en-AU"/>
        </w:rPr>
        <w:t xml:space="preserve">. </w:t>
      </w:r>
    </w:p>
    <w:p w14:paraId="72D5B3BA" w14:textId="77777777" w:rsidR="00C01A50" w:rsidRPr="00867773" w:rsidRDefault="00C01A50" w:rsidP="00593A9A">
      <w:pPr>
        <w:rPr>
          <w:lang w:val="en-AU"/>
        </w:rPr>
      </w:pPr>
      <w:r w:rsidRPr="00867773">
        <w:rPr>
          <w:lang w:val="en-AU"/>
        </w:rPr>
        <w:t xml:space="preserve">Total </w:t>
      </w:r>
      <w:r w:rsidRPr="00ED2721">
        <w:rPr>
          <w:lang w:val="en-AU"/>
        </w:rPr>
        <w:t xml:space="preserve">2015/16 </w:t>
      </w:r>
      <w:r w:rsidRPr="00867773">
        <w:rPr>
          <w:lang w:val="en-AU"/>
        </w:rPr>
        <w:t>water use by the dairy industry in t</w:t>
      </w:r>
      <w:r>
        <w:rPr>
          <w:lang w:val="en-AU"/>
        </w:rPr>
        <w:t xml:space="preserve">he GMID was 740 GL – </w:t>
      </w:r>
      <w:r w:rsidRPr="00867773">
        <w:rPr>
          <w:lang w:val="en-AU"/>
        </w:rPr>
        <w:t xml:space="preserve">a drop of 30% </w:t>
      </w:r>
      <w:r>
        <w:rPr>
          <w:lang w:val="en-AU"/>
        </w:rPr>
        <w:t>from</w:t>
      </w:r>
      <w:r w:rsidRPr="00867773">
        <w:rPr>
          <w:lang w:val="en-AU"/>
        </w:rPr>
        <w:t xml:space="preserve"> 2001/02 </w:t>
      </w:r>
      <w:r w:rsidR="00BA0B21">
        <w:rPr>
          <w:lang w:val="en-AU"/>
        </w:rPr>
        <w:t>(Goulburn Broken CMA, unpublished)</w:t>
      </w:r>
      <w:r w:rsidR="00BA0B21" w:rsidRPr="00867773">
        <w:rPr>
          <w:lang w:val="en-AU"/>
        </w:rPr>
        <w:t xml:space="preserve">. </w:t>
      </w:r>
      <w:r w:rsidRPr="00867773">
        <w:rPr>
          <w:lang w:val="en-AU"/>
        </w:rPr>
        <w:t>During the same period, there was a 44% drop in the ownership of high reliability water shares by dairy farmers from 819 GL to 465 GL. A survey of irrigation farms in the GMID in 2016 supported these figures with 28% of dairy farmers owning less than 200</w:t>
      </w:r>
      <w:r>
        <w:rPr>
          <w:lang w:val="en-AU"/>
        </w:rPr>
        <w:t xml:space="preserve"> </w:t>
      </w:r>
      <w:r w:rsidRPr="00867773">
        <w:rPr>
          <w:lang w:val="en-AU"/>
        </w:rPr>
        <w:t xml:space="preserve">ML </w:t>
      </w:r>
      <w:r>
        <w:rPr>
          <w:lang w:val="en-AU"/>
        </w:rPr>
        <w:t xml:space="preserve">of high reliability water shares </w:t>
      </w:r>
      <w:r w:rsidRPr="00867773">
        <w:rPr>
          <w:lang w:val="en-AU"/>
        </w:rPr>
        <w:t xml:space="preserve">and more than half </w:t>
      </w:r>
      <w:r>
        <w:rPr>
          <w:lang w:val="en-AU"/>
        </w:rPr>
        <w:t>of surveyed</w:t>
      </w:r>
      <w:r w:rsidRPr="00867773">
        <w:rPr>
          <w:lang w:val="en-AU"/>
        </w:rPr>
        <w:t xml:space="preserve"> dairy farmers (55.3%) saying they had to rely heavily on the </w:t>
      </w:r>
      <w:r>
        <w:rPr>
          <w:lang w:val="en-AU"/>
        </w:rPr>
        <w:t>allocation</w:t>
      </w:r>
      <w:r w:rsidRPr="00867773">
        <w:rPr>
          <w:lang w:val="en-AU"/>
        </w:rPr>
        <w:t xml:space="preserve"> market to meet their water needs </w:t>
      </w:r>
      <w:r>
        <w:rPr>
          <w:lang w:val="en-AU"/>
        </w:rPr>
        <w:t>(</w:t>
      </w:r>
      <w:r w:rsidR="00A34F27">
        <w:rPr>
          <w:lang w:val="en-AU"/>
        </w:rPr>
        <w:t>Goulburn Broken</w:t>
      </w:r>
      <w:r>
        <w:rPr>
          <w:lang w:val="en-AU"/>
        </w:rPr>
        <w:t xml:space="preserve"> CMA, unpublished)</w:t>
      </w:r>
      <w:r w:rsidRPr="00867773">
        <w:rPr>
          <w:lang w:val="en-AU"/>
        </w:rPr>
        <w:t xml:space="preserve">. A </w:t>
      </w:r>
      <w:r>
        <w:rPr>
          <w:lang w:val="en-AU"/>
        </w:rPr>
        <w:t>44% drop in water use matched</w:t>
      </w:r>
      <w:r w:rsidRPr="00867773">
        <w:rPr>
          <w:lang w:val="en-AU"/>
        </w:rPr>
        <w:t xml:space="preserve"> a 38% drop in production from 2001/02 to 2015/16</w:t>
      </w:r>
      <w:r>
        <w:rPr>
          <w:lang w:val="en-AU"/>
        </w:rPr>
        <w:t>.</w:t>
      </w:r>
    </w:p>
    <w:p w14:paraId="0B5CEB92" w14:textId="77777777" w:rsidR="00C01A50" w:rsidRPr="00867773" w:rsidRDefault="00C01A50" w:rsidP="00593A9A">
      <w:pPr>
        <w:rPr>
          <w:lang w:val="en-AU"/>
        </w:rPr>
      </w:pPr>
      <w:r w:rsidRPr="00867773">
        <w:rPr>
          <w:lang w:val="en-AU"/>
        </w:rPr>
        <w:t xml:space="preserve">Significant investment in on-farm and regional irrigation infrastructure has occurred with 68.9% of respondents to a Land Use Survey having undertaken irrigation upgrades over the last 5 years </w:t>
      </w:r>
      <w:r>
        <w:rPr>
          <w:lang w:val="en-AU"/>
        </w:rPr>
        <w:t>(</w:t>
      </w:r>
      <w:r w:rsidR="00A34F27">
        <w:rPr>
          <w:lang w:val="en-AU"/>
        </w:rPr>
        <w:t>Goulburn Broken</w:t>
      </w:r>
      <w:r>
        <w:rPr>
          <w:lang w:val="en-AU"/>
        </w:rPr>
        <w:t xml:space="preserve"> CMA, unpublished)</w:t>
      </w:r>
      <w:r w:rsidRPr="00867773">
        <w:rPr>
          <w:lang w:val="en-AU"/>
        </w:rPr>
        <w:t>. By</w:t>
      </w:r>
      <w:r>
        <w:rPr>
          <w:lang w:val="en-AU"/>
        </w:rPr>
        <w:t xml:space="preserve"> </w:t>
      </w:r>
      <w:r w:rsidRPr="00867773">
        <w:rPr>
          <w:lang w:val="en-AU"/>
        </w:rPr>
        <w:t xml:space="preserve">2014/15 the industry had lasered 85% of the irrigated area used for farming, installed 3,440 re-use systems and installed over 8,700 ha of automatic irrigation </w:t>
      </w:r>
      <w:r>
        <w:rPr>
          <w:lang w:val="en-AU"/>
        </w:rPr>
        <w:t>(</w:t>
      </w:r>
      <w:r w:rsidRPr="00867773">
        <w:rPr>
          <w:lang w:val="en-AU"/>
        </w:rPr>
        <w:t>GB CMA</w:t>
      </w:r>
      <w:r>
        <w:rPr>
          <w:lang w:val="en-AU"/>
        </w:rPr>
        <w:t>,</w:t>
      </w:r>
      <w:r w:rsidRPr="00867773">
        <w:rPr>
          <w:lang w:val="en-AU"/>
        </w:rPr>
        <w:t xml:space="preserve"> 2014/15</w:t>
      </w:r>
      <w:r>
        <w:rPr>
          <w:lang w:val="en-AU"/>
        </w:rPr>
        <w:t>)</w:t>
      </w:r>
      <w:r w:rsidRPr="00867773">
        <w:rPr>
          <w:lang w:val="en-AU"/>
        </w:rPr>
        <w:t xml:space="preserve">. </w:t>
      </w:r>
    </w:p>
    <w:p w14:paraId="06C60367" w14:textId="77777777" w:rsidR="00C01A50" w:rsidRPr="00867773" w:rsidRDefault="00C01A50" w:rsidP="00593A9A">
      <w:pPr>
        <w:rPr>
          <w:lang w:val="en-AU"/>
        </w:rPr>
      </w:pPr>
      <w:r>
        <w:rPr>
          <w:lang w:val="en-AU"/>
        </w:rPr>
        <w:t xml:space="preserve">During the </w:t>
      </w:r>
      <w:r w:rsidRPr="00867773">
        <w:rPr>
          <w:lang w:val="en-AU"/>
        </w:rPr>
        <w:t xml:space="preserve">2000s, </w:t>
      </w:r>
      <w:r>
        <w:rPr>
          <w:lang w:val="en-AU"/>
        </w:rPr>
        <w:t xml:space="preserve">in response to low </w:t>
      </w:r>
      <w:r w:rsidRPr="00867773">
        <w:rPr>
          <w:lang w:val="en-AU"/>
        </w:rPr>
        <w:t>water allocations</w:t>
      </w:r>
      <w:r>
        <w:rPr>
          <w:lang w:val="en-AU"/>
        </w:rPr>
        <w:t>,</w:t>
      </w:r>
      <w:r w:rsidRPr="00867773">
        <w:rPr>
          <w:lang w:val="en-AU"/>
        </w:rPr>
        <w:t xml:space="preserve"> </w:t>
      </w:r>
      <w:r>
        <w:rPr>
          <w:lang w:val="en-AU"/>
        </w:rPr>
        <w:t xml:space="preserve">high allocation </w:t>
      </w:r>
      <w:r w:rsidRPr="00867773">
        <w:rPr>
          <w:lang w:val="en-AU"/>
        </w:rPr>
        <w:t>price</w:t>
      </w:r>
      <w:r>
        <w:rPr>
          <w:lang w:val="en-AU"/>
        </w:rPr>
        <w:t>s, and the vagaries of feed input costs and milk prices,</w:t>
      </w:r>
      <w:r w:rsidRPr="00867773">
        <w:rPr>
          <w:lang w:val="en-AU"/>
        </w:rPr>
        <w:t xml:space="preserve"> </w:t>
      </w:r>
      <w:r>
        <w:rPr>
          <w:lang w:val="en-AU"/>
        </w:rPr>
        <w:t>interest in more diverse feed-</w:t>
      </w:r>
      <w:r w:rsidRPr="00867773">
        <w:rPr>
          <w:lang w:val="en-AU"/>
        </w:rPr>
        <w:t>base systems</w:t>
      </w:r>
      <w:r>
        <w:rPr>
          <w:lang w:val="en-AU"/>
        </w:rPr>
        <w:t>,</w:t>
      </w:r>
      <w:r w:rsidRPr="00867773">
        <w:rPr>
          <w:lang w:val="en-AU"/>
        </w:rPr>
        <w:t xml:space="preserve"> </w:t>
      </w:r>
      <w:r>
        <w:rPr>
          <w:lang w:val="en-AU"/>
        </w:rPr>
        <w:t xml:space="preserve">incorporating annual crops, </w:t>
      </w:r>
      <w:r>
        <w:rPr>
          <w:lang w:val="en-AU"/>
        </w:rPr>
        <w:lastRenderedPageBreak/>
        <w:t>annual</w:t>
      </w:r>
      <w:r w:rsidRPr="00867773">
        <w:rPr>
          <w:lang w:val="en-AU"/>
        </w:rPr>
        <w:t xml:space="preserve"> pastures and lucerne </w:t>
      </w:r>
      <w:r>
        <w:rPr>
          <w:lang w:val="en-AU"/>
        </w:rPr>
        <w:t>increased</w:t>
      </w:r>
      <w:r w:rsidRPr="00867773">
        <w:rPr>
          <w:lang w:val="en-AU"/>
        </w:rPr>
        <w:t>.</w:t>
      </w:r>
      <w:r>
        <w:rPr>
          <w:lang w:val="en-AU"/>
        </w:rPr>
        <w:t xml:space="preserve"> Dairy farmers who had sold entitlements and had begun to rely on allocation purchases maintained that interest in the 2010s. </w:t>
      </w:r>
      <w:r w:rsidRPr="00867773">
        <w:rPr>
          <w:lang w:val="en-AU"/>
        </w:rPr>
        <w:t xml:space="preserve">During this time </w:t>
      </w:r>
      <w:r>
        <w:rPr>
          <w:lang w:val="en-AU"/>
        </w:rPr>
        <w:t>the</w:t>
      </w:r>
      <w:r w:rsidRPr="00867773">
        <w:rPr>
          <w:lang w:val="en-AU"/>
        </w:rPr>
        <w:t xml:space="preserve"> use of different supplementary feeds</w:t>
      </w:r>
      <w:r>
        <w:rPr>
          <w:lang w:val="en-AU"/>
        </w:rPr>
        <w:t xml:space="preserve"> has increased. This</w:t>
      </w:r>
      <w:r w:rsidRPr="00867773">
        <w:rPr>
          <w:lang w:val="en-AU"/>
        </w:rPr>
        <w:t xml:space="preserve"> adds to the complexity of the system</w:t>
      </w:r>
      <w:r>
        <w:rPr>
          <w:lang w:val="en-AU"/>
        </w:rPr>
        <w:t xml:space="preserve"> and to </w:t>
      </w:r>
      <w:r w:rsidRPr="00867773">
        <w:rPr>
          <w:lang w:val="en-AU"/>
        </w:rPr>
        <w:t xml:space="preserve">the challenge of maintaining </w:t>
      </w:r>
      <w:r>
        <w:rPr>
          <w:lang w:val="en-AU"/>
        </w:rPr>
        <w:t>profit</w:t>
      </w:r>
      <w:r w:rsidRPr="00867773">
        <w:rPr>
          <w:lang w:val="en-AU"/>
        </w:rPr>
        <w:t xml:space="preserve"> margin</w:t>
      </w:r>
      <w:r>
        <w:rPr>
          <w:lang w:val="en-AU"/>
        </w:rPr>
        <w:t>s</w:t>
      </w:r>
      <w:r w:rsidRPr="00867773">
        <w:rPr>
          <w:lang w:val="en-AU"/>
        </w:rPr>
        <w:t xml:space="preserve"> </w:t>
      </w:r>
      <w:r>
        <w:rPr>
          <w:lang w:val="en-AU"/>
        </w:rPr>
        <w:t xml:space="preserve">– </w:t>
      </w:r>
      <w:r w:rsidRPr="00867773">
        <w:rPr>
          <w:lang w:val="en-AU"/>
        </w:rPr>
        <w:t>given the</w:t>
      </w:r>
      <w:r>
        <w:rPr>
          <w:lang w:val="en-AU"/>
        </w:rPr>
        <w:t xml:space="preserve"> vagaries of feed input</w:t>
      </w:r>
      <w:r w:rsidRPr="00867773">
        <w:rPr>
          <w:lang w:val="en-AU"/>
        </w:rPr>
        <w:t xml:space="preserve"> costs </w:t>
      </w:r>
      <w:r>
        <w:rPr>
          <w:lang w:val="en-AU"/>
        </w:rPr>
        <w:t>and</w:t>
      </w:r>
      <w:r w:rsidRPr="00867773">
        <w:rPr>
          <w:lang w:val="en-AU"/>
        </w:rPr>
        <w:t xml:space="preserve"> milk price</w:t>
      </w:r>
      <w:r>
        <w:rPr>
          <w:lang w:val="en-AU"/>
        </w:rPr>
        <w:t>s</w:t>
      </w:r>
      <w:r w:rsidRPr="00867773">
        <w:rPr>
          <w:lang w:val="en-AU"/>
        </w:rPr>
        <w:t xml:space="preserve"> </w:t>
      </w:r>
      <w:r>
        <w:rPr>
          <w:lang w:val="en-AU"/>
        </w:rPr>
        <w:t>(</w:t>
      </w:r>
      <w:r w:rsidRPr="00867773">
        <w:rPr>
          <w:lang w:val="en-AU"/>
        </w:rPr>
        <w:t>Lower Murray Darling</w:t>
      </w:r>
      <w:r>
        <w:rPr>
          <w:lang w:val="en-AU"/>
        </w:rPr>
        <w:t>, 2009)</w:t>
      </w:r>
      <w:r w:rsidRPr="00867773">
        <w:rPr>
          <w:lang w:val="en-AU"/>
        </w:rPr>
        <w:t xml:space="preserve">. </w:t>
      </w:r>
      <w:r>
        <w:rPr>
          <w:lang w:val="en-AU"/>
        </w:rPr>
        <w:t>Relative to the situation where a dairy farmer, with 100% allocations against held water entitlements, has sufficient water to meet the feed requirements of an individual herd, the more complex feed-base systems involve more risk.</w:t>
      </w:r>
    </w:p>
    <w:p w14:paraId="757D4534" w14:textId="77777777" w:rsidR="00C01A50" w:rsidRDefault="00C01A50" w:rsidP="00593A9A">
      <w:pPr>
        <w:rPr>
          <w:lang w:val="en-AU"/>
        </w:rPr>
      </w:pPr>
      <w:r w:rsidRPr="00867773">
        <w:rPr>
          <w:lang w:val="en-AU"/>
        </w:rPr>
        <w:t>As the drought came to an end</w:t>
      </w:r>
      <w:r>
        <w:rPr>
          <w:lang w:val="en-AU"/>
        </w:rPr>
        <w:t>,</w:t>
      </w:r>
      <w:r w:rsidRPr="00867773">
        <w:rPr>
          <w:lang w:val="en-AU"/>
        </w:rPr>
        <w:t xml:space="preserve"> dairy farmers debt </w:t>
      </w:r>
      <w:r>
        <w:rPr>
          <w:lang w:val="en-AU"/>
        </w:rPr>
        <w:t xml:space="preserve">had </w:t>
      </w:r>
      <w:r w:rsidRPr="00867773">
        <w:rPr>
          <w:lang w:val="en-AU"/>
        </w:rPr>
        <w:t xml:space="preserve">increased. The Victorian Dairy Industry Farm Monitor Project found </w:t>
      </w:r>
      <w:r>
        <w:rPr>
          <w:lang w:val="en-AU"/>
        </w:rPr>
        <w:t xml:space="preserve">that over 70% of </w:t>
      </w:r>
      <w:r w:rsidRPr="00867773">
        <w:rPr>
          <w:lang w:val="en-AU"/>
        </w:rPr>
        <w:t>participant</w:t>
      </w:r>
      <w:r>
        <w:rPr>
          <w:lang w:val="en-AU"/>
        </w:rPr>
        <w:t>s</w:t>
      </w:r>
      <w:r w:rsidRPr="00867773">
        <w:rPr>
          <w:lang w:val="en-AU"/>
        </w:rPr>
        <w:t xml:space="preserve"> </w:t>
      </w:r>
      <w:r>
        <w:rPr>
          <w:lang w:val="en-AU"/>
        </w:rPr>
        <w:t xml:space="preserve">in </w:t>
      </w:r>
      <w:r w:rsidRPr="00867773">
        <w:rPr>
          <w:lang w:val="en-AU"/>
        </w:rPr>
        <w:t>northern Victoria report</w:t>
      </w:r>
      <w:r>
        <w:rPr>
          <w:lang w:val="en-AU"/>
        </w:rPr>
        <w:t>ed</w:t>
      </w:r>
      <w:r w:rsidRPr="00867773">
        <w:rPr>
          <w:lang w:val="en-AU"/>
        </w:rPr>
        <w:t xml:space="preserve"> a negative return on equity during 2009</w:t>
      </w:r>
      <w:r w:rsidR="005A3ABF">
        <w:rPr>
          <w:lang w:val="en-AU"/>
        </w:rPr>
        <w:t>/</w:t>
      </w:r>
      <w:r w:rsidRPr="00867773">
        <w:rPr>
          <w:lang w:val="en-AU"/>
        </w:rPr>
        <w:t xml:space="preserve">10 </w:t>
      </w:r>
      <w:r>
        <w:rPr>
          <w:lang w:val="en-AU"/>
        </w:rPr>
        <w:t>(</w:t>
      </w:r>
      <w:r w:rsidRPr="00867773">
        <w:rPr>
          <w:lang w:val="en-AU"/>
        </w:rPr>
        <w:t>DPI 2010</w:t>
      </w:r>
      <w:r>
        <w:rPr>
          <w:lang w:val="en-AU"/>
        </w:rPr>
        <w:t>)</w:t>
      </w:r>
      <w:r w:rsidRPr="00867773">
        <w:rPr>
          <w:lang w:val="en-AU"/>
        </w:rPr>
        <w:t>. In</w:t>
      </w:r>
      <w:r>
        <w:rPr>
          <w:lang w:val="en-AU"/>
        </w:rPr>
        <w:t xml:space="preserve"> addition, the relatively high</w:t>
      </w:r>
      <w:r w:rsidRPr="00867773">
        <w:rPr>
          <w:lang w:val="en-AU"/>
        </w:rPr>
        <w:t xml:space="preserve"> milk prices during the early 2000s supported farmers to adapt their farming practices to cope with the drought and the predicted on-going increase in variability of extreme climatic conditions. In the process many not only increased their debt exposure but also, in some cases, their embedded cost of production </w:t>
      </w:r>
      <w:r>
        <w:rPr>
          <w:lang w:val="en-AU"/>
        </w:rPr>
        <w:t>(</w:t>
      </w:r>
      <w:r w:rsidRPr="00867773">
        <w:rPr>
          <w:lang w:val="en-AU"/>
        </w:rPr>
        <w:t>Dairy Moving Forward</w:t>
      </w:r>
      <w:r>
        <w:rPr>
          <w:lang w:val="en-AU"/>
        </w:rPr>
        <w:t>, 2009)</w:t>
      </w:r>
      <w:r w:rsidRPr="00867773">
        <w:rPr>
          <w:lang w:val="en-AU"/>
        </w:rPr>
        <w:t xml:space="preserve">. </w:t>
      </w:r>
      <w:r>
        <w:rPr>
          <w:lang w:val="en-AU"/>
        </w:rPr>
        <w:t>The most recent assessment of MDB dairy farm performance (ABARES 2015) found that average farm debt had increased significantly (</w:t>
      </w:r>
      <w:r>
        <w:rPr>
          <w:lang w:val="en-AU"/>
        </w:rPr>
        <w:fldChar w:fldCharType="begin"/>
      </w:r>
      <w:r>
        <w:rPr>
          <w:lang w:val="en-AU"/>
        </w:rPr>
        <w:instrText xml:space="preserve"> REF _Ref427241768 \h </w:instrText>
      </w:r>
      <w:r>
        <w:rPr>
          <w:lang w:val="en-AU"/>
        </w:rPr>
      </w:r>
      <w:r>
        <w:rPr>
          <w:lang w:val="en-AU"/>
        </w:rPr>
        <w:fldChar w:fldCharType="separate"/>
      </w:r>
      <w:r w:rsidR="008E5D7A">
        <w:t xml:space="preserve">Figure </w:t>
      </w:r>
      <w:r w:rsidR="008E5D7A">
        <w:rPr>
          <w:noProof/>
        </w:rPr>
        <w:t>44</w:t>
      </w:r>
      <w:r>
        <w:rPr>
          <w:lang w:val="en-AU"/>
        </w:rPr>
        <w:fldChar w:fldCharType="end"/>
      </w:r>
      <w:r>
        <w:rPr>
          <w:lang w:val="en-AU"/>
        </w:rPr>
        <w:t xml:space="preserve">). </w:t>
      </w:r>
      <w:r w:rsidRPr="00074ABB">
        <w:rPr>
          <w:lang w:val="en-AU"/>
        </w:rPr>
        <w:t>However, increases in average farm debt over time were modest relative to dairy farmers’ capacity to service debt by generating income. Average debt relative to total farm cash receipts remained relatively steady over the period</w:t>
      </w:r>
      <w:r>
        <w:rPr>
          <w:lang w:val="en-AU"/>
        </w:rPr>
        <w:t xml:space="preserve"> 2006</w:t>
      </w:r>
      <w:r w:rsidR="005A3ABF">
        <w:rPr>
          <w:lang w:val="en-AU"/>
        </w:rPr>
        <w:t>/</w:t>
      </w:r>
      <w:r>
        <w:rPr>
          <w:lang w:val="en-AU"/>
        </w:rPr>
        <w:t>07 to 2013</w:t>
      </w:r>
      <w:r w:rsidR="005A3ABF">
        <w:rPr>
          <w:lang w:val="en-AU"/>
        </w:rPr>
        <w:t>/</w:t>
      </w:r>
      <w:r>
        <w:rPr>
          <w:lang w:val="en-AU"/>
        </w:rPr>
        <w:t>14.</w:t>
      </w:r>
      <w:r w:rsidR="00494F33">
        <w:rPr>
          <w:lang w:val="en-AU"/>
        </w:rPr>
        <w:t xml:space="preserve"> It is very unlikely that things have improved since, given milk prices at the time of writing.</w:t>
      </w:r>
    </w:p>
    <w:p w14:paraId="61D4E455" w14:textId="77777777" w:rsidR="00C01A50" w:rsidRDefault="00C01A50" w:rsidP="00922065">
      <w:pPr>
        <w:pStyle w:val="BodyText10"/>
        <w:jc w:val="center"/>
      </w:pPr>
      <w:r>
        <w:rPr>
          <w:noProof/>
          <w:lang w:val="en-AU" w:eastAsia="en-AU"/>
        </w:rPr>
        <w:drawing>
          <wp:inline distT="0" distB="0" distL="0" distR="0" wp14:anchorId="03D97A4E" wp14:editId="4935B06B">
            <wp:extent cx="4895850" cy="3038475"/>
            <wp:effectExtent l="19050" t="0" r="0" b="0"/>
            <wp:docPr id="225" name="Picture 8" descr="Shows data from 2006-07 to 2014-15. Average debt tended to increase from 2011-12 through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srcRect/>
                    <a:stretch>
                      <a:fillRect/>
                    </a:stretch>
                  </pic:blipFill>
                  <pic:spPr bwMode="auto">
                    <a:xfrm>
                      <a:off x="0" y="0"/>
                      <a:ext cx="4895850" cy="3038475"/>
                    </a:xfrm>
                    <a:prstGeom prst="rect">
                      <a:avLst/>
                    </a:prstGeom>
                    <a:noFill/>
                    <a:ln w="9525">
                      <a:noFill/>
                      <a:miter lim="800000"/>
                      <a:headEnd/>
                      <a:tailEnd/>
                    </a:ln>
                  </pic:spPr>
                </pic:pic>
              </a:graphicData>
            </a:graphic>
          </wp:inline>
        </w:drawing>
      </w:r>
    </w:p>
    <w:p w14:paraId="3F48883D" w14:textId="77777777" w:rsidR="00C01A50" w:rsidRDefault="00C01A50" w:rsidP="00593A9A">
      <w:pPr>
        <w:pStyle w:val="Caption"/>
      </w:pPr>
      <w:bookmarkStart w:id="159" w:name="_Ref427241768"/>
      <w:bookmarkStart w:id="160" w:name="_Toc437954726"/>
      <w:r>
        <w:t xml:space="preserve">Figure </w:t>
      </w:r>
      <w:r>
        <w:fldChar w:fldCharType="begin"/>
      </w:r>
      <w:r>
        <w:instrText xml:space="preserve"> SEQ Figure \* ARABIC </w:instrText>
      </w:r>
      <w:r>
        <w:fldChar w:fldCharType="separate"/>
      </w:r>
      <w:r w:rsidR="008E5D7A">
        <w:rPr>
          <w:noProof/>
        </w:rPr>
        <w:t>44</w:t>
      </w:r>
      <w:r>
        <w:fldChar w:fldCharType="end"/>
      </w:r>
      <w:bookmarkEnd w:id="159"/>
      <w:r>
        <w:t xml:space="preserve"> Farm business debt, dairy farms, Murray–Darling Basin</w:t>
      </w:r>
      <w:bookmarkEnd w:id="160"/>
    </w:p>
    <w:p w14:paraId="5C9F738F" w14:textId="77777777" w:rsidR="00C01A50" w:rsidRDefault="00C01A50" w:rsidP="00593A9A">
      <w:pPr>
        <w:pStyle w:val="Notesourcetext"/>
      </w:pPr>
      <w:r>
        <w:t>Note: Survey estimates for business debt are not available for 2014–15. Farm business debts are average per farm.</w:t>
      </w:r>
    </w:p>
    <w:p w14:paraId="6C212843" w14:textId="77777777" w:rsidR="00C01A50" w:rsidRDefault="00C01A50" w:rsidP="00593A9A">
      <w:pPr>
        <w:pStyle w:val="Notesourcetext"/>
      </w:pPr>
      <w:r>
        <w:t>Source: ABARES 2015.12</w:t>
      </w:r>
    </w:p>
    <w:p w14:paraId="4F128115" w14:textId="77777777" w:rsidR="00C01A50" w:rsidRPr="00074ABB" w:rsidRDefault="00C01A50" w:rsidP="00593A9A">
      <w:r>
        <w:rPr>
          <w:lang w:val="en-AU"/>
        </w:rPr>
        <w:t xml:space="preserve">There has also been a significant divergence in the performance of individual farms, </w:t>
      </w:r>
      <w:r w:rsidRPr="00074ABB">
        <w:t>and this spread has widened from the drought years to 2012</w:t>
      </w:r>
      <w:r w:rsidR="005A3ABF">
        <w:t>/</w:t>
      </w:r>
      <w:r w:rsidRPr="00074ABB">
        <w:t>13</w:t>
      </w:r>
      <w:r>
        <w:t xml:space="preserve"> (</w:t>
      </w:r>
      <w:r>
        <w:fldChar w:fldCharType="begin"/>
      </w:r>
      <w:r>
        <w:instrText xml:space="preserve"> REF _Ref464767380 \h  \* MERGEFORMAT </w:instrText>
      </w:r>
      <w:r>
        <w:fldChar w:fldCharType="separate"/>
      </w:r>
      <w:r w:rsidR="008E5D7A" w:rsidRPr="008E5D7A">
        <w:rPr>
          <w:bCs/>
        </w:rPr>
        <w:t xml:space="preserve">Figure </w:t>
      </w:r>
      <w:r w:rsidR="008E5D7A" w:rsidRPr="008E5D7A">
        <w:rPr>
          <w:bCs/>
          <w:noProof/>
        </w:rPr>
        <w:t>45</w:t>
      </w:r>
      <w:r>
        <w:fldChar w:fldCharType="end"/>
      </w:r>
      <w:r>
        <w:t>).</w:t>
      </w:r>
    </w:p>
    <w:p w14:paraId="13EEEE74" w14:textId="77777777" w:rsidR="00C01A50" w:rsidRPr="00074ABB" w:rsidRDefault="00C01A50" w:rsidP="00E56CC7">
      <w:pPr>
        <w:keepLines/>
        <w:spacing w:after="240"/>
        <w:contextualSpacing/>
        <w:jc w:val="center"/>
        <w:rPr>
          <w:rFonts w:eastAsia="Calibri"/>
          <w:color w:val="000000"/>
          <w:sz w:val="18"/>
          <w:szCs w:val="22"/>
          <w:lang w:val="en-AU"/>
        </w:rPr>
      </w:pPr>
      <w:r w:rsidRPr="008D2521">
        <w:rPr>
          <w:rFonts w:eastAsia="Calibri"/>
          <w:noProof/>
          <w:color w:val="000000"/>
          <w:sz w:val="18"/>
          <w:szCs w:val="22"/>
          <w:lang w:val="en-AU" w:eastAsia="en-AU" w:bidi="ar-SA"/>
        </w:rPr>
        <w:lastRenderedPageBreak/>
        <w:drawing>
          <wp:inline distT="0" distB="0" distL="0" distR="0" wp14:anchorId="2BBDC78C" wp14:editId="2A9D150F">
            <wp:extent cx="5466080" cy="3271520"/>
            <wp:effectExtent l="0" t="0" r="0" b="5080"/>
            <wp:docPr id="226" name="Picture 15" descr="Shows rate of return range and average for 2006–07 to 2012–13. The figure is discussed in the previous two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ws rate of return range and average for 2006–07 to 2012–13. The figure is discussed in the previous two paragraphs."/>
                    <pic:cNvPicPr>
                      <a:picLocks noChangeAspect="1" noChangeArrowheads="1"/>
                    </pic:cNvPicPr>
                  </pic:nvPicPr>
                  <pic:blipFill>
                    <a:blip r:embed="rId73">
                      <a:extLst>
                        <a:ext uri="{28A0092B-C50C-407E-A947-70E740481C1C}">
                          <a14:useLocalDpi xmlns:a14="http://schemas.microsoft.com/office/drawing/2010/main" val="0"/>
                        </a:ext>
                      </a:extLst>
                    </a:blip>
                    <a:srcRect l="2129" t="3111" b="6187"/>
                    <a:stretch>
                      <a:fillRect/>
                    </a:stretch>
                  </pic:blipFill>
                  <pic:spPr bwMode="auto">
                    <a:xfrm>
                      <a:off x="0" y="0"/>
                      <a:ext cx="5466080" cy="3271520"/>
                    </a:xfrm>
                    <a:prstGeom prst="rect">
                      <a:avLst/>
                    </a:prstGeom>
                    <a:noFill/>
                    <a:ln>
                      <a:noFill/>
                    </a:ln>
                  </pic:spPr>
                </pic:pic>
              </a:graphicData>
            </a:graphic>
          </wp:inline>
        </w:drawing>
      </w:r>
    </w:p>
    <w:p w14:paraId="503E9A3A" w14:textId="77777777" w:rsidR="00C01A50" w:rsidRPr="00074ABB" w:rsidRDefault="00C01A50" w:rsidP="00593A9A">
      <w:pPr>
        <w:rPr>
          <w:b/>
          <w:bCs/>
        </w:rPr>
      </w:pPr>
      <w:bookmarkStart w:id="161" w:name="_Ref464767380"/>
      <w:bookmarkStart w:id="162" w:name="_Toc395862956"/>
      <w:r w:rsidRPr="00074ABB">
        <w:rPr>
          <w:b/>
          <w:bCs/>
        </w:rPr>
        <w:t xml:space="preserve">Figure </w:t>
      </w:r>
      <w:r w:rsidRPr="00074ABB">
        <w:rPr>
          <w:b/>
          <w:bCs/>
        </w:rPr>
        <w:fldChar w:fldCharType="begin"/>
      </w:r>
      <w:r w:rsidRPr="00074ABB">
        <w:rPr>
          <w:b/>
          <w:bCs/>
        </w:rPr>
        <w:instrText xml:space="preserve"> SEQ Figure \* ARABIC </w:instrText>
      </w:r>
      <w:r w:rsidRPr="00074ABB">
        <w:rPr>
          <w:b/>
          <w:bCs/>
        </w:rPr>
        <w:fldChar w:fldCharType="separate"/>
      </w:r>
      <w:r w:rsidR="008E5D7A">
        <w:rPr>
          <w:b/>
          <w:bCs/>
          <w:noProof/>
        </w:rPr>
        <w:t>45</w:t>
      </w:r>
      <w:r w:rsidRPr="00074ABB">
        <w:rPr>
          <w:b/>
          <w:bCs/>
          <w:noProof/>
        </w:rPr>
        <w:fldChar w:fldCharType="end"/>
      </w:r>
      <w:bookmarkEnd w:id="161"/>
      <w:r w:rsidRPr="00074ABB">
        <w:rPr>
          <w:b/>
          <w:bCs/>
        </w:rPr>
        <w:t xml:space="preserve"> Distribution of dairy farms, by rate of return, Murray and Goulburn–Broken regions</w:t>
      </w:r>
      <w:bookmarkEnd w:id="162"/>
    </w:p>
    <w:p w14:paraId="0CAF84DB" w14:textId="77777777" w:rsidR="00C01A50" w:rsidRPr="00074ABB" w:rsidRDefault="00C01A50" w:rsidP="00593A9A">
      <w:pPr>
        <w:keepLines/>
        <w:spacing w:after="240"/>
        <w:contextualSpacing/>
        <w:rPr>
          <w:rFonts w:eastAsia="Calibri"/>
          <w:color w:val="000000"/>
          <w:sz w:val="18"/>
          <w:szCs w:val="22"/>
          <w:lang w:val="en-AU"/>
        </w:rPr>
      </w:pPr>
      <w:r w:rsidRPr="00074ABB">
        <w:rPr>
          <w:rFonts w:eastAsia="Calibri"/>
          <w:color w:val="000000"/>
          <w:sz w:val="18"/>
          <w:szCs w:val="22"/>
          <w:lang w:val="en-AU"/>
        </w:rPr>
        <w:t>Note: 75</w:t>
      </w:r>
      <w:r>
        <w:rPr>
          <w:rFonts w:eastAsia="Calibri"/>
          <w:color w:val="000000"/>
          <w:sz w:val="18"/>
          <w:szCs w:val="22"/>
          <w:lang w:val="en-AU"/>
        </w:rPr>
        <w:t>%</w:t>
      </w:r>
      <w:r w:rsidRPr="00074ABB">
        <w:rPr>
          <w:rFonts w:eastAsia="Calibri"/>
          <w:color w:val="000000"/>
          <w:sz w:val="18"/>
          <w:szCs w:val="22"/>
          <w:lang w:val="en-AU"/>
        </w:rPr>
        <w:t xml:space="preserve"> of farms lie within the upper and lower bounds shown. The average shown is for the entire population of farms. Estimates for the Murray and Goulburn–Broken regions.</w:t>
      </w:r>
    </w:p>
    <w:p w14:paraId="44887A9C" w14:textId="77777777" w:rsidR="00C01A50" w:rsidRDefault="00C01A50" w:rsidP="00593A9A">
      <w:pPr>
        <w:rPr>
          <w:lang w:val="en-AU"/>
        </w:rPr>
      </w:pPr>
      <w:r w:rsidRPr="00074ABB">
        <w:rPr>
          <w:rFonts w:eastAsia="Calibri"/>
          <w:color w:val="000000"/>
          <w:sz w:val="18"/>
          <w:szCs w:val="22"/>
          <w:lang w:val="en-AU"/>
        </w:rPr>
        <w:t>Source: ABARES 2014.10 from ABARES survey of irrigation farms in the Murray–Darling Basin</w:t>
      </w:r>
      <w:r>
        <w:rPr>
          <w:rFonts w:eastAsia="Calibri"/>
          <w:color w:val="000000"/>
          <w:sz w:val="18"/>
          <w:szCs w:val="22"/>
          <w:lang w:val="en-AU"/>
        </w:rPr>
        <w:t>.</w:t>
      </w:r>
    </w:p>
    <w:p w14:paraId="42D47D3A" w14:textId="77777777" w:rsidR="00C01A50" w:rsidRPr="00867773" w:rsidRDefault="00C01A50" w:rsidP="00593A9A">
      <w:pPr>
        <w:pStyle w:val="Heading2"/>
        <w:rPr>
          <w:lang w:val="en-AU"/>
        </w:rPr>
      </w:pPr>
      <w:bookmarkStart w:id="163" w:name="_Toc347747833"/>
      <w:r w:rsidRPr="00867773">
        <w:rPr>
          <w:lang w:val="en-AU"/>
        </w:rPr>
        <w:t>The dairy industr</w:t>
      </w:r>
      <w:r>
        <w:rPr>
          <w:lang w:val="en-AU"/>
        </w:rPr>
        <w:t>y’s options in responding to low water availability</w:t>
      </w:r>
      <w:bookmarkEnd w:id="163"/>
    </w:p>
    <w:p w14:paraId="6CD4E9A4" w14:textId="77777777" w:rsidR="00C01A50" w:rsidRDefault="00C01A50" w:rsidP="00593A9A">
      <w:r>
        <w:t>Irrigated dairying has in the past relied on access to abundant, cheap water. Water has become scarce</w:t>
      </w:r>
      <w:r w:rsidR="00C87DAC">
        <w:t>r</w:t>
      </w:r>
      <w:r>
        <w:t xml:space="preserve"> as a result of horticultural expansion to date and the Basin Plan. Further sources of scarcity include climate change and continued horticultural expansion and the potential for further water to be recovered for the environment under the Basin Plan. For example, the Socio</w:t>
      </w:r>
      <w:r w:rsidR="00C87DAC">
        <w:t>-</w:t>
      </w:r>
      <w:r>
        <w:t>economic Analysis that accompanied the Regulatory Impact Statement for the Basin Plan (MDBA, 2011</w:t>
      </w:r>
      <w:r w:rsidR="000C1D6C">
        <w:t>c</w:t>
      </w:r>
      <w:r>
        <w:t xml:space="preserve">) warned </w:t>
      </w:r>
      <w:r w:rsidR="002A4FED">
        <w:t>,</w:t>
      </w:r>
      <w:r>
        <w:t xml:space="preserve">at page 78, that “for the </w:t>
      </w:r>
      <w:r w:rsidR="00A34F27">
        <w:t>Goulburn Broken</w:t>
      </w:r>
      <w:r>
        <w:t xml:space="preserve"> Region GVIAP (gross value of irrigated agricultural production) will be reduced by 12.9 per cent ($88.2 million) with the largest reductions experienced by dairy, meat cattle and hay”. The net result of these changes has been increased farming risk in Victoria’s irrigated dairy industry.</w:t>
      </w:r>
    </w:p>
    <w:p w14:paraId="3F143509" w14:textId="77777777" w:rsidR="00C01A50" w:rsidRDefault="00C01A50" w:rsidP="00593A9A">
      <w:r>
        <w:t>The levels of indebtedness outlined above, and the experience with the Campaspe Irrigation District discussed below, highlight that irrigated dairying is semi-interruptible only for so long. The dairy industry is therefore currently considering its options for the future. The water market, enables dairy farmers to pursue a range of strategies.</w:t>
      </w:r>
    </w:p>
    <w:p w14:paraId="054368E0" w14:textId="77777777" w:rsidR="00C01A50" w:rsidRPr="00867773" w:rsidRDefault="00C01A50" w:rsidP="00593A9A">
      <w:pPr>
        <w:rPr>
          <w:lang w:val="en-AU"/>
        </w:rPr>
      </w:pPr>
      <w:r w:rsidRPr="00867773">
        <w:rPr>
          <w:lang w:val="en-AU"/>
        </w:rPr>
        <w:t xml:space="preserve">Tietenberg and Lewis </w:t>
      </w:r>
      <w:r>
        <w:rPr>
          <w:lang w:val="en-AU"/>
        </w:rPr>
        <w:t>(</w:t>
      </w:r>
      <w:r w:rsidRPr="00867773">
        <w:rPr>
          <w:lang w:val="en-AU"/>
        </w:rPr>
        <w:t>2009</w:t>
      </w:r>
      <w:r>
        <w:rPr>
          <w:lang w:val="en-AU"/>
        </w:rPr>
        <w:t>) identify</w:t>
      </w:r>
      <w:r w:rsidRPr="00867773">
        <w:rPr>
          <w:lang w:val="en-AU"/>
        </w:rPr>
        <w:t xml:space="preserve"> four key strategies for any business to mitigate </w:t>
      </w:r>
      <w:r>
        <w:rPr>
          <w:lang w:val="en-AU"/>
        </w:rPr>
        <w:t>the scarcity of a key input; these are</w:t>
      </w:r>
      <w:r w:rsidRPr="00867773">
        <w:rPr>
          <w:lang w:val="en-AU"/>
        </w:rPr>
        <w:t xml:space="preserve"> substitution, increased efficiency, </w:t>
      </w:r>
      <w:r>
        <w:rPr>
          <w:lang w:val="en-AU"/>
        </w:rPr>
        <w:t>alternative supplies</w:t>
      </w:r>
      <w:r w:rsidRPr="00867773">
        <w:rPr>
          <w:lang w:val="en-AU"/>
        </w:rPr>
        <w:t xml:space="preserve"> </w:t>
      </w:r>
      <w:r>
        <w:rPr>
          <w:lang w:val="en-AU"/>
        </w:rPr>
        <w:t>or</w:t>
      </w:r>
      <w:r w:rsidRPr="00867773">
        <w:rPr>
          <w:lang w:val="en-AU"/>
        </w:rPr>
        <w:t xml:space="preserve"> exit. During the drought</w:t>
      </w:r>
      <w:r>
        <w:rPr>
          <w:lang w:val="en-AU"/>
        </w:rPr>
        <w:t>, when water was very scarce,</w:t>
      </w:r>
      <w:r w:rsidRPr="00867773">
        <w:rPr>
          <w:lang w:val="en-AU"/>
        </w:rPr>
        <w:t xml:space="preserve"> dairy farmers in northern Victoria employed all four </w:t>
      </w:r>
      <w:r>
        <w:rPr>
          <w:lang w:val="en-AU"/>
        </w:rPr>
        <w:t xml:space="preserve">of these </w:t>
      </w:r>
      <w:r w:rsidRPr="00867773">
        <w:rPr>
          <w:lang w:val="en-AU"/>
        </w:rPr>
        <w:t xml:space="preserve">strategies with the </w:t>
      </w:r>
      <w:r>
        <w:rPr>
          <w:lang w:val="en-AU"/>
        </w:rPr>
        <w:t xml:space="preserve">particular </w:t>
      </w:r>
      <w:r w:rsidRPr="00867773">
        <w:rPr>
          <w:lang w:val="en-AU"/>
        </w:rPr>
        <w:t xml:space="preserve">mix used </w:t>
      </w:r>
      <w:r>
        <w:rPr>
          <w:lang w:val="en-AU"/>
        </w:rPr>
        <w:t xml:space="preserve">by individual farmers being </w:t>
      </w:r>
      <w:r w:rsidRPr="00867773">
        <w:rPr>
          <w:lang w:val="en-AU"/>
        </w:rPr>
        <w:t xml:space="preserve">driven by </w:t>
      </w:r>
      <w:r>
        <w:rPr>
          <w:lang w:val="en-AU"/>
        </w:rPr>
        <w:t xml:space="preserve">their </w:t>
      </w:r>
      <w:r w:rsidRPr="00867773">
        <w:rPr>
          <w:lang w:val="en-AU"/>
        </w:rPr>
        <w:t>individual circumstances, their farm set-up and their expectatio</w:t>
      </w:r>
      <w:r>
        <w:rPr>
          <w:lang w:val="en-AU"/>
        </w:rPr>
        <w:t>ns regarding future water supplies</w:t>
      </w:r>
      <w:r w:rsidRPr="00867773">
        <w:rPr>
          <w:lang w:val="en-AU"/>
        </w:rPr>
        <w:t xml:space="preserve"> </w:t>
      </w:r>
      <w:r>
        <w:rPr>
          <w:lang w:val="en-AU"/>
        </w:rPr>
        <w:t>(</w:t>
      </w:r>
      <w:r w:rsidRPr="00867773">
        <w:rPr>
          <w:lang w:val="en-AU"/>
        </w:rPr>
        <w:t>ABARES</w:t>
      </w:r>
      <w:r>
        <w:rPr>
          <w:lang w:val="en-AU"/>
        </w:rPr>
        <w:t>,</w:t>
      </w:r>
      <w:r w:rsidRPr="00867773">
        <w:rPr>
          <w:lang w:val="en-AU"/>
        </w:rPr>
        <w:t xml:space="preserve"> 2010</w:t>
      </w:r>
      <w:r>
        <w:rPr>
          <w:lang w:val="en-AU"/>
        </w:rPr>
        <w:t>)</w:t>
      </w:r>
      <w:r w:rsidRPr="00867773">
        <w:rPr>
          <w:lang w:val="en-AU"/>
        </w:rPr>
        <w:t>.</w:t>
      </w:r>
      <w:r>
        <w:rPr>
          <w:lang w:val="en-AU"/>
        </w:rPr>
        <w:t xml:space="preserve"> </w:t>
      </w:r>
    </w:p>
    <w:p w14:paraId="061AFB3F" w14:textId="77777777" w:rsidR="00C01A50" w:rsidRDefault="00C01A50" w:rsidP="006D4CFC">
      <w:pPr>
        <w:rPr>
          <w:lang w:val="en-AU"/>
        </w:rPr>
      </w:pPr>
      <w:r w:rsidRPr="00DE15E4">
        <w:rPr>
          <w:b/>
          <w:i/>
          <w:lang w:val="en-AU"/>
        </w:rPr>
        <w:lastRenderedPageBreak/>
        <w:t>Substitution</w:t>
      </w:r>
      <w:r w:rsidRPr="00867773">
        <w:rPr>
          <w:lang w:val="en-AU"/>
        </w:rPr>
        <w:t xml:space="preserve"> </w:t>
      </w:r>
      <w:r>
        <w:rPr>
          <w:lang w:val="en-AU"/>
        </w:rPr>
        <w:t xml:space="preserve">for irrigated dairying </w:t>
      </w:r>
      <w:r w:rsidRPr="00867773">
        <w:rPr>
          <w:lang w:val="en-AU"/>
        </w:rPr>
        <w:t xml:space="preserve">involves replacing water with another more abundant resource. </w:t>
      </w:r>
      <w:r>
        <w:rPr>
          <w:lang w:val="en-AU"/>
        </w:rPr>
        <w:t xml:space="preserve">As already discussed, </w:t>
      </w:r>
      <w:r w:rsidRPr="00867773">
        <w:rPr>
          <w:lang w:val="en-AU"/>
        </w:rPr>
        <w:t xml:space="preserve">for </w:t>
      </w:r>
      <w:r>
        <w:rPr>
          <w:lang w:val="en-AU"/>
        </w:rPr>
        <w:t>individual</w:t>
      </w:r>
      <w:r w:rsidRPr="00867773">
        <w:rPr>
          <w:lang w:val="en-AU"/>
        </w:rPr>
        <w:t xml:space="preserve"> farm</w:t>
      </w:r>
      <w:r>
        <w:rPr>
          <w:lang w:val="en-AU"/>
        </w:rPr>
        <w:t>s,</w:t>
      </w:r>
      <w:r w:rsidRPr="00867773">
        <w:rPr>
          <w:lang w:val="en-AU"/>
        </w:rPr>
        <w:t xml:space="preserve"> substitution can be complicated. This is because changing one input such as water is likely to have implications for other components of the farm</w:t>
      </w:r>
      <w:r>
        <w:rPr>
          <w:lang w:val="en-AU"/>
        </w:rPr>
        <w:t xml:space="preserve">ing system. For example, managing the implications for animal health associated with the adoption of more complex feeding systems </w:t>
      </w:r>
      <w:r w:rsidRPr="00867773">
        <w:rPr>
          <w:lang w:val="en-AU"/>
        </w:rPr>
        <w:t xml:space="preserve">may also require additional investments </w:t>
      </w:r>
      <w:r>
        <w:rPr>
          <w:lang w:val="en-AU"/>
        </w:rPr>
        <w:t>in infrastructure and</w:t>
      </w:r>
      <w:r w:rsidRPr="00867773">
        <w:rPr>
          <w:lang w:val="en-AU"/>
        </w:rPr>
        <w:t xml:space="preserve"> management</w:t>
      </w:r>
      <w:r>
        <w:rPr>
          <w:lang w:val="en-AU"/>
        </w:rPr>
        <w:t xml:space="preserve"> skills</w:t>
      </w:r>
      <w:r w:rsidRPr="00867773">
        <w:rPr>
          <w:lang w:val="en-AU"/>
        </w:rPr>
        <w:t xml:space="preserve"> </w:t>
      </w:r>
      <w:r>
        <w:rPr>
          <w:lang w:val="en-AU"/>
        </w:rPr>
        <w:t>(</w:t>
      </w:r>
      <w:r w:rsidRPr="00867773">
        <w:rPr>
          <w:lang w:val="en-AU"/>
        </w:rPr>
        <w:t>Productivity Commission</w:t>
      </w:r>
      <w:r>
        <w:rPr>
          <w:lang w:val="en-AU"/>
        </w:rPr>
        <w:t>,</w:t>
      </w:r>
      <w:r w:rsidRPr="00867773">
        <w:rPr>
          <w:lang w:val="en-AU"/>
        </w:rPr>
        <w:t xml:space="preserve"> 2005</w:t>
      </w:r>
      <w:r>
        <w:rPr>
          <w:lang w:val="en-AU"/>
        </w:rPr>
        <w:t>)</w:t>
      </w:r>
      <w:r w:rsidRPr="00867773">
        <w:rPr>
          <w:lang w:val="en-AU"/>
        </w:rPr>
        <w:t xml:space="preserve">. </w:t>
      </w:r>
    </w:p>
    <w:p w14:paraId="54255742" w14:textId="3E333EAC" w:rsidR="00C01A50" w:rsidRPr="00867773" w:rsidRDefault="00C01A50" w:rsidP="006D4CFC">
      <w:pPr>
        <w:rPr>
          <w:lang w:val="en-AU"/>
        </w:rPr>
      </w:pPr>
      <w:r w:rsidRPr="00285268">
        <w:rPr>
          <w:lang w:val="en-AU"/>
        </w:rPr>
        <w:t xml:space="preserve">The limits to the strategy of substitution were revealed in the Campaspe Irrigation District, when in 2010 after four out </w:t>
      </w:r>
      <w:r>
        <w:rPr>
          <w:lang w:val="en-AU"/>
        </w:rPr>
        <w:t xml:space="preserve">of </w:t>
      </w:r>
      <w:r w:rsidRPr="00285268">
        <w:rPr>
          <w:lang w:val="en-AU"/>
        </w:rPr>
        <w:t xml:space="preserve">five years </w:t>
      </w:r>
      <w:r>
        <w:rPr>
          <w:lang w:val="en-AU"/>
        </w:rPr>
        <w:t>with 0% water allocations, that district’s</w:t>
      </w:r>
      <w:r w:rsidRPr="00285268">
        <w:rPr>
          <w:lang w:val="en-AU"/>
        </w:rPr>
        <w:t xml:space="preserve"> irrigators agreed to close</w:t>
      </w:r>
      <w:r>
        <w:rPr>
          <w:lang w:val="en-AU"/>
        </w:rPr>
        <w:t xml:space="preserve"> down</w:t>
      </w:r>
      <w:r w:rsidRPr="00285268">
        <w:rPr>
          <w:lang w:val="en-AU"/>
        </w:rPr>
        <w:t xml:space="preserve"> the irrigation district and sell all of their entitlements</w:t>
      </w:r>
      <w:r w:rsidR="0000068E">
        <w:rPr>
          <w:lang w:val="en-AU"/>
        </w:rPr>
        <w:t>.</w:t>
      </w:r>
      <w:r w:rsidRPr="00285268">
        <w:rPr>
          <w:lang w:val="en-AU"/>
        </w:rPr>
        <w:t xml:space="preserve"> </w:t>
      </w:r>
    </w:p>
    <w:p w14:paraId="379161BC" w14:textId="77777777" w:rsidR="00C01A50" w:rsidRPr="00867773" w:rsidRDefault="00C01A50" w:rsidP="00593A9A">
      <w:pPr>
        <w:rPr>
          <w:lang w:val="en-AU"/>
        </w:rPr>
      </w:pPr>
      <w:r w:rsidRPr="00DE15E4">
        <w:rPr>
          <w:b/>
          <w:i/>
          <w:lang w:val="en-AU"/>
        </w:rPr>
        <w:t>Efficiency</w:t>
      </w:r>
      <w:r w:rsidRPr="00867773">
        <w:rPr>
          <w:lang w:val="en-AU"/>
        </w:rPr>
        <w:t xml:space="preserve"> can be achieved </w:t>
      </w:r>
      <w:r>
        <w:rPr>
          <w:lang w:val="en-AU"/>
        </w:rPr>
        <w:t>by</w:t>
      </w:r>
      <w:r w:rsidRPr="00867773">
        <w:rPr>
          <w:lang w:val="en-AU"/>
        </w:rPr>
        <w:t xml:space="preserve"> minimising the amount of water required to produce milk, recycling </w:t>
      </w:r>
      <w:r>
        <w:rPr>
          <w:lang w:val="en-AU"/>
        </w:rPr>
        <w:t>drainage</w:t>
      </w:r>
      <w:r w:rsidRPr="00867773">
        <w:rPr>
          <w:lang w:val="en-AU"/>
        </w:rPr>
        <w:t xml:space="preserve"> water or identifying methods of using lower quality </w:t>
      </w:r>
      <w:r>
        <w:rPr>
          <w:lang w:val="en-AU"/>
        </w:rPr>
        <w:t>water sources</w:t>
      </w:r>
      <w:r w:rsidRPr="00867773">
        <w:rPr>
          <w:lang w:val="en-AU"/>
        </w:rPr>
        <w:t xml:space="preserve"> </w:t>
      </w:r>
      <w:r>
        <w:rPr>
          <w:lang w:val="en-AU"/>
        </w:rPr>
        <w:t>(</w:t>
      </w:r>
      <w:r w:rsidRPr="00867773">
        <w:rPr>
          <w:lang w:val="en-AU"/>
        </w:rPr>
        <w:t>Tietenberg and Lewis</w:t>
      </w:r>
      <w:r>
        <w:rPr>
          <w:lang w:val="en-AU"/>
        </w:rPr>
        <w:t>,</w:t>
      </w:r>
      <w:r w:rsidRPr="00867773">
        <w:rPr>
          <w:lang w:val="en-AU"/>
        </w:rPr>
        <w:t xml:space="preserve"> 2009</w:t>
      </w:r>
      <w:r>
        <w:rPr>
          <w:lang w:val="en-AU"/>
        </w:rPr>
        <w:t>)</w:t>
      </w:r>
      <w:r w:rsidRPr="00867773">
        <w:rPr>
          <w:lang w:val="en-AU"/>
        </w:rPr>
        <w:t>.</w:t>
      </w:r>
      <w:r>
        <w:rPr>
          <w:lang w:val="en-AU"/>
        </w:rPr>
        <w:t xml:space="preserve"> </w:t>
      </w:r>
    </w:p>
    <w:p w14:paraId="5F5F2C35" w14:textId="77777777" w:rsidR="00C01A50" w:rsidRPr="00867773" w:rsidRDefault="00C01A50" w:rsidP="00593A9A">
      <w:pPr>
        <w:rPr>
          <w:lang w:val="en-AU"/>
        </w:rPr>
      </w:pPr>
      <w:r>
        <w:rPr>
          <w:lang w:val="en-AU"/>
        </w:rPr>
        <w:t>Dairy farmers</w:t>
      </w:r>
      <w:r w:rsidRPr="00867773">
        <w:rPr>
          <w:lang w:val="en-AU"/>
        </w:rPr>
        <w:t xml:space="preserve"> </w:t>
      </w:r>
      <w:r>
        <w:rPr>
          <w:lang w:val="en-AU"/>
        </w:rPr>
        <w:t>increased their</w:t>
      </w:r>
      <w:r w:rsidRPr="00867773">
        <w:rPr>
          <w:lang w:val="en-AU"/>
        </w:rPr>
        <w:t xml:space="preserve"> efficiency during the drought</w:t>
      </w:r>
      <w:r>
        <w:rPr>
          <w:lang w:val="en-AU"/>
        </w:rPr>
        <w:t>, and before,</w:t>
      </w:r>
      <w:r w:rsidRPr="00867773">
        <w:rPr>
          <w:lang w:val="en-AU"/>
        </w:rPr>
        <w:t xml:space="preserve"> </w:t>
      </w:r>
      <w:r>
        <w:rPr>
          <w:lang w:val="en-AU"/>
        </w:rPr>
        <w:t>by</w:t>
      </w:r>
      <w:r w:rsidRPr="00867773">
        <w:rPr>
          <w:lang w:val="en-AU"/>
        </w:rPr>
        <w:t xml:space="preserve"> laser-levelling</w:t>
      </w:r>
      <w:r>
        <w:rPr>
          <w:lang w:val="en-AU"/>
        </w:rPr>
        <w:t xml:space="preserve">, installing drainage </w:t>
      </w:r>
      <w:r w:rsidRPr="00867773">
        <w:rPr>
          <w:lang w:val="en-AU"/>
        </w:rPr>
        <w:t>re-use</w:t>
      </w:r>
      <w:r>
        <w:rPr>
          <w:lang w:val="en-AU"/>
        </w:rPr>
        <w:t xml:space="preserve"> systems</w:t>
      </w:r>
      <w:r w:rsidRPr="00867773">
        <w:rPr>
          <w:lang w:val="en-AU"/>
        </w:rPr>
        <w:t xml:space="preserve"> and </w:t>
      </w:r>
      <w:r>
        <w:rPr>
          <w:lang w:val="en-AU"/>
        </w:rPr>
        <w:t xml:space="preserve">installing </w:t>
      </w:r>
      <w:r w:rsidRPr="00867773">
        <w:rPr>
          <w:lang w:val="en-AU"/>
        </w:rPr>
        <w:t>automated irrigation systems. Consequently, irrigation application rates for pasture for dairying were reduced by 17</w:t>
      </w:r>
      <w:r>
        <w:rPr>
          <w:lang w:val="en-AU"/>
        </w:rPr>
        <w:t>%</w:t>
      </w:r>
      <w:r w:rsidRPr="00867773">
        <w:rPr>
          <w:lang w:val="en-AU"/>
        </w:rPr>
        <w:t xml:space="preserve"> from 4.2 ML/ha to 3.5 ML/ha between 2000</w:t>
      </w:r>
      <w:r w:rsidR="005A3ABF">
        <w:rPr>
          <w:lang w:val="en-AU"/>
        </w:rPr>
        <w:t>/</w:t>
      </w:r>
      <w:r w:rsidRPr="00867773">
        <w:rPr>
          <w:lang w:val="en-AU"/>
        </w:rPr>
        <w:t>01 and 2005</w:t>
      </w:r>
      <w:r w:rsidR="005A3ABF">
        <w:rPr>
          <w:lang w:val="en-AU"/>
        </w:rPr>
        <w:t>/</w:t>
      </w:r>
      <w:r w:rsidRPr="00867773">
        <w:rPr>
          <w:lang w:val="en-AU"/>
        </w:rPr>
        <w:t>06</w:t>
      </w:r>
      <w:r w:rsidRPr="00AD2DE7">
        <w:rPr>
          <w:lang w:val="en-AU"/>
        </w:rPr>
        <w:t xml:space="preserve"> </w:t>
      </w:r>
      <w:r>
        <w:rPr>
          <w:lang w:val="en-AU"/>
        </w:rPr>
        <w:t>(Dairy Australia, 2009)</w:t>
      </w:r>
      <w:r w:rsidRPr="00867773">
        <w:rPr>
          <w:lang w:val="en-AU"/>
        </w:rPr>
        <w:t>.</w:t>
      </w:r>
      <w:r w:rsidRPr="00276908">
        <w:rPr>
          <w:lang w:val="en-AU"/>
        </w:rPr>
        <w:t xml:space="preserve"> </w:t>
      </w:r>
      <w:r>
        <w:rPr>
          <w:lang w:val="en-AU"/>
        </w:rPr>
        <w:t>In the eastern GMID, shallow groundwater pumps helped to make use of saline water in shallow groundwater systems built up by accumulated leaching fractions and water that had seeped from supply channels into shallow groundwater systems. Notably, both of these sources of shallow groundwater will decrease as a result of the Commonwealth’s investment in both on-farm and off-farm infrastructure savings.</w:t>
      </w:r>
    </w:p>
    <w:p w14:paraId="612FCEF5" w14:textId="77777777" w:rsidR="00C01A50" w:rsidRPr="00867773" w:rsidRDefault="00C01A50" w:rsidP="00593A9A">
      <w:pPr>
        <w:rPr>
          <w:lang w:val="en-AU"/>
        </w:rPr>
      </w:pPr>
      <w:r w:rsidRPr="00DE15E4">
        <w:rPr>
          <w:b/>
          <w:i/>
          <w:lang w:val="en-AU"/>
        </w:rPr>
        <w:t>Seeking alternative supplies</w:t>
      </w:r>
      <w:r>
        <w:rPr>
          <w:b/>
          <w:i/>
          <w:lang w:val="en-AU"/>
        </w:rPr>
        <w:t>:</w:t>
      </w:r>
      <w:r w:rsidRPr="00867773">
        <w:rPr>
          <w:lang w:val="en-AU"/>
        </w:rPr>
        <w:t xml:space="preserve"> dairy fa</w:t>
      </w:r>
      <w:r>
        <w:rPr>
          <w:lang w:val="en-AU"/>
        </w:rPr>
        <w:t>r</w:t>
      </w:r>
      <w:r w:rsidRPr="00867773">
        <w:rPr>
          <w:lang w:val="en-AU"/>
        </w:rPr>
        <w:t xml:space="preserve">mers during the drought </w:t>
      </w:r>
      <w:r>
        <w:rPr>
          <w:lang w:val="en-AU"/>
        </w:rPr>
        <w:t>pumped more</w:t>
      </w:r>
      <w:r w:rsidRPr="00867773">
        <w:rPr>
          <w:lang w:val="en-AU"/>
        </w:rPr>
        <w:t xml:space="preserve"> </w:t>
      </w:r>
      <w:r>
        <w:rPr>
          <w:lang w:val="en-AU"/>
        </w:rPr>
        <w:t>water from deep-lead</w:t>
      </w:r>
      <w:r w:rsidRPr="00867773">
        <w:rPr>
          <w:lang w:val="en-AU"/>
        </w:rPr>
        <w:t xml:space="preserve"> groundwater </w:t>
      </w:r>
      <w:r>
        <w:rPr>
          <w:lang w:val="en-AU"/>
        </w:rPr>
        <w:t>systems (up to the pe</w:t>
      </w:r>
      <w:r w:rsidR="00C47EE8">
        <w:rPr>
          <w:lang w:val="en-AU"/>
        </w:rPr>
        <w:t>rmissible consumptive volume)</w:t>
      </w:r>
      <w:r w:rsidRPr="00BD2F20">
        <w:rPr>
          <w:lang w:val="en-AU"/>
        </w:rPr>
        <w:t>. They also purchased additional allocations from the water market (ABARE, 2010). In</w:t>
      </w:r>
      <w:r w:rsidRPr="00867773">
        <w:rPr>
          <w:lang w:val="en-AU"/>
        </w:rPr>
        <w:t xml:space="preserve"> 2006</w:t>
      </w:r>
      <w:r w:rsidR="005A3ABF">
        <w:rPr>
          <w:lang w:val="en-AU"/>
        </w:rPr>
        <w:t>/</w:t>
      </w:r>
      <w:r w:rsidRPr="00867773">
        <w:rPr>
          <w:lang w:val="en-AU"/>
        </w:rPr>
        <w:t xml:space="preserve">07 an estimated 31% of dairy farms participated in </w:t>
      </w:r>
      <w:r>
        <w:rPr>
          <w:lang w:val="en-AU"/>
        </w:rPr>
        <w:t>allocation trade (Dairy Australia, 2009)</w:t>
      </w:r>
      <w:r w:rsidRPr="00867773">
        <w:rPr>
          <w:lang w:val="en-AU"/>
        </w:rPr>
        <w:t xml:space="preserve">. </w:t>
      </w:r>
    </w:p>
    <w:p w14:paraId="022387D1" w14:textId="77777777" w:rsidR="00C01A50" w:rsidRPr="00867773" w:rsidRDefault="00C01A50" w:rsidP="00593A9A">
      <w:pPr>
        <w:rPr>
          <w:lang w:val="en-AU"/>
        </w:rPr>
      </w:pPr>
      <w:r w:rsidRPr="00DE15E4">
        <w:rPr>
          <w:b/>
          <w:i/>
          <w:lang w:val="en-AU"/>
        </w:rPr>
        <w:t>Exiting</w:t>
      </w:r>
      <w:r w:rsidRPr="00867773">
        <w:rPr>
          <w:lang w:val="en-AU"/>
        </w:rPr>
        <w:t xml:space="preserve"> is the</w:t>
      </w:r>
      <w:r>
        <w:rPr>
          <w:lang w:val="en-AU"/>
        </w:rPr>
        <w:t xml:space="preserve"> last of the four scarcity</w:t>
      </w:r>
      <w:r w:rsidRPr="00867773">
        <w:rPr>
          <w:lang w:val="en-AU"/>
        </w:rPr>
        <w:t xml:space="preserve"> mitigation strategies</w:t>
      </w:r>
      <w:r>
        <w:rPr>
          <w:lang w:val="en-AU"/>
        </w:rPr>
        <w:t xml:space="preserve"> to be used.</w:t>
      </w:r>
      <w:r w:rsidRPr="00867773">
        <w:rPr>
          <w:lang w:val="en-AU"/>
        </w:rPr>
        <w:t xml:space="preserve"> </w:t>
      </w:r>
      <w:r>
        <w:rPr>
          <w:lang w:val="en-AU"/>
        </w:rPr>
        <w:t xml:space="preserve">It is used when the other three </w:t>
      </w:r>
      <w:r w:rsidRPr="00867773">
        <w:rPr>
          <w:lang w:val="en-AU"/>
        </w:rPr>
        <w:t xml:space="preserve">have already been </w:t>
      </w:r>
      <w:r>
        <w:rPr>
          <w:lang w:val="en-AU"/>
        </w:rPr>
        <w:t>exhausted</w:t>
      </w:r>
      <w:r w:rsidRPr="00867773">
        <w:rPr>
          <w:lang w:val="en-AU"/>
        </w:rPr>
        <w:t xml:space="preserve"> or</w:t>
      </w:r>
      <w:r>
        <w:rPr>
          <w:lang w:val="en-AU"/>
        </w:rPr>
        <w:t xml:space="preserve"> when their costs exceed </w:t>
      </w:r>
      <w:r w:rsidRPr="00867773">
        <w:rPr>
          <w:lang w:val="en-AU"/>
        </w:rPr>
        <w:t xml:space="preserve">the benefits </w:t>
      </w:r>
      <w:r>
        <w:rPr>
          <w:lang w:val="en-AU"/>
        </w:rPr>
        <w:t>(</w:t>
      </w:r>
      <w:r w:rsidRPr="00867773">
        <w:rPr>
          <w:lang w:val="en-AU"/>
        </w:rPr>
        <w:t>Field</w:t>
      </w:r>
      <w:r>
        <w:rPr>
          <w:lang w:val="en-AU"/>
        </w:rPr>
        <w:t>,</w:t>
      </w:r>
      <w:r w:rsidRPr="00867773">
        <w:rPr>
          <w:lang w:val="en-AU"/>
        </w:rPr>
        <w:t xml:space="preserve"> 2001</w:t>
      </w:r>
      <w:r>
        <w:rPr>
          <w:lang w:val="en-AU"/>
        </w:rPr>
        <w:t>)</w:t>
      </w:r>
      <w:r w:rsidRPr="00867773">
        <w:rPr>
          <w:lang w:val="en-AU"/>
        </w:rPr>
        <w:t>.</w:t>
      </w:r>
      <w:r>
        <w:rPr>
          <w:lang w:val="en-AU"/>
        </w:rPr>
        <w:t xml:space="preserve"> </w:t>
      </w:r>
      <w:r w:rsidRPr="00867773">
        <w:rPr>
          <w:lang w:val="en-AU"/>
        </w:rPr>
        <w:t xml:space="preserve">Dairy farmers during the drought </w:t>
      </w:r>
      <w:r>
        <w:rPr>
          <w:lang w:val="en-AU"/>
        </w:rPr>
        <w:t xml:space="preserve">pursued a range of partial exiting options that </w:t>
      </w:r>
      <w:r w:rsidRPr="00867773">
        <w:rPr>
          <w:lang w:val="en-AU"/>
        </w:rPr>
        <w:t>included</w:t>
      </w:r>
      <w:r>
        <w:rPr>
          <w:lang w:val="en-AU"/>
        </w:rPr>
        <w:t>:</w:t>
      </w:r>
      <w:r w:rsidRPr="00867773">
        <w:rPr>
          <w:lang w:val="en-AU"/>
        </w:rPr>
        <w:t xml:space="preserve"> selling assets </w:t>
      </w:r>
      <w:r>
        <w:rPr>
          <w:lang w:val="en-AU"/>
        </w:rPr>
        <w:t>(such as</w:t>
      </w:r>
      <w:r w:rsidRPr="00867773">
        <w:rPr>
          <w:lang w:val="en-AU"/>
        </w:rPr>
        <w:t xml:space="preserve"> cows</w:t>
      </w:r>
      <w:r>
        <w:rPr>
          <w:lang w:val="en-AU"/>
        </w:rPr>
        <w:t xml:space="preserve"> or</w:t>
      </w:r>
      <w:r w:rsidRPr="00867773">
        <w:rPr>
          <w:lang w:val="en-AU"/>
        </w:rPr>
        <w:t xml:space="preserve"> water </w:t>
      </w:r>
      <w:r>
        <w:rPr>
          <w:lang w:val="en-AU"/>
        </w:rPr>
        <w:t>entitlements)</w:t>
      </w:r>
      <w:r w:rsidRPr="00867773">
        <w:rPr>
          <w:lang w:val="en-AU"/>
        </w:rPr>
        <w:t>, ‘mothballing</w:t>
      </w:r>
      <w:r>
        <w:rPr>
          <w:lang w:val="en-AU"/>
        </w:rPr>
        <w:t>’</w:t>
      </w:r>
      <w:r w:rsidRPr="00867773">
        <w:rPr>
          <w:lang w:val="en-AU"/>
        </w:rPr>
        <w:t xml:space="preserve"> the dairy business until conditions improve</w:t>
      </w:r>
      <w:r>
        <w:rPr>
          <w:lang w:val="en-AU"/>
        </w:rPr>
        <w:t>d</w:t>
      </w:r>
      <w:r w:rsidRPr="00867773">
        <w:rPr>
          <w:lang w:val="en-AU"/>
        </w:rPr>
        <w:t>, pursuing off</w:t>
      </w:r>
      <w:r>
        <w:rPr>
          <w:lang w:val="en-AU"/>
        </w:rPr>
        <w:t>-</w:t>
      </w:r>
      <w:r w:rsidRPr="00867773">
        <w:rPr>
          <w:lang w:val="en-AU"/>
        </w:rPr>
        <w:t>farm income</w:t>
      </w:r>
      <w:r>
        <w:rPr>
          <w:lang w:val="en-AU"/>
        </w:rPr>
        <w:t>,</w:t>
      </w:r>
      <w:r w:rsidRPr="00867773">
        <w:rPr>
          <w:lang w:val="en-AU"/>
        </w:rPr>
        <w:t xml:space="preserve"> </w:t>
      </w:r>
      <w:r>
        <w:rPr>
          <w:lang w:val="en-AU"/>
        </w:rPr>
        <w:t xml:space="preserve">and </w:t>
      </w:r>
      <w:r w:rsidRPr="00867773">
        <w:rPr>
          <w:lang w:val="en-AU"/>
        </w:rPr>
        <w:t>changing the focus of the business (e.g. from dairy to grain)</w:t>
      </w:r>
      <w:r>
        <w:rPr>
          <w:lang w:val="en-AU"/>
        </w:rPr>
        <w:t>. In the absence of viable options for a partial exit, many dairy farmers sold their farms or ceased to farm</w:t>
      </w:r>
      <w:r w:rsidRPr="00867773">
        <w:rPr>
          <w:lang w:val="en-AU"/>
        </w:rPr>
        <w:t>.</w:t>
      </w:r>
      <w:r>
        <w:rPr>
          <w:lang w:val="en-AU"/>
        </w:rPr>
        <w:t xml:space="preserve"> </w:t>
      </w:r>
    </w:p>
    <w:p w14:paraId="281E053D" w14:textId="77777777" w:rsidR="00C01A50" w:rsidRPr="00867773" w:rsidRDefault="00C01A50" w:rsidP="00593A9A">
      <w:pPr>
        <w:rPr>
          <w:lang w:val="en-AU"/>
        </w:rPr>
      </w:pPr>
      <w:r w:rsidRPr="00867773">
        <w:rPr>
          <w:lang w:val="en-AU"/>
        </w:rPr>
        <w:t>Dairy farmers</w:t>
      </w:r>
      <w:r>
        <w:rPr>
          <w:lang w:val="en-AU"/>
        </w:rPr>
        <w:t xml:space="preserve"> increasingly</w:t>
      </w:r>
      <w:r w:rsidRPr="00867773">
        <w:rPr>
          <w:lang w:val="en-AU"/>
        </w:rPr>
        <w:t xml:space="preserve"> </w:t>
      </w:r>
      <w:r>
        <w:rPr>
          <w:lang w:val="en-AU"/>
        </w:rPr>
        <w:t>pursued</w:t>
      </w:r>
      <w:r w:rsidRPr="00867773">
        <w:rPr>
          <w:lang w:val="en-AU"/>
        </w:rPr>
        <w:t xml:space="preserve"> exit strategies</w:t>
      </w:r>
      <w:r w:rsidRPr="008E2955">
        <w:rPr>
          <w:lang w:val="en-AU"/>
        </w:rPr>
        <w:t xml:space="preserve"> </w:t>
      </w:r>
      <w:r w:rsidRPr="00867773">
        <w:rPr>
          <w:lang w:val="en-AU"/>
        </w:rPr>
        <w:t xml:space="preserve">as the drought continued. Between 2006 and 2010 there was a 47.5% drop in land area used for dairy across the GMID </w:t>
      </w:r>
      <w:r>
        <w:rPr>
          <w:lang w:val="en-AU"/>
        </w:rPr>
        <w:t>(</w:t>
      </w:r>
      <w:r w:rsidR="00A34F27">
        <w:rPr>
          <w:lang w:val="en-AU"/>
        </w:rPr>
        <w:t>Goulburn Broken</w:t>
      </w:r>
      <w:r>
        <w:rPr>
          <w:lang w:val="en-AU"/>
        </w:rPr>
        <w:t xml:space="preserve"> CMA, unpublished)</w:t>
      </w:r>
      <w:r w:rsidRPr="00867773">
        <w:rPr>
          <w:lang w:val="en-AU"/>
        </w:rPr>
        <w:t xml:space="preserve">. Many farmers sold off cows with a 47% reduction in the herd size in the GMID between 2006 and 2010. This is compared to the more modest 12% reduction </w:t>
      </w:r>
      <w:r>
        <w:rPr>
          <w:lang w:val="en-AU"/>
        </w:rPr>
        <w:t xml:space="preserve">in herd sizes </w:t>
      </w:r>
      <w:r w:rsidRPr="00867773">
        <w:rPr>
          <w:lang w:val="en-AU"/>
        </w:rPr>
        <w:t>between 2001 and 2006</w:t>
      </w:r>
      <w:r>
        <w:rPr>
          <w:lang w:val="en-AU"/>
        </w:rPr>
        <w:t xml:space="preserve"> elsewhere in Australia</w:t>
      </w:r>
      <w:r w:rsidRPr="00867773">
        <w:rPr>
          <w:lang w:val="en-AU"/>
        </w:rPr>
        <w:t xml:space="preserve"> </w:t>
      </w:r>
      <w:r>
        <w:rPr>
          <w:lang w:val="en-AU"/>
        </w:rPr>
        <w:t>(</w:t>
      </w:r>
      <w:r w:rsidRPr="00867773">
        <w:rPr>
          <w:lang w:val="en-AU"/>
        </w:rPr>
        <w:t>Dairy Australia 2016</w:t>
      </w:r>
      <w:r>
        <w:rPr>
          <w:lang w:val="en-AU"/>
        </w:rPr>
        <w:t>)</w:t>
      </w:r>
      <w:r w:rsidRPr="00867773">
        <w:rPr>
          <w:lang w:val="en-AU"/>
        </w:rPr>
        <w:t xml:space="preserve">. </w:t>
      </w:r>
    </w:p>
    <w:p w14:paraId="22BBC45D" w14:textId="77777777" w:rsidR="00C01A50" w:rsidRDefault="00C01A50" w:rsidP="00593A9A">
      <w:pPr>
        <w:rPr>
          <w:lang w:val="en-AU"/>
        </w:rPr>
      </w:pPr>
      <w:r w:rsidRPr="00867773">
        <w:rPr>
          <w:lang w:val="en-AU"/>
        </w:rPr>
        <w:t xml:space="preserve">The </w:t>
      </w:r>
      <w:r>
        <w:rPr>
          <w:lang w:val="en-AU"/>
        </w:rPr>
        <w:t xml:space="preserve">Commonwealth’s </w:t>
      </w:r>
      <w:r w:rsidRPr="00867773">
        <w:rPr>
          <w:lang w:val="en-AU"/>
        </w:rPr>
        <w:t xml:space="preserve">entry into the water market in 2007 </w:t>
      </w:r>
      <w:r>
        <w:rPr>
          <w:lang w:val="en-AU"/>
        </w:rPr>
        <w:t>coincided</w:t>
      </w:r>
      <w:r w:rsidRPr="00867773">
        <w:rPr>
          <w:lang w:val="en-AU"/>
        </w:rPr>
        <w:t xml:space="preserve"> with the majority of dairy farmers having </w:t>
      </w:r>
      <w:r>
        <w:rPr>
          <w:lang w:val="en-AU"/>
        </w:rPr>
        <w:t>already pursued</w:t>
      </w:r>
      <w:r w:rsidRPr="00867773">
        <w:rPr>
          <w:lang w:val="en-AU"/>
        </w:rPr>
        <w:t xml:space="preserve"> the</w:t>
      </w:r>
      <w:r>
        <w:rPr>
          <w:lang w:val="en-AU"/>
        </w:rPr>
        <w:t>ir</w:t>
      </w:r>
      <w:r w:rsidRPr="00867773">
        <w:rPr>
          <w:lang w:val="en-AU"/>
        </w:rPr>
        <w:t xml:space="preserve"> affordable </w:t>
      </w:r>
      <w:r>
        <w:rPr>
          <w:lang w:val="en-AU"/>
        </w:rPr>
        <w:t xml:space="preserve">options in terms of their </w:t>
      </w:r>
      <w:r w:rsidRPr="00867773">
        <w:rPr>
          <w:lang w:val="en-AU"/>
        </w:rPr>
        <w:t>substitution, efficiency</w:t>
      </w:r>
      <w:r>
        <w:rPr>
          <w:lang w:val="en-AU"/>
        </w:rPr>
        <w:t>,</w:t>
      </w:r>
      <w:r w:rsidRPr="00867773">
        <w:rPr>
          <w:lang w:val="en-AU"/>
        </w:rPr>
        <w:t xml:space="preserve"> </w:t>
      </w:r>
      <w:r>
        <w:rPr>
          <w:lang w:val="en-AU"/>
        </w:rPr>
        <w:t>alternative supply</w:t>
      </w:r>
      <w:r w:rsidRPr="00867773">
        <w:rPr>
          <w:lang w:val="en-AU"/>
        </w:rPr>
        <w:t xml:space="preserve"> and exit strategies</w:t>
      </w:r>
      <w:r>
        <w:rPr>
          <w:lang w:val="en-AU"/>
        </w:rPr>
        <w:t>.</w:t>
      </w:r>
      <w:r w:rsidRPr="00867773">
        <w:rPr>
          <w:lang w:val="en-AU"/>
        </w:rPr>
        <w:t xml:space="preserve"> This led to a 75% increase in farmers selling their high reliability shares </w:t>
      </w:r>
      <w:r w:rsidRPr="00867773">
        <w:rPr>
          <w:lang w:val="en-AU"/>
        </w:rPr>
        <w:lastRenderedPageBreak/>
        <w:t>between 2007</w:t>
      </w:r>
      <w:r w:rsidR="005A3ABF">
        <w:rPr>
          <w:lang w:val="en-AU"/>
        </w:rPr>
        <w:t>/</w:t>
      </w:r>
      <w:r>
        <w:rPr>
          <w:lang w:val="en-AU"/>
        </w:rPr>
        <w:t>08 and 2008</w:t>
      </w:r>
      <w:r w:rsidR="005A3ABF">
        <w:rPr>
          <w:lang w:val="en-AU"/>
        </w:rPr>
        <w:t>/</w:t>
      </w:r>
      <w:r>
        <w:rPr>
          <w:lang w:val="en-AU"/>
        </w:rPr>
        <w:t>09 in the southern-</w:t>
      </w:r>
      <w:r w:rsidRPr="00867773">
        <w:rPr>
          <w:lang w:val="en-AU"/>
        </w:rPr>
        <w:t xml:space="preserve">connected </w:t>
      </w:r>
      <w:r>
        <w:rPr>
          <w:lang w:val="en-AU"/>
        </w:rPr>
        <w:t>Basin</w:t>
      </w:r>
      <w:r w:rsidRPr="00867773">
        <w:rPr>
          <w:lang w:val="en-AU"/>
        </w:rPr>
        <w:t xml:space="preserve"> </w:t>
      </w:r>
      <w:r>
        <w:rPr>
          <w:lang w:val="en-AU"/>
        </w:rPr>
        <w:t>(</w:t>
      </w:r>
      <w:r w:rsidRPr="00867773">
        <w:rPr>
          <w:lang w:val="en-AU"/>
        </w:rPr>
        <w:t>NWC</w:t>
      </w:r>
      <w:r>
        <w:rPr>
          <w:lang w:val="en-AU"/>
        </w:rPr>
        <w:t>,</w:t>
      </w:r>
      <w:r w:rsidRPr="00867773">
        <w:rPr>
          <w:lang w:val="en-AU"/>
        </w:rPr>
        <w:t xml:space="preserve"> 2009</w:t>
      </w:r>
      <w:r>
        <w:rPr>
          <w:lang w:val="en-AU"/>
        </w:rPr>
        <w:t>)</w:t>
      </w:r>
      <w:r w:rsidRPr="00867773">
        <w:rPr>
          <w:lang w:val="en-AU"/>
        </w:rPr>
        <w:t xml:space="preserve">. Similar rates continued until the end of the drought </w:t>
      </w:r>
      <w:r>
        <w:rPr>
          <w:lang w:val="en-AU"/>
        </w:rPr>
        <w:t>(</w:t>
      </w:r>
      <w:r w:rsidRPr="00867773">
        <w:rPr>
          <w:lang w:val="en-AU"/>
        </w:rPr>
        <w:t>NWC</w:t>
      </w:r>
      <w:r>
        <w:rPr>
          <w:lang w:val="en-AU"/>
        </w:rPr>
        <w:t>,</w:t>
      </w:r>
      <w:r w:rsidRPr="00867773">
        <w:rPr>
          <w:lang w:val="en-AU"/>
        </w:rPr>
        <w:t xml:space="preserve"> 2009</w:t>
      </w:r>
      <w:r>
        <w:rPr>
          <w:lang w:val="en-AU"/>
        </w:rPr>
        <w:t>)</w:t>
      </w:r>
      <w:r w:rsidRPr="00867773">
        <w:rPr>
          <w:lang w:val="en-AU"/>
        </w:rPr>
        <w:t>.</w:t>
      </w:r>
    </w:p>
    <w:p w14:paraId="1868EE0B" w14:textId="77777777" w:rsidR="00C01A50" w:rsidRPr="00285268" w:rsidRDefault="00C01A50" w:rsidP="00593A9A">
      <w:pPr>
        <w:rPr>
          <w:lang w:val="en-AU"/>
        </w:rPr>
      </w:pPr>
      <w:r w:rsidRPr="00285268">
        <w:rPr>
          <w:lang w:val="en-AU"/>
        </w:rPr>
        <w:t xml:space="preserve">The Commonwealth purchase of water entitlements undoubtedly helped dairy farmers to adjust to the combined effects of the high cost of feed and the high cost of allocations during the drought. Many </w:t>
      </w:r>
      <w:r>
        <w:rPr>
          <w:lang w:val="en-AU"/>
        </w:rPr>
        <w:t>farmers</w:t>
      </w:r>
      <w:r w:rsidRPr="00285268">
        <w:rPr>
          <w:lang w:val="en-AU"/>
        </w:rPr>
        <w:t xml:space="preserve"> took the opportunity to exit the industry with better financial resources than they would have done without the Basin Plan. Others managed to </w:t>
      </w:r>
      <w:r>
        <w:rPr>
          <w:lang w:val="en-AU"/>
        </w:rPr>
        <w:t>keep operating their</w:t>
      </w:r>
      <w:r w:rsidRPr="00285268">
        <w:rPr>
          <w:lang w:val="en-AU"/>
        </w:rPr>
        <w:t xml:space="preserve"> business</w:t>
      </w:r>
      <w:r>
        <w:rPr>
          <w:lang w:val="en-AU"/>
        </w:rPr>
        <w:t>es</w:t>
      </w:r>
      <w:r w:rsidRPr="00285268">
        <w:rPr>
          <w:lang w:val="en-AU"/>
        </w:rPr>
        <w:t xml:space="preserve"> </w:t>
      </w:r>
      <w:r>
        <w:rPr>
          <w:lang w:val="en-AU"/>
        </w:rPr>
        <w:t xml:space="preserve">after pursuing partial exit strategies </w:t>
      </w:r>
      <w:r w:rsidRPr="00285268">
        <w:rPr>
          <w:lang w:val="en-AU"/>
        </w:rPr>
        <w:t>when</w:t>
      </w:r>
      <w:r>
        <w:rPr>
          <w:lang w:val="en-AU"/>
        </w:rPr>
        <w:t>, in the absence of the Commonwealth purchases,</w:t>
      </w:r>
      <w:r w:rsidRPr="00285268">
        <w:rPr>
          <w:lang w:val="en-AU"/>
        </w:rPr>
        <w:t xml:space="preserve"> they may</w:t>
      </w:r>
      <w:r>
        <w:rPr>
          <w:lang w:val="en-AU"/>
        </w:rPr>
        <w:t xml:space="preserve"> otherwise</w:t>
      </w:r>
      <w:r w:rsidRPr="00285268">
        <w:rPr>
          <w:lang w:val="en-AU"/>
        </w:rPr>
        <w:t xml:space="preserve"> have been forced to cease farming</w:t>
      </w:r>
      <w:r>
        <w:rPr>
          <w:lang w:val="en-AU"/>
        </w:rPr>
        <w:t xml:space="preserve"> altogether</w:t>
      </w:r>
      <w:r w:rsidRPr="00285268">
        <w:rPr>
          <w:lang w:val="en-AU"/>
        </w:rPr>
        <w:t>. At the very least</w:t>
      </w:r>
      <w:r>
        <w:rPr>
          <w:lang w:val="en-AU"/>
        </w:rPr>
        <w:t>,</w:t>
      </w:r>
      <w:r w:rsidRPr="00285268">
        <w:rPr>
          <w:lang w:val="en-AU"/>
        </w:rPr>
        <w:t xml:space="preserve"> </w:t>
      </w:r>
      <w:r>
        <w:rPr>
          <w:lang w:val="en-AU"/>
        </w:rPr>
        <w:t>buyback</w:t>
      </w:r>
      <w:r w:rsidRPr="00285268">
        <w:rPr>
          <w:lang w:val="en-AU"/>
        </w:rPr>
        <w:t xml:space="preserve"> helped many dairy farmers to reduce their debts</w:t>
      </w:r>
      <w:r>
        <w:rPr>
          <w:lang w:val="en-AU"/>
        </w:rPr>
        <w:t xml:space="preserve"> </w:t>
      </w:r>
      <w:r w:rsidRPr="002B2268">
        <w:rPr>
          <w:lang w:val="en-AU"/>
        </w:rPr>
        <w:t>(ABARES 2014.10)</w:t>
      </w:r>
      <w:r w:rsidRPr="00285268">
        <w:rPr>
          <w:lang w:val="en-AU"/>
        </w:rPr>
        <w:t>.</w:t>
      </w:r>
    </w:p>
    <w:p w14:paraId="0C80CFB3" w14:textId="77777777" w:rsidR="00C01A50" w:rsidRDefault="00C01A50" w:rsidP="00593A9A">
      <w:pPr>
        <w:rPr>
          <w:lang w:val="en-AU"/>
        </w:rPr>
      </w:pPr>
      <w:r w:rsidRPr="00285268">
        <w:rPr>
          <w:lang w:val="en-AU"/>
        </w:rPr>
        <w:t>Many dairy farmers</w:t>
      </w:r>
      <w:r>
        <w:rPr>
          <w:lang w:val="en-AU"/>
        </w:rPr>
        <w:t xml:space="preserve"> who sold entitlements</w:t>
      </w:r>
      <w:r w:rsidRPr="00285268">
        <w:rPr>
          <w:lang w:val="en-AU"/>
        </w:rPr>
        <w:t xml:space="preserve"> ultimately stayed on in dairy farming using a business model that relied upon future purchases of allocations rather than a replacement of their entitlements. </w:t>
      </w:r>
      <w:r w:rsidRPr="00CE0B8D">
        <w:rPr>
          <w:lang w:val="en-AU"/>
        </w:rPr>
        <w:t xml:space="preserve">Some dairy farms now </w:t>
      </w:r>
      <w:r>
        <w:rPr>
          <w:lang w:val="en-AU"/>
        </w:rPr>
        <w:t xml:space="preserve">rely completely on </w:t>
      </w:r>
      <w:r w:rsidRPr="00CE0B8D">
        <w:rPr>
          <w:lang w:val="en-AU"/>
        </w:rPr>
        <w:t xml:space="preserve">water </w:t>
      </w:r>
      <w:r>
        <w:rPr>
          <w:lang w:val="en-AU"/>
        </w:rPr>
        <w:t>allocation purchases to meet their full irrigation requirements</w:t>
      </w:r>
      <w:r w:rsidRPr="00CE0B8D">
        <w:rPr>
          <w:lang w:val="en-AU"/>
        </w:rPr>
        <w:t>. These farmers are purchasing water as part of routine farm business activities using various trading strategies</w:t>
      </w:r>
      <w:r>
        <w:rPr>
          <w:lang w:val="en-AU"/>
        </w:rPr>
        <w:t xml:space="preserve"> (ABARES 2014.10). </w:t>
      </w:r>
    </w:p>
    <w:p w14:paraId="44ACC63E" w14:textId="7CA2E051" w:rsidR="00C01A50" w:rsidRPr="00A56F80" w:rsidRDefault="00C01A50" w:rsidP="00593A9A">
      <w:pPr>
        <w:rPr>
          <w:lang w:val="en-AU"/>
        </w:rPr>
      </w:pPr>
      <w:r>
        <w:rPr>
          <w:lang w:val="en-AU"/>
        </w:rPr>
        <w:t xml:space="preserve">This is a widely used strategy with more than half of all dairy farmers being net purchasers of </w:t>
      </w:r>
      <w:r w:rsidRPr="00A56F80">
        <w:rPr>
          <w:lang w:val="en-AU"/>
        </w:rPr>
        <w:t>allocations in recent years (</w:t>
      </w:r>
      <w:r w:rsidRPr="00A56F80">
        <w:rPr>
          <w:lang w:val="en-AU"/>
        </w:rPr>
        <w:fldChar w:fldCharType="begin"/>
      </w:r>
      <w:r w:rsidRPr="00A56F80">
        <w:rPr>
          <w:lang w:val="en-AU"/>
        </w:rPr>
        <w:instrText xml:space="preserve"> REF _Ref437872567 \h </w:instrText>
      </w:r>
      <w:r w:rsidRPr="00A56F80">
        <w:rPr>
          <w:lang w:val="en-AU"/>
        </w:rPr>
      </w:r>
      <w:r w:rsidRPr="00A56F80">
        <w:rPr>
          <w:lang w:val="en-AU"/>
        </w:rPr>
        <w:fldChar w:fldCharType="separate"/>
      </w:r>
      <w:r w:rsidR="008E5D7A">
        <w:t xml:space="preserve">Figure </w:t>
      </w:r>
      <w:r w:rsidR="008E5D7A">
        <w:rPr>
          <w:noProof/>
        </w:rPr>
        <w:t>46</w:t>
      </w:r>
      <w:r w:rsidRPr="00A56F80">
        <w:rPr>
          <w:lang w:val="en-AU"/>
        </w:rPr>
        <w:fldChar w:fldCharType="end"/>
      </w:r>
      <w:r w:rsidRPr="00A56F80">
        <w:rPr>
          <w:lang w:val="en-AU"/>
        </w:rPr>
        <w:t xml:space="preserve">), with 60% doing so in 2013/14. However, as discussed in Chapter </w:t>
      </w:r>
      <w:r w:rsidRPr="00A56F80">
        <w:rPr>
          <w:lang w:val="en-AU"/>
        </w:rPr>
        <w:fldChar w:fldCharType="begin"/>
      </w:r>
      <w:r w:rsidRPr="00A56F80">
        <w:rPr>
          <w:lang w:val="en-AU"/>
        </w:rPr>
        <w:instrText xml:space="preserve"> REF _Ref342482626 \r \h </w:instrText>
      </w:r>
      <w:r w:rsidRPr="00A56F80">
        <w:rPr>
          <w:lang w:val="en-AU"/>
        </w:rPr>
      </w:r>
      <w:r w:rsidRPr="00A56F80">
        <w:rPr>
          <w:lang w:val="en-AU"/>
        </w:rPr>
        <w:fldChar w:fldCharType="separate"/>
      </w:r>
      <w:r w:rsidR="008E5D7A">
        <w:rPr>
          <w:lang w:val="en-AU"/>
        </w:rPr>
        <w:t>4</w:t>
      </w:r>
      <w:r w:rsidRPr="00A56F80">
        <w:rPr>
          <w:lang w:val="en-AU"/>
        </w:rPr>
        <w:fldChar w:fldCharType="end"/>
      </w:r>
      <w:r w:rsidRPr="00A56F80">
        <w:rPr>
          <w:lang w:val="en-AU"/>
        </w:rPr>
        <w:t>, in 2015/</w:t>
      </w:r>
      <w:r w:rsidR="00A56F80" w:rsidRPr="00A56F80">
        <w:rPr>
          <w:lang w:val="en-AU"/>
        </w:rPr>
        <w:t xml:space="preserve">16 declining water availability due to the return of dry conditions and </w:t>
      </w:r>
      <w:r w:rsidR="00192E8B">
        <w:rPr>
          <w:lang w:val="en-AU"/>
        </w:rPr>
        <w:t>the run down</w:t>
      </w:r>
      <w:r w:rsidR="00A56F80" w:rsidRPr="00A56F80">
        <w:rPr>
          <w:lang w:val="en-AU"/>
        </w:rPr>
        <w:t xml:space="preserve"> of the extraordinary levels of carryover built up in the La Ni</w:t>
      </w:r>
      <w:r w:rsidR="0000068E">
        <w:rPr>
          <w:lang w:val="en-AU"/>
        </w:rPr>
        <w:t>ñ</w:t>
      </w:r>
      <w:r w:rsidR="00A56F80" w:rsidRPr="00A56F80">
        <w:rPr>
          <w:lang w:val="en-AU"/>
        </w:rPr>
        <w:t xml:space="preserve">a years </w:t>
      </w:r>
      <w:r w:rsidR="00A56F80">
        <w:rPr>
          <w:lang w:val="en-AU"/>
        </w:rPr>
        <w:t>led to</w:t>
      </w:r>
      <w:r w:rsidR="00A56F80" w:rsidRPr="00A56F80">
        <w:rPr>
          <w:lang w:val="en-AU"/>
        </w:rPr>
        <w:t xml:space="preserve"> higher </w:t>
      </w:r>
      <w:r w:rsidR="00166B39">
        <w:rPr>
          <w:lang w:val="en-AU"/>
        </w:rPr>
        <w:t>allocation</w:t>
      </w:r>
      <w:r w:rsidR="00A56F80" w:rsidRPr="00A56F80">
        <w:rPr>
          <w:lang w:val="en-AU"/>
        </w:rPr>
        <w:t xml:space="preserve"> prices.</w:t>
      </w:r>
      <w:r w:rsidR="00A56F80">
        <w:rPr>
          <w:lang w:val="en-AU"/>
        </w:rPr>
        <w:t xml:space="preserve"> </w:t>
      </w:r>
      <w:r w:rsidRPr="00A56F80">
        <w:rPr>
          <w:lang w:val="en-AU"/>
        </w:rPr>
        <w:t xml:space="preserve">Many of the irrigators that pursued this strategy are still coming to terms with the risk that this has exposed them to. </w:t>
      </w:r>
    </w:p>
    <w:p w14:paraId="333E058D" w14:textId="77777777" w:rsidR="00C01A50" w:rsidRPr="009D1026" w:rsidRDefault="00C01A50" w:rsidP="00C60559">
      <w:pPr>
        <w:keepLines/>
        <w:spacing w:after="240"/>
        <w:contextualSpacing/>
        <w:jc w:val="center"/>
        <w:rPr>
          <w:rFonts w:eastAsia="Calibri"/>
          <w:color w:val="000000"/>
          <w:sz w:val="18"/>
          <w:szCs w:val="22"/>
          <w:highlight w:val="yellow"/>
          <w:lang w:val="en-AU"/>
        </w:rPr>
      </w:pPr>
      <w:r w:rsidRPr="008D2521">
        <w:rPr>
          <w:rFonts w:eastAsia="Calibri"/>
          <w:noProof/>
          <w:color w:val="000000"/>
          <w:sz w:val="18"/>
          <w:szCs w:val="22"/>
          <w:lang w:val="en-AU" w:eastAsia="en-AU" w:bidi="ar-SA"/>
        </w:rPr>
        <w:drawing>
          <wp:inline distT="0" distB="0" distL="0" distR="0" wp14:anchorId="673DBA10" wp14:editId="4617DAF1">
            <wp:extent cx="4615815" cy="3086100"/>
            <wp:effectExtent l="0" t="0" r="0" b="0"/>
            <wp:docPr id="227" name="Picture 3" descr="Shows proportions of horticulture, dairy, rice and cotton farms trading temporary water over the period 2006–07 to 2013–14. A general increase in farms trading water occurred in around 2007–08 and again in about 2011–12. Details are provid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ws proportions of horticulture, dairy, rice and cotton farms trading temporary water over the period 2006–07 to 2013–14. A general increase in farms trading water occurred in around 2007–08 and again in about 2011–12. Details are provided in the preceding text."/>
                    <pic:cNvPicPr>
                      <a:picLocks noChangeAspect="1" noChangeArrowheads="1"/>
                    </pic:cNvPicPr>
                  </pic:nvPicPr>
                  <pic:blipFill rotWithShape="1">
                    <a:blip r:embed="rId74">
                      <a:extLst>
                        <a:ext uri="{28A0092B-C50C-407E-A947-70E740481C1C}">
                          <a14:useLocalDpi xmlns:a14="http://schemas.microsoft.com/office/drawing/2010/main" val="0"/>
                        </a:ext>
                      </a:extLst>
                    </a:blip>
                    <a:srcRect b="6084"/>
                    <a:stretch/>
                  </pic:blipFill>
                  <pic:spPr bwMode="auto">
                    <a:xfrm>
                      <a:off x="0" y="0"/>
                      <a:ext cx="4619583" cy="3088619"/>
                    </a:xfrm>
                    <a:prstGeom prst="rect">
                      <a:avLst/>
                    </a:prstGeom>
                    <a:noFill/>
                    <a:ln>
                      <a:noFill/>
                    </a:ln>
                    <a:extLst>
                      <a:ext uri="{53640926-AAD7-44D8-BBD7-CCE9431645EC}">
                        <a14:shadowObscured xmlns:a14="http://schemas.microsoft.com/office/drawing/2010/main"/>
                      </a:ext>
                    </a:extLst>
                  </pic:spPr>
                </pic:pic>
              </a:graphicData>
            </a:graphic>
          </wp:inline>
        </w:drawing>
      </w:r>
    </w:p>
    <w:p w14:paraId="6D67C192" w14:textId="77777777" w:rsidR="00C01A50" w:rsidRPr="00CF51F1" w:rsidRDefault="00C01A50" w:rsidP="00CF51F1">
      <w:pPr>
        <w:pStyle w:val="Caption"/>
        <w:rPr>
          <w:bCs w:val="0"/>
        </w:rPr>
      </w:pPr>
      <w:bookmarkStart w:id="164" w:name="_Ref437872567"/>
      <w:bookmarkStart w:id="165" w:name="_Toc437952905"/>
      <w:r>
        <w:t xml:space="preserve">Figure </w:t>
      </w:r>
      <w:r>
        <w:fldChar w:fldCharType="begin"/>
      </w:r>
      <w:r>
        <w:instrText xml:space="preserve"> SEQ Figure \* ARABIC </w:instrText>
      </w:r>
      <w:r>
        <w:fldChar w:fldCharType="separate"/>
      </w:r>
      <w:r w:rsidR="008E5D7A">
        <w:rPr>
          <w:noProof/>
        </w:rPr>
        <w:t>46</w:t>
      </w:r>
      <w:r>
        <w:fldChar w:fldCharType="end"/>
      </w:r>
      <w:bookmarkEnd w:id="164"/>
      <w:r>
        <w:t>:</w:t>
      </w:r>
      <w:r w:rsidRPr="00CF51F1">
        <w:rPr>
          <w:bCs w:val="0"/>
        </w:rPr>
        <w:t xml:space="preserve"> Proportion of dairy farms trading temporary water allocations</w:t>
      </w:r>
      <w:bookmarkEnd w:id="165"/>
    </w:p>
    <w:p w14:paraId="4079E597" w14:textId="77777777" w:rsidR="00C01A50" w:rsidRPr="00D14E2F" w:rsidRDefault="00C01A50" w:rsidP="00593A9A">
      <w:pPr>
        <w:keepLines/>
        <w:spacing w:after="240"/>
        <w:contextualSpacing/>
        <w:rPr>
          <w:rFonts w:eastAsia="Calibri"/>
          <w:color w:val="000000"/>
          <w:sz w:val="18"/>
          <w:szCs w:val="22"/>
          <w:lang w:val="en-AU"/>
        </w:rPr>
      </w:pPr>
      <w:r w:rsidRPr="00D14E2F">
        <w:rPr>
          <w:rFonts w:eastAsia="Calibri"/>
          <w:color w:val="000000"/>
          <w:sz w:val="18"/>
          <w:szCs w:val="22"/>
          <w:lang w:val="en-AU"/>
        </w:rPr>
        <w:t>Note: Net buyers/sellers are farms that bought/sold more water than they sold/bought.</w:t>
      </w:r>
    </w:p>
    <w:p w14:paraId="1F69ACE5" w14:textId="77777777" w:rsidR="00C01A50" w:rsidRDefault="00C01A50" w:rsidP="00593A9A">
      <w:pPr>
        <w:rPr>
          <w:lang w:val="en-AU"/>
        </w:rPr>
      </w:pPr>
      <w:r w:rsidRPr="00D14E2F">
        <w:rPr>
          <w:rFonts w:eastAsia="Calibri"/>
          <w:color w:val="000000"/>
          <w:sz w:val="18"/>
          <w:szCs w:val="22"/>
          <w:lang w:val="en-AU"/>
        </w:rPr>
        <w:t>Source: ABARES 2015.13 from Murray–Darling Basin Irrigation Survey</w:t>
      </w:r>
    </w:p>
    <w:p w14:paraId="341A9B45" w14:textId="77777777" w:rsidR="00C01A50" w:rsidRPr="00867773" w:rsidRDefault="00C01A50" w:rsidP="00593A9A">
      <w:pPr>
        <w:pStyle w:val="Heading2"/>
        <w:rPr>
          <w:lang w:val="en-AU"/>
        </w:rPr>
      </w:pPr>
      <w:bookmarkStart w:id="166" w:name="_Toc347747834"/>
      <w:r>
        <w:rPr>
          <w:lang w:val="en-AU"/>
        </w:rPr>
        <w:lastRenderedPageBreak/>
        <w:t>Implications for future viablity</w:t>
      </w:r>
      <w:r w:rsidRPr="00867773">
        <w:rPr>
          <w:lang w:val="en-AU"/>
        </w:rPr>
        <w:t xml:space="preserve"> and grow</w:t>
      </w:r>
      <w:r>
        <w:rPr>
          <w:lang w:val="en-AU"/>
        </w:rPr>
        <w:t>th</w:t>
      </w:r>
      <w:bookmarkEnd w:id="166"/>
    </w:p>
    <w:p w14:paraId="7BC363E1" w14:textId="77777777" w:rsidR="00C01A50" w:rsidRDefault="00C01A50" w:rsidP="00440258">
      <w:pPr>
        <w:rPr>
          <w:lang w:val="en-AU"/>
        </w:rPr>
      </w:pPr>
      <w:r w:rsidRPr="003A72D7">
        <w:rPr>
          <w:lang w:val="en-AU"/>
        </w:rPr>
        <w:t xml:space="preserve">Over the past decade, dairy farmers in the GMID </w:t>
      </w:r>
      <w:r>
        <w:rPr>
          <w:lang w:val="en-AU"/>
        </w:rPr>
        <w:t xml:space="preserve">have </w:t>
      </w:r>
      <w:r w:rsidRPr="003A72D7">
        <w:rPr>
          <w:lang w:val="en-AU"/>
        </w:rPr>
        <w:t>responded to major challenges. Despite climate variability, the lowest ever recorded inflows, drastically reduced irrigation water allocations</w:t>
      </w:r>
      <w:r>
        <w:rPr>
          <w:lang w:val="en-AU"/>
        </w:rPr>
        <w:t>,</w:t>
      </w:r>
      <w:r w:rsidRPr="003A72D7">
        <w:rPr>
          <w:lang w:val="en-AU"/>
        </w:rPr>
        <w:t xml:space="preserve"> and increased farm debt, some dairy farmers in the region have generated competitive rates of return.</w:t>
      </w:r>
      <w:r w:rsidR="004E5EB9">
        <w:rPr>
          <w:lang w:val="en-AU"/>
        </w:rPr>
        <w:t xml:space="preserve"> </w:t>
      </w:r>
    </w:p>
    <w:p w14:paraId="11DBA953" w14:textId="77777777" w:rsidR="00C01A50" w:rsidRDefault="00C01A50" w:rsidP="00440258">
      <w:pPr>
        <w:rPr>
          <w:lang w:val="en-AU"/>
        </w:rPr>
      </w:pPr>
      <w:r>
        <w:rPr>
          <w:lang w:val="en-AU"/>
        </w:rPr>
        <w:t xml:space="preserve">Seven years ago, Dairy Australia (2009) advised the Productivity Commission that with regards to the </w:t>
      </w:r>
      <w:r w:rsidRPr="00B05427">
        <w:rPr>
          <w:lang w:val="en-AU"/>
        </w:rPr>
        <w:t>Lower Murray-Darling Basin</w:t>
      </w:r>
      <w:r>
        <w:rPr>
          <w:lang w:val="en-AU"/>
        </w:rPr>
        <w:t xml:space="preserve"> a “</w:t>
      </w:r>
      <w:r w:rsidRPr="0075786B">
        <w:rPr>
          <w:lang w:val="en-AU"/>
        </w:rPr>
        <w:t>primary risk faced by the dairy industry remains water availability</w:t>
      </w:r>
      <w:r>
        <w:rPr>
          <w:lang w:val="en-AU"/>
        </w:rPr>
        <w:t>”</w:t>
      </w:r>
      <w:r w:rsidRPr="0075786B">
        <w:rPr>
          <w:lang w:val="en-AU"/>
        </w:rPr>
        <w:t>.</w:t>
      </w:r>
      <w:r>
        <w:rPr>
          <w:lang w:val="en-AU"/>
        </w:rPr>
        <w:t xml:space="preserve"> Referencing the </w:t>
      </w:r>
      <w:r w:rsidRPr="00E90A79">
        <w:t>Northern Region Sustainable Water Strategy</w:t>
      </w:r>
      <w:r>
        <w:t xml:space="preserve"> (DSE, 2009), they advised that </w:t>
      </w:r>
      <w:r w:rsidRPr="0075786B">
        <w:rPr>
          <w:lang w:val="en-AU"/>
        </w:rPr>
        <w:t xml:space="preserve">the </w:t>
      </w:r>
      <w:r>
        <w:rPr>
          <w:lang w:val="en-AU"/>
        </w:rPr>
        <w:t>“</w:t>
      </w:r>
      <w:r w:rsidRPr="0075786B">
        <w:rPr>
          <w:lang w:val="en-AU"/>
        </w:rPr>
        <w:t>best estimate for average water availability for dairy farming in the</w:t>
      </w:r>
      <w:r>
        <w:rPr>
          <w:lang w:val="en-AU"/>
        </w:rPr>
        <w:t xml:space="preserve"> Goulburn-</w:t>
      </w:r>
      <w:r w:rsidRPr="0075786B">
        <w:rPr>
          <w:lang w:val="en-AU"/>
        </w:rPr>
        <w:t xml:space="preserve">Murray Irrigation District is 767 </w:t>
      </w:r>
      <w:r>
        <w:rPr>
          <w:lang w:val="en-AU"/>
        </w:rPr>
        <w:t>GL</w:t>
      </w:r>
      <w:r w:rsidRPr="0075786B">
        <w:rPr>
          <w:lang w:val="en-AU"/>
        </w:rPr>
        <w:t xml:space="preserve"> in 10 years time. This level of</w:t>
      </w:r>
      <w:r>
        <w:rPr>
          <w:lang w:val="en-AU"/>
        </w:rPr>
        <w:t xml:space="preserve"> </w:t>
      </w:r>
      <w:r w:rsidRPr="0075786B">
        <w:rPr>
          <w:lang w:val="en-AU"/>
        </w:rPr>
        <w:t>water availability can underpin a sizeable dairy industry but necessitates continued</w:t>
      </w:r>
      <w:r>
        <w:rPr>
          <w:lang w:val="en-AU"/>
        </w:rPr>
        <w:t xml:space="preserve"> </w:t>
      </w:r>
      <w:r w:rsidRPr="0075786B">
        <w:rPr>
          <w:lang w:val="en-AU"/>
        </w:rPr>
        <w:t>improvement in water use efficiency. Experience shows there will be variation</w:t>
      </w:r>
      <w:r>
        <w:rPr>
          <w:lang w:val="en-AU"/>
        </w:rPr>
        <w:t xml:space="preserve"> </w:t>
      </w:r>
      <w:r w:rsidRPr="0075786B">
        <w:rPr>
          <w:lang w:val="en-AU"/>
        </w:rPr>
        <w:t>around this average water availability and having the capacity to manage this</w:t>
      </w:r>
      <w:r>
        <w:rPr>
          <w:lang w:val="en-AU"/>
        </w:rPr>
        <w:t xml:space="preserve"> </w:t>
      </w:r>
      <w:r w:rsidRPr="0075786B">
        <w:rPr>
          <w:lang w:val="en-AU"/>
        </w:rPr>
        <w:t>variation is critical to the dairy industry’s future in the region.</w:t>
      </w:r>
      <w:r>
        <w:rPr>
          <w:lang w:val="en-AU"/>
        </w:rPr>
        <w:t>”</w:t>
      </w:r>
    </w:p>
    <w:p w14:paraId="32FB8EEC" w14:textId="77777777" w:rsidR="00C01A50" w:rsidRPr="00867773" w:rsidRDefault="00C01A50" w:rsidP="00593A9A">
      <w:pPr>
        <w:rPr>
          <w:lang w:val="en-AU"/>
        </w:rPr>
      </w:pPr>
      <w:r>
        <w:rPr>
          <w:lang w:val="en-AU"/>
        </w:rPr>
        <w:t xml:space="preserve">The dairy industry has continued with many of the </w:t>
      </w:r>
      <w:r w:rsidRPr="004C6E91">
        <w:rPr>
          <w:i/>
          <w:lang w:val="en-AU"/>
        </w:rPr>
        <w:t>substitution</w:t>
      </w:r>
      <w:r>
        <w:rPr>
          <w:lang w:val="en-AU"/>
        </w:rPr>
        <w:t xml:space="preserve"> options used to respond to low water availability during the Millennium Drought. A large number of dairy farms have moved to systems that</w:t>
      </w:r>
      <w:r w:rsidRPr="00867773">
        <w:rPr>
          <w:lang w:val="en-AU"/>
        </w:rPr>
        <w:t xml:space="preserve"> </w:t>
      </w:r>
      <w:r>
        <w:rPr>
          <w:lang w:val="en-AU"/>
        </w:rPr>
        <w:t>rely</w:t>
      </w:r>
      <w:r w:rsidRPr="00867773">
        <w:rPr>
          <w:lang w:val="en-AU"/>
        </w:rPr>
        <w:t xml:space="preserve"> more </w:t>
      </w:r>
      <w:r>
        <w:rPr>
          <w:lang w:val="en-AU"/>
        </w:rPr>
        <w:t xml:space="preserve">on </w:t>
      </w:r>
      <w:r w:rsidRPr="00867773">
        <w:rPr>
          <w:lang w:val="en-AU"/>
        </w:rPr>
        <w:t>annual pastures</w:t>
      </w:r>
      <w:r>
        <w:rPr>
          <w:lang w:val="en-AU"/>
        </w:rPr>
        <w:t>, rather than perennial pastures</w:t>
      </w:r>
      <w:r w:rsidRPr="00867773">
        <w:rPr>
          <w:lang w:val="en-AU"/>
        </w:rPr>
        <w:t xml:space="preserve"> and </w:t>
      </w:r>
      <w:r>
        <w:rPr>
          <w:lang w:val="en-AU"/>
        </w:rPr>
        <w:t xml:space="preserve">on “cut and carry” </w:t>
      </w:r>
      <w:r w:rsidRPr="00867773">
        <w:rPr>
          <w:lang w:val="en-AU"/>
        </w:rPr>
        <w:t>fodder crops</w:t>
      </w:r>
      <w:r>
        <w:rPr>
          <w:lang w:val="en-AU"/>
        </w:rPr>
        <w:t xml:space="preserve"> grown</w:t>
      </w:r>
      <w:r w:rsidRPr="00867773">
        <w:rPr>
          <w:lang w:val="en-AU"/>
        </w:rPr>
        <w:t xml:space="preserve"> away from the milking area</w:t>
      </w:r>
      <w:r>
        <w:rPr>
          <w:lang w:val="en-AU"/>
        </w:rPr>
        <w:t xml:space="preserve">. </w:t>
      </w:r>
      <w:r w:rsidRPr="00867773">
        <w:rPr>
          <w:lang w:val="en-AU"/>
        </w:rPr>
        <w:t>L</w:t>
      </w:r>
      <w:r>
        <w:rPr>
          <w:lang w:val="en-AU"/>
        </w:rPr>
        <w:t xml:space="preserve">and </w:t>
      </w:r>
      <w:r w:rsidRPr="00867773">
        <w:rPr>
          <w:lang w:val="en-AU"/>
        </w:rPr>
        <w:t>U</w:t>
      </w:r>
      <w:r>
        <w:rPr>
          <w:lang w:val="en-AU"/>
        </w:rPr>
        <w:t xml:space="preserve">se </w:t>
      </w:r>
      <w:r w:rsidRPr="00867773">
        <w:rPr>
          <w:lang w:val="en-AU"/>
        </w:rPr>
        <w:t>M</w:t>
      </w:r>
      <w:r>
        <w:rPr>
          <w:lang w:val="en-AU"/>
        </w:rPr>
        <w:t>apping</w:t>
      </w:r>
      <w:r w:rsidRPr="00867773">
        <w:rPr>
          <w:lang w:val="en-AU"/>
        </w:rPr>
        <w:t xml:space="preserve"> figures indicate that a large number of dairy farms have adopted this strategy</w:t>
      </w:r>
      <w:r>
        <w:rPr>
          <w:lang w:val="en-AU"/>
        </w:rPr>
        <w:t>;</w:t>
      </w:r>
      <w:r w:rsidRPr="00867773">
        <w:rPr>
          <w:lang w:val="en-AU"/>
        </w:rPr>
        <w:t xml:space="preserve"> </w:t>
      </w:r>
      <w:r>
        <w:rPr>
          <w:lang w:val="en-AU"/>
        </w:rPr>
        <w:t xml:space="preserve">the area of land associated with dairying (127,000ha) is now larger than the area of the properties with dairies (103,000 ha). It is not yet clear whether this option has been fully adopted for those farms where this is a viable alternative. </w:t>
      </w:r>
      <w:r w:rsidRPr="00867773">
        <w:rPr>
          <w:lang w:val="en-AU"/>
        </w:rPr>
        <w:t>The</w:t>
      </w:r>
      <w:r>
        <w:rPr>
          <w:lang w:val="en-AU"/>
        </w:rPr>
        <w:t xml:space="preserve"> skills necessary to manage</w:t>
      </w:r>
      <w:r w:rsidRPr="00867773">
        <w:rPr>
          <w:lang w:val="en-AU"/>
        </w:rPr>
        <w:t xml:space="preserve"> </w:t>
      </w:r>
      <w:r>
        <w:rPr>
          <w:lang w:val="en-AU"/>
        </w:rPr>
        <w:t xml:space="preserve">the </w:t>
      </w:r>
      <w:r w:rsidRPr="00867773">
        <w:rPr>
          <w:lang w:val="en-AU"/>
        </w:rPr>
        <w:t xml:space="preserve">increased complexity of a diverse </w:t>
      </w:r>
      <w:r>
        <w:rPr>
          <w:lang w:val="en-AU"/>
        </w:rPr>
        <w:t xml:space="preserve">feeding </w:t>
      </w:r>
      <w:r w:rsidRPr="00867773">
        <w:rPr>
          <w:lang w:val="en-AU"/>
        </w:rPr>
        <w:t>system</w:t>
      </w:r>
      <w:r>
        <w:rPr>
          <w:lang w:val="en-AU"/>
        </w:rPr>
        <w:t xml:space="preserve"> to consistently provide the energy and nutritional requirements of a dairy herd will limit the ability of some farmers to adopt this option </w:t>
      </w:r>
      <w:r w:rsidRPr="00867773">
        <w:rPr>
          <w:lang w:val="en-AU"/>
        </w:rPr>
        <w:t>(D</w:t>
      </w:r>
      <w:r>
        <w:rPr>
          <w:lang w:val="en-AU"/>
        </w:rPr>
        <w:t xml:space="preserve">airy </w:t>
      </w:r>
      <w:r w:rsidRPr="00867773">
        <w:rPr>
          <w:lang w:val="en-AU"/>
        </w:rPr>
        <w:t>A</w:t>
      </w:r>
      <w:r>
        <w:rPr>
          <w:lang w:val="en-AU"/>
        </w:rPr>
        <w:t>ustralia, 2009</w:t>
      </w:r>
      <w:r w:rsidRPr="00867773">
        <w:rPr>
          <w:lang w:val="en-AU"/>
        </w:rPr>
        <w:t xml:space="preserve"> </w:t>
      </w:r>
      <w:r>
        <w:rPr>
          <w:lang w:val="en-AU"/>
        </w:rPr>
        <w:t>and</w:t>
      </w:r>
      <w:r w:rsidRPr="00867773">
        <w:rPr>
          <w:lang w:val="en-AU"/>
        </w:rPr>
        <w:t xml:space="preserve"> Murray Dairy</w:t>
      </w:r>
      <w:r>
        <w:rPr>
          <w:lang w:val="en-AU"/>
        </w:rPr>
        <w:t>, 2001</w:t>
      </w:r>
      <w:r w:rsidRPr="00867773">
        <w:rPr>
          <w:lang w:val="en-AU"/>
        </w:rPr>
        <w:t>)</w:t>
      </w:r>
      <w:r>
        <w:rPr>
          <w:lang w:val="en-AU"/>
        </w:rPr>
        <w:t>.</w:t>
      </w:r>
    </w:p>
    <w:p w14:paraId="77A6CF4B" w14:textId="77777777" w:rsidR="00C01A50" w:rsidRDefault="00C01A50" w:rsidP="00593A9A">
      <w:pPr>
        <w:rPr>
          <w:lang w:val="en-AU"/>
        </w:rPr>
      </w:pPr>
      <w:r w:rsidRPr="00867773">
        <w:rPr>
          <w:lang w:val="en-AU"/>
        </w:rPr>
        <w:t>Doyle, Gibb and Ho</w:t>
      </w:r>
      <w:r>
        <w:rPr>
          <w:lang w:val="en-AU"/>
        </w:rPr>
        <w:t>,</w:t>
      </w:r>
      <w:r w:rsidRPr="00867773">
        <w:rPr>
          <w:lang w:val="en-AU"/>
        </w:rPr>
        <w:t xml:space="preserve"> </w:t>
      </w:r>
      <w:r>
        <w:rPr>
          <w:lang w:val="en-AU"/>
        </w:rPr>
        <w:t>(</w:t>
      </w:r>
      <w:r w:rsidRPr="00867773">
        <w:rPr>
          <w:lang w:val="en-AU"/>
        </w:rPr>
        <w:t>2009)</w:t>
      </w:r>
      <w:r>
        <w:rPr>
          <w:lang w:val="en-AU"/>
        </w:rPr>
        <w:t xml:space="preserve"> summarised the results of their review </w:t>
      </w:r>
      <w:r w:rsidRPr="00557B18">
        <w:rPr>
          <w:lang w:val="en-AU"/>
        </w:rPr>
        <w:t>of</w:t>
      </w:r>
      <w:r>
        <w:rPr>
          <w:lang w:val="en-AU"/>
        </w:rPr>
        <w:t xml:space="preserve"> </w:t>
      </w:r>
      <w:r w:rsidRPr="00557B18">
        <w:rPr>
          <w:lang w:val="en-AU"/>
        </w:rPr>
        <w:t>relevant</w:t>
      </w:r>
      <w:r>
        <w:rPr>
          <w:lang w:val="en-AU"/>
        </w:rPr>
        <w:t xml:space="preserve"> </w:t>
      </w:r>
      <w:r w:rsidRPr="00557B18">
        <w:rPr>
          <w:lang w:val="en-AU"/>
        </w:rPr>
        <w:t>information</w:t>
      </w:r>
      <w:r>
        <w:rPr>
          <w:lang w:val="en-AU"/>
        </w:rPr>
        <w:t xml:space="preserve"> </w:t>
      </w:r>
      <w:r w:rsidRPr="00557B18">
        <w:rPr>
          <w:lang w:val="en-AU"/>
        </w:rPr>
        <w:t>on</w:t>
      </w:r>
      <w:r>
        <w:rPr>
          <w:lang w:val="en-AU"/>
        </w:rPr>
        <w:t xml:space="preserve"> </w:t>
      </w:r>
      <w:r w:rsidRPr="00557B18">
        <w:rPr>
          <w:lang w:val="en-AU"/>
        </w:rPr>
        <w:t>potential</w:t>
      </w:r>
      <w:r>
        <w:rPr>
          <w:lang w:val="en-AU"/>
        </w:rPr>
        <w:t xml:space="preserve"> </w:t>
      </w:r>
      <w:r w:rsidRPr="00557B18">
        <w:rPr>
          <w:lang w:val="en-AU"/>
        </w:rPr>
        <w:t>productivity</w:t>
      </w:r>
      <w:r>
        <w:rPr>
          <w:lang w:val="en-AU"/>
        </w:rPr>
        <w:t xml:space="preserve"> </w:t>
      </w:r>
      <w:r w:rsidRPr="00557B18">
        <w:rPr>
          <w:lang w:val="en-AU"/>
        </w:rPr>
        <w:t>gains</w:t>
      </w:r>
      <w:r>
        <w:rPr>
          <w:lang w:val="en-AU"/>
        </w:rPr>
        <w:t xml:space="preserve"> </w:t>
      </w:r>
      <w:r w:rsidRPr="00557B18">
        <w:rPr>
          <w:lang w:val="en-AU"/>
        </w:rPr>
        <w:t>from</w:t>
      </w:r>
      <w:r>
        <w:rPr>
          <w:lang w:val="en-AU"/>
        </w:rPr>
        <w:t xml:space="preserve"> </w:t>
      </w:r>
      <w:r w:rsidRPr="00557B18">
        <w:rPr>
          <w:lang w:val="en-AU"/>
        </w:rPr>
        <w:t>on</w:t>
      </w:r>
      <w:r>
        <w:rPr>
          <w:lang w:val="en-AU"/>
        </w:rPr>
        <w:t xml:space="preserve"> </w:t>
      </w:r>
      <w:r w:rsidRPr="00557B18">
        <w:rPr>
          <w:lang w:val="en-AU"/>
        </w:rPr>
        <w:t>‐</w:t>
      </w:r>
      <w:r>
        <w:rPr>
          <w:lang w:val="en-AU"/>
        </w:rPr>
        <w:t xml:space="preserve"> </w:t>
      </w:r>
      <w:r w:rsidRPr="00557B18">
        <w:rPr>
          <w:lang w:val="en-AU"/>
        </w:rPr>
        <w:t>farm</w:t>
      </w:r>
      <w:r>
        <w:rPr>
          <w:lang w:val="en-AU"/>
        </w:rPr>
        <w:t xml:space="preserve"> </w:t>
      </w:r>
      <w:r w:rsidRPr="00557B18">
        <w:rPr>
          <w:lang w:val="en-AU"/>
        </w:rPr>
        <w:t>irrigation</w:t>
      </w:r>
      <w:r>
        <w:rPr>
          <w:lang w:val="en-AU"/>
        </w:rPr>
        <w:t xml:space="preserve"> </w:t>
      </w:r>
      <w:r w:rsidRPr="00557B18">
        <w:rPr>
          <w:lang w:val="en-AU"/>
        </w:rPr>
        <w:t>technology</w:t>
      </w:r>
      <w:r>
        <w:rPr>
          <w:lang w:val="en-AU"/>
        </w:rPr>
        <w:t xml:space="preserve"> in the following terms: </w:t>
      </w:r>
    </w:p>
    <w:p w14:paraId="556B6F19" w14:textId="77777777" w:rsidR="00C01A50" w:rsidRDefault="00C01A50" w:rsidP="00593A9A">
      <w:pPr>
        <w:pStyle w:val="Quote"/>
        <w:rPr>
          <w:lang w:val="en-AU"/>
        </w:rPr>
      </w:pPr>
      <w:r>
        <w:rPr>
          <w:lang w:val="en-AU"/>
        </w:rPr>
        <w:t>“</w:t>
      </w:r>
      <w:r>
        <w:t>Adoption of alternative irrigation technologies to border-check (flood) irrigation has the potential to improve forage production, to save irrigation water and labour and, hence, to increase farm profit. At farm scale, these benefits will only be achieved under high levels of management, where the technologies are used on appropriate soil types and where operators can utilise any additional (or different) forage in efficient feeding systems. It is inevitable that there will be time delays in optimising the management of new irrigation systems and that not all farmers will obtain the necessary benefits to offset capital costs. On this basis we conclude that while profit may increase on some farms adopting different irrigation technologies, the impact at regional scale will be negligible in the short to medium term (1 to 10 years). Significant risk is involved in investment in additional capital in businesses that have an uncertain future</w:t>
      </w:r>
      <w:r w:rsidRPr="00867773">
        <w:rPr>
          <w:lang w:val="en-AU"/>
        </w:rPr>
        <w:t>.</w:t>
      </w:r>
      <w:r>
        <w:rPr>
          <w:lang w:val="en-AU"/>
        </w:rPr>
        <w:t xml:space="preserve">” </w:t>
      </w:r>
    </w:p>
    <w:p w14:paraId="1591FFDB" w14:textId="77777777" w:rsidR="00C01A50" w:rsidRDefault="00C01A50" w:rsidP="00593A9A">
      <w:pPr>
        <w:rPr>
          <w:lang w:val="en-AU"/>
        </w:rPr>
      </w:pPr>
      <w:r>
        <w:rPr>
          <w:lang w:val="en-AU"/>
        </w:rPr>
        <w:t>The open question now is whether we are approaching the 10-year time scale they referred to, and, if so, whether the remaining dairy farmers in the GMID, operating at larger scales, have the requisite high levels of management to take advantage of those technologies?</w:t>
      </w:r>
    </w:p>
    <w:p w14:paraId="1D112C02" w14:textId="77777777" w:rsidR="00C01A50" w:rsidRPr="00867773" w:rsidRDefault="00C01A50" w:rsidP="00593A9A">
      <w:pPr>
        <w:rPr>
          <w:lang w:val="en-AU"/>
        </w:rPr>
      </w:pPr>
      <w:r>
        <w:rPr>
          <w:lang w:val="en-AU"/>
        </w:rPr>
        <w:lastRenderedPageBreak/>
        <w:t>T</w:t>
      </w:r>
      <w:r w:rsidRPr="00867773">
        <w:rPr>
          <w:lang w:val="en-AU"/>
        </w:rPr>
        <w:t xml:space="preserve">here </w:t>
      </w:r>
      <w:r>
        <w:rPr>
          <w:lang w:val="en-AU"/>
        </w:rPr>
        <w:t xml:space="preserve">are also </w:t>
      </w:r>
      <w:r w:rsidRPr="00867773">
        <w:rPr>
          <w:lang w:val="en-AU"/>
        </w:rPr>
        <w:t>limit</w:t>
      </w:r>
      <w:r>
        <w:rPr>
          <w:lang w:val="en-AU"/>
        </w:rPr>
        <w:t>s</w:t>
      </w:r>
      <w:r w:rsidRPr="00867773">
        <w:rPr>
          <w:lang w:val="en-AU"/>
        </w:rPr>
        <w:t xml:space="preserve"> to</w:t>
      </w:r>
      <w:r>
        <w:rPr>
          <w:lang w:val="en-AU"/>
        </w:rPr>
        <w:t xml:space="preserve"> the</w:t>
      </w:r>
      <w:r w:rsidRPr="00867773">
        <w:rPr>
          <w:lang w:val="en-AU"/>
        </w:rPr>
        <w:t xml:space="preserve"> </w:t>
      </w:r>
      <w:r>
        <w:rPr>
          <w:lang w:val="en-AU"/>
        </w:rPr>
        <w:t xml:space="preserve">efficiencies to be achieved by increasing </w:t>
      </w:r>
      <w:r w:rsidRPr="00867773">
        <w:rPr>
          <w:lang w:val="en-AU"/>
        </w:rPr>
        <w:t>economies of scale</w:t>
      </w:r>
      <w:r>
        <w:rPr>
          <w:lang w:val="en-AU"/>
        </w:rPr>
        <w:t xml:space="preserve"> –</w:t>
      </w:r>
      <w:r w:rsidRPr="00867773">
        <w:rPr>
          <w:lang w:val="en-AU"/>
        </w:rPr>
        <w:t xml:space="preserve"> given the high variable costs associated with each additional cow in the herd (e.g. variable costs are about 60</w:t>
      </w:r>
      <w:r>
        <w:rPr>
          <w:lang w:val="en-AU"/>
        </w:rPr>
        <w:t>%</w:t>
      </w:r>
      <w:r w:rsidRPr="00867773">
        <w:rPr>
          <w:lang w:val="en-AU"/>
        </w:rPr>
        <w:t xml:space="preserve"> of total costs for dairy farms in the three regions of Victoria)</w:t>
      </w:r>
      <w:r w:rsidRPr="00867773">
        <w:rPr>
          <w:vertAlign w:val="superscript"/>
          <w:lang w:val="en-AU"/>
        </w:rPr>
        <w:footnoteReference w:id="14"/>
      </w:r>
      <w:r w:rsidRPr="00867773">
        <w:rPr>
          <w:lang w:val="en-AU"/>
        </w:rPr>
        <w:t>.</w:t>
      </w:r>
      <w:r>
        <w:rPr>
          <w:lang w:val="en-AU"/>
        </w:rPr>
        <w:t xml:space="preserve"> Finally, the other key options such as </w:t>
      </w:r>
      <w:r w:rsidRPr="00867773">
        <w:rPr>
          <w:lang w:val="en-AU"/>
        </w:rPr>
        <w:t>improv</w:t>
      </w:r>
      <w:r>
        <w:rPr>
          <w:lang w:val="en-AU"/>
        </w:rPr>
        <w:t xml:space="preserve">ing herd </w:t>
      </w:r>
      <w:r w:rsidRPr="00867773">
        <w:rPr>
          <w:lang w:val="en-AU"/>
        </w:rPr>
        <w:t>genetics</w:t>
      </w:r>
      <w:r>
        <w:rPr>
          <w:lang w:val="en-AU"/>
        </w:rPr>
        <w:t xml:space="preserve"> to improve feed conversion to milk have also already been widely adopted and are now facing </w:t>
      </w:r>
      <w:r w:rsidRPr="00867773">
        <w:rPr>
          <w:lang w:val="en-AU"/>
        </w:rPr>
        <w:t xml:space="preserve">limits </w:t>
      </w:r>
      <w:r>
        <w:rPr>
          <w:lang w:val="en-AU"/>
        </w:rPr>
        <w:t>due to</w:t>
      </w:r>
      <w:r w:rsidRPr="00867773">
        <w:rPr>
          <w:lang w:val="en-AU"/>
        </w:rPr>
        <w:t xml:space="preserve"> issues with </w:t>
      </w:r>
      <w:r>
        <w:rPr>
          <w:lang w:val="en-AU"/>
        </w:rPr>
        <w:t xml:space="preserve">reduced </w:t>
      </w:r>
      <w:r w:rsidRPr="00867773">
        <w:rPr>
          <w:lang w:val="en-AU"/>
        </w:rPr>
        <w:t xml:space="preserve">fertility and </w:t>
      </w:r>
      <w:r>
        <w:rPr>
          <w:lang w:val="en-AU"/>
        </w:rPr>
        <w:t xml:space="preserve">the </w:t>
      </w:r>
      <w:r w:rsidRPr="00867773">
        <w:rPr>
          <w:lang w:val="en-AU"/>
        </w:rPr>
        <w:t>precision of feeding strategies</w:t>
      </w:r>
      <w:r>
        <w:rPr>
          <w:lang w:val="en-AU"/>
        </w:rPr>
        <w:t xml:space="preserve"> needed</w:t>
      </w:r>
      <w:r w:rsidRPr="00867773">
        <w:rPr>
          <w:lang w:val="en-AU"/>
        </w:rPr>
        <w:t xml:space="preserve"> to match </w:t>
      </w:r>
      <w:r>
        <w:rPr>
          <w:lang w:val="en-AU"/>
        </w:rPr>
        <w:t xml:space="preserve">the </w:t>
      </w:r>
      <w:r w:rsidRPr="00867773">
        <w:rPr>
          <w:lang w:val="en-AU"/>
        </w:rPr>
        <w:t xml:space="preserve">energy requirements </w:t>
      </w:r>
      <w:r>
        <w:rPr>
          <w:lang w:val="en-AU"/>
        </w:rPr>
        <w:t>of cows (</w:t>
      </w:r>
      <w:r w:rsidR="00AC04C4">
        <w:rPr>
          <w:lang w:val="en-AU"/>
        </w:rPr>
        <w:t>Dairy Australia, 2009b</w:t>
      </w:r>
      <w:r>
        <w:rPr>
          <w:lang w:val="en-AU"/>
        </w:rPr>
        <w:t>).</w:t>
      </w:r>
      <w:r w:rsidRPr="00867773">
        <w:rPr>
          <w:lang w:val="en-AU"/>
        </w:rPr>
        <w:t xml:space="preserve"> </w:t>
      </w:r>
    </w:p>
    <w:p w14:paraId="36D20C17" w14:textId="77777777" w:rsidR="00C01A50" w:rsidRPr="00867773" w:rsidRDefault="00C01A50" w:rsidP="00593A9A">
      <w:pPr>
        <w:rPr>
          <w:lang w:val="en-AU"/>
        </w:rPr>
      </w:pPr>
      <w:r>
        <w:rPr>
          <w:lang w:val="en-AU"/>
        </w:rPr>
        <w:t xml:space="preserve">The water market enables individual dairy farmers to obtain </w:t>
      </w:r>
      <w:r w:rsidRPr="004C6E91">
        <w:rPr>
          <w:i/>
          <w:lang w:val="en-AU"/>
        </w:rPr>
        <w:t>new supplies</w:t>
      </w:r>
      <w:r>
        <w:rPr>
          <w:lang w:val="en-AU"/>
        </w:rPr>
        <w:t xml:space="preserve"> of water, but in dry years, competition from horticulturalists will drive allocation prices up to the point where other strategies must be explored.  In a recent survey designed to support a land use </w:t>
      </w:r>
      <w:r w:rsidR="00490351">
        <w:rPr>
          <w:lang w:val="en-AU"/>
        </w:rPr>
        <w:t>mapping</w:t>
      </w:r>
      <w:r>
        <w:rPr>
          <w:lang w:val="en-AU"/>
        </w:rPr>
        <w:t xml:space="preserve"> project for </w:t>
      </w:r>
      <w:r w:rsidR="00A34F27">
        <w:rPr>
          <w:lang w:val="en-AU"/>
        </w:rPr>
        <w:t>Goulburn Broken</w:t>
      </w:r>
      <w:r>
        <w:rPr>
          <w:lang w:val="en-AU"/>
        </w:rPr>
        <w:t xml:space="preserve"> CMA, </w:t>
      </w:r>
      <w:r w:rsidRPr="00867773">
        <w:rPr>
          <w:lang w:val="en-AU"/>
        </w:rPr>
        <w:t xml:space="preserve">78% of </w:t>
      </w:r>
      <w:r>
        <w:rPr>
          <w:lang w:val="en-AU"/>
        </w:rPr>
        <w:t xml:space="preserve">dairy </w:t>
      </w:r>
      <w:r w:rsidRPr="00867773">
        <w:rPr>
          <w:lang w:val="en-AU"/>
        </w:rPr>
        <w:t xml:space="preserve">farmers </w:t>
      </w:r>
      <w:r>
        <w:rPr>
          <w:lang w:val="en-AU"/>
        </w:rPr>
        <w:t xml:space="preserve">indicated that </w:t>
      </w:r>
      <w:r w:rsidRPr="00867773">
        <w:rPr>
          <w:lang w:val="en-AU"/>
        </w:rPr>
        <w:t xml:space="preserve">they </w:t>
      </w:r>
      <w:r>
        <w:rPr>
          <w:lang w:val="en-AU"/>
        </w:rPr>
        <w:t>could not</w:t>
      </w:r>
      <w:r w:rsidRPr="00867773">
        <w:rPr>
          <w:lang w:val="en-AU"/>
        </w:rPr>
        <w:t xml:space="preserve"> pay more than $200/ML </w:t>
      </w:r>
      <w:r>
        <w:rPr>
          <w:lang w:val="en-AU"/>
        </w:rPr>
        <w:t>(</w:t>
      </w:r>
      <w:r w:rsidR="00A34F27">
        <w:rPr>
          <w:lang w:val="en-AU"/>
        </w:rPr>
        <w:t>Goulburn Broken</w:t>
      </w:r>
      <w:r>
        <w:rPr>
          <w:lang w:val="en-AU"/>
        </w:rPr>
        <w:t xml:space="preserve"> CMA, unpublished). Alternative </w:t>
      </w:r>
      <w:r>
        <w:t xml:space="preserve">groundwater </w:t>
      </w:r>
      <w:r w:rsidR="00C47EE8">
        <w:t xml:space="preserve">supplies </w:t>
      </w:r>
      <w:r>
        <w:t xml:space="preserve">have </w:t>
      </w:r>
      <w:r w:rsidR="00113CD2">
        <w:t xml:space="preserve">now </w:t>
      </w:r>
      <w:r>
        <w:t>largely been exploited</w:t>
      </w:r>
      <w:r w:rsidR="00113CD2">
        <w:t>,</w:t>
      </w:r>
      <w:r>
        <w:t xml:space="preserve"> following the widespread installation of groundwater pumps since the late 1980s to control salinity.</w:t>
      </w:r>
      <w:r>
        <w:rPr>
          <w:lang w:val="en-AU"/>
        </w:rPr>
        <w:t xml:space="preserve"> Pumping has now stabilised </w:t>
      </w:r>
      <w:r w:rsidR="00113CD2">
        <w:rPr>
          <w:lang w:val="en-AU"/>
        </w:rPr>
        <w:t>at</w:t>
      </w:r>
      <w:r>
        <w:rPr>
          <w:lang w:val="en-AU"/>
        </w:rPr>
        <w:t xml:space="preserve"> the volume that can sustainably be pumped and used on dairy farms</w:t>
      </w:r>
      <w:r w:rsidRPr="00867773">
        <w:rPr>
          <w:lang w:val="en-AU"/>
        </w:rPr>
        <w:t>.</w:t>
      </w:r>
    </w:p>
    <w:p w14:paraId="33268D26" w14:textId="77777777" w:rsidR="00C01A50" w:rsidRPr="00867773" w:rsidRDefault="00C01A50" w:rsidP="00593A9A">
      <w:pPr>
        <w:rPr>
          <w:lang w:val="en-AU"/>
        </w:rPr>
      </w:pPr>
      <w:r>
        <w:rPr>
          <w:lang w:val="en-AU"/>
        </w:rPr>
        <w:t xml:space="preserve">Given that many of the </w:t>
      </w:r>
      <w:r w:rsidRPr="0011743A">
        <w:rPr>
          <w:i/>
          <w:lang w:val="en-AU"/>
        </w:rPr>
        <w:t xml:space="preserve">substitution, efficiency </w:t>
      </w:r>
      <w:r w:rsidRPr="0011743A">
        <w:rPr>
          <w:lang w:val="en-AU"/>
        </w:rPr>
        <w:t>and</w:t>
      </w:r>
      <w:r w:rsidRPr="0011743A">
        <w:rPr>
          <w:i/>
          <w:lang w:val="en-AU"/>
        </w:rPr>
        <w:t xml:space="preserve"> </w:t>
      </w:r>
      <w:r>
        <w:rPr>
          <w:i/>
          <w:lang w:val="en-AU"/>
        </w:rPr>
        <w:t>alternative</w:t>
      </w:r>
      <w:r w:rsidRPr="0011743A">
        <w:rPr>
          <w:i/>
          <w:lang w:val="en-AU"/>
        </w:rPr>
        <w:t xml:space="preserve"> supply</w:t>
      </w:r>
      <w:r>
        <w:rPr>
          <w:lang w:val="en-AU"/>
        </w:rPr>
        <w:t xml:space="preserve"> options have already been widely adopted across the industry, it is likely that some dairy farmers will need to adopt </w:t>
      </w:r>
      <w:r w:rsidRPr="0011743A">
        <w:rPr>
          <w:lang w:val="en-AU"/>
        </w:rPr>
        <w:t>exit</w:t>
      </w:r>
      <w:r>
        <w:rPr>
          <w:lang w:val="en-AU"/>
        </w:rPr>
        <w:t xml:space="preserve"> options from their current farming systems. These could include increasing their holdings of high reliability water shares. The appropriate holding would </w:t>
      </w:r>
      <w:r w:rsidRPr="0011743A">
        <w:rPr>
          <w:lang w:val="en-AU"/>
        </w:rPr>
        <w:t xml:space="preserve">depend on the individual circumstances on the farm but indications are that the current on-farm mix is not appropriate for many dairy farms. </w:t>
      </w:r>
      <w:r>
        <w:rPr>
          <w:lang w:val="en-AU"/>
        </w:rPr>
        <w:t xml:space="preserve">In the recent survey referred to above, </w:t>
      </w:r>
      <w:r w:rsidRPr="00867773">
        <w:rPr>
          <w:lang w:val="en-AU"/>
        </w:rPr>
        <w:t xml:space="preserve">60% </w:t>
      </w:r>
      <w:r>
        <w:rPr>
          <w:lang w:val="en-AU"/>
        </w:rPr>
        <w:t>of dairy farmers indicated</w:t>
      </w:r>
      <w:r w:rsidRPr="00867773">
        <w:rPr>
          <w:lang w:val="en-AU"/>
        </w:rPr>
        <w:t xml:space="preserve"> that </w:t>
      </w:r>
      <w:r>
        <w:rPr>
          <w:lang w:val="en-AU"/>
        </w:rPr>
        <w:t xml:space="preserve">although </w:t>
      </w:r>
      <w:r w:rsidRPr="00867773">
        <w:rPr>
          <w:lang w:val="en-AU"/>
        </w:rPr>
        <w:t xml:space="preserve">allocation trade is </w:t>
      </w:r>
      <w:r>
        <w:rPr>
          <w:lang w:val="en-AU"/>
        </w:rPr>
        <w:t xml:space="preserve">currently </w:t>
      </w:r>
      <w:r w:rsidRPr="00867773">
        <w:rPr>
          <w:lang w:val="en-AU"/>
        </w:rPr>
        <w:t>a part o</w:t>
      </w:r>
      <w:r>
        <w:rPr>
          <w:lang w:val="en-AU"/>
        </w:rPr>
        <w:t xml:space="preserve">f their long-term business plan, their reliance on </w:t>
      </w:r>
      <w:r w:rsidRPr="00867773">
        <w:rPr>
          <w:lang w:val="en-AU"/>
        </w:rPr>
        <w:t xml:space="preserve">allocation trade </w:t>
      </w:r>
      <w:r>
        <w:rPr>
          <w:lang w:val="en-AU"/>
        </w:rPr>
        <w:t xml:space="preserve">is </w:t>
      </w:r>
      <w:r w:rsidRPr="00867773">
        <w:rPr>
          <w:lang w:val="en-AU"/>
        </w:rPr>
        <w:t>negatively affect</w:t>
      </w:r>
      <w:r>
        <w:rPr>
          <w:lang w:val="en-AU"/>
        </w:rPr>
        <w:t>ing</w:t>
      </w:r>
      <w:r w:rsidRPr="00867773">
        <w:rPr>
          <w:lang w:val="en-AU"/>
        </w:rPr>
        <w:t xml:space="preserve"> their ability to plan, </w:t>
      </w:r>
      <w:r>
        <w:rPr>
          <w:lang w:val="en-AU"/>
        </w:rPr>
        <w:t xml:space="preserve">their ability to </w:t>
      </w:r>
      <w:r w:rsidRPr="00867773">
        <w:rPr>
          <w:lang w:val="en-AU"/>
        </w:rPr>
        <w:t xml:space="preserve">implement a water budget and </w:t>
      </w:r>
      <w:r>
        <w:rPr>
          <w:lang w:val="en-AU"/>
        </w:rPr>
        <w:t xml:space="preserve">their </w:t>
      </w:r>
      <w:r w:rsidRPr="00867773">
        <w:rPr>
          <w:lang w:val="en-AU"/>
        </w:rPr>
        <w:t>ease of operation.</w:t>
      </w:r>
      <w:r w:rsidRPr="0011743A">
        <w:rPr>
          <w:lang w:val="en-AU"/>
        </w:rPr>
        <w:t xml:space="preserve"> </w:t>
      </w:r>
      <w:r>
        <w:rPr>
          <w:lang w:val="en-AU"/>
        </w:rPr>
        <w:t>For other dairy farmers less reliant on allocation purchases, the water market gives them flexibility.</w:t>
      </w:r>
    </w:p>
    <w:p w14:paraId="6901A685" w14:textId="77777777" w:rsidR="00C01A50" w:rsidRDefault="00C01A50" w:rsidP="00593A9A">
      <w:r>
        <w:t>Ostensibly another option would be to increase the</w:t>
      </w:r>
      <w:r w:rsidRPr="00687F2C">
        <w:t xml:space="preserve"> income</w:t>
      </w:r>
      <w:r>
        <w:t xml:space="preserve"> from other sources than dairying. </w:t>
      </w:r>
      <w:r w:rsidRPr="00687F2C">
        <w:t>Dairy farming is labour intensive</w:t>
      </w:r>
      <w:r>
        <w:t>, operate</w:t>
      </w:r>
      <w:r w:rsidR="00666229">
        <w:t>s</w:t>
      </w:r>
      <w:r w:rsidRPr="00687F2C">
        <w:t xml:space="preserve"> seven days a week </w:t>
      </w:r>
      <w:r>
        <w:t>with</w:t>
      </w:r>
      <w:r w:rsidRPr="00687F2C">
        <w:t xml:space="preserve"> very few managed part time</w:t>
      </w:r>
      <w:r>
        <w:t xml:space="preserve"> and this naturally limits the opportunities for off-farm income. </w:t>
      </w:r>
      <w:r w:rsidR="006C395C" w:rsidRPr="00867773">
        <w:rPr>
          <w:vertAlign w:val="superscript"/>
        </w:rPr>
        <w:footnoteReference w:id="15"/>
      </w:r>
    </w:p>
    <w:p w14:paraId="7F5E3399" w14:textId="77777777" w:rsidR="00C01A50" w:rsidRDefault="00C01A50" w:rsidP="00593A9A">
      <w:pPr>
        <w:rPr>
          <w:lang w:val="en-AU"/>
        </w:rPr>
      </w:pPr>
      <w:r>
        <w:t xml:space="preserve">A common exit option used in the later years of the Millennium Drought was to reduce the size of the herd. Although all farms </w:t>
      </w:r>
      <w:r w:rsidRPr="00867773">
        <w:rPr>
          <w:lang w:val="en-AU"/>
        </w:rPr>
        <w:t>annual</w:t>
      </w:r>
      <w:r>
        <w:rPr>
          <w:lang w:val="en-AU"/>
        </w:rPr>
        <w:t>ly sell</w:t>
      </w:r>
      <w:r w:rsidRPr="00867773">
        <w:rPr>
          <w:lang w:val="en-AU"/>
        </w:rPr>
        <w:t xml:space="preserve"> poor performing cows with </w:t>
      </w:r>
      <w:r>
        <w:rPr>
          <w:lang w:val="en-AU"/>
        </w:rPr>
        <w:t xml:space="preserve">the </w:t>
      </w:r>
      <w:r w:rsidRPr="00867773">
        <w:rPr>
          <w:lang w:val="en-AU"/>
        </w:rPr>
        <w:t xml:space="preserve">aim </w:t>
      </w:r>
      <w:r>
        <w:rPr>
          <w:lang w:val="en-AU"/>
        </w:rPr>
        <w:t>of</w:t>
      </w:r>
      <w:r w:rsidRPr="00867773">
        <w:rPr>
          <w:lang w:val="en-AU"/>
        </w:rPr>
        <w:t xml:space="preserve"> improv</w:t>
      </w:r>
      <w:r>
        <w:rPr>
          <w:lang w:val="en-AU"/>
        </w:rPr>
        <w:t>ing</w:t>
      </w:r>
      <w:r w:rsidRPr="00867773">
        <w:rPr>
          <w:lang w:val="en-AU"/>
        </w:rPr>
        <w:t xml:space="preserve"> productivity</w:t>
      </w:r>
      <w:r>
        <w:rPr>
          <w:lang w:val="en-AU"/>
        </w:rPr>
        <w:t>,</w:t>
      </w:r>
      <w:r w:rsidRPr="00867773">
        <w:rPr>
          <w:lang w:val="en-AU"/>
        </w:rPr>
        <w:t xml:space="preserve"> beyond that </w:t>
      </w:r>
      <w:r>
        <w:rPr>
          <w:lang w:val="en-AU"/>
        </w:rPr>
        <w:t xml:space="preserve">selling cows will have a </w:t>
      </w:r>
      <w:r w:rsidRPr="00867773">
        <w:rPr>
          <w:lang w:val="en-AU"/>
        </w:rPr>
        <w:t>direct impact on income</w:t>
      </w:r>
      <w:r>
        <w:rPr>
          <w:lang w:val="en-AU"/>
        </w:rPr>
        <w:t xml:space="preserve"> and is unlikely to be implemented outside an extended drought.</w:t>
      </w:r>
    </w:p>
    <w:p w14:paraId="5BEE7B60" w14:textId="77777777" w:rsidR="00C01A50" w:rsidRDefault="00C01A50" w:rsidP="00234852">
      <w:pPr>
        <w:pStyle w:val="Heading2"/>
        <w:rPr>
          <w:lang w:val="en-AU"/>
        </w:rPr>
      </w:pPr>
      <w:bookmarkStart w:id="167" w:name="_Toc347747835"/>
      <w:r>
        <w:rPr>
          <w:lang w:val="en-AU"/>
        </w:rPr>
        <w:t>Supporting evidence coming out of the land use mapping survey</w:t>
      </w:r>
      <w:bookmarkEnd w:id="167"/>
    </w:p>
    <w:p w14:paraId="67000962" w14:textId="6BAF0D78" w:rsidR="00C01A50" w:rsidRPr="00EB52CF" w:rsidRDefault="00C01A50" w:rsidP="00234852">
      <w:pPr>
        <w:rPr>
          <w:lang w:val="en-US"/>
        </w:rPr>
      </w:pPr>
      <w:r>
        <w:t xml:space="preserve">The relationships studied in </w:t>
      </w:r>
      <w:r w:rsidR="00A34F27">
        <w:t>Goulburn Broken</w:t>
      </w:r>
      <w:r>
        <w:t xml:space="preserve"> CMA’s recent land use mapping survey as outlined in </w:t>
      </w:r>
      <w:r>
        <w:fldChar w:fldCharType="begin"/>
      </w:r>
      <w:r>
        <w:instrText xml:space="preserve"> REF _Ref342485441 \h </w:instrText>
      </w:r>
      <w:r>
        <w:fldChar w:fldCharType="separate"/>
      </w:r>
      <w:r w:rsidR="008E5D7A" w:rsidRPr="00A362EF">
        <w:t xml:space="preserve">Table </w:t>
      </w:r>
      <w:r w:rsidR="008E5D7A">
        <w:rPr>
          <w:noProof/>
        </w:rPr>
        <w:t>6</w:t>
      </w:r>
      <w:r>
        <w:fldChar w:fldCharType="end"/>
      </w:r>
      <w:r>
        <w:t xml:space="preserve"> below generally support the arguments outlined above </w:t>
      </w:r>
      <w:r>
        <w:rPr>
          <w:lang w:val="en-AU"/>
        </w:rPr>
        <w:t>(</w:t>
      </w:r>
      <w:r w:rsidR="00A34F27">
        <w:rPr>
          <w:lang w:val="en-AU"/>
        </w:rPr>
        <w:t>Goulburn Broken</w:t>
      </w:r>
      <w:r>
        <w:rPr>
          <w:lang w:val="en-AU"/>
        </w:rPr>
        <w:t xml:space="preserve"> CMA, unpublished)</w:t>
      </w:r>
      <w:r>
        <w:t>. It is important to note however</w:t>
      </w:r>
      <w:r w:rsidR="0000068E">
        <w:t>,</w:t>
      </w:r>
      <w:r>
        <w:t xml:space="preserve"> that </w:t>
      </w:r>
      <w:r w:rsidRPr="00EB52CF">
        <w:rPr>
          <w:lang w:val="en-US"/>
        </w:rPr>
        <w:t>relationship does not mean causation</w:t>
      </w:r>
      <w:r>
        <w:rPr>
          <w:lang w:val="en-US"/>
        </w:rPr>
        <w:t xml:space="preserve">. It is also important to note that the survey was conducted </w:t>
      </w:r>
      <w:r w:rsidRPr="00192E8B">
        <w:rPr>
          <w:lang w:val="en-US"/>
        </w:rPr>
        <w:t xml:space="preserve">in </w:t>
      </w:r>
      <w:r w:rsidR="006C395C" w:rsidRPr="00192E8B">
        <w:rPr>
          <w:lang w:val="en-US"/>
        </w:rPr>
        <w:t>20015/</w:t>
      </w:r>
      <w:r w:rsidRPr="00192E8B">
        <w:rPr>
          <w:lang w:val="en-US"/>
        </w:rPr>
        <w:t xml:space="preserve">16 when </w:t>
      </w:r>
      <w:r w:rsidR="008B10A8" w:rsidRPr="00192E8B">
        <w:rPr>
          <w:lang w:val="en-US"/>
        </w:rPr>
        <w:t xml:space="preserve">NSW allocations were low and the </w:t>
      </w:r>
      <w:r w:rsidR="00311C7F" w:rsidRPr="00192E8B">
        <w:rPr>
          <w:lang w:val="en-US"/>
        </w:rPr>
        <w:t>high levels of carryover accumulated during the La Ni</w:t>
      </w:r>
      <w:r w:rsidR="0000068E">
        <w:rPr>
          <w:lang w:val="en-US"/>
        </w:rPr>
        <w:t>ñ</w:t>
      </w:r>
      <w:r w:rsidR="00311C7F" w:rsidRPr="00192E8B">
        <w:rPr>
          <w:lang w:val="en-US"/>
        </w:rPr>
        <w:t xml:space="preserve">a years, which had been masking the effects of the Basin Plan, had </w:t>
      </w:r>
      <w:r w:rsidR="00311C7F" w:rsidRPr="00192E8B">
        <w:rPr>
          <w:lang w:val="en-US"/>
        </w:rPr>
        <w:lastRenderedPageBreak/>
        <w:t>dropped back to lower levels. As recorded by DELWP (2016</w:t>
      </w:r>
      <w:r w:rsidR="004D3C4E">
        <w:rPr>
          <w:lang w:val="en-US"/>
        </w:rPr>
        <w:t>a</w:t>
      </w:r>
      <w:r w:rsidR="00311C7F" w:rsidRPr="00192E8B">
        <w:rPr>
          <w:lang w:val="en-US"/>
        </w:rPr>
        <w:t xml:space="preserve">) </w:t>
      </w:r>
      <w:r w:rsidRPr="00192E8B">
        <w:rPr>
          <w:lang w:val="en-US"/>
        </w:rPr>
        <w:t>there was</w:t>
      </w:r>
      <w:r w:rsidR="00D17F15" w:rsidRPr="00192E8B">
        <w:rPr>
          <w:lang w:val="en-US"/>
        </w:rPr>
        <w:t xml:space="preserve"> widespread uneasiness about the water market in that year</w:t>
      </w:r>
      <w:r w:rsidR="009F1926" w:rsidRPr="00192E8B">
        <w:rPr>
          <w:lang w:val="en-US"/>
        </w:rPr>
        <w:t>.</w:t>
      </w:r>
      <w:r w:rsidR="00D17F15" w:rsidRPr="00192E8B">
        <w:rPr>
          <w:lang w:val="en-US"/>
        </w:rPr>
        <w:t xml:space="preserve"> </w:t>
      </w:r>
      <w:r w:rsidR="00192E8B" w:rsidRPr="00192E8B">
        <w:rPr>
          <w:lang w:val="en-US"/>
        </w:rPr>
        <w:t>Media outlets reported assertions about speculators “corrupting” the market, and calls for such participants to be excluded. In fact, the price rise was principally a sign of water again becoming in short supply and in strong demand</w:t>
      </w:r>
      <w:r w:rsidR="00192E8B">
        <w:rPr>
          <w:lang w:val="en-US"/>
        </w:rPr>
        <w:t xml:space="preserve"> (DELWP, 2016</w:t>
      </w:r>
      <w:r w:rsidR="001D2D0D">
        <w:rPr>
          <w:lang w:val="en-US"/>
        </w:rPr>
        <w:t>a</w:t>
      </w:r>
      <w:r w:rsidR="00192E8B">
        <w:rPr>
          <w:lang w:val="en-US"/>
        </w:rPr>
        <w:t>).</w:t>
      </w:r>
    </w:p>
    <w:p w14:paraId="0774E9F1" w14:textId="77777777" w:rsidR="00C01A50" w:rsidRDefault="00C01A50" w:rsidP="009F48C0">
      <w:pPr>
        <w:pStyle w:val="Caption"/>
        <w:keepNext/>
      </w:pPr>
      <w:bookmarkStart w:id="168" w:name="_Ref342485441"/>
      <w:r w:rsidRPr="00A362EF">
        <w:t xml:space="preserve">Table </w:t>
      </w:r>
      <w:r w:rsidRPr="00A362EF">
        <w:fldChar w:fldCharType="begin"/>
      </w:r>
      <w:r w:rsidRPr="00A362EF">
        <w:instrText xml:space="preserve"> SEQ Table \* ARABIC </w:instrText>
      </w:r>
      <w:r w:rsidRPr="00A362EF">
        <w:fldChar w:fldCharType="separate"/>
      </w:r>
      <w:r w:rsidR="008E5D7A">
        <w:rPr>
          <w:noProof/>
        </w:rPr>
        <w:t>6</w:t>
      </w:r>
      <w:r w:rsidRPr="00A362EF">
        <w:fldChar w:fldCharType="end"/>
      </w:r>
      <w:bookmarkEnd w:id="168"/>
      <w:r w:rsidRPr="00A362EF">
        <w:t xml:space="preserve">: Relationships tested through the survey for </w:t>
      </w:r>
      <w:r w:rsidR="00A34F27">
        <w:t>Goulburn Broken</w:t>
      </w:r>
      <w:r w:rsidRPr="00A362EF">
        <w:t xml:space="preserve"> CMA’s Land Use Mapping Project </w:t>
      </w:r>
      <w:r w:rsidRPr="00A362EF">
        <w:rPr>
          <w:lang w:val="en-AU"/>
        </w:rPr>
        <w:t>(</w:t>
      </w:r>
      <w:r w:rsidR="00A34F27">
        <w:rPr>
          <w:lang w:val="en-AU"/>
        </w:rPr>
        <w:t>Goulburn Broken</w:t>
      </w:r>
      <w:r w:rsidRPr="00A362EF">
        <w:rPr>
          <w:lang w:val="en-AU"/>
        </w:rPr>
        <w:t xml:space="preserve"> CMA, unpublished</w:t>
      </w:r>
      <w:r w:rsidRPr="0074063E">
        <w:t>)</w:t>
      </w:r>
      <w:r>
        <w:t xml:space="preserve"> </w:t>
      </w:r>
    </w:p>
    <w:tbl>
      <w:tblPr>
        <w:tblW w:w="0" w:type="auto"/>
        <w:tblCellMar>
          <w:left w:w="0" w:type="dxa"/>
          <w:right w:w="0" w:type="dxa"/>
        </w:tblCellMar>
        <w:tblLook w:val="0420" w:firstRow="1" w:lastRow="0" w:firstColumn="0" w:lastColumn="0" w:noHBand="0" w:noVBand="1"/>
      </w:tblPr>
      <w:tblGrid>
        <w:gridCol w:w="5233"/>
        <w:gridCol w:w="1244"/>
        <w:gridCol w:w="949"/>
        <w:gridCol w:w="1732"/>
      </w:tblGrid>
      <w:tr w:rsidR="00C01A50" w:rsidRPr="009F48C0" w14:paraId="5881FA48" w14:textId="77777777">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2B3F8743" w14:textId="77777777" w:rsidR="00C01A50" w:rsidRPr="009F48C0" w:rsidRDefault="00C01A50" w:rsidP="009F48C0">
            <w:pPr>
              <w:spacing w:before="40" w:after="40"/>
              <w:jc w:val="center"/>
              <w:rPr>
                <w:color w:val="FFFFFF" w:themeColor="background1"/>
                <w:sz w:val="18"/>
                <w:szCs w:val="18"/>
                <w:lang w:val="en-AU"/>
              </w:rPr>
            </w:pPr>
            <w:r w:rsidRPr="009F48C0">
              <w:rPr>
                <w:b/>
                <w:bCs/>
                <w:color w:val="FFFFFF" w:themeColor="background1"/>
                <w:sz w:val="18"/>
                <w:szCs w:val="18"/>
                <w:lang w:val="en-AU"/>
              </w:rPr>
              <w:t>Relationships</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3F34DE78" w14:textId="77777777" w:rsidR="00C01A50" w:rsidRPr="009F48C0" w:rsidRDefault="00C01A50" w:rsidP="009F48C0">
            <w:pPr>
              <w:spacing w:before="40" w:after="40"/>
              <w:jc w:val="center"/>
              <w:rPr>
                <w:color w:val="FFFFFF" w:themeColor="background1"/>
                <w:sz w:val="18"/>
                <w:szCs w:val="18"/>
                <w:lang w:val="en-AU"/>
              </w:rPr>
            </w:pPr>
            <w:r w:rsidRPr="009F48C0">
              <w:rPr>
                <w:b/>
                <w:bCs/>
                <w:color w:val="FFFFFF" w:themeColor="background1"/>
                <w:sz w:val="18"/>
                <w:szCs w:val="18"/>
                <w:lang w:val="en-AU"/>
              </w:rPr>
              <w:t>Test</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6A478638" w14:textId="77777777" w:rsidR="00C01A50" w:rsidRPr="009F48C0" w:rsidRDefault="00C01A50" w:rsidP="009F48C0">
            <w:pPr>
              <w:spacing w:before="40" w:after="40"/>
              <w:jc w:val="center"/>
              <w:rPr>
                <w:color w:val="FFFFFF" w:themeColor="background1"/>
                <w:sz w:val="18"/>
                <w:szCs w:val="18"/>
                <w:lang w:val="en-AU"/>
              </w:rPr>
            </w:pPr>
            <w:r w:rsidRPr="009F48C0">
              <w:rPr>
                <w:b/>
                <w:bCs/>
                <w:color w:val="FFFFFF" w:themeColor="background1"/>
                <w:sz w:val="18"/>
                <w:szCs w:val="18"/>
                <w:lang w:val="en-AU"/>
              </w:rPr>
              <w:t>Test value</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4F5105F" w14:textId="77777777" w:rsidR="00C01A50" w:rsidRPr="009F48C0" w:rsidRDefault="00C01A50" w:rsidP="009F48C0">
            <w:pPr>
              <w:spacing w:before="40" w:after="40"/>
              <w:jc w:val="center"/>
              <w:rPr>
                <w:color w:val="FFFFFF" w:themeColor="background1"/>
                <w:sz w:val="18"/>
                <w:szCs w:val="18"/>
                <w:lang w:val="en-AU"/>
              </w:rPr>
            </w:pPr>
            <w:r w:rsidRPr="009F48C0">
              <w:rPr>
                <w:b/>
                <w:bCs/>
                <w:color w:val="FFFFFF" w:themeColor="background1"/>
                <w:sz w:val="18"/>
                <w:szCs w:val="18"/>
                <w:lang w:val="en-AU"/>
              </w:rPr>
              <w:t>Statistical significance</w:t>
            </w:r>
          </w:p>
        </w:tc>
      </w:tr>
      <w:tr w:rsidR="00C01A50" w:rsidRPr="009F48C0" w14:paraId="583B932E" w14:textId="77777777">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D6B79F8" w14:textId="77777777" w:rsidR="00C01A50" w:rsidRPr="009F48C0" w:rsidRDefault="00C01A50" w:rsidP="009F48C0">
            <w:pPr>
              <w:spacing w:before="40" w:after="40"/>
              <w:rPr>
                <w:i/>
                <w:sz w:val="18"/>
                <w:szCs w:val="18"/>
                <w:lang w:val="en-AU"/>
              </w:rPr>
            </w:pPr>
            <w:r w:rsidRPr="009F48C0">
              <w:rPr>
                <w:i/>
                <w:iCs/>
                <w:sz w:val="18"/>
                <w:szCs w:val="18"/>
                <w:lang w:val="en-AU"/>
              </w:rPr>
              <w:t xml:space="preserve">There is an association between ‘those who trade water as a large part of farm water use’ </w:t>
            </w:r>
            <w:r w:rsidRPr="009F48C0">
              <w:rPr>
                <w:iCs/>
                <w:sz w:val="18"/>
                <w:szCs w:val="18"/>
                <w:lang w:val="en-AU"/>
              </w:rPr>
              <w:t>and ‘</w:t>
            </w:r>
            <w:r w:rsidRPr="009F48C0">
              <w:rPr>
                <w:i/>
                <w:iCs/>
                <w:sz w:val="18"/>
                <w:szCs w:val="18"/>
                <w:lang w:val="en-AU"/>
              </w:rPr>
              <w:t>those who pay higher amount for the water’</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F32E274" w14:textId="77777777" w:rsidR="00C01A50" w:rsidRPr="009F48C0" w:rsidRDefault="00C01A50" w:rsidP="009F48C0">
            <w:pPr>
              <w:spacing w:before="40" w:after="40"/>
              <w:rPr>
                <w:sz w:val="18"/>
                <w:szCs w:val="18"/>
                <w:lang w:val="en-AU"/>
              </w:rPr>
            </w:pPr>
            <w:r w:rsidRPr="009F48C0">
              <w:rPr>
                <w:i/>
                <w:iCs/>
                <w:sz w:val="18"/>
                <w:szCs w:val="18"/>
                <w:lang w:val="en-AU"/>
              </w:rPr>
              <w:t>Chi-square test</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E26614C" w14:textId="77777777" w:rsidR="00C01A50" w:rsidRPr="009F48C0" w:rsidRDefault="00C01A50" w:rsidP="009F48C0">
            <w:pPr>
              <w:spacing w:before="40" w:after="40"/>
              <w:rPr>
                <w:sz w:val="18"/>
                <w:szCs w:val="18"/>
                <w:lang w:val="en-AU"/>
              </w:rPr>
            </w:pPr>
            <w:r w:rsidRPr="009F48C0">
              <w:rPr>
                <w:i/>
                <w:iCs/>
                <w:sz w:val="18"/>
                <w:szCs w:val="18"/>
                <w:lang w:val="en-AU"/>
              </w:rPr>
              <w:t>18.396</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16F5C79" w14:textId="77777777" w:rsidR="00C01A50" w:rsidRPr="009F48C0" w:rsidRDefault="00C01A50" w:rsidP="009F48C0">
            <w:pPr>
              <w:spacing w:before="40" w:after="40"/>
              <w:rPr>
                <w:sz w:val="18"/>
                <w:szCs w:val="18"/>
                <w:lang w:val="en-AU"/>
              </w:rPr>
            </w:pPr>
            <w:r w:rsidRPr="009F48C0">
              <w:rPr>
                <w:i/>
                <w:iCs/>
                <w:sz w:val="18"/>
                <w:szCs w:val="18"/>
                <w:lang w:val="en-AU"/>
              </w:rPr>
              <w:t>Significant at 0.00 probability level</w:t>
            </w:r>
          </w:p>
        </w:tc>
      </w:tr>
      <w:tr w:rsidR="00C01A50" w:rsidRPr="009F48C0" w14:paraId="537FAAA5"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08A240E" w14:textId="77777777" w:rsidR="00C01A50" w:rsidRPr="009F48C0" w:rsidRDefault="00C01A50" w:rsidP="009F48C0">
            <w:pPr>
              <w:spacing w:before="40" w:after="40"/>
              <w:rPr>
                <w:sz w:val="18"/>
                <w:szCs w:val="18"/>
                <w:lang w:val="en-AU"/>
              </w:rPr>
            </w:pPr>
            <w:r w:rsidRPr="009F48C0">
              <w:rPr>
                <w:iCs/>
                <w:sz w:val="18"/>
                <w:szCs w:val="18"/>
                <w:lang w:val="en-AU"/>
              </w:rPr>
              <w:t>There is an association between ‘</w:t>
            </w:r>
            <w:r w:rsidRPr="009F48C0">
              <w:rPr>
                <w:i/>
                <w:iCs/>
                <w:sz w:val="18"/>
                <w:szCs w:val="18"/>
                <w:lang w:val="en-AU"/>
              </w:rPr>
              <w:t xml:space="preserve">those who have implemented on-farm irrigation upgrades’ </w:t>
            </w:r>
            <w:r w:rsidRPr="009F48C0">
              <w:rPr>
                <w:iCs/>
                <w:sz w:val="18"/>
                <w:szCs w:val="18"/>
                <w:lang w:val="en-AU"/>
              </w:rPr>
              <w:t>and ‘</w:t>
            </w:r>
            <w:r w:rsidRPr="009F48C0">
              <w:rPr>
                <w:i/>
                <w:iCs/>
                <w:sz w:val="18"/>
                <w:szCs w:val="18"/>
                <w:lang w:val="en-AU"/>
              </w:rPr>
              <w:t>those who have long term plan to use allocation trade’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E95E67B" w14:textId="77777777" w:rsidR="00C01A50" w:rsidRPr="009F48C0" w:rsidRDefault="00C01A50" w:rsidP="009F48C0">
            <w:pPr>
              <w:spacing w:before="40" w:after="40"/>
              <w:rPr>
                <w:sz w:val="18"/>
                <w:szCs w:val="18"/>
                <w:lang w:val="en-AU"/>
              </w:rPr>
            </w:pPr>
            <w:r w:rsidRPr="009F48C0">
              <w:rPr>
                <w:i/>
                <w:iCs/>
                <w:sz w:val="18"/>
                <w:szCs w:val="18"/>
                <w:lang w:val="en-AU"/>
              </w:rPr>
              <w:t>Chi-square test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7B7DBC4" w14:textId="77777777" w:rsidR="00C01A50" w:rsidRPr="009F48C0" w:rsidRDefault="00C01A50" w:rsidP="009F48C0">
            <w:pPr>
              <w:spacing w:before="40" w:after="40"/>
              <w:rPr>
                <w:sz w:val="18"/>
                <w:szCs w:val="18"/>
                <w:lang w:val="en-AU"/>
              </w:rPr>
            </w:pPr>
            <w:r w:rsidRPr="009F48C0">
              <w:rPr>
                <w:i/>
                <w:iCs/>
                <w:sz w:val="18"/>
                <w:szCs w:val="18"/>
                <w:lang w:val="en-AU"/>
              </w:rPr>
              <w:t>8.204</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376E6C4" w14:textId="77777777" w:rsidR="00C01A50" w:rsidRPr="009F48C0" w:rsidRDefault="00C01A50" w:rsidP="009F48C0">
            <w:pPr>
              <w:spacing w:before="40" w:after="40"/>
              <w:rPr>
                <w:sz w:val="18"/>
                <w:szCs w:val="18"/>
                <w:lang w:val="en-AU"/>
              </w:rPr>
            </w:pPr>
            <w:r w:rsidRPr="009F48C0">
              <w:rPr>
                <w:i/>
                <w:iCs/>
                <w:sz w:val="18"/>
                <w:szCs w:val="18"/>
                <w:lang w:val="en-AU"/>
              </w:rPr>
              <w:t>Significant at 0.004 probability level</w:t>
            </w:r>
          </w:p>
        </w:tc>
      </w:tr>
      <w:tr w:rsidR="00C01A50" w:rsidRPr="009F48C0" w14:paraId="65E840A5"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3C253AE" w14:textId="77777777" w:rsidR="00C01A50" w:rsidRPr="009F48C0" w:rsidRDefault="00C01A50" w:rsidP="009F48C0">
            <w:pPr>
              <w:spacing w:before="40" w:after="40"/>
              <w:rPr>
                <w:i/>
                <w:iCs/>
                <w:sz w:val="18"/>
                <w:szCs w:val="18"/>
                <w:lang w:val="en-AU"/>
              </w:rPr>
            </w:pPr>
            <w:r w:rsidRPr="009F48C0">
              <w:rPr>
                <w:iCs/>
                <w:sz w:val="18"/>
                <w:szCs w:val="18"/>
                <w:lang w:val="en-AU"/>
              </w:rPr>
              <w:t>There is an association between ‘</w:t>
            </w:r>
            <w:r w:rsidRPr="009F48C0">
              <w:rPr>
                <w:i/>
                <w:iCs/>
                <w:sz w:val="18"/>
                <w:szCs w:val="18"/>
                <w:lang w:val="en-AU"/>
              </w:rPr>
              <w:t>those who have implemented on-farm irrigation upgrades’</w:t>
            </w:r>
            <w:r w:rsidRPr="009F48C0">
              <w:rPr>
                <w:iCs/>
                <w:sz w:val="18"/>
                <w:szCs w:val="18"/>
                <w:lang w:val="en-AU"/>
              </w:rPr>
              <w:t xml:space="preserve"> and ‘</w:t>
            </w:r>
            <w:r w:rsidRPr="009F48C0">
              <w:rPr>
                <w:i/>
                <w:iCs/>
                <w:sz w:val="18"/>
                <w:szCs w:val="18"/>
                <w:lang w:val="en-AU"/>
              </w:rPr>
              <w:t>those who are reliant on allocation trade’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1112EF3" w14:textId="77777777" w:rsidR="00C01A50" w:rsidRPr="009F48C0" w:rsidRDefault="00C01A50" w:rsidP="009F48C0">
            <w:pPr>
              <w:spacing w:before="40" w:after="40"/>
              <w:rPr>
                <w:i/>
                <w:iCs/>
                <w:sz w:val="18"/>
                <w:szCs w:val="18"/>
                <w:lang w:val="en-AU"/>
              </w:rPr>
            </w:pPr>
            <w:r w:rsidRPr="009F48C0">
              <w:rPr>
                <w:i/>
                <w:iCs/>
                <w:sz w:val="18"/>
                <w:szCs w:val="18"/>
                <w:lang w:val="en-AU"/>
              </w:rPr>
              <w:t>Chi-square test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B42F9F7" w14:textId="77777777" w:rsidR="00C01A50" w:rsidRPr="009F48C0" w:rsidRDefault="00C01A50" w:rsidP="009F48C0">
            <w:pPr>
              <w:spacing w:before="40" w:after="40"/>
              <w:rPr>
                <w:i/>
                <w:iCs/>
                <w:sz w:val="18"/>
                <w:szCs w:val="18"/>
                <w:lang w:val="en-AU"/>
              </w:rPr>
            </w:pPr>
            <w:r w:rsidRPr="009F48C0">
              <w:rPr>
                <w:i/>
                <w:iCs/>
                <w:sz w:val="18"/>
                <w:szCs w:val="18"/>
                <w:lang w:val="en-AU"/>
              </w:rPr>
              <w:t>6.597</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37C62D4" w14:textId="77777777" w:rsidR="00C01A50" w:rsidRPr="009F48C0" w:rsidRDefault="00C01A50" w:rsidP="009F48C0">
            <w:pPr>
              <w:spacing w:before="40" w:after="40"/>
              <w:rPr>
                <w:i/>
                <w:iCs/>
                <w:sz w:val="18"/>
                <w:szCs w:val="18"/>
                <w:lang w:val="en-AU"/>
              </w:rPr>
            </w:pPr>
            <w:r w:rsidRPr="009F48C0">
              <w:rPr>
                <w:i/>
                <w:iCs/>
                <w:sz w:val="18"/>
                <w:szCs w:val="18"/>
                <w:lang w:val="en-AU"/>
              </w:rPr>
              <w:t>Significant at 0.04 probability level</w:t>
            </w:r>
          </w:p>
        </w:tc>
      </w:tr>
      <w:tr w:rsidR="00C01A50" w:rsidRPr="009F48C0" w14:paraId="687E9A05"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A04EDC8" w14:textId="77777777" w:rsidR="00C01A50" w:rsidRPr="009F48C0" w:rsidRDefault="00C01A50" w:rsidP="009F48C0">
            <w:pPr>
              <w:spacing w:before="40" w:after="40"/>
              <w:rPr>
                <w:sz w:val="18"/>
                <w:szCs w:val="18"/>
                <w:lang w:val="en-AU"/>
              </w:rPr>
            </w:pPr>
            <w:r w:rsidRPr="009F48C0">
              <w:rPr>
                <w:iCs/>
                <w:sz w:val="18"/>
                <w:szCs w:val="18"/>
                <w:lang w:val="en-AU"/>
              </w:rPr>
              <w:t>For dairy, there is an association between</w:t>
            </w:r>
            <w:r w:rsidRPr="009F48C0">
              <w:rPr>
                <w:i/>
                <w:iCs/>
                <w:sz w:val="18"/>
                <w:szCs w:val="18"/>
                <w:lang w:val="en-AU"/>
              </w:rPr>
              <w:t xml:space="preserve"> ‘growing perennial pasture’ and ‘having sufficient amount of water entitlement’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A22E474" w14:textId="77777777" w:rsidR="00C01A50" w:rsidRPr="009F48C0" w:rsidRDefault="00C01A50" w:rsidP="009F48C0">
            <w:pPr>
              <w:spacing w:before="40" w:after="40"/>
              <w:rPr>
                <w:sz w:val="18"/>
                <w:szCs w:val="18"/>
                <w:lang w:val="en-AU"/>
              </w:rPr>
            </w:pPr>
            <w:r w:rsidRPr="009F48C0">
              <w:rPr>
                <w:i/>
                <w:iCs/>
                <w:sz w:val="18"/>
                <w:szCs w:val="18"/>
                <w:lang w:val="en-AU"/>
              </w:rPr>
              <w:t>Chi-square test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7A304F7" w14:textId="77777777" w:rsidR="00C01A50" w:rsidRPr="009F48C0" w:rsidRDefault="00C01A50" w:rsidP="009F48C0">
            <w:pPr>
              <w:spacing w:before="40" w:after="40"/>
              <w:rPr>
                <w:sz w:val="18"/>
                <w:szCs w:val="18"/>
                <w:lang w:val="en-AU"/>
              </w:rPr>
            </w:pPr>
            <w:r w:rsidRPr="009F48C0">
              <w:rPr>
                <w:i/>
                <w:iCs/>
                <w:sz w:val="18"/>
                <w:szCs w:val="18"/>
                <w:lang w:val="en-AU"/>
              </w:rPr>
              <w:t>5.914</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40254DF" w14:textId="77777777" w:rsidR="00C01A50" w:rsidRPr="009F48C0" w:rsidRDefault="00C01A50" w:rsidP="009F48C0">
            <w:pPr>
              <w:spacing w:before="40" w:after="40"/>
              <w:rPr>
                <w:sz w:val="18"/>
                <w:szCs w:val="18"/>
                <w:lang w:val="en-AU"/>
              </w:rPr>
            </w:pPr>
            <w:r w:rsidRPr="009F48C0">
              <w:rPr>
                <w:i/>
                <w:iCs/>
                <w:sz w:val="18"/>
                <w:szCs w:val="18"/>
                <w:lang w:val="en-AU"/>
              </w:rPr>
              <w:t>Significant at 0.05 probability level</w:t>
            </w:r>
          </w:p>
        </w:tc>
      </w:tr>
      <w:tr w:rsidR="00C01A50" w:rsidRPr="009F48C0" w14:paraId="52BEA64C"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BE795B2" w14:textId="77777777" w:rsidR="00C01A50" w:rsidRPr="009F48C0" w:rsidRDefault="00C01A50" w:rsidP="009F48C0">
            <w:pPr>
              <w:spacing w:before="40" w:after="40"/>
              <w:rPr>
                <w:sz w:val="18"/>
                <w:szCs w:val="18"/>
                <w:lang w:val="en-AU"/>
              </w:rPr>
            </w:pPr>
            <w:r w:rsidRPr="009F48C0">
              <w:rPr>
                <w:iCs/>
                <w:sz w:val="18"/>
                <w:szCs w:val="18"/>
                <w:lang w:val="en-AU"/>
              </w:rPr>
              <w:t>For dairy, there is a correlation between</w:t>
            </w:r>
            <w:r w:rsidRPr="009F48C0">
              <w:rPr>
                <w:i/>
                <w:iCs/>
                <w:sz w:val="18"/>
                <w:szCs w:val="18"/>
                <w:lang w:val="en-AU"/>
              </w:rPr>
              <w:t xml:space="preserve"> ‘herd size’ </w:t>
            </w:r>
            <w:r w:rsidRPr="009F48C0">
              <w:rPr>
                <w:iCs/>
                <w:sz w:val="18"/>
                <w:szCs w:val="18"/>
                <w:lang w:val="en-AU"/>
              </w:rPr>
              <w:t xml:space="preserve">and </w:t>
            </w:r>
            <w:r w:rsidRPr="009F48C0">
              <w:rPr>
                <w:i/>
                <w:iCs/>
                <w:sz w:val="18"/>
                <w:szCs w:val="18"/>
                <w:lang w:val="en-AU"/>
              </w:rPr>
              <w:t>‘amount of High Reliability Water Share ownership’</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E66AC5F" w14:textId="77777777" w:rsidR="00C01A50" w:rsidRPr="009F48C0" w:rsidRDefault="00C01A50" w:rsidP="009F48C0">
            <w:pPr>
              <w:spacing w:before="40" w:after="40"/>
              <w:rPr>
                <w:sz w:val="18"/>
                <w:szCs w:val="18"/>
                <w:lang w:val="en-AU"/>
              </w:rPr>
            </w:pPr>
            <w:r w:rsidRPr="009F48C0">
              <w:rPr>
                <w:i/>
                <w:iCs/>
                <w:sz w:val="18"/>
                <w:szCs w:val="18"/>
                <w:lang w:val="en-AU"/>
              </w:rPr>
              <w:t>Correlations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3EFA922" w14:textId="77777777" w:rsidR="00C01A50" w:rsidRPr="009F48C0" w:rsidRDefault="00C01A50" w:rsidP="009F48C0">
            <w:pPr>
              <w:spacing w:before="40" w:after="40"/>
              <w:rPr>
                <w:sz w:val="18"/>
                <w:szCs w:val="18"/>
                <w:lang w:val="en-AU"/>
              </w:rPr>
            </w:pPr>
            <w:r w:rsidRPr="009F48C0">
              <w:rPr>
                <w:i/>
                <w:iCs/>
                <w:sz w:val="18"/>
                <w:szCs w:val="18"/>
                <w:lang w:val="en-AU"/>
              </w:rPr>
              <w:t>r value = 0.70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C38310D" w14:textId="77777777" w:rsidR="00C01A50" w:rsidRPr="009F48C0" w:rsidRDefault="00C01A50" w:rsidP="009F48C0">
            <w:pPr>
              <w:spacing w:before="40" w:after="40"/>
              <w:rPr>
                <w:sz w:val="18"/>
                <w:szCs w:val="18"/>
                <w:lang w:val="en-AU"/>
              </w:rPr>
            </w:pPr>
            <w:r w:rsidRPr="009F48C0">
              <w:rPr>
                <w:i/>
                <w:iCs/>
                <w:sz w:val="18"/>
                <w:szCs w:val="18"/>
                <w:lang w:val="en-AU"/>
              </w:rPr>
              <w:t>Significant at 0.01 probability level</w:t>
            </w:r>
          </w:p>
        </w:tc>
      </w:tr>
      <w:tr w:rsidR="00C01A50" w:rsidRPr="009F48C0" w14:paraId="62A4B74D"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6FEA4FF" w14:textId="77777777" w:rsidR="00C01A50" w:rsidRPr="009F48C0" w:rsidRDefault="00C01A50" w:rsidP="009F48C0">
            <w:pPr>
              <w:spacing w:before="40" w:after="40"/>
              <w:rPr>
                <w:sz w:val="18"/>
                <w:szCs w:val="18"/>
                <w:lang w:val="en-AU"/>
              </w:rPr>
            </w:pPr>
            <w:r w:rsidRPr="009F48C0">
              <w:rPr>
                <w:iCs/>
                <w:sz w:val="18"/>
                <w:szCs w:val="18"/>
                <w:lang w:val="en-AU"/>
              </w:rPr>
              <w:t>For dairy, there is a correlation between</w:t>
            </w:r>
            <w:r w:rsidRPr="009F48C0">
              <w:rPr>
                <w:i/>
                <w:iCs/>
                <w:sz w:val="18"/>
                <w:szCs w:val="18"/>
                <w:lang w:val="en-AU"/>
              </w:rPr>
              <w:t xml:space="preserve"> ‘the size of the property’  </w:t>
            </w:r>
            <w:r w:rsidRPr="009F48C0">
              <w:rPr>
                <w:iCs/>
                <w:sz w:val="18"/>
                <w:szCs w:val="18"/>
                <w:lang w:val="en-AU"/>
              </w:rPr>
              <w:t>and</w:t>
            </w:r>
            <w:r w:rsidRPr="009F48C0">
              <w:rPr>
                <w:i/>
                <w:iCs/>
                <w:sz w:val="18"/>
                <w:szCs w:val="18"/>
                <w:lang w:val="en-AU"/>
              </w:rPr>
              <w:t xml:space="preserve"> ‘herd size’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20CC05A" w14:textId="77777777" w:rsidR="00C01A50" w:rsidRPr="009F48C0" w:rsidRDefault="00C01A50" w:rsidP="009F48C0">
            <w:pPr>
              <w:spacing w:before="40" w:after="40"/>
              <w:rPr>
                <w:sz w:val="18"/>
                <w:szCs w:val="18"/>
                <w:lang w:val="en-AU"/>
              </w:rPr>
            </w:pPr>
            <w:r w:rsidRPr="009F48C0">
              <w:rPr>
                <w:i/>
                <w:iCs/>
                <w:sz w:val="18"/>
                <w:szCs w:val="18"/>
                <w:lang w:val="en-AU"/>
              </w:rPr>
              <w:t>Correlations</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E3BFDF5" w14:textId="77777777" w:rsidR="00C01A50" w:rsidRPr="009F48C0" w:rsidRDefault="00C01A50" w:rsidP="009F48C0">
            <w:pPr>
              <w:spacing w:before="40" w:after="40"/>
              <w:rPr>
                <w:sz w:val="18"/>
                <w:szCs w:val="18"/>
                <w:lang w:val="en-AU"/>
              </w:rPr>
            </w:pPr>
            <w:r w:rsidRPr="009F48C0">
              <w:rPr>
                <w:i/>
                <w:iCs/>
                <w:sz w:val="18"/>
                <w:szCs w:val="18"/>
                <w:lang w:val="en-AU"/>
              </w:rPr>
              <w:t>r value = 0.80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E8A81DC" w14:textId="77777777" w:rsidR="00C01A50" w:rsidRPr="009F48C0" w:rsidRDefault="00C01A50" w:rsidP="009F48C0">
            <w:pPr>
              <w:spacing w:before="40" w:after="40"/>
              <w:rPr>
                <w:sz w:val="18"/>
                <w:szCs w:val="18"/>
                <w:lang w:val="en-AU"/>
              </w:rPr>
            </w:pPr>
            <w:r w:rsidRPr="009F48C0">
              <w:rPr>
                <w:i/>
                <w:iCs/>
                <w:sz w:val="18"/>
                <w:szCs w:val="18"/>
                <w:lang w:val="en-AU"/>
              </w:rPr>
              <w:t>Significant at 0.01 probability level</w:t>
            </w:r>
          </w:p>
        </w:tc>
      </w:tr>
      <w:tr w:rsidR="00C01A50" w:rsidRPr="009F48C0" w14:paraId="293CBEDE"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418F1C4" w14:textId="77777777" w:rsidR="00C01A50" w:rsidRPr="009F48C0" w:rsidRDefault="00C01A50" w:rsidP="009F48C0">
            <w:pPr>
              <w:spacing w:before="40" w:after="40"/>
              <w:rPr>
                <w:sz w:val="18"/>
                <w:szCs w:val="18"/>
                <w:lang w:val="en-AU"/>
              </w:rPr>
            </w:pPr>
            <w:r w:rsidRPr="009F48C0">
              <w:rPr>
                <w:iCs/>
                <w:sz w:val="18"/>
                <w:szCs w:val="18"/>
                <w:lang w:val="en-AU"/>
              </w:rPr>
              <w:t>There is no correlation between</w:t>
            </w:r>
            <w:r w:rsidRPr="009F48C0">
              <w:rPr>
                <w:i/>
                <w:iCs/>
                <w:sz w:val="18"/>
                <w:szCs w:val="18"/>
                <w:lang w:val="en-AU"/>
              </w:rPr>
              <w:t xml:space="preserve"> ‘size of irrigated land owned’ </w:t>
            </w:r>
            <w:r w:rsidRPr="009F48C0">
              <w:rPr>
                <w:iCs/>
                <w:sz w:val="18"/>
                <w:szCs w:val="18"/>
                <w:lang w:val="en-AU"/>
              </w:rPr>
              <w:t>and</w:t>
            </w:r>
            <w:r w:rsidRPr="009F48C0">
              <w:rPr>
                <w:i/>
                <w:iCs/>
                <w:sz w:val="18"/>
                <w:szCs w:val="18"/>
                <w:lang w:val="en-AU"/>
              </w:rPr>
              <w:t xml:space="preserve"> ‘amount of High Reliability Water Share owned’</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BFFE284" w14:textId="77777777" w:rsidR="00C01A50" w:rsidRPr="009F48C0" w:rsidRDefault="00C01A50" w:rsidP="009F48C0">
            <w:pPr>
              <w:spacing w:before="40" w:after="40"/>
              <w:rPr>
                <w:sz w:val="18"/>
                <w:szCs w:val="18"/>
                <w:lang w:val="en-AU"/>
              </w:rPr>
            </w:pPr>
            <w:r w:rsidRPr="009F48C0">
              <w:rPr>
                <w:i/>
                <w:iCs/>
                <w:sz w:val="18"/>
                <w:szCs w:val="18"/>
                <w:lang w:val="en-AU"/>
              </w:rPr>
              <w:t>Correlations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2A1B487" w14:textId="77777777" w:rsidR="00C01A50" w:rsidRPr="009F48C0" w:rsidRDefault="00C01A50" w:rsidP="009F48C0">
            <w:pPr>
              <w:spacing w:before="40" w:after="40"/>
              <w:rPr>
                <w:sz w:val="18"/>
                <w:szCs w:val="18"/>
                <w:lang w:val="en-AU"/>
              </w:rPr>
            </w:pPr>
            <w:r w:rsidRPr="009F48C0">
              <w:rPr>
                <w:i/>
                <w:iCs/>
                <w:sz w:val="18"/>
                <w:szCs w:val="18"/>
                <w:lang w:val="en-AU"/>
              </w:rPr>
              <w:t>R = 0.226</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09758F6" w14:textId="77777777" w:rsidR="00C01A50" w:rsidRPr="009F48C0" w:rsidRDefault="00C01A50" w:rsidP="009F48C0">
            <w:pPr>
              <w:spacing w:before="40" w:after="40"/>
              <w:rPr>
                <w:sz w:val="18"/>
                <w:szCs w:val="18"/>
                <w:lang w:val="en-AU"/>
              </w:rPr>
            </w:pPr>
            <w:r w:rsidRPr="009F48C0">
              <w:rPr>
                <w:i/>
                <w:iCs/>
                <w:sz w:val="18"/>
                <w:szCs w:val="18"/>
                <w:lang w:val="en-AU"/>
              </w:rPr>
              <w:t>Correlation value low</w:t>
            </w:r>
          </w:p>
        </w:tc>
      </w:tr>
      <w:tr w:rsidR="00C01A50" w:rsidRPr="009F48C0" w14:paraId="41B7B484"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A731AE6" w14:textId="77777777" w:rsidR="00C01A50" w:rsidRPr="009F48C0" w:rsidRDefault="00C01A50" w:rsidP="009F48C0">
            <w:pPr>
              <w:spacing w:before="40" w:after="40"/>
              <w:rPr>
                <w:sz w:val="18"/>
                <w:szCs w:val="18"/>
                <w:lang w:val="en-AU"/>
              </w:rPr>
            </w:pPr>
            <w:r w:rsidRPr="009F48C0">
              <w:rPr>
                <w:iCs/>
                <w:sz w:val="18"/>
                <w:szCs w:val="18"/>
                <w:lang w:val="en-AU"/>
              </w:rPr>
              <w:t>There is no association between</w:t>
            </w:r>
            <w:r w:rsidRPr="009F48C0">
              <w:rPr>
                <w:i/>
                <w:iCs/>
                <w:sz w:val="18"/>
                <w:szCs w:val="18"/>
                <w:lang w:val="en-AU"/>
              </w:rPr>
              <w:t xml:space="preserve"> ‘growing perennial pasture’ </w:t>
            </w:r>
            <w:r w:rsidRPr="009F48C0">
              <w:rPr>
                <w:iCs/>
                <w:sz w:val="18"/>
                <w:szCs w:val="18"/>
                <w:lang w:val="en-AU"/>
              </w:rPr>
              <w:t>and</w:t>
            </w:r>
            <w:r w:rsidRPr="009F48C0">
              <w:rPr>
                <w:i/>
                <w:iCs/>
                <w:sz w:val="18"/>
                <w:szCs w:val="18"/>
                <w:lang w:val="en-AU"/>
              </w:rPr>
              <w:t xml:space="preserve"> ‘allocation trade form a large part of farm water use’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CDBB1A3" w14:textId="77777777" w:rsidR="00C01A50" w:rsidRPr="009F48C0" w:rsidRDefault="00C01A50" w:rsidP="009F48C0">
            <w:pPr>
              <w:spacing w:before="40" w:after="40"/>
              <w:rPr>
                <w:sz w:val="18"/>
                <w:szCs w:val="18"/>
                <w:lang w:val="en-AU"/>
              </w:rPr>
            </w:pPr>
            <w:r w:rsidRPr="009F48C0">
              <w:rPr>
                <w:i/>
                <w:iCs/>
                <w:sz w:val="18"/>
                <w:szCs w:val="18"/>
                <w:lang w:val="en-AU"/>
              </w:rPr>
              <w:t>Chi-square test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33A8A04" w14:textId="77777777" w:rsidR="00C01A50" w:rsidRPr="009F48C0" w:rsidRDefault="00C01A50" w:rsidP="009F48C0">
            <w:pPr>
              <w:spacing w:before="40" w:after="40"/>
              <w:rPr>
                <w:sz w:val="18"/>
                <w:szCs w:val="18"/>
                <w:lang w:val="en-AU"/>
              </w:rPr>
            </w:pPr>
            <w:r w:rsidRPr="009F48C0">
              <w:rPr>
                <w:i/>
                <w:iCs/>
                <w:sz w:val="18"/>
                <w:szCs w:val="18"/>
                <w:lang w:val="en-AU"/>
              </w:rPr>
              <w:t>2.78</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7CD8017" w14:textId="77777777" w:rsidR="00C01A50" w:rsidRPr="009F48C0" w:rsidRDefault="00C01A50" w:rsidP="009F48C0">
            <w:pPr>
              <w:spacing w:before="40" w:after="40"/>
              <w:rPr>
                <w:sz w:val="18"/>
                <w:szCs w:val="18"/>
                <w:lang w:val="en-AU"/>
              </w:rPr>
            </w:pPr>
            <w:r w:rsidRPr="009F48C0">
              <w:rPr>
                <w:i/>
                <w:iCs/>
                <w:sz w:val="18"/>
                <w:szCs w:val="18"/>
                <w:lang w:val="en-AU"/>
              </w:rPr>
              <w:t>Not significant at 0.10 level</w:t>
            </w:r>
          </w:p>
        </w:tc>
      </w:tr>
      <w:tr w:rsidR="00C01A50" w:rsidRPr="009F48C0" w14:paraId="4C3A20DC"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F9514B4" w14:textId="77777777" w:rsidR="00C01A50" w:rsidRPr="009F48C0" w:rsidRDefault="00C01A50" w:rsidP="009F48C0">
            <w:pPr>
              <w:spacing w:before="40" w:after="40"/>
              <w:rPr>
                <w:i/>
                <w:iCs/>
                <w:sz w:val="18"/>
                <w:szCs w:val="18"/>
                <w:lang w:val="en-AU"/>
              </w:rPr>
            </w:pPr>
            <w:r w:rsidRPr="009F48C0">
              <w:rPr>
                <w:iCs/>
                <w:sz w:val="18"/>
                <w:szCs w:val="18"/>
                <w:lang w:val="en-AU"/>
              </w:rPr>
              <w:t>There is no association between ‘</w:t>
            </w:r>
            <w:r w:rsidRPr="009F48C0">
              <w:rPr>
                <w:i/>
                <w:iCs/>
                <w:sz w:val="18"/>
                <w:szCs w:val="18"/>
                <w:lang w:val="en-AU"/>
              </w:rPr>
              <w:t>years of farming’</w:t>
            </w:r>
            <w:r w:rsidRPr="009F48C0">
              <w:rPr>
                <w:iCs/>
                <w:sz w:val="18"/>
                <w:szCs w:val="18"/>
                <w:lang w:val="en-AU"/>
              </w:rPr>
              <w:t xml:space="preserve"> and ‘</w:t>
            </w:r>
            <w:r w:rsidRPr="009F48C0">
              <w:rPr>
                <w:i/>
                <w:iCs/>
                <w:sz w:val="18"/>
                <w:szCs w:val="18"/>
                <w:lang w:val="en-AU"/>
              </w:rPr>
              <w:t>ownership of High Reliability of Water Share’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54814AE" w14:textId="77777777" w:rsidR="00C01A50" w:rsidRPr="009F48C0" w:rsidRDefault="00C01A50" w:rsidP="009F48C0">
            <w:pPr>
              <w:spacing w:before="40" w:after="40"/>
              <w:rPr>
                <w:i/>
                <w:iCs/>
                <w:sz w:val="18"/>
                <w:szCs w:val="18"/>
                <w:lang w:val="en-AU"/>
              </w:rPr>
            </w:pPr>
            <w:r w:rsidRPr="009F48C0">
              <w:rPr>
                <w:i/>
                <w:iCs/>
                <w:sz w:val="18"/>
                <w:szCs w:val="18"/>
                <w:lang w:val="en-AU"/>
              </w:rPr>
              <w:t>Chi-square test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94E4881" w14:textId="77777777" w:rsidR="00C01A50" w:rsidRPr="009F48C0" w:rsidRDefault="00C01A50" w:rsidP="009F48C0">
            <w:pPr>
              <w:spacing w:before="40" w:after="40"/>
              <w:rPr>
                <w:i/>
                <w:iCs/>
                <w:sz w:val="18"/>
                <w:szCs w:val="18"/>
                <w:lang w:val="en-AU"/>
              </w:rPr>
            </w:pPr>
            <w:r w:rsidRPr="009F48C0">
              <w:rPr>
                <w:i/>
                <w:iCs/>
                <w:sz w:val="18"/>
                <w:szCs w:val="18"/>
                <w:lang w:val="en-AU"/>
              </w:rPr>
              <w:t>-0.022</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B4048EA" w14:textId="77777777" w:rsidR="00C01A50" w:rsidRPr="009F48C0" w:rsidRDefault="00C01A50" w:rsidP="009F48C0">
            <w:pPr>
              <w:spacing w:before="40" w:after="40"/>
              <w:rPr>
                <w:i/>
                <w:iCs/>
                <w:sz w:val="18"/>
                <w:szCs w:val="18"/>
                <w:lang w:val="en-AU"/>
              </w:rPr>
            </w:pPr>
            <w:r w:rsidRPr="009F48C0">
              <w:rPr>
                <w:i/>
                <w:iCs/>
                <w:sz w:val="18"/>
                <w:szCs w:val="18"/>
                <w:lang w:val="en-AU"/>
              </w:rPr>
              <w:t>Correlation value low</w:t>
            </w:r>
          </w:p>
        </w:tc>
      </w:tr>
      <w:tr w:rsidR="00C01A50" w:rsidRPr="009F48C0" w14:paraId="6027A367"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D0B6851" w14:textId="77777777" w:rsidR="00C01A50" w:rsidRPr="009F48C0" w:rsidRDefault="00C01A50" w:rsidP="009F48C0">
            <w:pPr>
              <w:spacing w:before="40" w:after="40"/>
              <w:rPr>
                <w:iCs/>
                <w:sz w:val="18"/>
                <w:szCs w:val="18"/>
                <w:lang w:val="en-AU"/>
              </w:rPr>
            </w:pPr>
            <w:r w:rsidRPr="009F48C0">
              <w:rPr>
                <w:iCs/>
                <w:sz w:val="18"/>
                <w:szCs w:val="18"/>
                <w:lang w:val="en-AU"/>
              </w:rPr>
              <w:t xml:space="preserve">The </w:t>
            </w:r>
            <w:r w:rsidRPr="009F48C0">
              <w:rPr>
                <w:i/>
                <w:iCs/>
                <w:sz w:val="18"/>
                <w:szCs w:val="18"/>
                <w:lang w:val="en-AU"/>
              </w:rPr>
              <w:t>mean years of farming</w:t>
            </w:r>
            <w:r w:rsidRPr="009F48C0">
              <w:rPr>
                <w:iCs/>
                <w:sz w:val="18"/>
                <w:szCs w:val="18"/>
                <w:lang w:val="en-AU"/>
              </w:rPr>
              <w:t xml:space="preserve"> differ between those who agree with the statement </w:t>
            </w:r>
            <w:r w:rsidRPr="009F48C0">
              <w:rPr>
                <w:i/>
                <w:iCs/>
                <w:sz w:val="18"/>
                <w:szCs w:val="18"/>
                <w:lang w:val="en-AU"/>
              </w:rPr>
              <w:t>‘I have the amount of water entitlements to irrigate my property that I require’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9ADE7CE" w14:textId="77777777" w:rsidR="00C01A50" w:rsidRPr="009F48C0" w:rsidRDefault="00C01A50" w:rsidP="009F48C0">
            <w:pPr>
              <w:spacing w:before="40" w:after="40"/>
              <w:rPr>
                <w:i/>
                <w:iCs/>
                <w:sz w:val="18"/>
                <w:szCs w:val="18"/>
                <w:lang w:val="en-AU"/>
              </w:rPr>
            </w:pPr>
            <w:r w:rsidRPr="009F48C0">
              <w:rPr>
                <w:i/>
                <w:iCs/>
                <w:sz w:val="18"/>
                <w:szCs w:val="18"/>
                <w:lang w:val="en-AU"/>
              </w:rPr>
              <w:t>t-test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FA2B7C1" w14:textId="77777777" w:rsidR="00C01A50" w:rsidRPr="009F48C0" w:rsidRDefault="00C01A50" w:rsidP="009F48C0">
            <w:pPr>
              <w:spacing w:before="40" w:after="40"/>
              <w:rPr>
                <w:i/>
                <w:iCs/>
                <w:sz w:val="18"/>
                <w:szCs w:val="18"/>
                <w:lang w:val="en-AU"/>
              </w:rPr>
            </w:pPr>
            <w:r w:rsidRPr="009F48C0">
              <w:rPr>
                <w:i/>
                <w:iCs/>
                <w:sz w:val="18"/>
                <w:szCs w:val="18"/>
                <w:lang w:val="en-AU"/>
              </w:rPr>
              <w:t>3.247</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07052DD" w14:textId="77777777" w:rsidR="00C01A50" w:rsidRPr="009F48C0" w:rsidRDefault="00C01A50" w:rsidP="009F48C0">
            <w:pPr>
              <w:spacing w:before="40" w:after="40"/>
              <w:rPr>
                <w:i/>
                <w:iCs/>
                <w:sz w:val="18"/>
                <w:szCs w:val="18"/>
                <w:lang w:val="en-AU"/>
              </w:rPr>
            </w:pPr>
            <w:r w:rsidRPr="009F48C0">
              <w:rPr>
                <w:i/>
                <w:iCs/>
                <w:sz w:val="18"/>
                <w:szCs w:val="18"/>
                <w:lang w:val="en-AU"/>
              </w:rPr>
              <w:t>Significant at 0.01 probability level</w:t>
            </w:r>
          </w:p>
        </w:tc>
      </w:tr>
      <w:tr w:rsidR="00C01A50" w:rsidRPr="009F48C0" w14:paraId="20F96F08"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BB48C51" w14:textId="77777777" w:rsidR="00C01A50" w:rsidRPr="009F48C0" w:rsidRDefault="00C01A50" w:rsidP="009F48C0">
            <w:pPr>
              <w:spacing w:before="40" w:after="40"/>
              <w:rPr>
                <w:iCs/>
                <w:sz w:val="18"/>
                <w:szCs w:val="18"/>
                <w:lang w:val="en-AU"/>
              </w:rPr>
            </w:pPr>
            <w:r w:rsidRPr="009F48C0">
              <w:rPr>
                <w:iCs/>
                <w:sz w:val="18"/>
                <w:szCs w:val="18"/>
                <w:lang w:val="en-AU"/>
              </w:rPr>
              <w:t xml:space="preserve">The </w:t>
            </w:r>
            <w:r w:rsidRPr="009F48C0">
              <w:rPr>
                <w:i/>
                <w:iCs/>
                <w:sz w:val="18"/>
                <w:szCs w:val="18"/>
                <w:lang w:val="en-AU"/>
              </w:rPr>
              <w:t>mean years of farming</w:t>
            </w:r>
            <w:r w:rsidRPr="009F48C0">
              <w:rPr>
                <w:iCs/>
                <w:sz w:val="18"/>
                <w:szCs w:val="18"/>
                <w:lang w:val="en-AU"/>
              </w:rPr>
              <w:t xml:space="preserve"> differ between those who responded to the statement that they have </w:t>
            </w:r>
            <w:r w:rsidRPr="009F48C0">
              <w:rPr>
                <w:i/>
                <w:iCs/>
                <w:sz w:val="18"/>
                <w:szCs w:val="18"/>
                <w:lang w:val="en-AU"/>
              </w:rPr>
              <w:t>‘long-term plan to use allocation trade to manage through the irrigation season’</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87800D5" w14:textId="77777777" w:rsidR="00C01A50" w:rsidRPr="009F48C0" w:rsidRDefault="00C01A50" w:rsidP="009F48C0">
            <w:pPr>
              <w:spacing w:before="40" w:after="40"/>
              <w:rPr>
                <w:i/>
                <w:iCs/>
                <w:sz w:val="18"/>
                <w:szCs w:val="18"/>
                <w:lang w:val="en-AU"/>
              </w:rPr>
            </w:pPr>
            <w:r w:rsidRPr="009F48C0">
              <w:rPr>
                <w:i/>
                <w:iCs/>
                <w:sz w:val="18"/>
                <w:szCs w:val="18"/>
                <w:lang w:val="en-AU"/>
              </w:rPr>
              <w:t>t-test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EC4932A" w14:textId="77777777" w:rsidR="00C01A50" w:rsidRPr="009F48C0" w:rsidRDefault="00C01A50" w:rsidP="009F48C0">
            <w:pPr>
              <w:spacing w:before="40" w:after="40"/>
              <w:rPr>
                <w:i/>
                <w:iCs/>
                <w:sz w:val="18"/>
                <w:szCs w:val="18"/>
                <w:lang w:val="en-AU"/>
              </w:rPr>
            </w:pPr>
            <w:r w:rsidRPr="009F48C0">
              <w:rPr>
                <w:i/>
                <w:iCs/>
                <w:sz w:val="18"/>
                <w:szCs w:val="18"/>
                <w:lang w:val="en-AU"/>
              </w:rPr>
              <w:t>8.123</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64E9D67" w14:textId="77777777" w:rsidR="00C01A50" w:rsidRPr="009F48C0" w:rsidRDefault="00C01A50" w:rsidP="009F48C0">
            <w:pPr>
              <w:spacing w:before="40" w:after="40"/>
              <w:rPr>
                <w:i/>
                <w:iCs/>
                <w:sz w:val="18"/>
                <w:szCs w:val="18"/>
                <w:lang w:val="en-AU"/>
              </w:rPr>
            </w:pPr>
            <w:r w:rsidRPr="009F48C0">
              <w:rPr>
                <w:i/>
                <w:iCs/>
                <w:sz w:val="18"/>
                <w:szCs w:val="18"/>
                <w:lang w:val="en-AU"/>
              </w:rPr>
              <w:t>Significant at 0.001 probability level</w:t>
            </w:r>
          </w:p>
        </w:tc>
      </w:tr>
      <w:tr w:rsidR="00C01A50" w:rsidRPr="009F48C0" w14:paraId="40D5F02E" w14:textId="7777777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C254DFD" w14:textId="77777777" w:rsidR="00C01A50" w:rsidRPr="009F48C0" w:rsidRDefault="00C01A50" w:rsidP="009F48C0">
            <w:pPr>
              <w:spacing w:before="40" w:after="40"/>
              <w:rPr>
                <w:iCs/>
                <w:sz w:val="18"/>
                <w:szCs w:val="18"/>
                <w:lang w:val="en-AU"/>
              </w:rPr>
            </w:pPr>
            <w:r w:rsidRPr="009F48C0">
              <w:rPr>
                <w:iCs/>
                <w:sz w:val="18"/>
                <w:szCs w:val="18"/>
                <w:lang w:val="en-AU"/>
              </w:rPr>
              <w:t xml:space="preserve">There is </w:t>
            </w:r>
            <w:r w:rsidRPr="009F48C0">
              <w:rPr>
                <w:i/>
                <w:iCs/>
                <w:sz w:val="18"/>
                <w:szCs w:val="18"/>
                <w:lang w:val="en-AU"/>
              </w:rPr>
              <w:t>no difference in the mean years of farming</w:t>
            </w:r>
            <w:r w:rsidRPr="009F48C0">
              <w:rPr>
                <w:iCs/>
                <w:sz w:val="18"/>
                <w:szCs w:val="18"/>
                <w:lang w:val="en-AU"/>
              </w:rPr>
              <w:t xml:space="preserve"> who responded to the statement that </w:t>
            </w:r>
            <w:r w:rsidRPr="009F48C0">
              <w:rPr>
                <w:i/>
                <w:iCs/>
                <w:sz w:val="18"/>
                <w:szCs w:val="18"/>
                <w:lang w:val="en-AU"/>
              </w:rPr>
              <w:t>‘the entitlement you have is enough to cover your production needs’</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E2DB2B5" w14:textId="77777777" w:rsidR="00C01A50" w:rsidRPr="009F48C0" w:rsidRDefault="00C01A50" w:rsidP="009F48C0">
            <w:pPr>
              <w:spacing w:before="40" w:after="40"/>
              <w:rPr>
                <w:i/>
                <w:iCs/>
                <w:sz w:val="18"/>
                <w:szCs w:val="18"/>
                <w:lang w:val="en-AU"/>
              </w:rPr>
            </w:pPr>
            <w:r w:rsidRPr="009F48C0">
              <w:rPr>
                <w:i/>
                <w:iCs/>
                <w:sz w:val="18"/>
                <w:szCs w:val="18"/>
                <w:lang w:val="en-AU"/>
              </w:rPr>
              <w:t>t-test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A2DB4C1" w14:textId="77777777" w:rsidR="00C01A50" w:rsidRPr="009F48C0" w:rsidRDefault="00C01A50" w:rsidP="009F48C0">
            <w:pPr>
              <w:spacing w:before="40" w:after="40"/>
              <w:rPr>
                <w:i/>
                <w:iCs/>
                <w:sz w:val="18"/>
                <w:szCs w:val="18"/>
                <w:lang w:val="en-AU"/>
              </w:rPr>
            </w:pPr>
            <w:r w:rsidRPr="009F48C0">
              <w:rPr>
                <w:i/>
                <w:iCs/>
                <w:sz w:val="18"/>
                <w:szCs w:val="18"/>
                <w:lang w:val="en-AU"/>
              </w:rPr>
              <w:t>0.381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67C1246" w14:textId="77777777" w:rsidR="00C01A50" w:rsidRPr="009F48C0" w:rsidRDefault="00C01A50" w:rsidP="009F48C0">
            <w:pPr>
              <w:spacing w:before="40" w:after="40"/>
              <w:rPr>
                <w:i/>
                <w:iCs/>
                <w:sz w:val="18"/>
                <w:szCs w:val="18"/>
                <w:lang w:val="en-AU"/>
              </w:rPr>
            </w:pPr>
            <w:r w:rsidRPr="009F48C0">
              <w:rPr>
                <w:i/>
                <w:iCs/>
                <w:sz w:val="18"/>
                <w:szCs w:val="18"/>
                <w:lang w:val="en-AU"/>
              </w:rPr>
              <w:t>Not significant at 0.10 level</w:t>
            </w:r>
          </w:p>
        </w:tc>
      </w:tr>
    </w:tbl>
    <w:p w14:paraId="4949AD4B" w14:textId="77777777" w:rsidR="00C01A50" w:rsidRPr="00867773" w:rsidRDefault="00C01A50" w:rsidP="00593A9A">
      <w:pPr>
        <w:pStyle w:val="Heading2"/>
        <w:rPr>
          <w:lang w:val="en-AU"/>
        </w:rPr>
      </w:pPr>
      <w:bookmarkStart w:id="169" w:name="_Toc347747836"/>
      <w:r>
        <w:rPr>
          <w:lang w:val="en-AU"/>
        </w:rPr>
        <w:lastRenderedPageBreak/>
        <w:t>Summing up</w:t>
      </w:r>
      <w:bookmarkEnd w:id="169"/>
    </w:p>
    <w:p w14:paraId="2A89E24D" w14:textId="77777777" w:rsidR="00361496" w:rsidRDefault="00C01A50" w:rsidP="00593A9A">
      <w:pPr>
        <w:rPr>
          <w:lang w:val="en-AU"/>
        </w:rPr>
      </w:pPr>
      <w:r>
        <w:rPr>
          <w:lang w:val="en-AU"/>
        </w:rPr>
        <w:t xml:space="preserve">Milk production in the GMID has fallen in response to both horticultural expansion and the Basin Plan. The counterfactual suggests that the Basin Plan has reduced annual average milk production </w:t>
      </w:r>
      <w:r w:rsidR="00D54D03">
        <w:rPr>
          <w:lang w:val="en-AU"/>
        </w:rPr>
        <w:t>by</w:t>
      </w:r>
      <w:r>
        <w:rPr>
          <w:lang w:val="en-AU"/>
        </w:rPr>
        <w:t xml:space="preserve"> the order of 30%.</w:t>
      </w:r>
      <w:r w:rsidR="00D54D03">
        <w:rPr>
          <w:lang w:val="en-AU"/>
        </w:rPr>
        <w:t xml:space="preserve"> The milk price slump at the time of writing is </w:t>
      </w:r>
      <w:r w:rsidR="00AC04C4">
        <w:rPr>
          <w:lang w:val="en-AU"/>
        </w:rPr>
        <w:t>putting</w:t>
      </w:r>
      <w:r w:rsidR="00D54D03">
        <w:rPr>
          <w:lang w:val="en-AU"/>
        </w:rPr>
        <w:t xml:space="preserve"> further downward pressure on milk production</w:t>
      </w:r>
      <w:r w:rsidR="00361496">
        <w:rPr>
          <w:lang w:val="en-AU"/>
        </w:rPr>
        <w:t>.</w:t>
      </w:r>
    </w:p>
    <w:p w14:paraId="06BB6577" w14:textId="77777777" w:rsidR="00C01A50" w:rsidRDefault="00C01A50" w:rsidP="00593A9A">
      <w:pPr>
        <w:rPr>
          <w:lang w:val="en-AU"/>
        </w:rPr>
      </w:pPr>
      <w:r>
        <w:rPr>
          <w:lang w:val="en-AU"/>
        </w:rPr>
        <w:t xml:space="preserve">On-farm improvements in irrigation layouts and irrigation management strategies over the past 30 years have helped dairy farmers adapt to the changes. However many dairy farmers will have now exhausted most of </w:t>
      </w:r>
      <w:r w:rsidRPr="00867773">
        <w:rPr>
          <w:lang w:val="en-AU"/>
        </w:rPr>
        <w:t>the</w:t>
      </w:r>
      <w:r>
        <w:rPr>
          <w:lang w:val="en-AU"/>
        </w:rPr>
        <w:t>ir</w:t>
      </w:r>
      <w:r w:rsidRPr="00867773">
        <w:rPr>
          <w:lang w:val="en-AU"/>
        </w:rPr>
        <w:t xml:space="preserve"> affordable </w:t>
      </w:r>
      <w:r>
        <w:rPr>
          <w:lang w:val="en-AU"/>
        </w:rPr>
        <w:t xml:space="preserve">options for coping with water scarcity in terms of their </w:t>
      </w:r>
      <w:r w:rsidRPr="00867773">
        <w:rPr>
          <w:lang w:val="en-AU"/>
        </w:rPr>
        <w:t>substitution, efficiency</w:t>
      </w:r>
      <w:r>
        <w:rPr>
          <w:lang w:val="en-AU"/>
        </w:rPr>
        <w:t>,</w:t>
      </w:r>
      <w:r w:rsidRPr="00867773">
        <w:rPr>
          <w:lang w:val="en-AU"/>
        </w:rPr>
        <w:t xml:space="preserve"> </w:t>
      </w:r>
      <w:r>
        <w:rPr>
          <w:lang w:val="en-AU"/>
        </w:rPr>
        <w:t>alternative supply</w:t>
      </w:r>
      <w:r w:rsidRPr="00867773">
        <w:rPr>
          <w:lang w:val="en-AU"/>
        </w:rPr>
        <w:t xml:space="preserve"> and exit strategies</w:t>
      </w:r>
      <w:r>
        <w:rPr>
          <w:lang w:val="en-AU"/>
        </w:rPr>
        <w:t>.</w:t>
      </w:r>
    </w:p>
    <w:p w14:paraId="5E303044" w14:textId="77777777" w:rsidR="00B02D53" w:rsidRDefault="00B02D53" w:rsidP="00593A9A">
      <w:r>
        <w:t>A key finding is that Victorian irrigators who sold water entitlements to the Commonwealth a</w:t>
      </w:r>
      <w:r w:rsidRPr="005D0073">
        <w:t xml:space="preserve">re now more reliant on allocation purchases than they would have been without the Basin Plan. </w:t>
      </w:r>
      <w:r>
        <w:t xml:space="preserve">For dairy farmers in particular this increased their farming risk; dairy farmers sold more entitlements to the Commonwealth than any other group of farmers. The nature of this risk was masked for four years by the high level of carryover resulting from the extraordinarily high rainfall years of 2010/11 and 2011/12. </w:t>
      </w:r>
    </w:p>
    <w:p w14:paraId="79B876B8" w14:textId="77777777" w:rsidR="00C01A50" w:rsidRDefault="00C01A50" w:rsidP="00593A9A">
      <w:pPr>
        <w:rPr>
          <w:lang w:val="en-AU"/>
        </w:rPr>
      </w:pPr>
      <w:r>
        <w:rPr>
          <w:lang w:val="en-AU"/>
        </w:rPr>
        <w:t>Dairy farmers whose business models depend on allocation purchases are now confronting decisions about their willingness and ability to adopt the more complex feeding strategies associated with further improvements in irrigation technology.</w:t>
      </w:r>
    </w:p>
    <w:p w14:paraId="34AF5EC4" w14:textId="77777777" w:rsidR="00C01A50" w:rsidRPr="00EB52CF" w:rsidRDefault="00C01A50" w:rsidP="00EB52CF">
      <w:pPr>
        <w:spacing w:before="0" w:after="0" w:line="240" w:lineRule="auto"/>
        <w:rPr>
          <w:caps/>
          <w:spacing w:val="15"/>
          <w:szCs w:val="22"/>
          <w:lang w:val="en-AU"/>
        </w:rPr>
      </w:pPr>
      <w:r w:rsidRPr="00EB52CF">
        <w:rPr>
          <w:lang w:val="en-AU"/>
        </w:rPr>
        <w:br w:type="page"/>
      </w:r>
    </w:p>
    <w:p w14:paraId="46D34AA9" w14:textId="77777777" w:rsidR="00C01A50" w:rsidRDefault="00C01A50" w:rsidP="00880811">
      <w:pPr>
        <w:pStyle w:val="Heading1"/>
        <w:rPr>
          <w:lang w:val="en-AU"/>
        </w:rPr>
      </w:pPr>
      <w:bookmarkStart w:id="170" w:name="_Toc341110721"/>
      <w:bookmarkStart w:id="171" w:name="_Ref342456059"/>
      <w:bookmarkStart w:id="172" w:name="_Ref346108243"/>
      <w:bookmarkStart w:id="173" w:name="_Ref347506754"/>
      <w:bookmarkStart w:id="174" w:name="_Ref347510127"/>
      <w:bookmarkStart w:id="175" w:name="_Toc347747837"/>
      <w:r>
        <w:rPr>
          <w:lang w:val="en-AU"/>
        </w:rPr>
        <w:lastRenderedPageBreak/>
        <w:t>Impacts in NSW – and their implications for Victoria</w:t>
      </w:r>
      <w:bookmarkEnd w:id="170"/>
      <w:bookmarkEnd w:id="171"/>
      <w:bookmarkEnd w:id="172"/>
      <w:bookmarkEnd w:id="173"/>
      <w:bookmarkEnd w:id="174"/>
      <w:bookmarkEnd w:id="175"/>
    </w:p>
    <w:p w14:paraId="32E41DD8" w14:textId="77777777" w:rsidR="00C01A50" w:rsidRDefault="00C01A50" w:rsidP="00572788">
      <w:pPr>
        <w:pStyle w:val="Heading2"/>
        <w:rPr>
          <w:lang w:val="en-AU"/>
        </w:rPr>
      </w:pPr>
      <w:bookmarkStart w:id="176" w:name="_Toc347747838"/>
      <w:r>
        <w:rPr>
          <w:lang w:val="en-AU"/>
        </w:rPr>
        <w:t>Overview</w:t>
      </w:r>
      <w:bookmarkEnd w:id="176"/>
    </w:p>
    <w:p w14:paraId="7459C93F" w14:textId="77777777" w:rsidR="00361496" w:rsidRDefault="00C01A50" w:rsidP="00880811">
      <w:r>
        <w:t xml:space="preserve">As explained in Chapter </w:t>
      </w:r>
      <w:r>
        <w:fldChar w:fldCharType="begin"/>
      </w:r>
      <w:r>
        <w:instrText xml:space="preserve"> REF _Ref342404866 \r \h </w:instrText>
      </w:r>
      <w:r>
        <w:fldChar w:fldCharType="separate"/>
      </w:r>
      <w:r w:rsidR="008E5D7A">
        <w:t>2</w:t>
      </w:r>
      <w:r>
        <w:fldChar w:fldCharType="end"/>
      </w:r>
      <w:r>
        <w:t xml:space="preserve"> understanding the socio-economic impacts of the Basin Plan in Victoria requires an understanding of the links between water supplies and demands in each state in the southern-connected Basin. South Australian influences were discussed in some detail in Chapter </w:t>
      </w:r>
      <w:r>
        <w:fldChar w:fldCharType="begin"/>
      </w:r>
      <w:r>
        <w:instrText xml:space="preserve"> REF _Ref464762211 \r \h </w:instrText>
      </w:r>
      <w:r>
        <w:fldChar w:fldCharType="separate"/>
      </w:r>
      <w:r w:rsidR="008E5D7A">
        <w:t>5</w:t>
      </w:r>
      <w:r>
        <w:fldChar w:fldCharType="end"/>
      </w:r>
      <w:r>
        <w:t xml:space="preserve"> because horticulture is the mainstay of irrigation there. NSW horticulture was also considered in that chapter. The focus for this chapter is therefore on the interruptible annual crops </w:t>
      </w:r>
      <w:r w:rsidR="006C395C">
        <w:t>predominant</w:t>
      </w:r>
      <w:r>
        <w:t xml:space="preserve"> in NSW.</w:t>
      </w:r>
      <w:r w:rsidR="00361496">
        <w:t xml:space="preserve"> </w:t>
      </w:r>
    </w:p>
    <w:p w14:paraId="338A77AA" w14:textId="77777777" w:rsidR="00C01A50" w:rsidRDefault="00361496" w:rsidP="00880811">
      <w:pPr>
        <w:rPr>
          <w:lang w:val="en-AU"/>
        </w:rPr>
      </w:pPr>
      <w:r>
        <w:t xml:space="preserve">It is important to note here however, that the level of detail involved in our analysis of the situation in NSW, and for that matter South Australia, is necessarily lower than that we were able to achieve for Victoria. </w:t>
      </w:r>
      <w:r w:rsidR="00E209D5">
        <w:t>Our</w:t>
      </w:r>
      <w:r>
        <w:t xml:space="preserve"> </w:t>
      </w:r>
      <w:r w:rsidR="00E209D5">
        <w:t>access to data from the Victorian Water Register enhanced our ability to provide insights into the situation in Victoria</w:t>
      </w:r>
      <w:r>
        <w:t xml:space="preserve">. </w:t>
      </w:r>
    </w:p>
    <w:p w14:paraId="621D7F4F" w14:textId="77777777" w:rsidR="006C395C" w:rsidRDefault="00C01A50" w:rsidP="00880811">
      <w:pPr>
        <w:rPr>
          <w:lang w:val="en-AU"/>
        </w:rPr>
      </w:pPr>
      <w:r w:rsidRPr="00FC0351">
        <w:rPr>
          <w:lang w:val="en-AU"/>
        </w:rPr>
        <w:t xml:space="preserve">The Murrumbidgee valley, the </w:t>
      </w:r>
      <w:r>
        <w:rPr>
          <w:lang w:val="en-AU"/>
        </w:rPr>
        <w:t xml:space="preserve">NSW </w:t>
      </w:r>
      <w:r w:rsidRPr="00FC0351">
        <w:rPr>
          <w:lang w:val="en-AU"/>
        </w:rPr>
        <w:t xml:space="preserve">Murray valley and the </w:t>
      </w:r>
      <w:r w:rsidR="00AC04C4" w:rsidRPr="00FC0351">
        <w:rPr>
          <w:lang w:val="en-AU"/>
        </w:rPr>
        <w:t xml:space="preserve">Lower </w:t>
      </w:r>
      <w:r w:rsidRPr="00FC0351">
        <w:rPr>
          <w:lang w:val="en-AU"/>
        </w:rPr>
        <w:t>Darling make up the NSW component of the southern-connected Basin. The region holds approximately 6300 GL of water entitlement and annual on farm usage, which varies significantly from year to year</w:t>
      </w:r>
      <w:r>
        <w:rPr>
          <w:lang w:val="en-AU"/>
        </w:rPr>
        <w:t>,</w:t>
      </w:r>
      <w:r w:rsidRPr="00FC0351">
        <w:rPr>
          <w:lang w:val="en-AU"/>
        </w:rPr>
        <w:t xml:space="preserve"> is in the order of 2</w:t>
      </w:r>
      <w:r>
        <w:rPr>
          <w:lang w:val="en-AU"/>
        </w:rPr>
        <w:t>,</w:t>
      </w:r>
      <w:r w:rsidRPr="00FC0351">
        <w:rPr>
          <w:lang w:val="en-AU"/>
        </w:rPr>
        <w:t>600 GL</w:t>
      </w:r>
      <w:r>
        <w:rPr>
          <w:lang w:val="en-AU"/>
        </w:rPr>
        <w:t xml:space="preserve"> on average</w:t>
      </w:r>
      <w:r w:rsidRPr="00FC0351">
        <w:rPr>
          <w:lang w:val="en-AU"/>
        </w:rPr>
        <w:t xml:space="preserve">. </w:t>
      </w:r>
    </w:p>
    <w:p w14:paraId="20A9EFA3" w14:textId="77777777" w:rsidR="00C01A50" w:rsidRDefault="00C01A50" w:rsidP="00880811">
      <w:pPr>
        <w:rPr>
          <w:lang w:val="en-AU"/>
        </w:rPr>
      </w:pPr>
      <w:r>
        <w:rPr>
          <w:lang w:val="en-AU"/>
        </w:rPr>
        <w:t>This chapter gives separate summaries of the current situations in the Murrumbidgee and the NSW Murray, before considering possible future trends in these industries.</w:t>
      </w:r>
      <w:r w:rsidR="006C395C">
        <w:rPr>
          <w:lang w:val="en-AU"/>
        </w:rPr>
        <w:t xml:space="preserve"> </w:t>
      </w:r>
      <w:r>
        <w:rPr>
          <w:lang w:val="en-AU"/>
        </w:rPr>
        <w:t>It then discusses the implications for Victoria arising out of those possible future changes. It concludes with a discussion of the structural adjustment pressures in NSW.</w:t>
      </w:r>
    </w:p>
    <w:p w14:paraId="325B164F" w14:textId="77777777" w:rsidR="00C01A50" w:rsidRDefault="00C01A50" w:rsidP="00880811">
      <w:pPr>
        <w:pStyle w:val="Heading2"/>
        <w:rPr>
          <w:lang w:val="en-AU"/>
        </w:rPr>
      </w:pPr>
      <w:bookmarkStart w:id="177" w:name="_Toc347747839"/>
      <w:r>
        <w:rPr>
          <w:lang w:val="en-AU"/>
        </w:rPr>
        <w:t xml:space="preserve">The </w:t>
      </w:r>
      <w:r w:rsidRPr="00317F08">
        <w:rPr>
          <w:lang w:val="en-AU"/>
        </w:rPr>
        <w:t>Murrumbidgee</w:t>
      </w:r>
      <w:bookmarkEnd w:id="177"/>
      <w:r w:rsidRPr="00317F08">
        <w:rPr>
          <w:lang w:val="en-AU"/>
        </w:rPr>
        <w:t xml:space="preserve"> </w:t>
      </w:r>
    </w:p>
    <w:p w14:paraId="6B73A339" w14:textId="77777777" w:rsidR="00C01A50" w:rsidRDefault="00C01A50" w:rsidP="00880811">
      <w:pPr>
        <w:rPr>
          <w:lang w:val="en-AU"/>
        </w:rPr>
      </w:pPr>
      <w:r w:rsidRPr="00317F08">
        <w:rPr>
          <w:lang w:val="en-AU"/>
        </w:rPr>
        <w:t>Irrigat</w:t>
      </w:r>
      <w:r>
        <w:rPr>
          <w:lang w:val="en-AU"/>
        </w:rPr>
        <w:t xml:space="preserve">ors in the </w:t>
      </w:r>
      <w:r w:rsidRPr="00317F08">
        <w:rPr>
          <w:lang w:val="en-AU"/>
        </w:rPr>
        <w:t xml:space="preserve">Murrumbidgee include private diverters, groundwater users and </w:t>
      </w:r>
      <w:r>
        <w:rPr>
          <w:lang w:val="en-AU"/>
        </w:rPr>
        <w:t>district irrigators in the Murrumbidgee and Coleambally Irrigation Areas.  Most water is used in the two irrigation areas.</w:t>
      </w:r>
    </w:p>
    <w:p w14:paraId="4E49A955" w14:textId="77777777" w:rsidR="00C01A50" w:rsidRPr="00317F08" w:rsidRDefault="00C01A50" w:rsidP="00880811">
      <w:pPr>
        <w:pStyle w:val="Caption"/>
        <w:rPr>
          <w:lang w:val="en-AU"/>
        </w:rPr>
      </w:pPr>
      <w:bookmarkStart w:id="178" w:name="_Ref341166321"/>
      <w:r>
        <w:t xml:space="preserve">Table </w:t>
      </w:r>
      <w:r>
        <w:fldChar w:fldCharType="begin"/>
      </w:r>
      <w:r>
        <w:instrText xml:space="preserve"> SEQ Table \* ARABIC </w:instrText>
      </w:r>
      <w:r>
        <w:fldChar w:fldCharType="separate"/>
      </w:r>
      <w:r w:rsidR="008E5D7A">
        <w:rPr>
          <w:noProof/>
        </w:rPr>
        <w:t>7</w:t>
      </w:r>
      <w:r>
        <w:fldChar w:fldCharType="end"/>
      </w:r>
      <w:bookmarkEnd w:id="178"/>
      <w:r>
        <w:t>:</w:t>
      </w:r>
      <w:r w:rsidRPr="00317F08">
        <w:rPr>
          <w:lang w:val="en-AU"/>
        </w:rPr>
        <w:t xml:space="preserve"> </w:t>
      </w:r>
      <w:r>
        <w:rPr>
          <w:lang w:val="en-AU"/>
        </w:rPr>
        <w:t>Commonwealth recovery</w:t>
      </w:r>
      <w:r w:rsidRPr="00317F08">
        <w:rPr>
          <w:lang w:val="en-AU"/>
        </w:rPr>
        <w:t xml:space="preserve"> of water entitlements from the Murrumbidgee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1482"/>
        <w:gridCol w:w="1347"/>
        <w:gridCol w:w="1015"/>
        <w:gridCol w:w="1015"/>
        <w:gridCol w:w="845"/>
        <w:gridCol w:w="1202"/>
        <w:gridCol w:w="847"/>
      </w:tblGrid>
      <w:tr w:rsidR="00C01A50" w:rsidRPr="00317F08" w14:paraId="3E49A086" w14:textId="77777777">
        <w:tc>
          <w:tcPr>
            <w:tcW w:w="0" w:type="auto"/>
            <w:shd w:val="clear" w:color="auto" w:fill="auto"/>
          </w:tcPr>
          <w:p w14:paraId="7AF203CF" w14:textId="77777777" w:rsidR="00C01A50" w:rsidRPr="00783410" w:rsidRDefault="00C01A50" w:rsidP="00880811">
            <w:pPr>
              <w:spacing w:before="0" w:after="0"/>
              <w:rPr>
                <w:sz w:val="19"/>
                <w:szCs w:val="19"/>
                <w:lang w:val="en-AU"/>
              </w:rPr>
            </w:pPr>
            <w:r w:rsidRPr="00783410">
              <w:rPr>
                <w:sz w:val="19"/>
                <w:szCs w:val="19"/>
                <w:lang w:val="en-AU"/>
              </w:rPr>
              <w:t xml:space="preserve">Class of </w:t>
            </w:r>
            <w:r w:rsidRPr="003D6671">
              <w:rPr>
                <w:sz w:val="19"/>
                <w:szCs w:val="19"/>
                <w:lang w:val="en-AU"/>
              </w:rPr>
              <w:t>entitlement</w:t>
            </w:r>
          </w:p>
        </w:tc>
        <w:tc>
          <w:tcPr>
            <w:tcW w:w="0" w:type="auto"/>
          </w:tcPr>
          <w:p w14:paraId="3189058D" w14:textId="77777777" w:rsidR="00C01A50" w:rsidRDefault="00C01A50" w:rsidP="00880811">
            <w:pPr>
              <w:spacing w:before="0" w:after="0"/>
              <w:rPr>
                <w:sz w:val="19"/>
                <w:szCs w:val="19"/>
                <w:lang w:val="en-AU"/>
              </w:rPr>
            </w:pPr>
            <w:r>
              <w:rPr>
                <w:sz w:val="19"/>
                <w:szCs w:val="19"/>
                <w:lang w:val="en-AU"/>
              </w:rPr>
              <w:t>ML issued</w:t>
            </w:r>
          </w:p>
          <w:p w14:paraId="70A6B4AE" w14:textId="77777777" w:rsidR="00C01A50" w:rsidRPr="00783410" w:rsidRDefault="00C01A50" w:rsidP="00880811">
            <w:pPr>
              <w:spacing w:before="0" w:after="0"/>
              <w:rPr>
                <w:sz w:val="19"/>
                <w:szCs w:val="19"/>
                <w:lang w:val="en-AU"/>
              </w:rPr>
            </w:pPr>
            <w:r>
              <w:rPr>
                <w:sz w:val="19"/>
                <w:szCs w:val="19"/>
                <w:lang w:val="en-AU"/>
              </w:rPr>
              <w:t>(</w:t>
            </w:r>
            <w:r w:rsidRPr="00783410">
              <w:rPr>
                <w:sz w:val="19"/>
                <w:szCs w:val="19"/>
                <w:lang w:val="en-AU"/>
              </w:rPr>
              <w:t>Murrumbidgee Water Sharing Plan 2016</w:t>
            </w:r>
            <w:r>
              <w:rPr>
                <w:sz w:val="19"/>
                <w:szCs w:val="19"/>
                <w:lang w:val="en-AU"/>
              </w:rPr>
              <w:t>)</w:t>
            </w:r>
          </w:p>
        </w:tc>
        <w:tc>
          <w:tcPr>
            <w:tcW w:w="0" w:type="auto"/>
            <w:shd w:val="clear" w:color="auto" w:fill="auto"/>
          </w:tcPr>
          <w:p w14:paraId="466E7BD5" w14:textId="77777777" w:rsidR="00C01A50" w:rsidRPr="00783410" w:rsidRDefault="00C01A50" w:rsidP="00880811">
            <w:pPr>
              <w:spacing w:before="0" w:after="0"/>
              <w:rPr>
                <w:sz w:val="19"/>
                <w:szCs w:val="19"/>
                <w:lang w:val="en-AU"/>
              </w:rPr>
            </w:pPr>
            <w:r>
              <w:rPr>
                <w:sz w:val="19"/>
                <w:szCs w:val="19"/>
                <w:lang w:val="en-AU"/>
              </w:rPr>
              <w:t>Recovery</w:t>
            </w:r>
            <w:r w:rsidRPr="00783410">
              <w:rPr>
                <w:sz w:val="19"/>
                <w:szCs w:val="19"/>
                <w:lang w:val="en-AU"/>
              </w:rPr>
              <w:t xml:space="preserve"> </w:t>
            </w:r>
            <w:r>
              <w:rPr>
                <w:sz w:val="19"/>
                <w:szCs w:val="19"/>
                <w:lang w:val="en-AU"/>
              </w:rPr>
              <w:t xml:space="preserve">(ML) </w:t>
            </w:r>
            <w:r w:rsidRPr="00783410">
              <w:rPr>
                <w:sz w:val="19"/>
                <w:szCs w:val="19"/>
                <w:lang w:val="en-AU"/>
              </w:rPr>
              <w:t>related to Infrastructure</w:t>
            </w:r>
            <w:r>
              <w:rPr>
                <w:sz w:val="19"/>
                <w:szCs w:val="19"/>
                <w:lang w:val="en-AU"/>
              </w:rPr>
              <w:t xml:space="preserve"> investments</w:t>
            </w:r>
          </w:p>
        </w:tc>
        <w:tc>
          <w:tcPr>
            <w:tcW w:w="0" w:type="auto"/>
            <w:shd w:val="clear" w:color="auto" w:fill="auto"/>
          </w:tcPr>
          <w:p w14:paraId="179187B4" w14:textId="77777777" w:rsidR="00C01A50" w:rsidRPr="00783410" w:rsidRDefault="00C01A50" w:rsidP="00880811">
            <w:pPr>
              <w:spacing w:before="0" w:after="0"/>
              <w:rPr>
                <w:sz w:val="19"/>
                <w:szCs w:val="19"/>
                <w:lang w:val="en-AU"/>
              </w:rPr>
            </w:pPr>
            <w:r w:rsidRPr="00783410">
              <w:rPr>
                <w:sz w:val="19"/>
                <w:szCs w:val="19"/>
                <w:lang w:val="en-AU"/>
              </w:rPr>
              <w:t xml:space="preserve">Direct </w:t>
            </w:r>
            <w:r w:rsidRPr="003D6671">
              <w:rPr>
                <w:sz w:val="19"/>
                <w:szCs w:val="19"/>
                <w:lang w:val="en-AU"/>
              </w:rPr>
              <w:t>purchases</w:t>
            </w:r>
            <w:r>
              <w:rPr>
                <w:sz w:val="19"/>
                <w:szCs w:val="19"/>
                <w:lang w:val="en-AU"/>
              </w:rPr>
              <w:t xml:space="preserve"> (ML)</w:t>
            </w:r>
          </w:p>
        </w:tc>
        <w:tc>
          <w:tcPr>
            <w:tcW w:w="0" w:type="auto"/>
            <w:shd w:val="clear" w:color="auto" w:fill="auto"/>
          </w:tcPr>
          <w:p w14:paraId="450FB864" w14:textId="77777777" w:rsidR="00C01A50" w:rsidRPr="00783410" w:rsidRDefault="00C01A50" w:rsidP="00880811">
            <w:pPr>
              <w:spacing w:before="0" w:after="0"/>
              <w:rPr>
                <w:sz w:val="19"/>
                <w:szCs w:val="19"/>
                <w:lang w:val="en-AU"/>
              </w:rPr>
            </w:pPr>
            <w:r w:rsidRPr="00783410">
              <w:rPr>
                <w:sz w:val="19"/>
                <w:szCs w:val="19"/>
                <w:lang w:val="en-AU"/>
              </w:rPr>
              <w:t>Other purchases</w:t>
            </w:r>
            <w:r>
              <w:rPr>
                <w:sz w:val="19"/>
                <w:szCs w:val="19"/>
                <w:lang w:val="en-AU"/>
              </w:rPr>
              <w:t xml:space="preserve"> (ML)</w:t>
            </w:r>
          </w:p>
        </w:tc>
        <w:tc>
          <w:tcPr>
            <w:tcW w:w="0" w:type="auto"/>
            <w:shd w:val="clear" w:color="auto" w:fill="auto"/>
          </w:tcPr>
          <w:p w14:paraId="0721B06B" w14:textId="77777777" w:rsidR="00C01A50" w:rsidRPr="00783410" w:rsidRDefault="00C01A50" w:rsidP="00880811">
            <w:pPr>
              <w:spacing w:before="0" w:after="0"/>
              <w:rPr>
                <w:sz w:val="19"/>
                <w:szCs w:val="19"/>
                <w:lang w:val="en-AU"/>
              </w:rPr>
            </w:pPr>
            <w:r w:rsidRPr="00783410">
              <w:rPr>
                <w:sz w:val="19"/>
                <w:szCs w:val="19"/>
                <w:lang w:val="en-AU"/>
              </w:rPr>
              <w:t>Total</w:t>
            </w:r>
            <w:r>
              <w:rPr>
                <w:sz w:val="19"/>
                <w:szCs w:val="19"/>
                <w:lang w:val="en-AU"/>
              </w:rPr>
              <w:t xml:space="preserve"> (ML)</w:t>
            </w:r>
          </w:p>
        </w:tc>
        <w:tc>
          <w:tcPr>
            <w:tcW w:w="0" w:type="auto"/>
            <w:shd w:val="clear" w:color="auto" w:fill="auto"/>
          </w:tcPr>
          <w:p w14:paraId="3279B56A" w14:textId="77777777" w:rsidR="00C01A50" w:rsidRPr="00783410" w:rsidRDefault="00C01A50" w:rsidP="00880811">
            <w:pPr>
              <w:spacing w:before="0" w:after="0"/>
              <w:rPr>
                <w:sz w:val="19"/>
                <w:szCs w:val="19"/>
                <w:lang w:val="en-AU"/>
              </w:rPr>
            </w:pPr>
            <w:r>
              <w:rPr>
                <w:sz w:val="19"/>
                <w:szCs w:val="19"/>
                <w:lang w:val="en-AU"/>
              </w:rPr>
              <w:t xml:space="preserve">Recovery as </w:t>
            </w:r>
            <w:r w:rsidRPr="003D6671">
              <w:rPr>
                <w:sz w:val="19"/>
                <w:szCs w:val="19"/>
                <w:lang w:val="en-AU"/>
              </w:rPr>
              <w:t xml:space="preserve">proportion of </w:t>
            </w:r>
            <w:r>
              <w:rPr>
                <w:sz w:val="19"/>
                <w:szCs w:val="19"/>
                <w:lang w:val="en-AU"/>
              </w:rPr>
              <w:t xml:space="preserve">the </w:t>
            </w:r>
            <w:r w:rsidRPr="003D6671">
              <w:rPr>
                <w:sz w:val="19"/>
                <w:szCs w:val="19"/>
                <w:lang w:val="en-AU"/>
              </w:rPr>
              <w:t xml:space="preserve">total </w:t>
            </w:r>
            <w:r>
              <w:rPr>
                <w:sz w:val="19"/>
                <w:szCs w:val="19"/>
                <w:lang w:val="en-AU"/>
              </w:rPr>
              <w:t xml:space="preserve">of that </w:t>
            </w:r>
            <w:r w:rsidRPr="003D6671">
              <w:rPr>
                <w:sz w:val="19"/>
                <w:szCs w:val="19"/>
                <w:lang w:val="en-AU"/>
              </w:rPr>
              <w:t xml:space="preserve">entitlement </w:t>
            </w:r>
            <w:r w:rsidRPr="00783410">
              <w:rPr>
                <w:sz w:val="19"/>
                <w:szCs w:val="19"/>
                <w:lang w:val="en-AU"/>
              </w:rPr>
              <w:t>(%)</w:t>
            </w:r>
          </w:p>
        </w:tc>
        <w:tc>
          <w:tcPr>
            <w:tcW w:w="0" w:type="auto"/>
            <w:shd w:val="clear" w:color="auto" w:fill="auto"/>
          </w:tcPr>
          <w:p w14:paraId="0231745C" w14:textId="77777777" w:rsidR="00C01A50" w:rsidRPr="00783410" w:rsidRDefault="00C01A50" w:rsidP="00880811">
            <w:pPr>
              <w:spacing w:before="0" w:after="0"/>
              <w:rPr>
                <w:sz w:val="19"/>
                <w:szCs w:val="19"/>
                <w:lang w:val="en-AU"/>
              </w:rPr>
            </w:pPr>
            <w:r w:rsidRPr="00783410">
              <w:rPr>
                <w:sz w:val="19"/>
                <w:szCs w:val="19"/>
                <w:lang w:val="en-AU"/>
              </w:rPr>
              <w:t>LTAAY</w:t>
            </w:r>
            <w:r>
              <w:rPr>
                <w:sz w:val="19"/>
                <w:szCs w:val="19"/>
                <w:lang w:val="en-AU"/>
              </w:rPr>
              <w:t xml:space="preserve"> (ML)</w:t>
            </w:r>
          </w:p>
        </w:tc>
      </w:tr>
      <w:tr w:rsidR="00C01A50" w:rsidRPr="00317F08" w14:paraId="03EB332F" w14:textId="77777777">
        <w:tc>
          <w:tcPr>
            <w:tcW w:w="0" w:type="auto"/>
            <w:shd w:val="clear" w:color="auto" w:fill="auto"/>
          </w:tcPr>
          <w:p w14:paraId="29A009E1" w14:textId="77777777" w:rsidR="00C01A50" w:rsidRPr="00783410" w:rsidRDefault="00C01A50" w:rsidP="00880811">
            <w:pPr>
              <w:spacing w:before="0" w:after="0"/>
              <w:rPr>
                <w:sz w:val="19"/>
                <w:szCs w:val="19"/>
                <w:lang w:val="en-AU"/>
              </w:rPr>
            </w:pPr>
            <w:r w:rsidRPr="00783410">
              <w:rPr>
                <w:sz w:val="19"/>
                <w:szCs w:val="19"/>
                <w:lang w:val="en-AU"/>
              </w:rPr>
              <w:t>Conveyance</w:t>
            </w:r>
          </w:p>
        </w:tc>
        <w:tc>
          <w:tcPr>
            <w:tcW w:w="0" w:type="auto"/>
          </w:tcPr>
          <w:p w14:paraId="7BA7B502" w14:textId="77777777" w:rsidR="00C01A50" w:rsidRPr="00783410" w:rsidRDefault="00C01A50" w:rsidP="00880811">
            <w:pPr>
              <w:spacing w:before="0" w:after="0"/>
              <w:jc w:val="right"/>
              <w:rPr>
                <w:sz w:val="19"/>
                <w:szCs w:val="19"/>
                <w:lang w:val="en-AU"/>
              </w:rPr>
            </w:pPr>
            <w:r w:rsidRPr="00783410">
              <w:rPr>
                <w:sz w:val="19"/>
                <w:szCs w:val="19"/>
                <w:lang w:val="en-AU"/>
              </w:rPr>
              <w:t>375,968</w:t>
            </w:r>
          </w:p>
        </w:tc>
        <w:tc>
          <w:tcPr>
            <w:tcW w:w="0" w:type="auto"/>
            <w:shd w:val="clear" w:color="auto" w:fill="auto"/>
          </w:tcPr>
          <w:p w14:paraId="6BD7F760" w14:textId="77777777" w:rsidR="00C01A50" w:rsidRPr="00783410" w:rsidRDefault="00C01A50" w:rsidP="00880811">
            <w:pPr>
              <w:spacing w:before="0" w:after="0"/>
              <w:jc w:val="right"/>
              <w:rPr>
                <w:sz w:val="19"/>
                <w:szCs w:val="19"/>
                <w:lang w:val="en-AU"/>
              </w:rPr>
            </w:pPr>
            <w:r w:rsidRPr="00783410">
              <w:rPr>
                <w:sz w:val="19"/>
                <w:szCs w:val="19"/>
                <w:lang w:val="en-AU"/>
              </w:rPr>
              <w:t>33,340</w:t>
            </w:r>
          </w:p>
        </w:tc>
        <w:tc>
          <w:tcPr>
            <w:tcW w:w="0" w:type="auto"/>
            <w:shd w:val="clear" w:color="auto" w:fill="auto"/>
          </w:tcPr>
          <w:p w14:paraId="5739FC35" w14:textId="77777777" w:rsidR="00C01A50" w:rsidRPr="00783410" w:rsidRDefault="00C01A50" w:rsidP="00880811">
            <w:pPr>
              <w:spacing w:before="0" w:after="0"/>
              <w:jc w:val="right"/>
              <w:rPr>
                <w:sz w:val="19"/>
                <w:szCs w:val="19"/>
                <w:lang w:val="en-AU"/>
              </w:rPr>
            </w:pPr>
          </w:p>
        </w:tc>
        <w:tc>
          <w:tcPr>
            <w:tcW w:w="0" w:type="auto"/>
            <w:shd w:val="clear" w:color="auto" w:fill="auto"/>
          </w:tcPr>
          <w:p w14:paraId="668D7177" w14:textId="77777777" w:rsidR="00C01A50" w:rsidRPr="00783410" w:rsidRDefault="00C01A50" w:rsidP="00880811">
            <w:pPr>
              <w:spacing w:before="0" w:after="0"/>
              <w:jc w:val="right"/>
              <w:rPr>
                <w:sz w:val="19"/>
                <w:szCs w:val="19"/>
                <w:lang w:val="en-AU"/>
              </w:rPr>
            </w:pPr>
            <w:r w:rsidRPr="00783410">
              <w:rPr>
                <w:sz w:val="19"/>
                <w:szCs w:val="19"/>
                <w:lang w:val="en-AU"/>
              </w:rPr>
              <w:t>2,569</w:t>
            </w:r>
          </w:p>
        </w:tc>
        <w:tc>
          <w:tcPr>
            <w:tcW w:w="0" w:type="auto"/>
            <w:shd w:val="clear" w:color="auto" w:fill="auto"/>
          </w:tcPr>
          <w:p w14:paraId="5B46D7DE" w14:textId="77777777" w:rsidR="00C01A50" w:rsidRPr="00783410" w:rsidRDefault="00C01A50" w:rsidP="00880811">
            <w:pPr>
              <w:spacing w:before="0" w:after="0"/>
              <w:jc w:val="right"/>
              <w:rPr>
                <w:sz w:val="19"/>
                <w:szCs w:val="19"/>
                <w:lang w:val="en-AU"/>
              </w:rPr>
            </w:pPr>
            <w:r w:rsidRPr="00783410">
              <w:rPr>
                <w:sz w:val="19"/>
                <w:szCs w:val="19"/>
                <w:lang w:val="en-AU"/>
              </w:rPr>
              <w:t>35,909</w:t>
            </w:r>
          </w:p>
        </w:tc>
        <w:tc>
          <w:tcPr>
            <w:tcW w:w="0" w:type="auto"/>
            <w:shd w:val="clear" w:color="auto" w:fill="auto"/>
          </w:tcPr>
          <w:p w14:paraId="47D4403B" w14:textId="77777777" w:rsidR="00C01A50" w:rsidRPr="00783410" w:rsidRDefault="00C01A50" w:rsidP="00880811">
            <w:pPr>
              <w:spacing w:before="0" w:after="0"/>
              <w:jc w:val="right"/>
              <w:rPr>
                <w:sz w:val="19"/>
                <w:szCs w:val="19"/>
                <w:lang w:val="en-AU"/>
              </w:rPr>
            </w:pPr>
            <w:r w:rsidRPr="00783410">
              <w:rPr>
                <w:sz w:val="19"/>
                <w:szCs w:val="19"/>
                <w:lang w:val="en-AU"/>
              </w:rPr>
              <w:t>10</w:t>
            </w:r>
          </w:p>
        </w:tc>
        <w:tc>
          <w:tcPr>
            <w:tcW w:w="0" w:type="auto"/>
            <w:shd w:val="clear" w:color="auto" w:fill="auto"/>
          </w:tcPr>
          <w:p w14:paraId="34B0F672" w14:textId="77777777" w:rsidR="00C01A50" w:rsidRPr="00783410" w:rsidRDefault="00C01A50" w:rsidP="00880811">
            <w:pPr>
              <w:spacing w:before="0" w:after="0"/>
              <w:jc w:val="right"/>
              <w:rPr>
                <w:sz w:val="19"/>
                <w:szCs w:val="19"/>
                <w:lang w:val="en-AU"/>
              </w:rPr>
            </w:pPr>
            <w:r w:rsidRPr="00783410">
              <w:rPr>
                <w:sz w:val="19"/>
                <w:szCs w:val="19"/>
                <w:lang w:val="en-AU"/>
              </w:rPr>
              <w:t>34,155</w:t>
            </w:r>
          </w:p>
        </w:tc>
      </w:tr>
      <w:tr w:rsidR="00C01A50" w:rsidRPr="00317F08" w14:paraId="45B77020" w14:textId="77777777">
        <w:tc>
          <w:tcPr>
            <w:tcW w:w="0" w:type="auto"/>
            <w:shd w:val="clear" w:color="auto" w:fill="auto"/>
          </w:tcPr>
          <w:p w14:paraId="7117354A" w14:textId="77777777" w:rsidR="00C01A50" w:rsidRPr="00783410" w:rsidRDefault="00C01A50" w:rsidP="00880811">
            <w:pPr>
              <w:spacing w:before="0" w:after="0"/>
              <w:rPr>
                <w:sz w:val="19"/>
                <w:szCs w:val="19"/>
                <w:lang w:val="en-AU"/>
              </w:rPr>
            </w:pPr>
            <w:r w:rsidRPr="00783410">
              <w:rPr>
                <w:sz w:val="19"/>
                <w:szCs w:val="19"/>
                <w:lang w:val="en-AU"/>
              </w:rPr>
              <w:t>General Security</w:t>
            </w:r>
          </w:p>
        </w:tc>
        <w:tc>
          <w:tcPr>
            <w:tcW w:w="0" w:type="auto"/>
          </w:tcPr>
          <w:p w14:paraId="22643FF6" w14:textId="77777777" w:rsidR="00C01A50" w:rsidRPr="00783410" w:rsidRDefault="00C01A50" w:rsidP="00880811">
            <w:pPr>
              <w:spacing w:before="0" w:after="0"/>
              <w:jc w:val="right"/>
              <w:rPr>
                <w:sz w:val="19"/>
                <w:szCs w:val="19"/>
                <w:lang w:val="en-AU"/>
              </w:rPr>
            </w:pPr>
            <w:r w:rsidRPr="00783410">
              <w:rPr>
                <w:sz w:val="19"/>
                <w:szCs w:val="19"/>
                <w:lang w:val="en-AU"/>
              </w:rPr>
              <w:t>1,891,815</w:t>
            </w:r>
          </w:p>
        </w:tc>
        <w:tc>
          <w:tcPr>
            <w:tcW w:w="0" w:type="auto"/>
            <w:shd w:val="clear" w:color="auto" w:fill="auto"/>
          </w:tcPr>
          <w:p w14:paraId="7AF67F61" w14:textId="77777777" w:rsidR="00C01A50" w:rsidRPr="00783410" w:rsidRDefault="00C01A50" w:rsidP="00880811">
            <w:pPr>
              <w:spacing w:before="0" w:after="0"/>
              <w:jc w:val="right"/>
              <w:rPr>
                <w:sz w:val="19"/>
                <w:szCs w:val="19"/>
                <w:lang w:val="en-AU"/>
              </w:rPr>
            </w:pPr>
            <w:r w:rsidRPr="00783410">
              <w:rPr>
                <w:sz w:val="19"/>
                <w:szCs w:val="19"/>
                <w:lang w:val="en-AU"/>
              </w:rPr>
              <w:t>72,528</w:t>
            </w:r>
          </w:p>
        </w:tc>
        <w:tc>
          <w:tcPr>
            <w:tcW w:w="0" w:type="auto"/>
            <w:shd w:val="clear" w:color="auto" w:fill="auto"/>
          </w:tcPr>
          <w:p w14:paraId="5D81A339" w14:textId="77777777" w:rsidR="00C01A50" w:rsidRPr="00783410" w:rsidRDefault="00C01A50" w:rsidP="00880811">
            <w:pPr>
              <w:spacing w:before="0" w:after="0"/>
              <w:jc w:val="right"/>
              <w:rPr>
                <w:sz w:val="19"/>
                <w:szCs w:val="19"/>
                <w:lang w:val="en-AU"/>
              </w:rPr>
            </w:pPr>
            <w:r w:rsidRPr="00783410">
              <w:rPr>
                <w:sz w:val="19"/>
                <w:szCs w:val="19"/>
                <w:lang w:val="en-AU"/>
              </w:rPr>
              <w:t>198,223</w:t>
            </w:r>
          </w:p>
        </w:tc>
        <w:tc>
          <w:tcPr>
            <w:tcW w:w="0" w:type="auto"/>
            <w:shd w:val="clear" w:color="auto" w:fill="auto"/>
          </w:tcPr>
          <w:p w14:paraId="515FACA1" w14:textId="77777777" w:rsidR="00C01A50" w:rsidRPr="00783410" w:rsidRDefault="00C01A50" w:rsidP="00880811">
            <w:pPr>
              <w:spacing w:before="0" w:after="0"/>
              <w:jc w:val="right"/>
              <w:rPr>
                <w:sz w:val="19"/>
                <w:szCs w:val="19"/>
                <w:lang w:val="en-AU"/>
              </w:rPr>
            </w:pPr>
          </w:p>
        </w:tc>
        <w:tc>
          <w:tcPr>
            <w:tcW w:w="0" w:type="auto"/>
            <w:shd w:val="clear" w:color="auto" w:fill="auto"/>
          </w:tcPr>
          <w:p w14:paraId="5E6E7E0B" w14:textId="77777777" w:rsidR="00C01A50" w:rsidRPr="00783410" w:rsidRDefault="00C01A50" w:rsidP="00880811">
            <w:pPr>
              <w:spacing w:before="0" w:after="0"/>
              <w:jc w:val="right"/>
              <w:rPr>
                <w:sz w:val="19"/>
                <w:szCs w:val="19"/>
                <w:lang w:val="en-AU"/>
              </w:rPr>
            </w:pPr>
            <w:r w:rsidRPr="00783410">
              <w:rPr>
                <w:sz w:val="19"/>
                <w:szCs w:val="19"/>
                <w:lang w:val="en-AU"/>
              </w:rPr>
              <w:t>270,751</w:t>
            </w:r>
          </w:p>
        </w:tc>
        <w:tc>
          <w:tcPr>
            <w:tcW w:w="0" w:type="auto"/>
            <w:shd w:val="clear" w:color="auto" w:fill="auto"/>
          </w:tcPr>
          <w:p w14:paraId="4FE658DE" w14:textId="77777777" w:rsidR="00C01A50" w:rsidRPr="00783410" w:rsidRDefault="00C01A50" w:rsidP="00880811">
            <w:pPr>
              <w:spacing w:before="0" w:after="0"/>
              <w:jc w:val="right"/>
              <w:rPr>
                <w:sz w:val="19"/>
                <w:szCs w:val="19"/>
                <w:lang w:val="en-AU"/>
              </w:rPr>
            </w:pPr>
            <w:r w:rsidRPr="00783410">
              <w:rPr>
                <w:sz w:val="19"/>
                <w:szCs w:val="19"/>
                <w:lang w:val="en-AU"/>
              </w:rPr>
              <w:t>14</w:t>
            </w:r>
          </w:p>
        </w:tc>
        <w:tc>
          <w:tcPr>
            <w:tcW w:w="0" w:type="auto"/>
            <w:shd w:val="clear" w:color="auto" w:fill="auto"/>
          </w:tcPr>
          <w:p w14:paraId="52EC1390" w14:textId="77777777" w:rsidR="00C01A50" w:rsidRPr="00783410" w:rsidRDefault="00C01A50" w:rsidP="00880811">
            <w:pPr>
              <w:spacing w:before="0" w:after="0"/>
              <w:jc w:val="right"/>
              <w:rPr>
                <w:sz w:val="19"/>
                <w:szCs w:val="19"/>
                <w:lang w:val="en-AU"/>
              </w:rPr>
            </w:pPr>
            <w:r w:rsidRPr="00783410">
              <w:rPr>
                <w:sz w:val="19"/>
                <w:szCs w:val="19"/>
                <w:lang w:val="en-AU"/>
              </w:rPr>
              <w:t>173,281</w:t>
            </w:r>
          </w:p>
        </w:tc>
      </w:tr>
      <w:tr w:rsidR="00C01A50" w:rsidRPr="00317F08" w14:paraId="546DAA26" w14:textId="77777777">
        <w:tc>
          <w:tcPr>
            <w:tcW w:w="0" w:type="auto"/>
            <w:shd w:val="clear" w:color="auto" w:fill="auto"/>
          </w:tcPr>
          <w:p w14:paraId="29555C49" w14:textId="77777777" w:rsidR="00C01A50" w:rsidRPr="00783410" w:rsidRDefault="00C01A50" w:rsidP="00880811">
            <w:pPr>
              <w:spacing w:before="0" w:after="0"/>
              <w:rPr>
                <w:sz w:val="19"/>
                <w:szCs w:val="19"/>
                <w:lang w:val="en-AU"/>
              </w:rPr>
            </w:pPr>
            <w:r w:rsidRPr="00783410">
              <w:rPr>
                <w:sz w:val="19"/>
                <w:szCs w:val="19"/>
                <w:lang w:val="en-AU"/>
              </w:rPr>
              <w:t>Groundwater</w:t>
            </w:r>
          </w:p>
        </w:tc>
        <w:tc>
          <w:tcPr>
            <w:tcW w:w="0" w:type="auto"/>
          </w:tcPr>
          <w:p w14:paraId="4AC21C22" w14:textId="77777777" w:rsidR="00C01A50" w:rsidRPr="00783410" w:rsidRDefault="00C01A50" w:rsidP="00880811">
            <w:pPr>
              <w:spacing w:before="0" w:after="0"/>
              <w:jc w:val="right"/>
              <w:rPr>
                <w:sz w:val="19"/>
                <w:szCs w:val="19"/>
                <w:lang w:val="en-AU"/>
              </w:rPr>
            </w:pPr>
          </w:p>
        </w:tc>
        <w:tc>
          <w:tcPr>
            <w:tcW w:w="0" w:type="auto"/>
            <w:shd w:val="clear" w:color="auto" w:fill="auto"/>
          </w:tcPr>
          <w:p w14:paraId="13BE265C" w14:textId="77777777" w:rsidR="00C01A50" w:rsidRPr="00783410" w:rsidRDefault="00C01A50" w:rsidP="00880811">
            <w:pPr>
              <w:spacing w:before="0" w:after="0"/>
              <w:jc w:val="right"/>
              <w:rPr>
                <w:sz w:val="19"/>
                <w:szCs w:val="19"/>
                <w:lang w:val="en-AU"/>
              </w:rPr>
            </w:pPr>
            <w:r w:rsidRPr="00783410">
              <w:rPr>
                <w:sz w:val="19"/>
                <w:szCs w:val="19"/>
                <w:lang w:val="en-AU"/>
              </w:rPr>
              <w:t>5,048</w:t>
            </w:r>
          </w:p>
        </w:tc>
        <w:tc>
          <w:tcPr>
            <w:tcW w:w="0" w:type="auto"/>
            <w:shd w:val="clear" w:color="auto" w:fill="auto"/>
          </w:tcPr>
          <w:p w14:paraId="00D26161" w14:textId="77777777" w:rsidR="00C01A50" w:rsidRPr="00783410" w:rsidRDefault="00C01A50" w:rsidP="00880811">
            <w:pPr>
              <w:spacing w:before="0" w:after="0"/>
              <w:jc w:val="right"/>
              <w:rPr>
                <w:sz w:val="19"/>
                <w:szCs w:val="19"/>
                <w:lang w:val="en-AU"/>
              </w:rPr>
            </w:pPr>
          </w:p>
        </w:tc>
        <w:tc>
          <w:tcPr>
            <w:tcW w:w="0" w:type="auto"/>
            <w:shd w:val="clear" w:color="auto" w:fill="auto"/>
          </w:tcPr>
          <w:p w14:paraId="21EE846E" w14:textId="77777777" w:rsidR="00C01A50" w:rsidRPr="00783410" w:rsidRDefault="00C01A50" w:rsidP="00880811">
            <w:pPr>
              <w:spacing w:before="0" w:after="0"/>
              <w:jc w:val="right"/>
              <w:rPr>
                <w:sz w:val="19"/>
                <w:szCs w:val="19"/>
                <w:lang w:val="en-AU"/>
              </w:rPr>
            </w:pPr>
          </w:p>
        </w:tc>
        <w:tc>
          <w:tcPr>
            <w:tcW w:w="0" w:type="auto"/>
            <w:shd w:val="clear" w:color="auto" w:fill="auto"/>
          </w:tcPr>
          <w:p w14:paraId="565B40A9" w14:textId="77777777" w:rsidR="00C01A50" w:rsidRPr="00783410" w:rsidRDefault="00C01A50" w:rsidP="00880811">
            <w:pPr>
              <w:spacing w:before="0" w:after="0"/>
              <w:jc w:val="right"/>
              <w:rPr>
                <w:sz w:val="19"/>
                <w:szCs w:val="19"/>
                <w:lang w:val="en-AU"/>
              </w:rPr>
            </w:pPr>
            <w:r w:rsidRPr="00783410">
              <w:rPr>
                <w:sz w:val="19"/>
                <w:szCs w:val="19"/>
                <w:lang w:val="en-AU"/>
              </w:rPr>
              <w:t>5,048</w:t>
            </w:r>
          </w:p>
        </w:tc>
        <w:tc>
          <w:tcPr>
            <w:tcW w:w="0" w:type="auto"/>
            <w:shd w:val="clear" w:color="auto" w:fill="auto"/>
          </w:tcPr>
          <w:p w14:paraId="05CC6A6D" w14:textId="77777777" w:rsidR="00C01A50" w:rsidRPr="00783410" w:rsidRDefault="00C01A50" w:rsidP="00880811">
            <w:pPr>
              <w:spacing w:before="0" w:after="0"/>
              <w:jc w:val="right"/>
              <w:rPr>
                <w:sz w:val="19"/>
                <w:szCs w:val="19"/>
                <w:lang w:val="en-AU"/>
              </w:rPr>
            </w:pPr>
          </w:p>
        </w:tc>
        <w:tc>
          <w:tcPr>
            <w:tcW w:w="0" w:type="auto"/>
            <w:shd w:val="clear" w:color="auto" w:fill="auto"/>
          </w:tcPr>
          <w:p w14:paraId="0E1B9D49" w14:textId="77777777" w:rsidR="00C01A50" w:rsidRPr="00783410" w:rsidRDefault="00C01A50" w:rsidP="00880811">
            <w:pPr>
              <w:spacing w:before="0" w:after="0"/>
              <w:jc w:val="right"/>
              <w:rPr>
                <w:sz w:val="19"/>
                <w:szCs w:val="19"/>
                <w:lang w:val="en-AU"/>
              </w:rPr>
            </w:pPr>
            <w:r w:rsidRPr="00783410">
              <w:rPr>
                <w:sz w:val="19"/>
                <w:szCs w:val="19"/>
                <w:lang w:val="en-AU"/>
              </w:rPr>
              <w:t>5,048</w:t>
            </w:r>
          </w:p>
        </w:tc>
      </w:tr>
      <w:tr w:rsidR="00C01A50" w:rsidRPr="00317F08" w14:paraId="28F7DB20" w14:textId="77777777">
        <w:tc>
          <w:tcPr>
            <w:tcW w:w="0" w:type="auto"/>
            <w:shd w:val="clear" w:color="auto" w:fill="auto"/>
          </w:tcPr>
          <w:p w14:paraId="0E25493A" w14:textId="77777777" w:rsidR="00C01A50" w:rsidRPr="00783410" w:rsidRDefault="00C01A50" w:rsidP="00880811">
            <w:pPr>
              <w:spacing w:before="0" w:after="0"/>
              <w:rPr>
                <w:sz w:val="19"/>
                <w:szCs w:val="19"/>
                <w:lang w:val="en-AU"/>
              </w:rPr>
            </w:pPr>
            <w:r w:rsidRPr="00783410">
              <w:rPr>
                <w:sz w:val="19"/>
                <w:szCs w:val="19"/>
                <w:lang w:val="en-AU"/>
              </w:rPr>
              <w:t>High Security</w:t>
            </w:r>
          </w:p>
        </w:tc>
        <w:tc>
          <w:tcPr>
            <w:tcW w:w="0" w:type="auto"/>
          </w:tcPr>
          <w:p w14:paraId="4776EC3E" w14:textId="77777777" w:rsidR="00C01A50" w:rsidRPr="00783410" w:rsidRDefault="00C01A50" w:rsidP="00880811">
            <w:pPr>
              <w:spacing w:before="0" w:after="0"/>
              <w:jc w:val="right"/>
              <w:rPr>
                <w:sz w:val="19"/>
                <w:szCs w:val="19"/>
                <w:lang w:val="en-AU"/>
              </w:rPr>
            </w:pPr>
            <w:r w:rsidRPr="00783410">
              <w:rPr>
                <w:sz w:val="19"/>
                <w:szCs w:val="19"/>
                <w:lang w:val="en-AU"/>
              </w:rPr>
              <w:t>417,613</w:t>
            </w:r>
          </w:p>
        </w:tc>
        <w:tc>
          <w:tcPr>
            <w:tcW w:w="0" w:type="auto"/>
            <w:shd w:val="clear" w:color="auto" w:fill="auto"/>
          </w:tcPr>
          <w:p w14:paraId="3851ECE0" w14:textId="77777777" w:rsidR="00C01A50" w:rsidRPr="00783410" w:rsidRDefault="00C01A50" w:rsidP="00880811">
            <w:pPr>
              <w:spacing w:before="0" w:after="0"/>
              <w:jc w:val="right"/>
              <w:rPr>
                <w:sz w:val="19"/>
                <w:szCs w:val="19"/>
                <w:lang w:val="en-AU"/>
              </w:rPr>
            </w:pPr>
            <w:r w:rsidRPr="00783410">
              <w:rPr>
                <w:sz w:val="19"/>
                <w:szCs w:val="19"/>
                <w:lang w:val="en-AU"/>
              </w:rPr>
              <w:t>12,203</w:t>
            </w:r>
          </w:p>
        </w:tc>
        <w:tc>
          <w:tcPr>
            <w:tcW w:w="0" w:type="auto"/>
            <w:shd w:val="clear" w:color="auto" w:fill="auto"/>
          </w:tcPr>
          <w:p w14:paraId="39F92BDC" w14:textId="77777777" w:rsidR="00C01A50" w:rsidRPr="00783410" w:rsidRDefault="00C01A50" w:rsidP="00880811">
            <w:pPr>
              <w:spacing w:before="0" w:after="0"/>
              <w:jc w:val="right"/>
              <w:rPr>
                <w:sz w:val="19"/>
                <w:szCs w:val="19"/>
                <w:lang w:val="en-AU"/>
              </w:rPr>
            </w:pPr>
            <w:r w:rsidRPr="00783410">
              <w:rPr>
                <w:sz w:val="19"/>
                <w:szCs w:val="19"/>
                <w:lang w:val="en-AU"/>
              </w:rPr>
              <w:t>4,515</w:t>
            </w:r>
          </w:p>
        </w:tc>
        <w:tc>
          <w:tcPr>
            <w:tcW w:w="0" w:type="auto"/>
            <w:shd w:val="clear" w:color="auto" w:fill="auto"/>
          </w:tcPr>
          <w:p w14:paraId="271472A3" w14:textId="77777777" w:rsidR="00C01A50" w:rsidRPr="00783410" w:rsidRDefault="00C01A50" w:rsidP="00880811">
            <w:pPr>
              <w:spacing w:before="0" w:after="0"/>
              <w:jc w:val="right"/>
              <w:rPr>
                <w:sz w:val="19"/>
                <w:szCs w:val="19"/>
                <w:lang w:val="en-AU"/>
              </w:rPr>
            </w:pPr>
          </w:p>
        </w:tc>
        <w:tc>
          <w:tcPr>
            <w:tcW w:w="0" w:type="auto"/>
            <w:shd w:val="clear" w:color="auto" w:fill="auto"/>
          </w:tcPr>
          <w:p w14:paraId="567E9747" w14:textId="77777777" w:rsidR="00C01A50" w:rsidRPr="00783410" w:rsidRDefault="00C01A50" w:rsidP="00880811">
            <w:pPr>
              <w:spacing w:before="0" w:after="0"/>
              <w:jc w:val="right"/>
              <w:rPr>
                <w:sz w:val="19"/>
                <w:szCs w:val="19"/>
                <w:lang w:val="en-AU"/>
              </w:rPr>
            </w:pPr>
            <w:r w:rsidRPr="00783410">
              <w:rPr>
                <w:sz w:val="19"/>
                <w:szCs w:val="19"/>
                <w:lang w:val="en-AU"/>
              </w:rPr>
              <w:t>16,718</w:t>
            </w:r>
          </w:p>
        </w:tc>
        <w:tc>
          <w:tcPr>
            <w:tcW w:w="0" w:type="auto"/>
            <w:shd w:val="clear" w:color="auto" w:fill="auto"/>
          </w:tcPr>
          <w:p w14:paraId="517E643F" w14:textId="77777777" w:rsidR="00C01A50" w:rsidRPr="00783410" w:rsidRDefault="00C01A50" w:rsidP="00880811">
            <w:pPr>
              <w:spacing w:before="0" w:after="0"/>
              <w:jc w:val="right"/>
              <w:rPr>
                <w:sz w:val="19"/>
                <w:szCs w:val="19"/>
                <w:lang w:val="en-AU"/>
              </w:rPr>
            </w:pPr>
            <w:r w:rsidRPr="00783410">
              <w:rPr>
                <w:sz w:val="19"/>
                <w:szCs w:val="19"/>
                <w:lang w:val="en-AU"/>
              </w:rPr>
              <w:t>4</w:t>
            </w:r>
          </w:p>
        </w:tc>
        <w:tc>
          <w:tcPr>
            <w:tcW w:w="0" w:type="auto"/>
            <w:shd w:val="clear" w:color="auto" w:fill="auto"/>
          </w:tcPr>
          <w:p w14:paraId="78D89C7A" w14:textId="77777777" w:rsidR="00C01A50" w:rsidRPr="00783410" w:rsidRDefault="00C01A50" w:rsidP="00880811">
            <w:pPr>
              <w:spacing w:before="0" w:after="0"/>
              <w:jc w:val="right"/>
              <w:rPr>
                <w:sz w:val="19"/>
                <w:szCs w:val="19"/>
                <w:lang w:val="en-AU"/>
              </w:rPr>
            </w:pPr>
            <w:r w:rsidRPr="00783410">
              <w:rPr>
                <w:sz w:val="19"/>
                <w:szCs w:val="19"/>
                <w:lang w:val="en-AU"/>
              </w:rPr>
              <w:t>15,882</w:t>
            </w:r>
          </w:p>
        </w:tc>
      </w:tr>
      <w:tr w:rsidR="00C01A50" w:rsidRPr="00317F08" w14:paraId="2BE494E3" w14:textId="77777777">
        <w:tc>
          <w:tcPr>
            <w:tcW w:w="0" w:type="auto"/>
            <w:shd w:val="clear" w:color="auto" w:fill="auto"/>
          </w:tcPr>
          <w:p w14:paraId="479E1631" w14:textId="77777777" w:rsidR="00C01A50" w:rsidRPr="00783410" w:rsidRDefault="00C01A50" w:rsidP="00880811">
            <w:pPr>
              <w:spacing w:before="0" w:after="0"/>
              <w:rPr>
                <w:sz w:val="19"/>
                <w:szCs w:val="19"/>
                <w:lang w:val="en-AU"/>
              </w:rPr>
            </w:pPr>
            <w:r w:rsidRPr="00783410">
              <w:rPr>
                <w:sz w:val="19"/>
                <w:szCs w:val="19"/>
                <w:lang w:val="en-AU"/>
              </w:rPr>
              <w:t>Supplementary (Low Bidgee)</w:t>
            </w:r>
          </w:p>
        </w:tc>
        <w:tc>
          <w:tcPr>
            <w:tcW w:w="0" w:type="auto"/>
          </w:tcPr>
          <w:p w14:paraId="16C63F27" w14:textId="77777777" w:rsidR="00C01A50" w:rsidRPr="00783410" w:rsidRDefault="00C01A50" w:rsidP="00880811">
            <w:pPr>
              <w:spacing w:before="0" w:after="0"/>
              <w:jc w:val="right"/>
              <w:rPr>
                <w:sz w:val="19"/>
                <w:szCs w:val="19"/>
                <w:lang w:val="en-AU"/>
              </w:rPr>
            </w:pPr>
            <w:r w:rsidRPr="00783410">
              <w:rPr>
                <w:sz w:val="19"/>
                <w:szCs w:val="19"/>
                <w:lang w:val="en-AU"/>
              </w:rPr>
              <w:t>747,000</w:t>
            </w:r>
          </w:p>
        </w:tc>
        <w:tc>
          <w:tcPr>
            <w:tcW w:w="0" w:type="auto"/>
            <w:shd w:val="clear" w:color="auto" w:fill="auto"/>
          </w:tcPr>
          <w:p w14:paraId="4E717D7B" w14:textId="77777777" w:rsidR="00C01A50" w:rsidRPr="00783410" w:rsidRDefault="00C01A50" w:rsidP="00880811">
            <w:pPr>
              <w:spacing w:before="0" w:after="0"/>
              <w:jc w:val="right"/>
              <w:rPr>
                <w:sz w:val="19"/>
                <w:szCs w:val="19"/>
                <w:lang w:val="en-AU"/>
              </w:rPr>
            </w:pPr>
            <w:r w:rsidRPr="00783410">
              <w:rPr>
                <w:sz w:val="19"/>
                <w:szCs w:val="19"/>
                <w:lang w:val="en-AU"/>
              </w:rPr>
              <w:t>172,974</w:t>
            </w:r>
          </w:p>
        </w:tc>
        <w:tc>
          <w:tcPr>
            <w:tcW w:w="0" w:type="auto"/>
            <w:shd w:val="clear" w:color="auto" w:fill="auto"/>
          </w:tcPr>
          <w:p w14:paraId="72E7A801" w14:textId="77777777" w:rsidR="00C01A50" w:rsidRPr="00783410" w:rsidRDefault="00C01A50" w:rsidP="00880811">
            <w:pPr>
              <w:spacing w:before="0" w:after="0"/>
              <w:jc w:val="right"/>
              <w:rPr>
                <w:sz w:val="19"/>
                <w:szCs w:val="19"/>
                <w:lang w:val="en-AU"/>
              </w:rPr>
            </w:pPr>
          </w:p>
        </w:tc>
        <w:tc>
          <w:tcPr>
            <w:tcW w:w="0" w:type="auto"/>
            <w:shd w:val="clear" w:color="auto" w:fill="auto"/>
          </w:tcPr>
          <w:p w14:paraId="3C2523C7" w14:textId="77777777" w:rsidR="00C01A50" w:rsidRPr="00783410" w:rsidRDefault="00C01A50" w:rsidP="00880811">
            <w:pPr>
              <w:spacing w:before="0" w:after="0"/>
              <w:jc w:val="right"/>
              <w:rPr>
                <w:sz w:val="19"/>
                <w:szCs w:val="19"/>
                <w:lang w:val="en-AU"/>
              </w:rPr>
            </w:pPr>
          </w:p>
        </w:tc>
        <w:tc>
          <w:tcPr>
            <w:tcW w:w="0" w:type="auto"/>
            <w:shd w:val="clear" w:color="auto" w:fill="auto"/>
          </w:tcPr>
          <w:p w14:paraId="77DA550B" w14:textId="77777777" w:rsidR="00C01A50" w:rsidRPr="00783410" w:rsidRDefault="00C01A50" w:rsidP="00880811">
            <w:pPr>
              <w:spacing w:before="0" w:after="0"/>
              <w:jc w:val="right"/>
              <w:rPr>
                <w:sz w:val="19"/>
                <w:szCs w:val="19"/>
                <w:lang w:val="en-AU"/>
              </w:rPr>
            </w:pPr>
          </w:p>
        </w:tc>
        <w:tc>
          <w:tcPr>
            <w:tcW w:w="0" w:type="auto"/>
            <w:shd w:val="clear" w:color="auto" w:fill="auto"/>
          </w:tcPr>
          <w:p w14:paraId="0DFD7957" w14:textId="77777777" w:rsidR="00C01A50" w:rsidRPr="00783410" w:rsidRDefault="00C01A50" w:rsidP="00880811">
            <w:pPr>
              <w:spacing w:before="0" w:after="0"/>
              <w:jc w:val="right"/>
              <w:rPr>
                <w:sz w:val="19"/>
                <w:szCs w:val="19"/>
                <w:lang w:val="en-AU"/>
              </w:rPr>
            </w:pPr>
            <w:r>
              <w:rPr>
                <w:sz w:val="19"/>
                <w:szCs w:val="19"/>
                <w:lang w:val="en-AU"/>
              </w:rPr>
              <w:t>23</w:t>
            </w:r>
          </w:p>
        </w:tc>
        <w:tc>
          <w:tcPr>
            <w:tcW w:w="0" w:type="auto"/>
            <w:shd w:val="clear" w:color="auto" w:fill="auto"/>
          </w:tcPr>
          <w:p w14:paraId="5024B946" w14:textId="77777777" w:rsidR="00C01A50" w:rsidRPr="00783410" w:rsidRDefault="00C01A50" w:rsidP="00880811">
            <w:pPr>
              <w:spacing w:before="0" w:after="0"/>
              <w:jc w:val="right"/>
              <w:rPr>
                <w:sz w:val="19"/>
                <w:szCs w:val="19"/>
                <w:lang w:val="en-AU"/>
              </w:rPr>
            </w:pPr>
            <w:r w:rsidRPr="00783410">
              <w:rPr>
                <w:sz w:val="19"/>
                <w:szCs w:val="19"/>
                <w:lang w:val="en-AU"/>
              </w:rPr>
              <w:t>172,974</w:t>
            </w:r>
          </w:p>
        </w:tc>
      </w:tr>
      <w:tr w:rsidR="00C01A50" w:rsidRPr="00317F08" w14:paraId="0373A50B" w14:textId="77777777">
        <w:tc>
          <w:tcPr>
            <w:tcW w:w="0" w:type="auto"/>
            <w:shd w:val="clear" w:color="auto" w:fill="auto"/>
          </w:tcPr>
          <w:p w14:paraId="7B3095DD" w14:textId="77777777" w:rsidR="00C01A50" w:rsidRPr="00783410" w:rsidRDefault="00C01A50" w:rsidP="00880811">
            <w:pPr>
              <w:spacing w:before="0" w:after="0"/>
              <w:rPr>
                <w:sz w:val="19"/>
                <w:szCs w:val="19"/>
                <w:lang w:val="en-AU"/>
              </w:rPr>
            </w:pPr>
            <w:r w:rsidRPr="00783410">
              <w:rPr>
                <w:sz w:val="19"/>
                <w:szCs w:val="19"/>
                <w:lang w:val="en-AU"/>
              </w:rPr>
              <w:t>Supplementary</w:t>
            </w:r>
          </w:p>
        </w:tc>
        <w:tc>
          <w:tcPr>
            <w:tcW w:w="0" w:type="auto"/>
          </w:tcPr>
          <w:p w14:paraId="11F2317B" w14:textId="77777777" w:rsidR="00C01A50" w:rsidRPr="00783410" w:rsidRDefault="00C01A50" w:rsidP="00880811">
            <w:pPr>
              <w:spacing w:before="0" w:after="0"/>
              <w:jc w:val="right"/>
              <w:rPr>
                <w:sz w:val="19"/>
                <w:szCs w:val="19"/>
                <w:lang w:val="en-AU"/>
              </w:rPr>
            </w:pPr>
            <w:r w:rsidRPr="00783410">
              <w:rPr>
                <w:sz w:val="19"/>
                <w:szCs w:val="19"/>
                <w:lang w:val="en-AU"/>
              </w:rPr>
              <w:t>198,780</w:t>
            </w:r>
          </w:p>
        </w:tc>
        <w:tc>
          <w:tcPr>
            <w:tcW w:w="0" w:type="auto"/>
            <w:shd w:val="clear" w:color="auto" w:fill="auto"/>
          </w:tcPr>
          <w:p w14:paraId="1360E845" w14:textId="77777777" w:rsidR="00C01A50" w:rsidRPr="00783410" w:rsidRDefault="00C01A50" w:rsidP="00880811">
            <w:pPr>
              <w:spacing w:before="0" w:after="0"/>
              <w:jc w:val="right"/>
              <w:rPr>
                <w:sz w:val="19"/>
                <w:szCs w:val="19"/>
                <w:lang w:val="en-AU"/>
              </w:rPr>
            </w:pPr>
            <w:r w:rsidRPr="00783410">
              <w:rPr>
                <w:sz w:val="19"/>
                <w:szCs w:val="19"/>
                <w:lang w:val="en-AU"/>
              </w:rPr>
              <w:t>7,057</w:t>
            </w:r>
          </w:p>
        </w:tc>
        <w:tc>
          <w:tcPr>
            <w:tcW w:w="0" w:type="auto"/>
            <w:shd w:val="clear" w:color="auto" w:fill="auto"/>
          </w:tcPr>
          <w:p w14:paraId="07BB5578" w14:textId="77777777" w:rsidR="00C01A50" w:rsidRPr="00783410" w:rsidRDefault="00C01A50" w:rsidP="00880811">
            <w:pPr>
              <w:spacing w:before="0" w:after="0"/>
              <w:jc w:val="right"/>
              <w:rPr>
                <w:sz w:val="19"/>
                <w:szCs w:val="19"/>
                <w:lang w:val="en-AU"/>
              </w:rPr>
            </w:pPr>
            <w:r w:rsidRPr="00783410">
              <w:rPr>
                <w:sz w:val="19"/>
                <w:szCs w:val="19"/>
                <w:lang w:val="en-AU"/>
              </w:rPr>
              <w:t>20,814</w:t>
            </w:r>
          </w:p>
        </w:tc>
        <w:tc>
          <w:tcPr>
            <w:tcW w:w="0" w:type="auto"/>
            <w:shd w:val="clear" w:color="auto" w:fill="auto"/>
          </w:tcPr>
          <w:p w14:paraId="38CA8B20" w14:textId="77777777" w:rsidR="00C01A50" w:rsidRPr="00783410" w:rsidRDefault="00C01A50" w:rsidP="00880811">
            <w:pPr>
              <w:spacing w:before="0" w:after="0"/>
              <w:jc w:val="right"/>
              <w:rPr>
                <w:sz w:val="19"/>
                <w:szCs w:val="19"/>
                <w:lang w:val="en-AU"/>
              </w:rPr>
            </w:pPr>
          </w:p>
        </w:tc>
        <w:tc>
          <w:tcPr>
            <w:tcW w:w="0" w:type="auto"/>
            <w:shd w:val="clear" w:color="auto" w:fill="auto"/>
          </w:tcPr>
          <w:p w14:paraId="4D481CBF" w14:textId="77777777" w:rsidR="00C01A50" w:rsidRPr="00783410" w:rsidRDefault="00C01A50" w:rsidP="00880811">
            <w:pPr>
              <w:spacing w:before="0" w:after="0"/>
              <w:jc w:val="right"/>
              <w:rPr>
                <w:sz w:val="19"/>
                <w:szCs w:val="19"/>
                <w:lang w:val="en-AU"/>
              </w:rPr>
            </w:pPr>
            <w:r w:rsidRPr="00783410">
              <w:rPr>
                <w:sz w:val="19"/>
                <w:szCs w:val="19"/>
                <w:lang w:val="en-AU"/>
              </w:rPr>
              <w:t>27,871</w:t>
            </w:r>
          </w:p>
        </w:tc>
        <w:tc>
          <w:tcPr>
            <w:tcW w:w="0" w:type="auto"/>
            <w:shd w:val="clear" w:color="auto" w:fill="auto"/>
          </w:tcPr>
          <w:p w14:paraId="6283A839" w14:textId="77777777" w:rsidR="00C01A50" w:rsidRPr="00783410" w:rsidRDefault="00C01A50" w:rsidP="00880811">
            <w:pPr>
              <w:spacing w:before="0" w:after="0"/>
              <w:jc w:val="right"/>
              <w:rPr>
                <w:sz w:val="19"/>
                <w:szCs w:val="19"/>
                <w:lang w:val="en-AU"/>
              </w:rPr>
            </w:pPr>
            <w:r w:rsidRPr="00783410">
              <w:rPr>
                <w:sz w:val="19"/>
                <w:szCs w:val="19"/>
                <w:lang w:val="en-AU"/>
              </w:rPr>
              <w:t>14</w:t>
            </w:r>
          </w:p>
        </w:tc>
        <w:tc>
          <w:tcPr>
            <w:tcW w:w="0" w:type="auto"/>
            <w:shd w:val="clear" w:color="auto" w:fill="auto"/>
          </w:tcPr>
          <w:p w14:paraId="6FD96E91" w14:textId="77777777" w:rsidR="00C01A50" w:rsidRPr="00783410" w:rsidRDefault="00C01A50" w:rsidP="00880811">
            <w:pPr>
              <w:spacing w:before="0" w:after="0"/>
              <w:jc w:val="right"/>
              <w:rPr>
                <w:sz w:val="19"/>
                <w:szCs w:val="19"/>
                <w:lang w:val="en-AU"/>
              </w:rPr>
            </w:pPr>
            <w:r w:rsidRPr="00783410">
              <w:rPr>
                <w:sz w:val="19"/>
                <w:szCs w:val="19"/>
                <w:lang w:val="en-AU"/>
              </w:rPr>
              <w:t>3,902</w:t>
            </w:r>
          </w:p>
        </w:tc>
      </w:tr>
      <w:tr w:rsidR="00C01A50" w:rsidRPr="00317F08" w14:paraId="60C0FD5F" w14:textId="77777777">
        <w:tc>
          <w:tcPr>
            <w:tcW w:w="0" w:type="auto"/>
            <w:shd w:val="clear" w:color="auto" w:fill="auto"/>
          </w:tcPr>
          <w:p w14:paraId="068F4DEC" w14:textId="77777777" w:rsidR="00C01A50" w:rsidRPr="00783410" w:rsidRDefault="00C01A50" w:rsidP="00880811">
            <w:pPr>
              <w:spacing w:before="0" w:after="0"/>
              <w:rPr>
                <w:sz w:val="19"/>
                <w:szCs w:val="19"/>
                <w:lang w:val="en-AU"/>
              </w:rPr>
            </w:pPr>
            <w:r w:rsidRPr="00783410">
              <w:rPr>
                <w:sz w:val="19"/>
                <w:szCs w:val="19"/>
                <w:lang w:val="en-AU"/>
              </w:rPr>
              <w:t>Unregulated</w:t>
            </w:r>
          </w:p>
        </w:tc>
        <w:tc>
          <w:tcPr>
            <w:tcW w:w="0" w:type="auto"/>
          </w:tcPr>
          <w:p w14:paraId="42AD0FAE" w14:textId="77777777" w:rsidR="00C01A50" w:rsidRPr="00783410" w:rsidRDefault="00C01A50" w:rsidP="00880811">
            <w:pPr>
              <w:spacing w:before="0" w:after="0"/>
              <w:jc w:val="right"/>
              <w:rPr>
                <w:sz w:val="19"/>
                <w:szCs w:val="19"/>
                <w:lang w:val="en-AU"/>
              </w:rPr>
            </w:pPr>
          </w:p>
        </w:tc>
        <w:tc>
          <w:tcPr>
            <w:tcW w:w="0" w:type="auto"/>
            <w:shd w:val="clear" w:color="auto" w:fill="auto"/>
          </w:tcPr>
          <w:p w14:paraId="043F61DA" w14:textId="77777777" w:rsidR="00C01A50" w:rsidRPr="00783410" w:rsidRDefault="00C01A50" w:rsidP="00880811">
            <w:pPr>
              <w:spacing w:before="0" w:after="0"/>
              <w:jc w:val="right"/>
              <w:rPr>
                <w:sz w:val="19"/>
                <w:szCs w:val="19"/>
                <w:lang w:val="en-AU"/>
              </w:rPr>
            </w:pPr>
            <w:r w:rsidRPr="00783410">
              <w:rPr>
                <w:sz w:val="19"/>
                <w:szCs w:val="19"/>
                <w:lang w:val="en-AU"/>
              </w:rPr>
              <w:t>164</w:t>
            </w:r>
          </w:p>
        </w:tc>
        <w:tc>
          <w:tcPr>
            <w:tcW w:w="0" w:type="auto"/>
            <w:shd w:val="clear" w:color="auto" w:fill="auto"/>
          </w:tcPr>
          <w:p w14:paraId="0E99A14B" w14:textId="77777777" w:rsidR="00C01A50" w:rsidRPr="00783410" w:rsidRDefault="00C01A50" w:rsidP="00880811">
            <w:pPr>
              <w:spacing w:before="0" w:after="0"/>
              <w:jc w:val="right"/>
              <w:rPr>
                <w:sz w:val="19"/>
                <w:szCs w:val="19"/>
                <w:lang w:val="en-AU"/>
              </w:rPr>
            </w:pPr>
          </w:p>
        </w:tc>
        <w:tc>
          <w:tcPr>
            <w:tcW w:w="0" w:type="auto"/>
            <w:shd w:val="clear" w:color="auto" w:fill="auto"/>
          </w:tcPr>
          <w:p w14:paraId="36CD7D75" w14:textId="77777777" w:rsidR="00C01A50" w:rsidRPr="00783410" w:rsidRDefault="00C01A50" w:rsidP="00880811">
            <w:pPr>
              <w:spacing w:before="0" w:after="0"/>
              <w:jc w:val="right"/>
              <w:rPr>
                <w:sz w:val="19"/>
                <w:szCs w:val="19"/>
                <w:lang w:val="en-AU"/>
              </w:rPr>
            </w:pPr>
          </w:p>
        </w:tc>
        <w:tc>
          <w:tcPr>
            <w:tcW w:w="0" w:type="auto"/>
            <w:shd w:val="clear" w:color="auto" w:fill="auto"/>
          </w:tcPr>
          <w:p w14:paraId="0452C8B9" w14:textId="77777777" w:rsidR="00C01A50" w:rsidRPr="00783410" w:rsidRDefault="00C01A50" w:rsidP="00880811">
            <w:pPr>
              <w:spacing w:before="0" w:after="0"/>
              <w:jc w:val="right"/>
              <w:rPr>
                <w:sz w:val="19"/>
                <w:szCs w:val="19"/>
                <w:lang w:val="en-AU"/>
              </w:rPr>
            </w:pPr>
            <w:r w:rsidRPr="00783410">
              <w:rPr>
                <w:sz w:val="19"/>
                <w:szCs w:val="19"/>
                <w:lang w:val="en-AU"/>
              </w:rPr>
              <w:t>164</w:t>
            </w:r>
          </w:p>
        </w:tc>
        <w:tc>
          <w:tcPr>
            <w:tcW w:w="0" w:type="auto"/>
            <w:shd w:val="clear" w:color="auto" w:fill="auto"/>
          </w:tcPr>
          <w:p w14:paraId="76EB252A" w14:textId="77777777" w:rsidR="00C01A50" w:rsidRPr="00783410" w:rsidRDefault="00C01A50" w:rsidP="00880811">
            <w:pPr>
              <w:spacing w:before="0" w:after="0"/>
              <w:jc w:val="right"/>
              <w:rPr>
                <w:sz w:val="19"/>
                <w:szCs w:val="19"/>
                <w:lang w:val="en-AU"/>
              </w:rPr>
            </w:pPr>
          </w:p>
        </w:tc>
        <w:tc>
          <w:tcPr>
            <w:tcW w:w="0" w:type="auto"/>
            <w:shd w:val="clear" w:color="auto" w:fill="auto"/>
          </w:tcPr>
          <w:p w14:paraId="35FDB2CC" w14:textId="77777777" w:rsidR="00C01A50" w:rsidRPr="00783410" w:rsidRDefault="00C01A50" w:rsidP="00880811">
            <w:pPr>
              <w:spacing w:before="0" w:after="0"/>
              <w:jc w:val="right"/>
              <w:rPr>
                <w:sz w:val="19"/>
                <w:szCs w:val="19"/>
                <w:lang w:val="en-AU"/>
              </w:rPr>
            </w:pPr>
            <w:r w:rsidRPr="00783410">
              <w:rPr>
                <w:sz w:val="19"/>
                <w:szCs w:val="19"/>
                <w:lang w:val="en-AU"/>
              </w:rPr>
              <w:t>110</w:t>
            </w:r>
          </w:p>
        </w:tc>
      </w:tr>
    </w:tbl>
    <w:p w14:paraId="66C5075E" w14:textId="77777777" w:rsidR="00C01A50" w:rsidRPr="00317F08" w:rsidRDefault="00C01A50" w:rsidP="00880811">
      <w:pPr>
        <w:rPr>
          <w:lang w:val="en-AU"/>
        </w:rPr>
      </w:pPr>
      <w:r>
        <w:rPr>
          <w:lang w:val="en-AU"/>
        </w:rPr>
        <w:lastRenderedPageBreak/>
        <w:fldChar w:fldCharType="begin"/>
      </w:r>
      <w:r>
        <w:rPr>
          <w:lang w:val="en-AU"/>
        </w:rPr>
        <w:instrText xml:space="preserve"> REF _Ref341166321 \h </w:instrText>
      </w:r>
      <w:r>
        <w:rPr>
          <w:lang w:val="en-AU"/>
        </w:rPr>
      </w:r>
      <w:r>
        <w:rPr>
          <w:lang w:val="en-AU"/>
        </w:rPr>
        <w:fldChar w:fldCharType="separate"/>
      </w:r>
      <w:r w:rsidR="008E5D7A">
        <w:t xml:space="preserve">Table </w:t>
      </w:r>
      <w:r w:rsidR="008E5D7A">
        <w:rPr>
          <w:noProof/>
        </w:rPr>
        <w:t>7</w:t>
      </w:r>
      <w:r>
        <w:rPr>
          <w:lang w:val="en-AU"/>
        </w:rPr>
        <w:fldChar w:fldCharType="end"/>
      </w:r>
      <w:r>
        <w:rPr>
          <w:lang w:val="en-AU"/>
        </w:rPr>
        <w:t xml:space="preserve"> shows the Commonwealth directly</w:t>
      </w:r>
      <w:r w:rsidRPr="00317F08" w:rsidDel="00D15DB3">
        <w:rPr>
          <w:lang w:val="en-AU"/>
        </w:rPr>
        <w:t xml:space="preserve"> </w:t>
      </w:r>
      <w:r w:rsidRPr="00317F08">
        <w:rPr>
          <w:lang w:val="en-AU"/>
        </w:rPr>
        <w:t>purchased approximately</w:t>
      </w:r>
      <w:r>
        <w:rPr>
          <w:lang w:val="en-AU"/>
        </w:rPr>
        <w:t xml:space="preserve"> 9</w:t>
      </w:r>
      <w:r w:rsidRPr="00317F08">
        <w:rPr>
          <w:lang w:val="en-AU"/>
        </w:rPr>
        <w:t xml:space="preserve">% of General </w:t>
      </w:r>
      <w:r w:rsidR="00AC04C4" w:rsidRPr="00317F08">
        <w:rPr>
          <w:lang w:val="en-AU"/>
        </w:rPr>
        <w:t xml:space="preserve">Security </w:t>
      </w:r>
      <w:r w:rsidRPr="00317F08">
        <w:rPr>
          <w:lang w:val="en-AU"/>
        </w:rPr>
        <w:t xml:space="preserve">entitlements </w:t>
      </w:r>
      <w:r>
        <w:rPr>
          <w:lang w:val="en-AU"/>
        </w:rPr>
        <w:t xml:space="preserve">on the Murrumbidgee with a further 5% being obtained through on-farm </w:t>
      </w:r>
      <w:r w:rsidRPr="00317F08">
        <w:rPr>
          <w:lang w:val="en-AU"/>
        </w:rPr>
        <w:t xml:space="preserve">infrastructure improvements. </w:t>
      </w:r>
      <w:r>
        <w:rPr>
          <w:lang w:val="en-AU"/>
        </w:rPr>
        <w:t xml:space="preserve">By contrast, the Commonwealth </w:t>
      </w:r>
      <w:r w:rsidRPr="00317F08">
        <w:rPr>
          <w:lang w:val="en-AU"/>
        </w:rPr>
        <w:t xml:space="preserve">purchased </w:t>
      </w:r>
      <w:r>
        <w:rPr>
          <w:lang w:val="en-AU"/>
        </w:rPr>
        <w:t xml:space="preserve">only </w:t>
      </w:r>
      <w:r w:rsidRPr="00317F08">
        <w:rPr>
          <w:lang w:val="en-AU"/>
        </w:rPr>
        <w:t>around</w:t>
      </w:r>
      <w:r>
        <w:rPr>
          <w:lang w:val="en-AU"/>
        </w:rPr>
        <w:t xml:space="preserve"> 1</w:t>
      </w:r>
      <w:r w:rsidRPr="00317F08">
        <w:rPr>
          <w:lang w:val="en-AU"/>
        </w:rPr>
        <w:t xml:space="preserve">% of High Security Entitlements </w:t>
      </w:r>
      <w:r>
        <w:rPr>
          <w:lang w:val="en-AU"/>
        </w:rPr>
        <w:t xml:space="preserve">with a further 3% being obtained through on-farm </w:t>
      </w:r>
      <w:r w:rsidRPr="00317F08">
        <w:rPr>
          <w:lang w:val="en-AU"/>
        </w:rPr>
        <w:t>infrastructure improvements.</w:t>
      </w:r>
      <w:r>
        <w:rPr>
          <w:lang w:val="en-AU"/>
        </w:rPr>
        <w:t xml:space="preserve"> Volumes of LTAAY similar to those recovered from high and general security entitlements were generated through the purchase of supplementary entitlements and the reduction in conveyance loss entitlements brought about through off-farm infrastructure improvements</w:t>
      </w:r>
      <w:r w:rsidRPr="00C21EC2">
        <w:rPr>
          <w:lang w:val="en-AU"/>
        </w:rPr>
        <w:t xml:space="preserve">. A large proportion of the General and High </w:t>
      </w:r>
      <w:r w:rsidR="003D271D" w:rsidRPr="00C21EC2">
        <w:rPr>
          <w:lang w:val="en-AU"/>
        </w:rPr>
        <w:t xml:space="preserve">Security </w:t>
      </w:r>
      <w:r w:rsidRPr="00C21EC2">
        <w:rPr>
          <w:lang w:val="en-AU"/>
        </w:rPr>
        <w:t xml:space="preserve">water entitlements were secured by </w:t>
      </w:r>
      <w:r>
        <w:rPr>
          <w:lang w:val="en-AU"/>
        </w:rPr>
        <w:t xml:space="preserve">the </w:t>
      </w:r>
      <w:r w:rsidRPr="00C21EC2">
        <w:rPr>
          <w:lang w:val="en-AU"/>
        </w:rPr>
        <w:t>Government prior to 2012/13.</w:t>
      </w:r>
    </w:p>
    <w:p w14:paraId="2FB88388" w14:textId="77777777" w:rsidR="00C01A50" w:rsidRDefault="00C01A50" w:rsidP="00880811">
      <w:pPr>
        <w:rPr>
          <w:lang w:val="en-AU"/>
        </w:rPr>
      </w:pPr>
      <w:r w:rsidRPr="00317F08">
        <w:rPr>
          <w:lang w:val="en-AU"/>
        </w:rPr>
        <w:t>Each</w:t>
      </w:r>
      <w:r>
        <w:rPr>
          <w:lang w:val="en-AU"/>
        </w:rPr>
        <w:t xml:space="preserve"> of the</w:t>
      </w:r>
      <w:r w:rsidRPr="00317F08">
        <w:rPr>
          <w:lang w:val="en-AU"/>
        </w:rPr>
        <w:t xml:space="preserve"> organisation</w:t>
      </w:r>
      <w:r>
        <w:rPr>
          <w:lang w:val="en-AU"/>
        </w:rPr>
        <w:t xml:space="preserve">s responsible for supplying water </w:t>
      </w:r>
      <w:r w:rsidRPr="00317F08">
        <w:rPr>
          <w:lang w:val="en-AU"/>
        </w:rPr>
        <w:t xml:space="preserve">within </w:t>
      </w:r>
      <w:r>
        <w:rPr>
          <w:lang w:val="en-AU"/>
        </w:rPr>
        <w:t xml:space="preserve">those areas, </w:t>
      </w:r>
      <w:r w:rsidRPr="000317A5">
        <w:rPr>
          <w:lang w:val="en-AU"/>
        </w:rPr>
        <w:t>Coleambally Irrigation Cooperative Ltd</w:t>
      </w:r>
      <w:r>
        <w:rPr>
          <w:lang w:val="en-AU"/>
        </w:rPr>
        <w:t xml:space="preserve"> (CICL) and </w:t>
      </w:r>
      <w:r w:rsidRPr="000317A5">
        <w:rPr>
          <w:lang w:val="en-AU"/>
        </w:rPr>
        <w:t>Murrumbidgee Irrigation Ltd</w:t>
      </w:r>
      <w:r>
        <w:rPr>
          <w:lang w:val="en-AU"/>
        </w:rPr>
        <w:t xml:space="preserve">, publish usage data in </w:t>
      </w:r>
      <w:r w:rsidRPr="00317F08">
        <w:rPr>
          <w:lang w:val="en-AU"/>
        </w:rPr>
        <w:t xml:space="preserve">their Annual Compliance Reports. </w:t>
      </w:r>
      <w:r>
        <w:rPr>
          <w:lang w:val="en-AU"/>
        </w:rPr>
        <w:fldChar w:fldCharType="begin"/>
      </w:r>
      <w:r>
        <w:rPr>
          <w:lang w:val="en-AU"/>
        </w:rPr>
        <w:instrText xml:space="preserve"> REF _Ref341085612 \h </w:instrText>
      </w:r>
      <w:r>
        <w:rPr>
          <w:lang w:val="en-AU"/>
        </w:rPr>
      </w:r>
      <w:r>
        <w:rPr>
          <w:lang w:val="en-AU"/>
        </w:rPr>
        <w:fldChar w:fldCharType="separate"/>
      </w:r>
      <w:r w:rsidR="008E5D7A">
        <w:t xml:space="preserve">Table </w:t>
      </w:r>
      <w:r w:rsidR="008E5D7A">
        <w:rPr>
          <w:noProof/>
        </w:rPr>
        <w:t>8</w:t>
      </w:r>
      <w:r>
        <w:rPr>
          <w:lang w:val="en-AU"/>
        </w:rPr>
        <w:fldChar w:fldCharType="end"/>
      </w:r>
      <w:r>
        <w:rPr>
          <w:lang w:val="en-AU"/>
        </w:rPr>
        <w:t xml:space="preserve"> and </w:t>
      </w:r>
      <w:r>
        <w:rPr>
          <w:lang w:val="en-AU"/>
        </w:rPr>
        <w:fldChar w:fldCharType="begin"/>
      </w:r>
      <w:r>
        <w:rPr>
          <w:lang w:val="en-AU"/>
        </w:rPr>
        <w:instrText xml:space="preserve"> REF _Ref341085633 \h </w:instrText>
      </w:r>
      <w:r>
        <w:rPr>
          <w:lang w:val="en-AU"/>
        </w:rPr>
      </w:r>
      <w:r>
        <w:rPr>
          <w:lang w:val="en-AU"/>
        </w:rPr>
        <w:fldChar w:fldCharType="separate"/>
      </w:r>
      <w:r w:rsidR="008E5D7A">
        <w:t xml:space="preserve">Table </w:t>
      </w:r>
      <w:r w:rsidR="008E5D7A">
        <w:rPr>
          <w:noProof/>
        </w:rPr>
        <w:t>9</w:t>
      </w:r>
      <w:r>
        <w:rPr>
          <w:lang w:val="en-AU"/>
        </w:rPr>
        <w:fldChar w:fldCharType="end"/>
      </w:r>
      <w:r>
        <w:rPr>
          <w:lang w:val="en-AU"/>
        </w:rPr>
        <w:t xml:space="preserve"> provide </w:t>
      </w:r>
      <w:r w:rsidRPr="00317F08">
        <w:rPr>
          <w:lang w:val="en-AU"/>
        </w:rPr>
        <w:t>a summary of water use data</w:t>
      </w:r>
      <w:r>
        <w:rPr>
          <w:lang w:val="en-AU"/>
        </w:rPr>
        <w:t xml:space="preserve"> in those areas</w:t>
      </w:r>
      <w:r w:rsidRPr="00317F08">
        <w:rPr>
          <w:lang w:val="en-AU"/>
        </w:rPr>
        <w:t xml:space="preserve"> </w:t>
      </w:r>
      <w:r>
        <w:rPr>
          <w:lang w:val="en-AU"/>
        </w:rPr>
        <w:t xml:space="preserve">before and after </w:t>
      </w:r>
      <w:r w:rsidRPr="00317F08">
        <w:rPr>
          <w:lang w:val="en-AU"/>
        </w:rPr>
        <w:t>the commencement of the Murray Darling Basin Plan.</w:t>
      </w:r>
    </w:p>
    <w:p w14:paraId="549ABED7" w14:textId="77777777" w:rsidR="00C01A50" w:rsidRDefault="00C01A50" w:rsidP="00880811">
      <w:pPr>
        <w:pStyle w:val="Caption"/>
        <w:keepNext/>
      </w:pPr>
      <w:bookmarkStart w:id="179" w:name="_Ref341085612"/>
      <w:r>
        <w:t xml:space="preserve">Table </w:t>
      </w:r>
      <w:r>
        <w:fldChar w:fldCharType="begin"/>
      </w:r>
      <w:r>
        <w:instrText xml:space="preserve"> SEQ Table \* ARABIC </w:instrText>
      </w:r>
      <w:r>
        <w:fldChar w:fldCharType="separate"/>
      </w:r>
      <w:r w:rsidR="008E5D7A">
        <w:rPr>
          <w:noProof/>
        </w:rPr>
        <w:t>8</w:t>
      </w:r>
      <w:r>
        <w:fldChar w:fldCharType="end"/>
      </w:r>
      <w:bookmarkEnd w:id="179"/>
      <w:r>
        <w:t>: Water use in Coleambally before and after the Basin Plan (</w:t>
      </w:r>
      <w:r w:rsidRPr="00317F08">
        <w:rPr>
          <w:lang w:val="en-AU"/>
        </w:rPr>
        <w:t>CICL Annual Compliance Report 2015 pg 20</w:t>
      </w:r>
      <w:r>
        <w:rPr>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9"/>
        <w:gridCol w:w="970"/>
        <w:gridCol w:w="970"/>
        <w:gridCol w:w="970"/>
        <w:gridCol w:w="970"/>
        <w:gridCol w:w="1080"/>
        <w:gridCol w:w="1038"/>
        <w:gridCol w:w="970"/>
      </w:tblGrid>
      <w:tr w:rsidR="00C01A50" w:rsidRPr="00317F08" w14:paraId="6221864E" w14:textId="77777777">
        <w:tc>
          <w:tcPr>
            <w:tcW w:w="2089" w:type="dxa"/>
            <w:shd w:val="clear" w:color="auto" w:fill="auto"/>
          </w:tcPr>
          <w:p w14:paraId="4F980E0E" w14:textId="77777777" w:rsidR="00C01A50" w:rsidRPr="00317F08" w:rsidRDefault="00C01A50" w:rsidP="00880811">
            <w:pPr>
              <w:spacing w:before="0" w:after="0"/>
              <w:jc w:val="center"/>
              <w:rPr>
                <w:lang w:val="en-AU"/>
              </w:rPr>
            </w:pPr>
            <w:r w:rsidRPr="00317F08">
              <w:rPr>
                <w:lang w:val="en-AU"/>
              </w:rPr>
              <w:t>Year</w:t>
            </w:r>
          </w:p>
        </w:tc>
        <w:tc>
          <w:tcPr>
            <w:tcW w:w="970" w:type="dxa"/>
            <w:shd w:val="clear" w:color="auto" w:fill="auto"/>
          </w:tcPr>
          <w:p w14:paraId="176001A9" w14:textId="77777777" w:rsidR="00C01A50" w:rsidRPr="00317F08" w:rsidRDefault="00C01A50" w:rsidP="00880811">
            <w:pPr>
              <w:spacing w:before="0" w:after="0"/>
              <w:jc w:val="center"/>
              <w:rPr>
                <w:lang w:val="en-AU"/>
              </w:rPr>
            </w:pPr>
            <w:r w:rsidRPr="00317F08">
              <w:rPr>
                <w:lang w:val="en-AU"/>
              </w:rPr>
              <w:t>2005/06</w:t>
            </w:r>
          </w:p>
        </w:tc>
        <w:tc>
          <w:tcPr>
            <w:tcW w:w="970" w:type="dxa"/>
            <w:shd w:val="clear" w:color="auto" w:fill="auto"/>
          </w:tcPr>
          <w:p w14:paraId="592C6A50" w14:textId="77777777" w:rsidR="00C01A50" w:rsidRPr="00317F08" w:rsidRDefault="00C01A50" w:rsidP="00880811">
            <w:pPr>
              <w:spacing w:before="0" w:after="0"/>
              <w:jc w:val="center"/>
              <w:rPr>
                <w:lang w:val="en-AU"/>
              </w:rPr>
            </w:pPr>
            <w:r w:rsidRPr="00317F08">
              <w:rPr>
                <w:lang w:val="en-AU"/>
              </w:rPr>
              <w:t>2012/13</w:t>
            </w:r>
          </w:p>
        </w:tc>
        <w:tc>
          <w:tcPr>
            <w:tcW w:w="970" w:type="dxa"/>
            <w:shd w:val="clear" w:color="auto" w:fill="auto"/>
          </w:tcPr>
          <w:p w14:paraId="17F76890" w14:textId="77777777" w:rsidR="00C01A50" w:rsidRPr="00317F08" w:rsidRDefault="00C01A50" w:rsidP="00880811">
            <w:pPr>
              <w:spacing w:before="0" w:after="0"/>
              <w:jc w:val="center"/>
              <w:rPr>
                <w:lang w:val="en-AU"/>
              </w:rPr>
            </w:pPr>
            <w:r w:rsidRPr="00317F08">
              <w:rPr>
                <w:lang w:val="en-AU"/>
              </w:rPr>
              <w:t>2013/14</w:t>
            </w:r>
          </w:p>
        </w:tc>
        <w:tc>
          <w:tcPr>
            <w:tcW w:w="970" w:type="dxa"/>
            <w:shd w:val="clear" w:color="auto" w:fill="auto"/>
          </w:tcPr>
          <w:p w14:paraId="09732C90" w14:textId="77777777" w:rsidR="00C01A50" w:rsidRPr="00317F08" w:rsidRDefault="00C01A50" w:rsidP="00880811">
            <w:pPr>
              <w:spacing w:before="0" w:after="0"/>
              <w:jc w:val="center"/>
              <w:rPr>
                <w:lang w:val="en-AU"/>
              </w:rPr>
            </w:pPr>
            <w:r w:rsidRPr="00317F08">
              <w:rPr>
                <w:lang w:val="en-AU"/>
              </w:rPr>
              <w:t>2014/15</w:t>
            </w:r>
          </w:p>
        </w:tc>
        <w:tc>
          <w:tcPr>
            <w:tcW w:w="1080" w:type="dxa"/>
            <w:shd w:val="clear" w:color="auto" w:fill="auto"/>
          </w:tcPr>
          <w:p w14:paraId="22815865" w14:textId="77777777" w:rsidR="00C01A50" w:rsidRPr="00317F08" w:rsidRDefault="00C01A50" w:rsidP="00113CD2">
            <w:pPr>
              <w:spacing w:before="0" w:after="0"/>
              <w:jc w:val="center"/>
              <w:rPr>
                <w:lang w:val="en-AU"/>
              </w:rPr>
            </w:pPr>
            <w:r w:rsidRPr="00317F08">
              <w:rPr>
                <w:lang w:val="en-AU"/>
              </w:rPr>
              <w:t>2015/16*</w:t>
            </w:r>
          </w:p>
        </w:tc>
        <w:tc>
          <w:tcPr>
            <w:tcW w:w="1038" w:type="dxa"/>
            <w:shd w:val="clear" w:color="auto" w:fill="auto"/>
          </w:tcPr>
          <w:p w14:paraId="5728EA7D" w14:textId="77777777" w:rsidR="00C01A50" w:rsidRPr="00317F08" w:rsidRDefault="00C01A50" w:rsidP="00880811">
            <w:pPr>
              <w:spacing w:before="0" w:after="0"/>
              <w:jc w:val="center"/>
              <w:rPr>
                <w:lang w:val="en-AU"/>
              </w:rPr>
            </w:pPr>
            <w:r w:rsidRPr="00317F08">
              <w:rPr>
                <w:lang w:val="en-AU"/>
              </w:rPr>
              <w:t>Change 2005/06- 2012/13</w:t>
            </w:r>
          </w:p>
        </w:tc>
        <w:tc>
          <w:tcPr>
            <w:tcW w:w="970" w:type="dxa"/>
            <w:shd w:val="clear" w:color="auto" w:fill="auto"/>
          </w:tcPr>
          <w:p w14:paraId="57B8A868" w14:textId="77777777" w:rsidR="00C01A50" w:rsidRPr="00317F08" w:rsidRDefault="00C01A50" w:rsidP="00880811">
            <w:pPr>
              <w:spacing w:before="0" w:after="0"/>
              <w:jc w:val="center"/>
              <w:rPr>
                <w:lang w:val="en-AU"/>
              </w:rPr>
            </w:pPr>
            <w:r w:rsidRPr="00317F08">
              <w:rPr>
                <w:lang w:val="en-AU"/>
              </w:rPr>
              <w:t>Change 05/06 – 2014/15</w:t>
            </w:r>
          </w:p>
        </w:tc>
      </w:tr>
      <w:tr w:rsidR="00C01A50" w:rsidRPr="00317F08" w14:paraId="37C6DA11" w14:textId="77777777">
        <w:tc>
          <w:tcPr>
            <w:tcW w:w="2089" w:type="dxa"/>
            <w:shd w:val="clear" w:color="auto" w:fill="auto"/>
          </w:tcPr>
          <w:p w14:paraId="3B2A4716" w14:textId="77777777" w:rsidR="00C01A50" w:rsidRPr="00317F08" w:rsidRDefault="00C01A50" w:rsidP="00880811">
            <w:pPr>
              <w:spacing w:before="0" w:after="0"/>
              <w:rPr>
                <w:lang w:val="en-AU"/>
              </w:rPr>
            </w:pPr>
            <w:r w:rsidRPr="00317F08">
              <w:rPr>
                <w:lang w:val="en-AU"/>
              </w:rPr>
              <w:t>Annual Allocation HS:GS (%)</w:t>
            </w:r>
          </w:p>
        </w:tc>
        <w:tc>
          <w:tcPr>
            <w:tcW w:w="970" w:type="dxa"/>
            <w:shd w:val="clear" w:color="auto" w:fill="auto"/>
          </w:tcPr>
          <w:p w14:paraId="5FF5EE48" w14:textId="77777777" w:rsidR="00C01A50" w:rsidRPr="00317F08" w:rsidRDefault="00C01A50" w:rsidP="00880811">
            <w:pPr>
              <w:spacing w:before="0" w:after="0"/>
              <w:jc w:val="right"/>
              <w:rPr>
                <w:lang w:val="en-AU"/>
              </w:rPr>
            </w:pPr>
            <w:r w:rsidRPr="00317F08">
              <w:rPr>
                <w:lang w:val="en-AU"/>
              </w:rPr>
              <w:t>95 :54</w:t>
            </w:r>
          </w:p>
        </w:tc>
        <w:tc>
          <w:tcPr>
            <w:tcW w:w="970" w:type="dxa"/>
            <w:shd w:val="clear" w:color="auto" w:fill="auto"/>
          </w:tcPr>
          <w:p w14:paraId="78C33172" w14:textId="77777777" w:rsidR="00C01A50" w:rsidRPr="00317F08" w:rsidRDefault="00C01A50" w:rsidP="00880811">
            <w:pPr>
              <w:spacing w:before="0" w:after="0"/>
              <w:jc w:val="right"/>
              <w:rPr>
                <w:lang w:val="en-AU"/>
              </w:rPr>
            </w:pPr>
            <w:r w:rsidRPr="00317F08">
              <w:rPr>
                <w:lang w:val="en-AU"/>
              </w:rPr>
              <w:t>100:73</w:t>
            </w:r>
          </w:p>
        </w:tc>
        <w:tc>
          <w:tcPr>
            <w:tcW w:w="970" w:type="dxa"/>
            <w:shd w:val="clear" w:color="auto" w:fill="auto"/>
          </w:tcPr>
          <w:p w14:paraId="734CD4D4" w14:textId="77777777" w:rsidR="00C01A50" w:rsidRPr="00317F08" w:rsidRDefault="00C01A50" w:rsidP="00880811">
            <w:pPr>
              <w:spacing w:before="0" w:after="0"/>
              <w:jc w:val="right"/>
              <w:rPr>
                <w:lang w:val="en-AU"/>
              </w:rPr>
            </w:pPr>
            <w:r w:rsidRPr="00317F08">
              <w:rPr>
                <w:lang w:val="en-AU"/>
              </w:rPr>
              <w:t>95:63</w:t>
            </w:r>
          </w:p>
        </w:tc>
        <w:tc>
          <w:tcPr>
            <w:tcW w:w="970" w:type="dxa"/>
            <w:shd w:val="clear" w:color="auto" w:fill="auto"/>
          </w:tcPr>
          <w:p w14:paraId="658DB0F0" w14:textId="77777777" w:rsidR="00C01A50" w:rsidRPr="00317F08" w:rsidRDefault="00C01A50" w:rsidP="00880811">
            <w:pPr>
              <w:spacing w:before="0" w:after="0"/>
              <w:jc w:val="right"/>
              <w:rPr>
                <w:lang w:val="en-AU"/>
              </w:rPr>
            </w:pPr>
            <w:r w:rsidRPr="00317F08">
              <w:rPr>
                <w:lang w:val="en-AU"/>
              </w:rPr>
              <w:t>95:53</w:t>
            </w:r>
          </w:p>
        </w:tc>
        <w:tc>
          <w:tcPr>
            <w:tcW w:w="1080" w:type="dxa"/>
            <w:shd w:val="clear" w:color="auto" w:fill="auto"/>
          </w:tcPr>
          <w:p w14:paraId="07C9E4FF" w14:textId="77777777" w:rsidR="00C01A50" w:rsidRPr="00317F08" w:rsidRDefault="00C01A50" w:rsidP="00880811">
            <w:pPr>
              <w:spacing w:before="0" w:after="0"/>
              <w:jc w:val="right"/>
              <w:rPr>
                <w:lang w:val="en-AU"/>
              </w:rPr>
            </w:pPr>
            <w:r w:rsidRPr="00317F08">
              <w:rPr>
                <w:lang w:val="en-AU"/>
              </w:rPr>
              <w:t>95:37</w:t>
            </w:r>
          </w:p>
        </w:tc>
        <w:tc>
          <w:tcPr>
            <w:tcW w:w="1038" w:type="dxa"/>
            <w:shd w:val="clear" w:color="auto" w:fill="auto"/>
          </w:tcPr>
          <w:p w14:paraId="6762BD23" w14:textId="77777777" w:rsidR="00C01A50" w:rsidRPr="00317F08" w:rsidRDefault="00C01A50" w:rsidP="00880811">
            <w:pPr>
              <w:spacing w:before="0" w:after="0"/>
              <w:jc w:val="right"/>
              <w:rPr>
                <w:lang w:val="en-AU"/>
              </w:rPr>
            </w:pPr>
          </w:p>
        </w:tc>
        <w:tc>
          <w:tcPr>
            <w:tcW w:w="970" w:type="dxa"/>
            <w:shd w:val="clear" w:color="auto" w:fill="auto"/>
          </w:tcPr>
          <w:p w14:paraId="51FED1E3" w14:textId="77777777" w:rsidR="00C01A50" w:rsidRPr="00317F08" w:rsidRDefault="00C01A50" w:rsidP="00880811">
            <w:pPr>
              <w:spacing w:before="0" w:after="0"/>
              <w:jc w:val="right"/>
              <w:rPr>
                <w:lang w:val="en-AU"/>
              </w:rPr>
            </w:pPr>
          </w:p>
        </w:tc>
      </w:tr>
      <w:tr w:rsidR="00C01A50" w:rsidRPr="00317F08" w14:paraId="56763919" w14:textId="77777777">
        <w:tc>
          <w:tcPr>
            <w:tcW w:w="2089" w:type="dxa"/>
            <w:shd w:val="clear" w:color="auto" w:fill="auto"/>
          </w:tcPr>
          <w:p w14:paraId="62A88787" w14:textId="77777777" w:rsidR="00C01A50" w:rsidRPr="00317F08" w:rsidRDefault="00C01A50" w:rsidP="00880811">
            <w:pPr>
              <w:spacing w:before="0" w:after="0"/>
              <w:rPr>
                <w:lang w:val="en-AU"/>
              </w:rPr>
            </w:pPr>
            <w:r w:rsidRPr="00317F08">
              <w:rPr>
                <w:lang w:val="en-AU"/>
              </w:rPr>
              <w:t>Annual Use (GL)</w:t>
            </w:r>
          </w:p>
          <w:p w14:paraId="76643F93" w14:textId="77777777" w:rsidR="00C01A50" w:rsidRPr="00317F08" w:rsidRDefault="00C01A50" w:rsidP="002939B3">
            <w:pPr>
              <w:numPr>
                <w:ilvl w:val="0"/>
                <w:numId w:val="9"/>
              </w:numPr>
              <w:spacing w:before="0" w:after="0"/>
              <w:rPr>
                <w:lang w:val="en-AU"/>
              </w:rPr>
            </w:pPr>
            <w:r w:rsidRPr="00317F08">
              <w:rPr>
                <w:lang w:val="en-AU"/>
              </w:rPr>
              <w:t>total</w:t>
            </w:r>
          </w:p>
        </w:tc>
        <w:tc>
          <w:tcPr>
            <w:tcW w:w="970" w:type="dxa"/>
            <w:shd w:val="clear" w:color="auto" w:fill="auto"/>
          </w:tcPr>
          <w:p w14:paraId="7EE7DC11" w14:textId="77777777" w:rsidR="00C01A50" w:rsidRPr="00317F08" w:rsidRDefault="00C01A50" w:rsidP="00880811">
            <w:pPr>
              <w:spacing w:before="0" w:after="0"/>
              <w:jc w:val="right"/>
              <w:rPr>
                <w:lang w:val="en-AU"/>
              </w:rPr>
            </w:pPr>
            <w:r w:rsidRPr="00317F08">
              <w:rPr>
                <w:lang w:val="en-AU"/>
              </w:rPr>
              <w:t>417</w:t>
            </w:r>
          </w:p>
        </w:tc>
        <w:tc>
          <w:tcPr>
            <w:tcW w:w="970" w:type="dxa"/>
            <w:shd w:val="clear" w:color="auto" w:fill="auto"/>
          </w:tcPr>
          <w:p w14:paraId="1FF26726" w14:textId="77777777" w:rsidR="00C01A50" w:rsidRPr="00317F08" w:rsidRDefault="00C01A50" w:rsidP="00880811">
            <w:pPr>
              <w:spacing w:before="0" w:after="0"/>
              <w:jc w:val="right"/>
              <w:rPr>
                <w:lang w:val="en-AU"/>
              </w:rPr>
            </w:pPr>
            <w:r w:rsidRPr="00317F08">
              <w:rPr>
                <w:lang w:val="en-AU"/>
              </w:rPr>
              <w:t>571</w:t>
            </w:r>
          </w:p>
        </w:tc>
        <w:tc>
          <w:tcPr>
            <w:tcW w:w="970" w:type="dxa"/>
            <w:shd w:val="clear" w:color="auto" w:fill="auto"/>
          </w:tcPr>
          <w:p w14:paraId="316BD0BB" w14:textId="77777777" w:rsidR="00C01A50" w:rsidRPr="00317F08" w:rsidRDefault="00C01A50" w:rsidP="00880811">
            <w:pPr>
              <w:spacing w:before="0" w:after="0"/>
              <w:jc w:val="right"/>
              <w:rPr>
                <w:lang w:val="en-AU"/>
              </w:rPr>
            </w:pPr>
            <w:r w:rsidRPr="00317F08">
              <w:rPr>
                <w:lang w:val="en-AU"/>
              </w:rPr>
              <w:t>398</w:t>
            </w:r>
          </w:p>
        </w:tc>
        <w:tc>
          <w:tcPr>
            <w:tcW w:w="970" w:type="dxa"/>
            <w:shd w:val="clear" w:color="auto" w:fill="auto"/>
          </w:tcPr>
          <w:p w14:paraId="10336B0E" w14:textId="77777777" w:rsidR="00C01A50" w:rsidRPr="00317F08" w:rsidRDefault="00C01A50" w:rsidP="00880811">
            <w:pPr>
              <w:spacing w:before="0" w:after="0"/>
              <w:jc w:val="right"/>
              <w:rPr>
                <w:lang w:val="en-AU"/>
              </w:rPr>
            </w:pPr>
            <w:r w:rsidRPr="00317F08">
              <w:rPr>
                <w:lang w:val="en-AU"/>
              </w:rPr>
              <w:t>405</w:t>
            </w:r>
          </w:p>
        </w:tc>
        <w:tc>
          <w:tcPr>
            <w:tcW w:w="1080" w:type="dxa"/>
            <w:shd w:val="clear" w:color="auto" w:fill="auto"/>
          </w:tcPr>
          <w:p w14:paraId="1F9EB8C0" w14:textId="77777777" w:rsidR="00C01A50" w:rsidRPr="00317F08" w:rsidRDefault="00C01A50" w:rsidP="00880811">
            <w:pPr>
              <w:spacing w:before="0" w:after="0"/>
              <w:jc w:val="right"/>
              <w:rPr>
                <w:lang w:val="en-AU"/>
              </w:rPr>
            </w:pPr>
          </w:p>
        </w:tc>
        <w:tc>
          <w:tcPr>
            <w:tcW w:w="1038" w:type="dxa"/>
            <w:shd w:val="clear" w:color="auto" w:fill="auto"/>
          </w:tcPr>
          <w:p w14:paraId="27226E3A" w14:textId="77777777" w:rsidR="00C01A50" w:rsidRPr="00317F08" w:rsidRDefault="00C01A50" w:rsidP="00880811">
            <w:pPr>
              <w:spacing w:before="0" w:after="0"/>
              <w:jc w:val="right"/>
              <w:rPr>
                <w:lang w:val="en-AU"/>
              </w:rPr>
            </w:pPr>
            <w:r w:rsidRPr="00317F08">
              <w:rPr>
                <w:lang w:val="en-AU"/>
              </w:rPr>
              <w:t>+154</w:t>
            </w:r>
          </w:p>
        </w:tc>
        <w:tc>
          <w:tcPr>
            <w:tcW w:w="970" w:type="dxa"/>
            <w:shd w:val="clear" w:color="auto" w:fill="auto"/>
          </w:tcPr>
          <w:p w14:paraId="6EEB5DB1" w14:textId="77777777" w:rsidR="00C01A50" w:rsidRPr="00317F08" w:rsidRDefault="00C01A50" w:rsidP="00880811">
            <w:pPr>
              <w:spacing w:before="0" w:after="0"/>
              <w:jc w:val="right"/>
              <w:rPr>
                <w:lang w:val="en-AU"/>
              </w:rPr>
            </w:pPr>
            <w:r w:rsidRPr="00317F08">
              <w:rPr>
                <w:lang w:val="en-AU"/>
              </w:rPr>
              <w:t>-12</w:t>
            </w:r>
          </w:p>
        </w:tc>
      </w:tr>
      <w:tr w:rsidR="00C01A50" w:rsidRPr="00317F08" w14:paraId="07AAEC85" w14:textId="77777777">
        <w:tc>
          <w:tcPr>
            <w:tcW w:w="2089" w:type="dxa"/>
            <w:shd w:val="clear" w:color="auto" w:fill="auto"/>
          </w:tcPr>
          <w:p w14:paraId="10796035" w14:textId="77777777" w:rsidR="00C01A50" w:rsidRPr="00317F08" w:rsidRDefault="00C01A50" w:rsidP="002939B3">
            <w:pPr>
              <w:numPr>
                <w:ilvl w:val="0"/>
                <w:numId w:val="9"/>
              </w:numPr>
              <w:spacing w:before="0" w:after="0"/>
              <w:rPr>
                <w:lang w:val="en-AU"/>
              </w:rPr>
            </w:pPr>
            <w:r w:rsidRPr="00317F08">
              <w:rPr>
                <w:lang w:val="en-AU"/>
              </w:rPr>
              <w:t>Surface water</w:t>
            </w:r>
          </w:p>
        </w:tc>
        <w:tc>
          <w:tcPr>
            <w:tcW w:w="970" w:type="dxa"/>
            <w:shd w:val="clear" w:color="auto" w:fill="auto"/>
          </w:tcPr>
          <w:p w14:paraId="1B6C88DA" w14:textId="77777777" w:rsidR="00C01A50" w:rsidRPr="00317F08" w:rsidRDefault="00C01A50" w:rsidP="00880811">
            <w:pPr>
              <w:spacing w:before="0" w:after="0"/>
              <w:jc w:val="right"/>
              <w:rPr>
                <w:lang w:val="en-AU"/>
              </w:rPr>
            </w:pPr>
            <w:r w:rsidRPr="00317F08">
              <w:rPr>
                <w:lang w:val="en-AU"/>
              </w:rPr>
              <w:t>349</w:t>
            </w:r>
          </w:p>
        </w:tc>
        <w:tc>
          <w:tcPr>
            <w:tcW w:w="970" w:type="dxa"/>
            <w:shd w:val="clear" w:color="auto" w:fill="auto"/>
          </w:tcPr>
          <w:p w14:paraId="2DCAE47E" w14:textId="77777777" w:rsidR="00C01A50" w:rsidRPr="00317F08" w:rsidRDefault="00C01A50" w:rsidP="00880811">
            <w:pPr>
              <w:spacing w:before="0" w:after="0"/>
              <w:jc w:val="right"/>
              <w:rPr>
                <w:lang w:val="en-AU"/>
              </w:rPr>
            </w:pPr>
            <w:r w:rsidRPr="00317F08">
              <w:rPr>
                <w:lang w:val="en-AU"/>
              </w:rPr>
              <w:t>496</w:t>
            </w:r>
          </w:p>
        </w:tc>
        <w:tc>
          <w:tcPr>
            <w:tcW w:w="970" w:type="dxa"/>
            <w:shd w:val="clear" w:color="auto" w:fill="auto"/>
          </w:tcPr>
          <w:p w14:paraId="5BAC92AF" w14:textId="77777777" w:rsidR="00C01A50" w:rsidRPr="00317F08" w:rsidRDefault="00C01A50" w:rsidP="00880811">
            <w:pPr>
              <w:spacing w:before="0" w:after="0"/>
              <w:jc w:val="right"/>
              <w:rPr>
                <w:lang w:val="en-AU"/>
              </w:rPr>
            </w:pPr>
            <w:r w:rsidRPr="00317F08">
              <w:rPr>
                <w:lang w:val="en-AU"/>
              </w:rPr>
              <w:t>312</w:t>
            </w:r>
          </w:p>
        </w:tc>
        <w:tc>
          <w:tcPr>
            <w:tcW w:w="970" w:type="dxa"/>
            <w:shd w:val="clear" w:color="auto" w:fill="auto"/>
          </w:tcPr>
          <w:p w14:paraId="06842669" w14:textId="77777777" w:rsidR="00C01A50" w:rsidRPr="00317F08" w:rsidRDefault="00C01A50" w:rsidP="00880811">
            <w:pPr>
              <w:spacing w:before="0" w:after="0"/>
              <w:jc w:val="right"/>
              <w:rPr>
                <w:lang w:val="en-AU"/>
              </w:rPr>
            </w:pPr>
            <w:r w:rsidRPr="00317F08">
              <w:rPr>
                <w:lang w:val="en-AU"/>
              </w:rPr>
              <w:t>301</w:t>
            </w:r>
          </w:p>
        </w:tc>
        <w:tc>
          <w:tcPr>
            <w:tcW w:w="1080" w:type="dxa"/>
            <w:shd w:val="clear" w:color="auto" w:fill="auto"/>
          </w:tcPr>
          <w:p w14:paraId="16C22DAA" w14:textId="77777777" w:rsidR="00C01A50" w:rsidRPr="00317F08" w:rsidRDefault="00C01A50" w:rsidP="00880811">
            <w:pPr>
              <w:spacing w:before="0" w:after="0"/>
              <w:jc w:val="right"/>
              <w:rPr>
                <w:lang w:val="en-AU"/>
              </w:rPr>
            </w:pPr>
          </w:p>
        </w:tc>
        <w:tc>
          <w:tcPr>
            <w:tcW w:w="1038" w:type="dxa"/>
            <w:shd w:val="clear" w:color="auto" w:fill="auto"/>
          </w:tcPr>
          <w:p w14:paraId="325E89FB" w14:textId="77777777" w:rsidR="00C01A50" w:rsidRPr="00317F08" w:rsidRDefault="00C01A50" w:rsidP="00880811">
            <w:pPr>
              <w:spacing w:before="0" w:after="0"/>
              <w:jc w:val="right"/>
              <w:rPr>
                <w:lang w:val="en-AU"/>
              </w:rPr>
            </w:pPr>
            <w:r w:rsidRPr="00317F08">
              <w:rPr>
                <w:lang w:val="en-AU"/>
              </w:rPr>
              <w:t>+147</w:t>
            </w:r>
          </w:p>
        </w:tc>
        <w:tc>
          <w:tcPr>
            <w:tcW w:w="970" w:type="dxa"/>
            <w:shd w:val="clear" w:color="auto" w:fill="auto"/>
          </w:tcPr>
          <w:p w14:paraId="6FE03700" w14:textId="77777777" w:rsidR="00C01A50" w:rsidRPr="00317F08" w:rsidRDefault="00C01A50" w:rsidP="00880811">
            <w:pPr>
              <w:spacing w:before="0" w:after="0"/>
              <w:jc w:val="right"/>
              <w:rPr>
                <w:lang w:val="en-AU"/>
              </w:rPr>
            </w:pPr>
            <w:r w:rsidRPr="00317F08">
              <w:rPr>
                <w:lang w:val="en-AU"/>
              </w:rPr>
              <w:t>-48</w:t>
            </w:r>
          </w:p>
        </w:tc>
      </w:tr>
      <w:tr w:rsidR="00C01A50" w:rsidRPr="00317F08" w14:paraId="5F5E85E3" w14:textId="77777777">
        <w:tc>
          <w:tcPr>
            <w:tcW w:w="2089" w:type="dxa"/>
            <w:shd w:val="clear" w:color="auto" w:fill="auto"/>
          </w:tcPr>
          <w:p w14:paraId="434064FC" w14:textId="77777777" w:rsidR="00C01A50" w:rsidRPr="00317F08" w:rsidRDefault="00C01A50" w:rsidP="002939B3">
            <w:pPr>
              <w:numPr>
                <w:ilvl w:val="0"/>
                <w:numId w:val="9"/>
              </w:numPr>
              <w:spacing w:before="0" w:after="0"/>
              <w:rPr>
                <w:lang w:val="en-AU"/>
              </w:rPr>
            </w:pPr>
            <w:r w:rsidRPr="00317F08">
              <w:rPr>
                <w:lang w:val="en-AU"/>
              </w:rPr>
              <w:t>Ground water</w:t>
            </w:r>
          </w:p>
        </w:tc>
        <w:tc>
          <w:tcPr>
            <w:tcW w:w="970" w:type="dxa"/>
            <w:shd w:val="clear" w:color="auto" w:fill="auto"/>
          </w:tcPr>
          <w:p w14:paraId="186EFA01" w14:textId="77777777" w:rsidR="00C01A50" w:rsidRPr="00317F08" w:rsidRDefault="00C01A50" w:rsidP="00880811">
            <w:pPr>
              <w:spacing w:before="0" w:after="0"/>
              <w:jc w:val="right"/>
              <w:rPr>
                <w:lang w:val="en-AU"/>
              </w:rPr>
            </w:pPr>
            <w:r w:rsidRPr="00317F08">
              <w:rPr>
                <w:lang w:val="en-AU"/>
              </w:rPr>
              <w:t>68</w:t>
            </w:r>
          </w:p>
        </w:tc>
        <w:tc>
          <w:tcPr>
            <w:tcW w:w="970" w:type="dxa"/>
            <w:shd w:val="clear" w:color="auto" w:fill="auto"/>
          </w:tcPr>
          <w:p w14:paraId="7479C5C3" w14:textId="77777777" w:rsidR="00C01A50" w:rsidRPr="00317F08" w:rsidRDefault="00C01A50" w:rsidP="00880811">
            <w:pPr>
              <w:spacing w:before="0" w:after="0"/>
              <w:jc w:val="right"/>
              <w:rPr>
                <w:lang w:val="en-AU"/>
              </w:rPr>
            </w:pPr>
            <w:r w:rsidRPr="00317F08">
              <w:rPr>
                <w:lang w:val="en-AU"/>
              </w:rPr>
              <w:t>75</w:t>
            </w:r>
          </w:p>
        </w:tc>
        <w:tc>
          <w:tcPr>
            <w:tcW w:w="970" w:type="dxa"/>
            <w:shd w:val="clear" w:color="auto" w:fill="auto"/>
          </w:tcPr>
          <w:p w14:paraId="7EA4BC07" w14:textId="77777777" w:rsidR="00C01A50" w:rsidRPr="00317F08" w:rsidRDefault="00C01A50" w:rsidP="00880811">
            <w:pPr>
              <w:spacing w:before="0" w:after="0"/>
              <w:jc w:val="right"/>
              <w:rPr>
                <w:lang w:val="en-AU"/>
              </w:rPr>
            </w:pPr>
            <w:r w:rsidRPr="00317F08">
              <w:rPr>
                <w:lang w:val="en-AU"/>
              </w:rPr>
              <w:t>86</w:t>
            </w:r>
          </w:p>
        </w:tc>
        <w:tc>
          <w:tcPr>
            <w:tcW w:w="970" w:type="dxa"/>
            <w:shd w:val="clear" w:color="auto" w:fill="auto"/>
          </w:tcPr>
          <w:p w14:paraId="10CE51DB" w14:textId="77777777" w:rsidR="00C01A50" w:rsidRPr="00317F08" w:rsidRDefault="00C01A50" w:rsidP="00880811">
            <w:pPr>
              <w:spacing w:before="0" w:after="0"/>
              <w:jc w:val="right"/>
              <w:rPr>
                <w:lang w:val="en-AU"/>
              </w:rPr>
            </w:pPr>
            <w:r w:rsidRPr="00317F08">
              <w:rPr>
                <w:lang w:val="en-AU"/>
              </w:rPr>
              <w:t>104</w:t>
            </w:r>
          </w:p>
        </w:tc>
        <w:tc>
          <w:tcPr>
            <w:tcW w:w="1080" w:type="dxa"/>
            <w:shd w:val="clear" w:color="auto" w:fill="auto"/>
          </w:tcPr>
          <w:p w14:paraId="5626F508" w14:textId="77777777" w:rsidR="00C01A50" w:rsidRPr="00317F08" w:rsidRDefault="00C01A50" w:rsidP="00880811">
            <w:pPr>
              <w:spacing w:before="0" w:after="0"/>
              <w:jc w:val="right"/>
              <w:rPr>
                <w:lang w:val="en-AU"/>
              </w:rPr>
            </w:pPr>
          </w:p>
        </w:tc>
        <w:tc>
          <w:tcPr>
            <w:tcW w:w="1038" w:type="dxa"/>
            <w:shd w:val="clear" w:color="auto" w:fill="auto"/>
          </w:tcPr>
          <w:p w14:paraId="2F930FC5" w14:textId="77777777" w:rsidR="00C01A50" w:rsidRPr="00317F08" w:rsidRDefault="00C01A50" w:rsidP="00880811">
            <w:pPr>
              <w:spacing w:before="0" w:after="0"/>
              <w:jc w:val="right"/>
              <w:rPr>
                <w:lang w:val="en-AU"/>
              </w:rPr>
            </w:pPr>
            <w:r w:rsidRPr="00317F08">
              <w:rPr>
                <w:lang w:val="en-AU"/>
              </w:rPr>
              <w:t>+7</w:t>
            </w:r>
          </w:p>
        </w:tc>
        <w:tc>
          <w:tcPr>
            <w:tcW w:w="970" w:type="dxa"/>
            <w:shd w:val="clear" w:color="auto" w:fill="auto"/>
          </w:tcPr>
          <w:p w14:paraId="37D0C691" w14:textId="77777777" w:rsidR="00C01A50" w:rsidRPr="00317F08" w:rsidRDefault="00C01A50" w:rsidP="00880811">
            <w:pPr>
              <w:spacing w:before="0" w:after="0"/>
              <w:jc w:val="right"/>
              <w:rPr>
                <w:lang w:val="en-AU"/>
              </w:rPr>
            </w:pPr>
            <w:r w:rsidRPr="00317F08">
              <w:rPr>
                <w:lang w:val="en-AU"/>
              </w:rPr>
              <w:t>+36</w:t>
            </w:r>
          </w:p>
        </w:tc>
      </w:tr>
      <w:tr w:rsidR="00C01A50" w:rsidRPr="00317F08" w14:paraId="0D116087" w14:textId="77777777">
        <w:tc>
          <w:tcPr>
            <w:tcW w:w="2089" w:type="dxa"/>
            <w:shd w:val="clear" w:color="auto" w:fill="auto"/>
          </w:tcPr>
          <w:p w14:paraId="48432DCE" w14:textId="77777777" w:rsidR="00C01A50" w:rsidRPr="00317F08" w:rsidRDefault="00C01A50" w:rsidP="00880811">
            <w:pPr>
              <w:spacing w:before="0" w:after="0"/>
              <w:rPr>
                <w:lang w:val="en-AU"/>
              </w:rPr>
            </w:pPr>
            <w:r w:rsidRPr="00317F08">
              <w:rPr>
                <w:lang w:val="en-AU"/>
              </w:rPr>
              <w:t>Crop Water Use (% of deliveries)</w:t>
            </w:r>
          </w:p>
        </w:tc>
        <w:tc>
          <w:tcPr>
            <w:tcW w:w="970" w:type="dxa"/>
            <w:shd w:val="clear" w:color="auto" w:fill="auto"/>
          </w:tcPr>
          <w:p w14:paraId="54411798" w14:textId="77777777" w:rsidR="00C01A50" w:rsidRPr="00317F08" w:rsidRDefault="00C01A50" w:rsidP="00880811">
            <w:pPr>
              <w:spacing w:before="0" w:after="0"/>
              <w:jc w:val="right"/>
              <w:rPr>
                <w:lang w:val="en-AU"/>
              </w:rPr>
            </w:pPr>
          </w:p>
        </w:tc>
        <w:tc>
          <w:tcPr>
            <w:tcW w:w="970" w:type="dxa"/>
            <w:shd w:val="clear" w:color="auto" w:fill="auto"/>
          </w:tcPr>
          <w:p w14:paraId="6033014D" w14:textId="77777777" w:rsidR="00C01A50" w:rsidRPr="00317F08" w:rsidRDefault="00C01A50" w:rsidP="00880811">
            <w:pPr>
              <w:spacing w:before="0" w:after="0"/>
              <w:jc w:val="right"/>
              <w:rPr>
                <w:lang w:val="en-AU"/>
              </w:rPr>
            </w:pPr>
          </w:p>
        </w:tc>
        <w:tc>
          <w:tcPr>
            <w:tcW w:w="970" w:type="dxa"/>
            <w:shd w:val="clear" w:color="auto" w:fill="auto"/>
          </w:tcPr>
          <w:p w14:paraId="1FC5D412" w14:textId="77777777" w:rsidR="00C01A50" w:rsidRPr="00317F08" w:rsidRDefault="00C01A50" w:rsidP="00880811">
            <w:pPr>
              <w:spacing w:before="0" w:after="0"/>
              <w:jc w:val="right"/>
              <w:rPr>
                <w:lang w:val="en-AU"/>
              </w:rPr>
            </w:pPr>
          </w:p>
        </w:tc>
        <w:tc>
          <w:tcPr>
            <w:tcW w:w="970" w:type="dxa"/>
            <w:shd w:val="clear" w:color="auto" w:fill="auto"/>
          </w:tcPr>
          <w:p w14:paraId="03657C00" w14:textId="77777777" w:rsidR="00C01A50" w:rsidRPr="00317F08" w:rsidRDefault="00C01A50" w:rsidP="00880811">
            <w:pPr>
              <w:spacing w:before="0" w:after="0"/>
              <w:jc w:val="right"/>
              <w:rPr>
                <w:lang w:val="en-AU"/>
              </w:rPr>
            </w:pPr>
          </w:p>
        </w:tc>
        <w:tc>
          <w:tcPr>
            <w:tcW w:w="1080" w:type="dxa"/>
            <w:shd w:val="clear" w:color="auto" w:fill="auto"/>
          </w:tcPr>
          <w:p w14:paraId="6752CE16" w14:textId="77777777" w:rsidR="00C01A50" w:rsidRPr="00317F08" w:rsidRDefault="00C01A50" w:rsidP="00880811">
            <w:pPr>
              <w:spacing w:before="0" w:after="0"/>
              <w:jc w:val="right"/>
              <w:rPr>
                <w:lang w:val="en-AU"/>
              </w:rPr>
            </w:pPr>
          </w:p>
        </w:tc>
        <w:tc>
          <w:tcPr>
            <w:tcW w:w="1038" w:type="dxa"/>
            <w:shd w:val="clear" w:color="auto" w:fill="auto"/>
          </w:tcPr>
          <w:p w14:paraId="6EB903C5" w14:textId="77777777" w:rsidR="00C01A50" w:rsidRPr="00317F08" w:rsidRDefault="00C01A50" w:rsidP="00880811">
            <w:pPr>
              <w:spacing w:before="0" w:after="0"/>
              <w:jc w:val="right"/>
              <w:rPr>
                <w:lang w:val="en-AU"/>
              </w:rPr>
            </w:pPr>
          </w:p>
        </w:tc>
        <w:tc>
          <w:tcPr>
            <w:tcW w:w="970" w:type="dxa"/>
            <w:shd w:val="clear" w:color="auto" w:fill="auto"/>
          </w:tcPr>
          <w:p w14:paraId="4AD29E58" w14:textId="77777777" w:rsidR="00C01A50" w:rsidRPr="00317F08" w:rsidRDefault="00C01A50" w:rsidP="00880811">
            <w:pPr>
              <w:spacing w:before="0" w:after="0"/>
              <w:jc w:val="right"/>
              <w:rPr>
                <w:lang w:val="en-AU"/>
              </w:rPr>
            </w:pPr>
          </w:p>
        </w:tc>
      </w:tr>
      <w:tr w:rsidR="00C01A50" w:rsidRPr="00317F08" w14:paraId="1217A3ED" w14:textId="77777777">
        <w:tc>
          <w:tcPr>
            <w:tcW w:w="2089" w:type="dxa"/>
            <w:shd w:val="clear" w:color="auto" w:fill="auto"/>
          </w:tcPr>
          <w:p w14:paraId="6EB0C440" w14:textId="77777777" w:rsidR="00C01A50" w:rsidRPr="00317F08" w:rsidRDefault="00630994" w:rsidP="002939B3">
            <w:pPr>
              <w:numPr>
                <w:ilvl w:val="0"/>
                <w:numId w:val="8"/>
              </w:numPr>
              <w:spacing w:before="0" w:after="0"/>
              <w:rPr>
                <w:lang w:val="en-AU"/>
              </w:rPr>
            </w:pPr>
            <w:r w:rsidRPr="00317F08">
              <w:rPr>
                <w:lang w:val="en-AU"/>
              </w:rPr>
              <w:t>Rice</w:t>
            </w:r>
          </w:p>
        </w:tc>
        <w:tc>
          <w:tcPr>
            <w:tcW w:w="970" w:type="dxa"/>
            <w:shd w:val="clear" w:color="auto" w:fill="auto"/>
          </w:tcPr>
          <w:p w14:paraId="0E65C7B6" w14:textId="77777777" w:rsidR="00C01A50" w:rsidRPr="00317F08" w:rsidRDefault="00C01A50" w:rsidP="00880811">
            <w:pPr>
              <w:spacing w:before="0" w:after="0"/>
              <w:jc w:val="right"/>
              <w:rPr>
                <w:lang w:val="en-AU"/>
              </w:rPr>
            </w:pPr>
            <w:r w:rsidRPr="00317F08">
              <w:rPr>
                <w:lang w:val="en-AU"/>
              </w:rPr>
              <w:t>63</w:t>
            </w:r>
          </w:p>
        </w:tc>
        <w:tc>
          <w:tcPr>
            <w:tcW w:w="970" w:type="dxa"/>
            <w:shd w:val="clear" w:color="auto" w:fill="auto"/>
          </w:tcPr>
          <w:p w14:paraId="71AB395A" w14:textId="77777777" w:rsidR="00C01A50" w:rsidRPr="00317F08" w:rsidRDefault="00C01A50" w:rsidP="00880811">
            <w:pPr>
              <w:spacing w:before="0" w:after="0"/>
              <w:jc w:val="right"/>
              <w:rPr>
                <w:lang w:val="en-AU"/>
              </w:rPr>
            </w:pPr>
            <w:r w:rsidRPr="00317F08">
              <w:rPr>
                <w:lang w:val="en-AU"/>
              </w:rPr>
              <w:t>53</w:t>
            </w:r>
          </w:p>
        </w:tc>
        <w:tc>
          <w:tcPr>
            <w:tcW w:w="970" w:type="dxa"/>
            <w:shd w:val="clear" w:color="auto" w:fill="auto"/>
          </w:tcPr>
          <w:p w14:paraId="50C4204A" w14:textId="77777777" w:rsidR="00C01A50" w:rsidRPr="00317F08" w:rsidRDefault="00C01A50" w:rsidP="00880811">
            <w:pPr>
              <w:spacing w:before="0" w:after="0"/>
              <w:jc w:val="right"/>
              <w:rPr>
                <w:lang w:val="en-AU"/>
              </w:rPr>
            </w:pPr>
            <w:r w:rsidRPr="00317F08">
              <w:rPr>
                <w:lang w:val="en-AU"/>
              </w:rPr>
              <w:t>44</w:t>
            </w:r>
          </w:p>
        </w:tc>
        <w:tc>
          <w:tcPr>
            <w:tcW w:w="970" w:type="dxa"/>
            <w:shd w:val="clear" w:color="auto" w:fill="auto"/>
          </w:tcPr>
          <w:p w14:paraId="0F17949F" w14:textId="77777777" w:rsidR="00C01A50" w:rsidRPr="00317F08" w:rsidRDefault="00C01A50" w:rsidP="00880811">
            <w:pPr>
              <w:spacing w:before="0" w:after="0"/>
              <w:jc w:val="right"/>
              <w:rPr>
                <w:lang w:val="en-AU"/>
              </w:rPr>
            </w:pPr>
            <w:r w:rsidRPr="00317F08">
              <w:rPr>
                <w:lang w:val="en-AU"/>
              </w:rPr>
              <w:t>44</w:t>
            </w:r>
          </w:p>
        </w:tc>
        <w:tc>
          <w:tcPr>
            <w:tcW w:w="1080" w:type="dxa"/>
            <w:shd w:val="clear" w:color="auto" w:fill="auto"/>
          </w:tcPr>
          <w:p w14:paraId="16AD5428" w14:textId="77777777" w:rsidR="00C01A50" w:rsidRPr="00317F08" w:rsidRDefault="00C01A50" w:rsidP="00880811">
            <w:pPr>
              <w:spacing w:before="0" w:after="0"/>
              <w:jc w:val="right"/>
              <w:rPr>
                <w:lang w:val="en-AU"/>
              </w:rPr>
            </w:pPr>
            <w:r w:rsidRPr="00317F08">
              <w:rPr>
                <w:lang w:val="en-AU"/>
              </w:rPr>
              <w:t>35</w:t>
            </w:r>
          </w:p>
        </w:tc>
        <w:tc>
          <w:tcPr>
            <w:tcW w:w="1038" w:type="dxa"/>
            <w:shd w:val="clear" w:color="auto" w:fill="auto"/>
          </w:tcPr>
          <w:p w14:paraId="12824572" w14:textId="77777777" w:rsidR="00C01A50" w:rsidRPr="00317F08" w:rsidRDefault="00C01A50" w:rsidP="00880811">
            <w:pPr>
              <w:spacing w:before="0" w:after="0"/>
              <w:jc w:val="right"/>
              <w:rPr>
                <w:lang w:val="en-AU"/>
              </w:rPr>
            </w:pPr>
            <w:r w:rsidRPr="00317F08">
              <w:rPr>
                <w:lang w:val="en-AU"/>
              </w:rPr>
              <w:t>-1</w:t>
            </w:r>
          </w:p>
        </w:tc>
        <w:tc>
          <w:tcPr>
            <w:tcW w:w="970" w:type="dxa"/>
            <w:shd w:val="clear" w:color="auto" w:fill="auto"/>
          </w:tcPr>
          <w:p w14:paraId="2AAEE1C2" w14:textId="77777777" w:rsidR="00C01A50" w:rsidRPr="00317F08" w:rsidRDefault="00C01A50" w:rsidP="00880811">
            <w:pPr>
              <w:spacing w:before="0" w:after="0"/>
              <w:jc w:val="right"/>
              <w:rPr>
                <w:lang w:val="en-AU"/>
              </w:rPr>
            </w:pPr>
            <w:r w:rsidRPr="00317F08">
              <w:rPr>
                <w:lang w:val="en-AU"/>
              </w:rPr>
              <w:t>-19</w:t>
            </w:r>
          </w:p>
        </w:tc>
      </w:tr>
      <w:tr w:rsidR="00C01A50" w:rsidRPr="00317F08" w14:paraId="4D363767" w14:textId="77777777">
        <w:tc>
          <w:tcPr>
            <w:tcW w:w="2089" w:type="dxa"/>
            <w:shd w:val="clear" w:color="auto" w:fill="auto"/>
          </w:tcPr>
          <w:p w14:paraId="2FF86369" w14:textId="77777777" w:rsidR="00C01A50" w:rsidRPr="00317F08" w:rsidRDefault="00C01A50" w:rsidP="002939B3">
            <w:pPr>
              <w:numPr>
                <w:ilvl w:val="0"/>
                <w:numId w:val="8"/>
              </w:numPr>
              <w:spacing w:before="0" w:after="0"/>
              <w:rPr>
                <w:lang w:val="en-AU"/>
              </w:rPr>
            </w:pPr>
            <w:r w:rsidRPr="00317F08">
              <w:rPr>
                <w:lang w:val="en-AU"/>
              </w:rPr>
              <w:t>Corn</w:t>
            </w:r>
          </w:p>
        </w:tc>
        <w:tc>
          <w:tcPr>
            <w:tcW w:w="970" w:type="dxa"/>
            <w:shd w:val="clear" w:color="auto" w:fill="auto"/>
          </w:tcPr>
          <w:p w14:paraId="670A8257" w14:textId="77777777" w:rsidR="00C01A50" w:rsidRPr="00317F08" w:rsidRDefault="00C01A50" w:rsidP="00880811">
            <w:pPr>
              <w:spacing w:before="0" w:after="0"/>
              <w:jc w:val="right"/>
              <w:rPr>
                <w:lang w:val="en-AU"/>
              </w:rPr>
            </w:pPr>
            <w:r w:rsidRPr="00317F08">
              <w:rPr>
                <w:lang w:val="en-AU"/>
              </w:rPr>
              <w:t>7</w:t>
            </w:r>
          </w:p>
        </w:tc>
        <w:tc>
          <w:tcPr>
            <w:tcW w:w="970" w:type="dxa"/>
            <w:shd w:val="clear" w:color="auto" w:fill="auto"/>
          </w:tcPr>
          <w:p w14:paraId="19374396" w14:textId="77777777" w:rsidR="00C01A50" w:rsidRPr="00317F08" w:rsidRDefault="00C01A50" w:rsidP="00880811">
            <w:pPr>
              <w:spacing w:before="0" w:after="0"/>
              <w:jc w:val="right"/>
              <w:rPr>
                <w:lang w:val="en-AU"/>
              </w:rPr>
            </w:pPr>
            <w:r w:rsidRPr="00317F08">
              <w:rPr>
                <w:lang w:val="en-AU"/>
              </w:rPr>
              <w:t>8</w:t>
            </w:r>
          </w:p>
        </w:tc>
        <w:tc>
          <w:tcPr>
            <w:tcW w:w="970" w:type="dxa"/>
            <w:shd w:val="clear" w:color="auto" w:fill="auto"/>
          </w:tcPr>
          <w:p w14:paraId="78288E42" w14:textId="77777777" w:rsidR="00C01A50" w:rsidRPr="00317F08" w:rsidRDefault="00C01A50" w:rsidP="00880811">
            <w:pPr>
              <w:spacing w:before="0" w:after="0"/>
              <w:jc w:val="right"/>
              <w:rPr>
                <w:lang w:val="en-AU"/>
              </w:rPr>
            </w:pPr>
            <w:r w:rsidRPr="00317F08">
              <w:rPr>
                <w:lang w:val="en-AU"/>
              </w:rPr>
              <w:t>8</w:t>
            </w:r>
          </w:p>
        </w:tc>
        <w:tc>
          <w:tcPr>
            <w:tcW w:w="970" w:type="dxa"/>
            <w:shd w:val="clear" w:color="auto" w:fill="auto"/>
          </w:tcPr>
          <w:p w14:paraId="46E65FBB" w14:textId="77777777" w:rsidR="00C01A50" w:rsidRPr="00317F08" w:rsidRDefault="00C01A50" w:rsidP="00880811">
            <w:pPr>
              <w:spacing w:before="0" w:after="0"/>
              <w:jc w:val="right"/>
              <w:rPr>
                <w:lang w:val="en-AU"/>
              </w:rPr>
            </w:pPr>
            <w:r w:rsidRPr="00317F08">
              <w:rPr>
                <w:lang w:val="en-AU"/>
              </w:rPr>
              <w:t>13</w:t>
            </w:r>
          </w:p>
        </w:tc>
        <w:tc>
          <w:tcPr>
            <w:tcW w:w="1080" w:type="dxa"/>
            <w:shd w:val="clear" w:color="auto" w:fill="auto"/>
          </w:tcPr>
          <w:p w14:paraId="0EF35630" w14:textId="77777777" w:rsidR="00C01A50" w:rsidRPr="00317F08" w:rsidRDefault="00C01A50" w:rsidP="00880811">
            <w:pPr>
              <w:spacing w:before="0" w:after="0"/>
              <w:jc w:val="right"/>
              <w:rPr>
                <w:lang w:val="en-AU"/>
              </w:rPr>
            </w:pPr>
            <w:r w:rsidRPr="00317F08">
              <w:rPr>
                <w:lang w:val="en-AU"/>
              </w:rPr>
              <w:t>14</w:t>
            </w:r>
          </w:p>
        </w:tc>
        <w:tc>
          <w:tcPr>
            <w:tcW w:w="1038" w:type="dxa"/>
            <w:shd w:val="clear" w:color="auto" w:fill="auto"/>
          </w:tcPr>
          <w:p w14:paraId="283E2D54" w14:textId="77777777" w:rsidR="00C01A50" w:rsidRPr="00317F08" w:rsidRDefault="00C01A50" w:rsidP="00880811">
            <w:pPr>
              <w:spacing w:before="0" w:after="0"/>
              <w:jc w:val="right"/>
              <w:rPr>
                <w:lang w:val="en-AU"/>
              </w:rPr>
            </w:pPr>
            <w:r w:rsidRPr="00317F08">
              <w:rPr>
                <w:lang w:val="en-AU"/>
              </w:rPr>
              <w:t>+1</w:t>
            </w:r>
          </w:p>
        </w:tc>
        <w:tc>
          <w:tcPr>
            <w:tcW w:w="970" w:type="dxa"/>
            <w:shd w:val="clear" w:color="auto" w:fill="auto"/>
          </w:tcPr>
          <w:p w14:paraId="745DCAB3" w14:textId="77777777" w:rsidR="00C01A50" w:rsidRPr="00317F08" w:rsidRDefault="00C01A50" w:rsidP="00880811">
            <w:pPr>
              <w:spacing w:before="0" w:after="0"/>
              <w:jc w:val="right"/>
              <w:rPr>
                <w:lang w:val="en-AU"/>
              </w:rPr>
            </w:pPr>
            <w:r w:rsidRPr="00317F08">
              <w:rPr>
                <w:lang w:val="en-AU"/>
              </w:rPr>
              <w:t>+6</w:t>
            </w:r>
          </w:p>
        </w:tc>
      </w:tr>
      <w:tr w:rsidR="00C01A50" w:rsidRPr="00317F08" w14:paraId="79E08445" w14:textId="77777777">
        <w:tc>
          <w:tcPr>
            <w:tcW w:w="2089" w:type="dxa"/>
            <w:shd w:val="clear" w:color="auto" w:fill="auto"/>
          </w:tcPr>
          <w:p w14:paraId="33F8465B" w14:textId="77777777" w:rsidR="00C01A50" w:rsidRPr="00317F08" w:rsidRDefault="00C01A50" w:rsidP="002939B3">
            <w:pPr>
              <w:numPr>
                <w:ilvl w:val="0"/>
                <w:numId w:val="8"/>
              </w:numPr>
              <w:spacing w:before="0" w:after="0"/>
              <w:rPr>
                <w:lang w:val="en-AU"/>
              </w:rPr>
            </w:pPr>
            <w:r w:rsidRPr="00317F08">
              <w:rPr>
                <w:lang w:val="en-AU"/>
              </w:rPr>
              <w:t>Soybean</w:t>
            </w:r>
          </w:p>
        </w:tc>
        <w:tc>
          <w:tcPr>
            <w:tcW w:w="970" w:type="dxa"/>
            <w:shd w:val="clear" w:color="auto" w:fill="auto"/>
          </w:tcPr>
          <w:p w14:paraId="56AFE607" w14:textId="77777777" w:rsidR="00C01A50" w:rsidRPr="00317F08" w:rsidRDefault="00C01A50" w:rsidP="00880811">
            <w:pPr>
              <w:spacing w:before="0" w:after="0"/>
              <w:jc w:val="right"/>
              <w:rPr>
                <w:lang w:val="en-AU"/>
              </w:rPr>
            </w:pPr>
            <w:r w:rsidRPr="00317F08">
              <w:rPr>
                <w:lang w:val="en-AU"/>
              </w:rPr>
              <w:t>3</w:t>
            </w:r>
          </w:p>
        </w:tc>
        <w:tc>
          <w:tcPr>
            <w:tcW w:w="970" w:type="dxa"/>
            <w:shd w:val="clear" w:color="auto" w:fill="auto"/>
          </w:tcPr>
          <w:p w14:paraId="351873A2" w14:textId="77777777" w:rsidR="00C01A50" w:rsidRPr="00317F08" w:rsidRDefault="00C01A50" w:rsidP="00880811">
            <w:pPr>
              <w:spacing w:before="0" w:after="0"/>
              <w:jc w:val="right"/>
              <w:rPr>
                <w:lang w:val="en-AU"/>
              </w:rPr>
            </w:pPr>
            <w:r w:rsidRPr="00317F08">
              <w:rPr>
                <w:lang w:val="en-AU"/>
              </w:rPr>
              <w:t>4</w:t>
            </w:r>
          </w:p>
        </w:tc>
        <w:tc>
          <w:tcPr>
            <w:tcW w:w="970" w:type="dxa"/>
            <w:shd w:val="clear" w:color="auto" w:fill="auto"/>
          </w:tcPr>
          <w:p w14:paraId="0618E692" w14:textId="77777777" w:rsidR="00C01A50" w:rsidRPr="00317F08" w:rsidRDefault="00C01A50" w:rsidP="00880811">
            <w:pPr>
              <w:spacing w:before="0" w:after="0"/>
              <w:jc w:val="right"/>
              <w:rPr>
                <w:lang w:val="en-AU"/>
              </w:rPr>
            </w:pPr>
            <w:r w:rsidRPr="00317F08">
              <w:rPr>
                <w:lang w:val="en-AU"/>
              </w:rPr>
              <w:t>2</w:t>
            </w:r>
          </w:p>
        </w:tc>
        <w:tc>
          <w:tcPr>
            <w:tcW w:w="970" w:type="dxa"/>
            <w:shd w:val="clear" w:color="auto" w:fill="auto"/>
          </w:tcPr>
          <w:p w14:paraId="045224EB" w14:textId="77777777" w:rsidR="00C01A50" w:rsidRPr="00317F08" w:rsidRDefault="00C01A50" w:rsidP="00880811">
            <w:pPr>
              <w:spacing w:before="0" w:after="0"/>
              <w:jc w:val="right"/>
              <w:rPr>
                <w:lang w:val="en-AU"/>
              </w:rPr>
            </w:pPr>
            <w:r w:rsidRPr="00317F08">
              <w:rPr>
                <w:lang w:val="en-AU"/>
              </w:rPr>
              <w:t>2</w:t>
            </w:r>
          </w:p>
        </w:tc>
        <w:tc>
          <w:tcPr>
            <w:tcW w:w="1080" w:type="dxa"/>
            <w:shd w:val="clear" w:color="auto" w:fill="auto"/>
          </w:tcPr>
          <w:p w14:paraId="5E5EEF7C" w14:textId="77777777" w:rsidR="00C01A50" w:rsidRPr="00317F08" w:rsidRDefault="00C01A50" w:rsidP="00880811">
            <w:pPr>
              <w:spacing w:before="0" w:after="0"/>
              <w:jc w:val="right"/>
              <w:rPr>
                <w:lang w:val="en-AU"/>
              </w:rPr>
            </w:pPr>
            <w:r w:rsidRPr="00317F08">
              <w:rPr>
                <w:lang w:val="en-AU"/>
              </w:rPr>
              <w:t>3</w:t>
            </w:r>
          </w:p>
        </w:tc>
        <w:tc>
          <w:tcPr>
            <w:tcW w:w="1038" w:type="dxa"/>
            <w:shd w:val="clear" w:color="auto" w:fill="auto"/>
          </w:tcPr>
          <w:p w14:paraId="7B165703" w14:textId="77777777" w:rsidR="00C01A50" w:rsidRPr="00317F08" w:rsidRDefault="00C01A50" w:rsidP="00880811">
            <w:pPr>
              <w:spacing w:before="0" w:after="0"/>
              <w:jc w:val="right"/>
              <w:rPr>
                <w:lang w:val="en-AU"/>
              </w:rPr>
            </w:pPr>
            <w:r w:rsidRPr="00317F08">
              <w:rPr>
                <w:lang w:val="en-AU"/>
              </w:rPr>
              <w:t>+1</w:t>
            </w:r>
          </w:p>
        </w:tc>
        <w:tc>
          <w:tcPr>
            <w:tcW w:w="970" w:type="dxa"/>
            <w:shd w:val="clear" w:color="auto" w:fill="auto"/>
          </w:tcPr>
          <w:p w14:paraId="23150EAB" w14:textId="77777777" w:rsidR="00C01A50" w:rsidRPr="00317F08" w:rsidRDefault="00C01A50" w:rsidP="00880811">
            <w:pPr>
              <w:spacing w:before="0" w:after="0"/>
              <w:jc w:val="right"/>
              <w:rPr>
                <w:lang w:val="en-AU"/>
              </w:rPr>
            </w:pPr>
            <w:r w:rsidRPr="00317F08">
              <w:rPr>
                <w:lang w:val="en-AU"/>
              </w:rPr>
              <w:t>-1</w:t>
            </w:r>
          </w:p>
        </w:tc>
      </w:tr>
      <w:tr w:rsidR="00C01A50" w:rsidRPr="00317F08" w14:paraId="307F6F7A" w14:textId="77777777">
        <w:tc>
          <w:tcPr>
            <w:tcW w:w="2089" w:type="dxa"/>
            <w:shd w:val="clear" w:color="auto" w:fill="auto"/>
          </w:tcPr>
          <w:p w14:paraId="353F3637" w14:textId="77777777" w:rsidR="00C01A50" w:rsidRPr="00317F08" w:rsidRDefault="00C01A50" w:rsidP="002939B3">
            <w:pPr>
              <w:numPr>
                <w:ilvl w:val="0"/>
                <w:numId w:val="8"/>
              </w:numPr>
              <w:spacing w:before="0" w:after="0"/>
              <w:rPr>
                <w:lang w:val="en-AU"/>
              </w:rPr>
            </w:pPr>
            <w:r w:rsidRPr="00317F08">
              <w:rPr>
                <w:lang w:val="en-AU"/>
              </w:rPr>
              <w:t>Cotton</w:t>
            </w:r>
          </w:p>
        </w:tc>
        <w:tc>
          <w:tcPr>
            <w:tcW w:w="970" w:type="dxa"/>
            <w:shd w:val="clear" w:color="auto" w:fill="auto"/>
          </w:tcPr>
          <w:p w14:paraId="550FAC3A" w14:textId="77777777" w:rsidR="00C01A50" w:rsidRPr="00317F08" w:rsidRDefault="00C01A50" w:rsidP="00880811">
            <w:pPr>
              <w:spacing w:before="0" w:after="0"/>
              <w:jc w:val="right"/>
              <w:rPr>
                <w:lang w:val="en-AU"/>
              </w:rPr>
            </w:pPr>
            <w:r w:rsidRPr="00317F08">
              <w:rPr>
                <w:lang w:val="en-AU"/>
              </w:rPr>
              <w:t>0</w:t>
            </w:r>
          </w:p>
        </w:tc>
        <w:tc>
          <w:tcPr>
            <w:tcW w:w="970" w:type="dxa"/>
            <w:shd w:val="clear" w:color="auto" w:fill="auto"/>
          </w:tcPr>
          <w:p w14:paraId="554F1B83" w14:textId="77777777" w:rsidR="00C01A50" w:rsidRPr="00317F08" w:rsidRDefault="00C01A50" w:rsidP="00880811">
            <w:pPr>
              <w:spacing w:before="0" w:after="0"/>
              <w:jc w:val="right"/>
              <w:rPr>
                <w:lang w:val="en-AU"/>
              </w:rPr>
            </w:pPr>
            <w:r w:rsidRPr="00317F08">
              <w:rPr>
                <w:lang w:val="en-AU"/>
              </w:rPr>
              <w:t>3</w:t>
            </w:r>
          </w:p>
        </w:tc>
        <w:tc>
          <w:tcPr>
            <w:tcW w:w="970" w:type="dxa"/>
            <w:shd w:val="clear" w:color="auto" w:fill="auto"/>
          </w:tcPr>
          <w:p w14:paraId="56DF66C0" w14:textId="77777777" w:rsidR="00C01A50" w:rsidRPr="00317F08" w:rsidRDefault="00C01A50" w:rsidP="00880811">
            <w:pPr>
              <w:spacing w:before="0" w:after="0"/>
              <w:jc w:val="right"/>
              <w:rPr>
                <w:lang w:val="en-AU"/>
              </w:rPr>
            </w:pPr>
            <w:r w:rsidRPr="00317F08">
              <w:rPr>
                <w:lang w:val="en-AU"/>
              </w:rPr>
              <w:t>7</w:t>
            </w:r>
          </w:p>
        </w:tc>
        <w:tc>
          <w:tcPr>
            <w:tcW w:w="970" w:type="dxa"/>
            <w:shd w:val="clear" w:color="auto" w:fill="auto"/>
          </w:tcPr>
          <w:p w14:paraId="5375BEBF" w14:textId="77777777" w:rsidR="00C01A50" w:rsidRPr="00317F08" w:rsidRDefault="00C01A50" w:rsidP="00880811">
            <w:pPr>
              <w:spacing w:before="0" w:after="0"/>
              <w:jc w:val="right"/>
              <w:rPr>
                <w:lang w:val="en-AU"/>
              </w:rPr>
            </w:pPr>
            <w:r w:rsidRPr="00317F08">
              <w:rPr>
                <w:lang w:val="en-AU"/>
              </w:rPr>
              <w:t>7</w:t>
            </w:r>
          </w:p>
        </w:tc>
        <w:tc>
          <w:tcPr>
            <w:tcW w:w="1080" w:type="dxa"/>
            <w:shd w:val="clear" w:color="auto" w:fill="auto"/>
          </w:tcPr>
          <w:p w14:paraId="67238DE9" w14:textId="77777777" w:rsidR="00C01A50" w:rsidRPr="00317F08" w:rsidRDefault="00C01A50" w:rsidP="00880811">
            <w:pPr>
              <w:spacing w:before="0" w:after="0"/>
              <w:jc w:val="right"/>
              <w:rPr>
                <w:lang w:val="en-AU"/>
              </w:rPr>
            </w:pPr>
            <w:r w:rsidRPr="00317F08">
              <w:rPr>
                <w:lang w:val="en-AU"/>
              </w:rPr>
              <w:t>21</w:t>
            </w:r>
          </w:p>
        </w:tc>
        <w:tc>
          <w:tcPr>
            <w:tcW w:w="1038" w:type="dxa"/>
            <w:shd w:val="clear" w:color="auto" w:fill="auto"/>
          </w:tcPr>
          <w:p w14:paraId="5A080C65" w14:textId="77777777" w:rsidR="00C01A50" w:rsidRPr="00317F08" w:rsidRDefault="00C01A50" w:rsidP="00880811">
            <w:pPr>
              <w:spacing w:before="0" w:after="0"/>
              <w:jc w:val="right"/>
              <w:rPr>
                <w:lang w:val="en-AU"/>
              </w:rPr>
            </w:pPr>
            <w:r w:rsidRPr="00317F08">
              <w:rPr>
                <w:lang w:val="en-AU"/>
              </w:rPr>
              <w:t>+3</w:t>
            </w:r>
          </w:p>
        </w:tc>
        <w:tc>
          <w:tcPr>
            <w:tcW w:w="970" w:type="dxa"/>
            <w:shd w:val="clear" w:color="auto" w:fill="auto"/>
          </w:tcPr>
          <w:p w14:paraId="01D055FD" w14:textId="77777777" w:rsidR="00C01A50" w:rsidRPr="00317F08" w:rsidRDefault="00C01A50" w:rsidP="00880811">
            <w:pPr>
              <w:spacing w:before="0" w:after="0"/>
              <w:jc w:val="right"/>
              <w:rPr>
                <w:lang w:val="en-AU"/>
              </w:rPr>
            </w:pPr>
            <w:r w:rsidRPr="00317F08">
              <w:rPr>
                <w:lang w:val="en-AU"/>
              </w:rPr>
              <w:t>+7</w:t>
            </w:r>
          </w:p>
        </w:tc>
      </w:tr>
      <w:tr w:rsidR="00C01A50" w:rsidRPr="00317F08" w14:paraId="76DB3FCC" w14:textId="77777777">
        <w:tc>
          <w:tcPr>
            <w:tcW w:w="2089" w:type="dxa"/>
            <w:shd w:val="clear" w:color="auto" w:fill="auto"/>
          </w:tcPr>
          <w:p w14:paraId="23E46760" w14:textId="77777777" w:rsidR="00C01A50" w:rsidRPr="00317F08" w:rsidRDefault="00C01A50" w:rsidP="002939B3">
            <w:pPr>
              <w:numPr>
                <w:ilvl w:val="0"/>
                <w:numId w:val="8"/>
              </w:numPr>
              <w:spacing w:before="0" w:after="0"/>
              <w:rPr>
                <w:lang w:val="en-AU"/>
              </w:rPr>
            </w:pPr>
            <w:r w:rsidRPr="00317F08">
              <w:rPr>
                <w:lang w:val="en-AU"/>
              </w:rPr>
              <w:t>Wheat</w:t>
            </w:r>
          </w:p>
        </w:tc>
        <w:tc>
          <w:tcPr>
            <w:tcW w:w="970" w:type="dxa"/>
            <w:shd w:val="clear" w:color="auto" w:fill="auto"/>
          </w:tcPr>
          <w:p w14:paraId="0C5EA65E" w14:textId="77777777" w:rsidR="00C01A50" w:rsidRPr="00317F08" w:rsidRDefault="00C01A50" w:rsidP="00880811">
            <w:pPr>
              <w:spacing w:before="0" w:after="0"/>
              <w:jc w:val="right"/>
              <w:rPr>
                <w:lang w:val="en-AU"/>
              </w:rPr>
            </w:pPr>
            <w:r w:rsidRPr="00317F08">
              <w:rPr>
                <w:lang w:val="en-AU"/>
              </w:rPr>
              <w:t>8</w:t>
            </w:r>
          </w:p>
        </w:tc>
        <w:tc>
          <w:tcPr>
            <w:tcW w:w="970" w:type="dxa"/>
            <w:shd w:val="clear" w:color="auto" w:fill="auto"/>
          </w:tcPr>
          <w:p w14:paraId="26212B7B" w14:textId="77777777" w:rsidR="00C01A50" w:rsidRPr="00317F08" w:rsidRDefault="00C01A50" w:rsidP="00880811">
            <w:pPr>
              <w:spacing w:before="0" w:after="0"/>
              <w:jc w:val="right"/>
              <w:rPr>
                <w:lang w:val="en-AU"/>
              </w:rPr>
            </w:pPr>
            <w:r w:rsidRPr="00317F08">
              <w:rPr>
                <w:lang w:val="en-AU"/>
              </w:rPr>
              <w:t>7</w:t>
            </w:r>
          </w:p>
        </w:tc>
        <w:tc>
          <w:tcPr>
            <w:tcW w:w="970" w:type="dxa"/>
            <w:shd w:val="clear" w:color="auto" w:fill="auto"/>
          </w:tcPr>
          <w:p w14:paraId="618DE486" w14:textId="77777777" w:rsidR="00C01A50" w:rsidRPr="00317F08" w:rsidRDefault="00C01A50" w:rsidP="00880811">
            <w:pPr>
              <w:spacing w:before="0" w:after="0"/>
              <w:jc w:val="right"/>
              <w:rPr>
                <w:lang w:val="en-AU"/>
              </w:rPr>
            </w:pPr>
            <w:r w:rsidRPr="00317F08">
              <w:rPr>
                <w:lang w:val="en-AU"/>
              </w:rPr>
              <w:t>10</w:t>
            </w:r>
          </w:p>
        </w:tc>
        <w:tc>
          <w:tcPr>
            <w:tcW w:w="970" w:type="dxa"/>
            <w:shd w:val="clear" w:color="auto" w:fill="auto"/>
          </w:tcPr>
          <w:p w14:paraId="1B84D687" w14:textId="77777777" w:rsidR="00C01A50" w:rsidRPr="00317F08" w:rsidRDefault="00C01A50" w:rsidP="00880811">
            <w:pPr>
              <w:spacing w:before="0" w:after="0"/>
              <w:jc w:val="right"/>
              <w:rPr>
                <w:lang w:val="en-AU"/>
              </w:rPr>
            </w:pPr>
            <w:r w:rsidRPr="00317F08">
              <w:rPr>
                <w:lang w:val="en-AU"/>
              </w:rPr>
              <w:t>18</w:t>
            </w:r>
          </w:p>
        </w:tc>
        <w:tc>
          <w:tcPr>
            <w:tcW w:w="1080" w:type="dxa"/>
            <w:shd w:val="clear" w:color="auto" w:fill="auto"/>
          </w:tcPr>
          <w:p w14:paraId="5226B775" w14:textId="77777777" w:rsidR="00C01A50" w:rsidRPr="00317F08" w:rsidRDefault="00C01A50" w:rsidP="00880811">
            <w:pPr>
              <w:spacing w:before="0" w:after="0"/>
              <w:jc w:val="right"/>
              <w:rPr>
                <w:lang w:val="en-AU"/>
              </w:rPr>
            </w:pPr>
            <w:r w:rsidRPr="00317F08">
              <w:rPr>
                <w:lang w:val="en-AU"/>
              </w:rPr>
              <w:t>15</w:t>
            </w:r>
          </w:p>
        </w:tc>
        <w:tc>
          <w:tcPr>
            <w:tcW w:w="1038" w:type="dxa"/>
            <w:shd w:val="clear" w:color="auto" w:fill="auto"/>
          </w:tcPr>
          <w:p w14:paraId="3258E91C" w14:textId="77777777" w:rsidR="00C01A50" w:rsidRPr="00317F08" w:rsidRDefault="00C01A50" w:rsidP="00880811">
            <w:pPr>
              <w:spacing w:before="0" w:after="0"/>
              <w:jc w:val="right"/>
              <w:rPr>
                <w:lang w:val="en-AU"/>
              </w:rPr>
            </w:pPr>
            <w:r w:rsidRPr="00317F08">
              <w:rPr>
                <w:lang w:val="en-AU"/>
              </w:rPr>
              <w:t>-1</w:t>
            </w:r>
          </w:p>
        </w:tc>
        <w:tc>
          <w:tcPr>
            <w:tcW w:w="970" w:type="dxa"/>
            <w:shd w:val="clear" w:color="auto" w:fill="auto"/>
          </w:tcPr>
          <w:p w14:paraId="17F39657" w14:textId="77777777" w:rsidR="00C01A50" w:rsidRPr="00317F08" w:rsidRDefault="00C01A50" w:rsidP="00880811">
            <w:pPr>
              <w:spacing w:before="0" w:after="0"/>
              <w:jc w:val="right"/>
              <w:rPr>
                <w:lang w:val="en-AU"/>
              </w:rPr>
            </w:pPr>
            <w:r w:rsidRPr="00317F08">
              <w:rPr>
                <w:lang w:val="en-AU"/>
              </w:rPr>
              <w:t>+11</w:t>
            </w:r>
          </w:p>
        </w:tc>
      </w:tr>
      <w:tr w:rsidR="00C01A50" w:rsidRPr="00317F08" w14:paraId="0DAD7C2D" w14:textId="77777777">
        <w:tc>
          <w:tcPr>
            <w:tcW w:w="2089" w:type="dxa"/>
            <w:shd w:val="clear" w:color="auto" w:fill="auto"/>
          </w:tcPr>
          <w:p w14:paraId="542B7E27" w14:textId="77777777" w:rsidR="00C01A50" w:rsidRPr="00317F08" w:rsidRDefault="00C01A50" w:rsidP="002939B3">
            <w:pPr>
              <w:numPr>
                <w:ilvl w:val="0"/>
                <w:numId w:val="8"/>
              </w:numPr>
              <w:spacing w:before="0" w:after="0"/>
              <w:rPr>
                <w:lang w:val="en-AU"/>
              </w:rPr>
            </w:pPr>
            <w:r w:rsidRPr="00317F08">
              <w:rPr>
                <w:lang w:val="en-AU"/>
              </w:rPr>
              <w:t>Pasture</w:t>
            </w:r>
          </w:p>
        </w:tc>
        <w:tc>
          <w:tcPr>
            <w:tcW w:w="970" w:type="dxa"/>
            <w:shd w:val="clear" w:color="auto" w:fill="auto"/>
          </w:tcPr>
          <w:p w14:paraId="2393808D" w14:textId="77777777" w:rsidR="00C01A50" w:rsidRPr="00317F08" w:rsidRDefault="00C01A50" w:rsidP="00880811">
            <w:pPr>
              <w:spacing w:before="0" w:after="0"/>
              <w:jc w:val="right"/>
              <w:rPr>
                <w:lang w:val="en-AU"/>
              </w:rPr>
            </w:pPr>
            <w:r w:rsidRPr="00317F08">
              <w:rPr>
                <w:lang w:val="en-AU"/>
              </w:rPr>
              <w:t>9</w:t>
            </w:r>
          </w:p>
        </w:tc>
        <w:tc>
          <w:tcPr>
            <w:tcW w:w="970" w:type="dxa"/>
            <w:shd w:val="clear" w:color="auto" w:fill="auto"/>
          </w:tcPr>
          <w:p w14:paraId="6CB767A7" w14:textId="77777777" w:rsidR="00C01A50" w:rsidRPr="00317F08" w:rsidRDefault="00C01A50" w:rsidP="00880811">
            <w:pPr>
              <w:spacing w:before="0" w:after="0"/>
              <w:jc w:val="right"/>
              <w:rPr>
                <w:lang w:val="en-AU"/>
              </w:rPr>
            </w:pPr>
            <w:r w:rsidRPr="00317F08">
              <w:rPr>
                <w:lang w:val="en-AU"/>
              </w:rPr>
              <w:t>4</w:t>
            </w:r>
          </w:p>
        </w:tc>
        <w:tc>
          <w:tcPr>
            <w:tcW w:w="970" w:type="dxa"/>
            <w:shd w:val="clear" w:color="auto" w:fill="auto"/>
          </w:tcPr>
          <w:p w14:paraId="531067FB" w14:textId="77777777" w:rsidR="00C01A50" w:rsidRPr="00317F08" w:rsidRDefault="00C01A50" w:rsidP="00880811">
            <w:pPr>
              <w:spacing w:before="0" w:after="0"/>
              <w:jc w:val="right"/>
              <w:rPr>
                <w:lang w:val="en-AU"/>
              </w:rPr>
            </w:pPr>
            <w:r w:rsidRPr="00317F08">
              <w:rPr>
                <w:lang w:val="en-AU"/>
              </w:rPr>
              <w:t>3</w:t>
            </w:r>
          </w:p>
        </w:tc>
        <w:tc>
          <w:tcPr>
            <w:tcW w:w="970" w:type="dxa"/>
            <w:shd w:val="clear" w:color="auto" w:fill="auto"/>
          </w:tcPr>
          <w:p w14:paraId="3771DAD5" w14:textId="77777777" w:rsidR="00C01A50" w:rsidRPr="00317F08" w:rsidRDefault="00C01A50" w:rsidP="00880811">
            <w:pPr>
              <w:spacing w:before="0" w:after="0"/>
              <w:jc w:val="right"/>
              <w:rPr>
                <w:lang w:val="en-AU"/>
              </w:rPr>
            </w:pPr>
            <w:r w:rsidRPr="00317F08">
              <w:rPr>
                <w:lang w:val="en-AU"/>
              </w:rPr>
              <w:t>4</w:t>
            </w:r>
          </w:p>
        </w:tc>
        <w:tc>
          <w:tcPr>
            <w:tcW w:w="1080" w:type="dxa"/>
            <w:shd w:val="clear" w:color="auto" w:fill="auto"/>
          </w:tcPr>
          <w:p w14:paraId="25E4DE45" w14:textId="77777777" w:rsidR="00C01A50" w:rsidRPr="00317F08" w:rsidRDefault="00C01A50" w:rsidP="00880811">
            <w:pPr>
              <w:spacing w:before="0" w:after="0"/>
              <w:jc w:val="right"/>
              <w:rPr>
                <w:lang w:val="en-AU"/>
              </w:rPr>
            </w:pPr>
            <w:r w:rsidRPr="00317F08">
              <w:rPr>
                <w:lang w:val="en-AU"/>
              </w:rPr>
              <w:t>7</w:t>
            </w:r>
          </w:p>
        </w:tc>
        <w:tc>
          <w:tcPr>
            <w:tcW w:w="1038" w:type="dxa"/>
            <w:shd w:val="clear" w:color="auto" w:fill="auto"/>
          </w:tcPr>
          <w:p w14:paraId="582FBC14" w14:textId="77777777" w:rsidR="00C01A50" w:rsidRPr="00317F08" w:rsidRDefault="00C01A50" w:rsidP="00880811">
            <w:pPr>
              <w:spacing w:before="0" w:after="0"/>
              <w:jc w:val="right"/>
              <w:rPr>
                <w:lang w:val="en-AU"/>
              </w:rPr>
            </w:pPr>
            <w:r w:rsidRPr="00317F08">
              <w:rPr>
                <w:lang w:val="en-AU"/>
              </w:rPr>
              <w:t>-5</w:t>
            </w:r>
          </w:p>
        </w:tc>
        <w:tc>
          <w:tcPr>
            <w:tcW w:w="970" w:type="dxa"/>
            <w:shd w:val="clear" w:color="auto" w:fill="auto"/>
          </w:tcPr>
          <w:p w14:paraId="3A4F4241" w14:textId="77777777" w:rsidR="00C01A50" w:rsidRPr="00317F08" w:rsidRDefault="00C01A50" w:rsidP="00880811">
            <w:pPr>
              <w:spacing w:before="0" w:after="0"/>
              <w:jc w:val="right"/>
              <w:rPr>
                <w:lang w:val="en-AU"/>
              </w:rPr>
            </w:pPr>
            <w:r w:rsidRPr="00317F08">
              <w:rPr>
                <w:lang w:val="en-AU"/>
              </w:rPr>
              <w:t>-5</w:t>
            </w:r>
          </w:p>
        </w:tc>
      </w:tr>
      <w:tr w:rsidR="00C01A50" w:rsidRPr="00317F08" w14:paraId="3BA9AD10" w14:textId="77777777">
        <w:tc>
          <w:tcPr>
            <w:tcW w:w="2089" w:type="dxa"/>
            <w:shd w:val="clear" w:color="auto" w:fill="auto"/>
          </w:tcPr>
          <w:p w14:paraId="5381858A" w14:textId="77777777" w:rsidR="00C01A50" w:rsidRPr="00317F08" w:rsidRDefault="00C01A50" w:rsidP="002939B3">
            <w:pPr>
              <w:numPr>
                <w:ilvl w:val="0"/>
                <w:numId w:val="8"/>
              </w:numPr>
              <w:spacing w:before="0" w:after="0"/>
              <w:rPr>
                <w:lang w:val="en-AU"/>
              </w:rPr>
            </w:pPr>
            <w:r w:rsidRPr="00317F08">
              <w:rPr>
                <w:lang w:val="en-AU"/>
              </w:rPr>
              <w:t>Canola</w:t>
            </w:r>
          </w:p>
        </w:tc>
        <w:tc>
          <w:tcPr>
            <w:tcW w:w="970" w:type="dxa"/>
            <w:shd w:val="clear" w:color="auto" w:fill="auto"/>
          </w:tcPr>
          <w:p w14:paraId="2AECEC01" w14:textId="77777777" w:rsidR="00C01A50" w:rsidRPr="00317F08" w:rsidRDefault="00C01A50" w:rsidP="00880811">
            <w:pPr>
              <w:spacing w:before="0" w:after="0"/>
              <w:jc w:val="right"/>
              <w:rPr>
                <w:lang w:val="en-AU"/>
              </w:rPr>
            </w:pPr>
            <w:r w:rsidRPr="00317F08">
              <w:rPr>
                <w:lang w:val="en-AU"/>
              </w:rPr>
              <w:t>1</w:t>
            </w:r>
          </w:p>
        </w:tc>
        <w:tc>
          <w:tcPr>
            <w:tcW w:w="970" w:type="dxa"/>
            <w:shd w:val="clear" w:color="auto" w:fill="auto"/>
          </w:tcPr>
          <w:p w14:paraId="5E26B947" w14:textId="77777777" w:rsidR="00C01A50" w:rsidRPr="00317F08" w:rsidRDefault="00C01A50" w:rsidP="00880811">
            <w:pPr>
              <w:spacing w:before="0" w:after="0"/>
              <w:jc w:val="right"/>
              <w:rPr>
                <w:lang w:val="en-AU"/>
              </w:rPr>
            </w:pPr>
            <w:r w:rsidRPr="00317F08">
              <w:rPr>
                <w:lang w:val="en-AU"/>
              </w:rPr>
              <w:t>1</w:t>
            </w:r>
          </w:p>
        </w:tc>
        <w:tc>
          <w:tcPr>
            <w:tcW w:w="970" w:type="dxa"/>
            <w:shd w:val="clear" w:color="auto" w:fill="auto"/>
          </w:tcPr>
          <w:p w14:paraId="0E9ECD9C" w14:textId="77777777" w:rsidR="00C01A50" w:rsidRPr="00317F08" w:rsidRDefault="00C01A50" w:rsidP="00880811">
            <w:pPr>
              <w:spacing w:before="0" w:after="0"/>
              <w:jc w:val="right"/>
              <w:rPr>
                <w:lang w:val="en-AU"/>
              </w:rPr>
            </w:pPr>
            <w:r w:rsidRPr="00317F08">
              <w:rPr>
                <w:lang w:val="en-AU"/>
              </w:rPr>
              <w:t>1</w:t>
            </w:r>
          </w:p>
        </w:tc>
        <w:tc>
          <w:tcPr>
            <w:tcW w:w="970" w:type="dxa"/>
            <w:shd w:val="clear" w:color="auto" w:fill="auto"/>
          </w:tcPr>
          <w:p w14:paraId="7D4293F6" w14:textId="77777777" w:rsidR="00C01A50" w:rsidRPr="00317F08" w:rsidRDefault="00C01A50" w:rsidP="00880811">
            <w:pPr>
              <w:spacing w:before="0" w:after="0"/>
              <w:jc w:val="right"/>
              <w:rPr>
                <w:lang w:val="en-AU"/>
              </w:rPr>
            </w:pPr>
            <w:r w:rsidRPr="00317F08">
              <w:rPr>
                <w:lang w:val="en-AU"/>
              </w:rPr>
              <w:t>1</w:t>
            </w:r>
          </w:p>
        </w:tc>
        <w:tc>
          <w:tcPr>
            <w:tcW w:w="1080" w:type="dxa"/>
            <w:shd w:val="clear" w:color="auto" w:fill="auto"/>
          </w:tcPr>
          <w:p w14:paraId="7E3350B4" w14:textId="77777777" w:rsidR="00C01A50" w:rsidRPr="00317F08" w:rsidRDefault="00C01A50" w:rsidP="00880811">
            <w:pPr>
              <w:spacing w:before="0" w:after="0"/>
              <w:jc w:val="right"/>
              <w:rPr>
                <w:lang w:val="en-AU"/>
              </w:rPr>
            </w:pPr>
            <w:r w:rsidRPr="00317F08">
              <w:rPr>
                <w:lang w:val="en-AU"/>
              </w:rPr>
              <w:t>2</w:t>
            </w:r>
          </w:p>
        </w:tc>
        <w:tc>
          <w:tcPr>
            <w:tcW w:w="1038" w:type="dxa"/>
            <w:shd w:val="clear" w:color="auto" w:fill="auto"/>
          </w:tcPr>
          <w:p w14:paraId="11AC11D7" w14:textId="77777777" w:rsidR="00C01A50" w:rsidRPr="00317F08" w:rsidRDefault="00C01A50" w:rsidP="00880811">
            <w:pPr>
              <w:spacing w:before="0" w:after="0"/>
              <w:jc w:val="right"/>
              <w:rPr>
                <w:lang w:val="en-AU"/>
              </w:rPr>
            </w:pPr>
            <w:r w:rsidRPr="00317F08">
              <w:rPr>
                <w:lang w:val="en-AU"/>
              </w:rPr>
              <w:t>0</w:t>
            </w:r>
          </w:p>
        </w:tc>
        <w:tc>
          <w:tcPr>
            <w:tcW w:w="970" w:type="dxa"/>
            <w:shd w:val="clear" w:color="auto" w:fill="auto"/>
          </w:tcPr>
          <w:p w14:paraId="11350FBE" w14:textId="77777777" w:rsidR="00C01A50" w:rsidRPr="00317F08" w:rsidRDefault="00C01A50" w:rsidP="00880811">
            <w:pPr>
              <w:spacing w:before="0" w:after="0"/>
              <w:jc w:val="right"/>
              <w:rPr>
                <w:lang w:val="en-AU"/>
              </w:rPr>
            </w:pPr>
            <w:r w:rsidRPr="00317F08">
              <w:rPr>
                <w:lang w:val="en-AU"/>
              </w:rPr>
              <w:t>0</w:t>
            </w:r>
          </w:p>
        </w:tc>
      </w:tr>
      <w:tr w:rsidR="00C01A50" w:rsidRPr="00317F08" w14:paraId="550298D0" w14:textId="77777777">
        <w:tc>
          <w:tcPr>
            <w:tcW w:w="2089" w:type="dxa"/>
            <w:shd w:val="clear" w:color="auto" w:fill="auto"/>
          </w:tcPr>
          <w:p w14:paraId="77610BC3" w14:textId="77777777" w:rsidR="00C01A50" w:rsidRPr="00317F08" w:rsidRDefault="00C01A50" w:rsidP="00880811">
            <w:pPr>
              <w:spacing w:before="0" w:after="0"/>
              <w:rPr>
                <w:lang w:val="en-AU"/>
              </w:rPr>
            </w:pPr>
          </w:p>
        </w:tc>
        <w:tc>
          <w:tcPr>
            <w:tcW w:w="970" w:type="dxa"/>
            <w:shd w:val="clear" w:color="auto" w:fill="auto"/>
          </w:tcPr>
          <w:p w14:paraId="610D2695" w14:textId="77777777" w:rsidR="00C01A50" w:rsidRPr="00317F08" w:rsidRDefault="00C01A50" w:rsidP="00880811">
            <w:pPr>
              <w:spacing w:before="0" w:after="0"/>
              <w:rPr>
                <w:lang w:val="en-AU"/>
              </w:rPr>
            </w:pPr>
          </w:p>
        </w:tc>
        <w:tc>
          <w:tcPr>
            <w:tcW w:w="970" w:type="dxa"/>
            <w:shd w:val="clear" w:color="auto" w:fill="auto"/>
          </w:tcPr>
          <w:p w14:paraId="508E0DF3" w14:textId="77777777" w:rsidR="00C01A50" w:rsidRPr="00317F08" w:rsidRDefault="00C01A50" w:rsidP="00880811">
            <w:pPr>
              <w:spacing w:before="0" w:after="0"/>
              <w:rPr>
                <w:lang w:val="en-AU"/>
              </w:rPr>
            </w:pPr>
          </w:p>
        </w:tc>
        <w:tc>
          <w:tcPr>
            <w:tcW w:w="970" w:type="dxa"/>
            <w:shd w:val="clear" w:color="auto" w:fill="auto"/>
          </w:tcPr>
          <w:p w14:paraId="74BA0BB9" w14:textId="77777777" w:rsidR="00C01A50" w:rsidRPr="00317F08" w:rsidRDefault="00C01A50" w:rsidP="00880811">
            <w:pPr>
              <w:spacing w:before="0" w:after="0"/>
              <w:rPr>
                <w:lang w:val="en-AU"/>
              </w:rPr>
            </w:pPr>
          </w:p>
        </w:tc>
        <w:tc>
          <w:tcPr>
            <w:tcW w:w="970" w:type="dxa"/>
            <w:shd w:val="clear" w:color="auto" w:fill="auto"/>
          </w:tcPr>
          <w:p w14:paraId="2060C05B" w14:textId="77777777" w:rsidR="00C01A50" w:rsidRPr="00317F08" w:rsidRDefault="00C01A50" w:rsidP="00880811">
            <w:pPr>
              <w:spacing w:before="0" w:after="0"/>
              <w:rPr>
                <w:lang w:val="en-AU"/>
              </w:rPr>
            </w:pPr>
          </w:p>
        </w:tc>
        <w:tc>
          <w:tcPr>
            <w:tcW w:w="1080" w:type="dxa"/>
            <w:shd w:val="clear" w:color="auto" w:fill="auto"/>
          </w:tcPr>
          <w:p w14:paraId="3AC0182F" w14:textId="77777777" w:rsidR="00C01A50" w:rsidRPr="00317F08" w:rsidRDefault="00C01A50" w:rsidP="00880811">
            <w:pPr>
              <w:spacing w:before="0" w:after="0"/>
              <w:rPr>
                <w:lang w:val="en-AU"/>
              </w:rPr>
            </w:pPr>
          </w:p>
        </w:tc>
        <w:tc>
          <w:tcPr>
            <w:tcW w:w="1038" w:type="dxa"/>
            <w:shd w:val="clear" w:color="auto" w:fill="auto"/>
          </w:tcPr>
          <w:p w14:paraId="766C9498" w14:textId="77777777" w:rsidR="00C01A50" w:rsidRPr="00317F08" w:rsidRDefault="00C01A50" w:rsidP="00880811">
            <w:pPr>
              <w:spacing w:before="0" w:after="0"/>
              <w:rPr>
                <w:lang w:val="en-AU"/>
              </w:rPr>
            </w:pPr>
          </w:p>
        </w:tc>
        <w:tc>
          <w:tcPr>
            <w:tcW w:w="970" w:type="dxa"/>
            <w:shd w:val="clear" w:color="auto" w:fill="auto"/>
          </w:tcPr>
          <w:p w14:paraId="3E8D7D09" w14:textId="77777777" w:rsidR="00C01A50" w:rsidRPr="00317F08" w:rsidRDefault="00C01A50" w:rsidP="00880811">
            <w:pPr>
              <w:spacing w:before="0" w:after="0"/>
              <w:rPr>
                <w:lang w:val="en-AU"/>
              </w:rPr>
            </w:pPr>
          </w:p>
        </w:tc>
      </w:tr>
    </w:tbl>
    <w:p w14:paraId="5FAD3588" w14:textId="77777777" w:rsidR="00113CD2" w:rsidRPr="00113CD2" w:rsidRDefault="00113CD2" w:rsidP="00880811">
      <w:pPr>
        <w:rPr>
          <w:sz w:val="16"/>
          <w:szCs w:val="16"/>
          <w:lang w:val="en-AU"/>
        </w:rPr>
      </w:pPr>
      <w:r>
        <w:rPr>
          <w:sz w:val="16"/>
          <w:szCs w:val="16"/>
          <w:lang w:val="en-AU"/>
        </w:rPr>
        <w:t>* At the time of writing</w:t>
      </w:r>
    </w:p>
    <w:p w14:paraId="12EB97AC" w14:textId="77777777" w:rsidR="00C01A50" w:rsidRPr="00317F08" w:rsidRDefault="00C01A50" w:rsidP="00880811">
      <w:pPr>
        <w:rPr>
          <w:lang w:val="en-AU"/>
        </w:rPr>
      </w:pPr>
      <w:r w:rsidRPr="00C21EC2">
        <w:rPr>
          <w:lang w:val="en-AU"/>
        </w:rPr>
        <w:fldChar w:fldCharType="begin"/>
      </w:r>
      <w:r w:rsidRPr="00C21EC2">
        <w:rPr>
          <w:lang w:val="en-AU"/>
        </w:rPr>
        <w:instrText xml:space="preserve"> REF _Ref341085612 \h </w:instrText>
      </w:r>
      <w:r w:rsidRPr="00C21EC2">
        <w:rPr>
          <w:lang w:val="en-AU"/>
        </w:rPr>
      </w:r>
      <w:r w:rsidRPr="00C21EC2">
        <w:rPr>
          <w:lang w:val="en-AU"/>
        </w:rPr>
        <w:fldChar w:fldCharType="separate"/>
      </w:r>
      <w:r w:rsidR="008E5D7A">
        <w:t xml:space="preserve">Table </w:t>
      </w:r>
      <w:r w:rsidR="008E5D7A">
        <w:rPr>
          <w:noProof/>
        </w:rPr>
        <w:t>8</w:t>
      </w:r>
      <w:r w:rsidRPr="00C21EC2">
        <w:rPr>
          <w:lang w:val="en-AU"/>
        </w:rPr>
        <w:fldChar w:fldCharType="end"/>
      </w:r>
      <w:r w:rsidRPr="00C21EC2">
        <w:rPr>
          <w:lang w:val="en-AU"/>
        </w:rPr>
        <w:t xml:space="preserve"> shows that compared with 2005/06 surface water use in Coleambally has declined following Government purchases by approximately 10% in those years (2013/14 and 2014/15) with similar allocation levels. Those water users with access to suitable quality groundwater have, however substituted groundwater for surface water.</w:t>
      </w:r>
    </w:p>
    <w:p w14:paraId="73265F39" w14:textId="77777777" w:rsidR="00C01A50" w:rsidRPr="00317F08" w:rsidRDefault="00C01A50" w:rsidP="00880811">
      <w:pPr>
        <w:rPr>
          <w:lang w:val="en-AU"/>
        </w:rPr>
      </w:pPr>
      <w:r w:rsidRPr="00317F08">
        <w:rPr>
          <w:lang w:val="en-AU"/>
        </w:rPr>
        <w:lastRenderedPageBreak/>
        <w:t>The data also indicates a significant shift in crop water use with rice and pasture water use declining by 19% and 5% respectively. Water use has increased for</w:t>
      </w:r>
      <w:r>
        <w:rPr>
          <w:lang w:val="en-AU"/>
        </w:rPr>
        <w:t xml:space="preserve"> corn </w:t>
      </w:r>
      <w:r w:rsidRPr="00317F08">
        <w:rPr>
          <w:lang w:val="en-AU"/>
        </w:rPr>
        <w:t xml:space="preserve">(6%), cotton (7%) and winter crops (11%). This reflects a shift to enterprises that offer a higher return per ML. </w:t>
      </w:r>
    </w:p>
    <w:p w14:paraId="22200153" w14:textId="77777777" w:rsidR="00C01A50" w:rsidRDefault="00C01A50" w:rsidP="00880811">
      <w:pPr>
        <w:pStyle w:val="Caption"/>
        <w:keepNext/>
      </w:pPr>
      <w:bookmarkStart w:id="180" w:name="_Ref341085633"/>
      <w:r>
        <w:t xml:space="preserve">Table </w:t>
      </w:r>
      <w:r>
        <w:fldChar w:fldCharType="begin"/>
      </w:r>
      <w:r>
        <w:instrText xml:space="preserve"> SEQ Table \* ARABIC </w:instrText>
      </w:r>
      <w:r>
        <w:fldChar w:fldCharType="separate"/>
      </w:r>
      <w:r w:rsidR="008E5D7A">
        <w:rPr>
          <w:noProof/>
        </w:rPr>
        <w:t>9</w:t>
      </w:r>
      <w:r>
        <w:fldChar w:fldCharType="end"/>
      </w:r>
      <w:bookmarkEnd w:id="180"/>
      <w:r>
        <w:t>: Water use in the MIA before and after the Basin Plan (</w:t>
      </w:r>
      <w:r>
        <w:rPr>
          <w:lang w:val="en-AU"/>
        </w:rPr>
        <w:t>MIL</w:t>
      </w:r>
      <w:r w:rsidRPr="00317F08">
        <w:rPr>
          <w:lang w:val="en-AU"/>
        </w:rPr>
        <w:t xml:space="preserve"> Annual Compli</w:t>
      </w:r>
      <w:r>
        <w:rPr>
          <w:lang w:val="en-AU"/>
        </w:rPr>
        <w:t>ance Report 2015 pg 3</w:t>
      </w:r>
      <w:r w:rsidRPr="00317F08">
        <w:rPr>
          <w:lang w:val="en-AU"/>
        </w:rPr>
        <w:t>0</w:t>
      </w:r>
      <w:r>
        <w:rPr>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4"/>
        <w:gridCol w:w="994"/>
        <w:gridCol w:w="994"/>
        <w:gridCol w:w="994"/>
        <w:gridCol w:w="994"/>
        <w:gridCol w:w="1080"/>
        <w:gridCol w:w="994"/>
        <w:gridCol w:w="994"/>
      </w:tblGrid>
      <w:tr w:rsidR="00C01A50" w:rsidRPr="00317F08" w14:paraId="58EC0D3E" w14:textId="77777777">
        <w:tc>
          <w:tcPr>
            <w:tcW w:w="2260" w:type="dxa"/>
            <w:shd w:val="clear" w:color="auto" w:fill="auto"/>
          </w:tcPr>
          <w:p w14:paraId="40DF8B1E" w14:textId="77777777" w:rsidR="00C01A50" w:rsidRPr="00317F08" w:rsidRDefault="00C01A50" w:rsidP="00880811">
            <w:pPr>
              <w:spacing w:before="0" w:after="0"/>
              <w:jc w:val="center"/>
              <w:rPr>
                <w:lang w:val="en-AU"/>
              </w:rPr>
            </w:pPr>
            <w:r w:rsidRPr="00317F08">
              <w:rPr>
                <w:lang w:val="en-AU"/>
              </w:rPr>
              <w:t>Year</w:t>
            </w:r>
          </w:p>
        </w:tc>
        <w:tc>
          <w:tcPr>
            <w:tcW w:w="1009" w:type="dxa"/>
            <w:shd w:val="clear" w:color="auto" w:fill="auto"/>
          </w:tcPr>
          <w:p w14:paraId="5AE8E00E" w14:textId="77777777" w:rsidR="00C01A50" w:rsidRPr="00317F08" w:rsidRDefault="00C01A50" w:rsidP="00880811">
            <w:pPr>
              <w:spacing w:before="0" w:after="0"/>
              <w:jc w:val="center"/>
              <w:rPr>
                <w:lang w:val="en-AU"/>
              </w:rPr>
            </w:pPr>
            <w:r w:rsidRPr="00317F08">
              <w:rPr>
                <w:lang w:val="en-AU"/>
              </w:rPr>
              <w:t>2005/06</w:t>
            </w:r>
          </w:p>
        </w:tc>
        <w:tc>
          <w:tcPr>
            <w:tcW w:w="1009" w:type="dxa"/>
            <w:shd w:val="clear" w:color="auto" w:fill="auto"/>
          </w:tcPr>
          <w:p w14:paraId="32E850FA" w14:textId="77777777" w:rsidR="00C01A50" w:rsidRPr="00317F08" w:rsidRDefault="00C01A50" w:rsidP="00880811">
            <w:pPr>
              <w:spacing w:before="0" w:after="0"/>
              <w:jc w:val="center"/>
              <w:rPr>
                <w:lang w:val="en-AU"/>
              </w:rPr>
            </w:pPr>
            <w:r w:rsidRPr="00317F08">
              <w:rPr>
                <w:lang w:val="en-AU"/>
              </w:rPr>
              <w:t>2012/13</w:t>
            </w:r>
          </w:p>
        </w:tc>
        <w:tc>
          <w:tcPr>
            <w:tcW w:w="1009" w:type="dxa"/>
            <w:shd w:val="clear" w:color="auto" w:fill="auto"/>
          </w:tcPr>
          <w:p w14:paraId="15776323" w14:textId="77777777" w:rsidR="00C01A50" w:rsidRPr="00317F08" w:rsidRDefault="00C01A50" w:rsidP="00880811">
            <w:pPr>
              <w:spacing w:before="0" w:after="0"/>
              <w:jc w:val="center"/>
              <w:rPr>
                <w:lang w:val="en-AU"/>
              </w:rPr>
            </w:pPr>
            <w:r w:rsidRPr="00317F08">
              <w:rPr>
                <w:lang w:val="en-AU"/>
              </w:rPr>
              <w:t>2013/14</w:t>
            </w:r>
          </w:p>
        </w:tc>
        <w:tc>
          <w:tcPr>
            <w:tcW w:w="1009" w:type="dxa"/>
            <w:shd w:val="clear" w:color="auto" w:fill="auto"/>
          </w:tcPr>
          <w:p w14:paraId="2022E0CD" w14:textId="77777777" w:rsidR="00C01A50" w:rsidRPr="00317F08" w:rsidRDefault="00C01A50" w:rsidP="00880811">
            <w:pPr>
              <w:spacing w:before="0" w:after="0"/>
              <w:jc w:val="center"/>
              <w:rPr>
                <w:lang w:val="en-AU"/>
              </w:rPr>
            </w:pPr>
            <w:r w:rsidRPr="00317F08">
              <w:rPr>
                <w:lang w:val="en-AU"/>
              </w:rPr>
              <w:t>2014/15</w:t>
            </w:r>
          </w:p>
        </w:tc>
        <w:tc>
          <w:tcPr>
            <w:tcW w:w="1080" w:type="dxa"/>
            <w:shd w:val="clear" w:color="auto" w:fill="auto"/>
          </w:tcPr>
          <w:p w14:paraId="7516DCF4" w14:textId="77777777" w:rsidR="00C01A50" w:rsidRPr="00317F08" w:rsidRDefault="00C01A50" w:rsidP="00880811">
            <w:pPr>
              <w:spacing w:before="0" w:after="0"/>
              <w:jc w:val="center"/>
              <w:rPr>
                <w:lang w:val="en-AU"/>
              </w:rPr>
            </w:pPr>
            <w:r w:rsidRPr="00317F08">
              <w:rPr>
                <w:lang w:val="en-AU"/>
              </w:rPr>
              <w:t>2015/16*</w:t>
            </w:r>
          </w:p>
        </w:tc>
        <w:tc>
          <w:tcPr>
            <w:tcW w:w="1009" w:type="dxa"/>
            <w:shd w:val="clear" w:color="auto" w:fill="auto"/>
          </w:tcPr>
          <w:p w14:paraId="09277D99" w14:textId="77777777" w:rsidR="00C01A50" w:rsidRPr="00317F08" w:rsidRDefault="00C01A50" w:rsidP="00880811">
            <w:pPr>
              <w:spacing w:before="0" w:after="0"/>
              <w:jc w:val="center"/>
              <w:rPr>
                <w:lang w:val="en-AU"/>
              </w:rPr>
            </w:pPr>
            <w:r w:rsidRPr="00317F08">
              <w:rPr>
                <w:lang w:val="en-AU"/>
              </w:rPr>
              <w:t>Change 2005/06 – 2012/13</w:t>
            </w:r>
          </w:p>
        </w:tc>
        <w:tc>
          <w:tcPr>
            <w:tcW w:w="1009" w:type="dxa"/>
            <w:shd w:val="clear" w:color="auto" w:fill="auto"/>
          </w:tcPr>
          <w:p w14:paraId="4B09FAEC" w14:textId="77777777" w:rsidR="00C01A50" w:rsidRPr="00317F08" w:rsidRDefault="00C01A50" w:rsidP="00880811">
            <w:pPr>
              <w:spacing w:before="0" w:after="0"/>
              <w:jc w:val="center"/>
              <w:rPr>
                <w:lang w:val="en-AU"/>
              </w:rPr>
            </w:pPr>
            <w:r w:rsidRPr="00317F08">
              <w:rPr>
                <w:lang w:val="en-AU"/>
              </w:rPr>
              <w:t>Change 2005/06 – 2014/15</w:t>
            </w:r>
          </w:p>
        </w:tc>
      </w:tr>
      <w:tr w:rsidR="00C01A50" w:rsidRPr="00317F08" w14:paraId="64DAED0E" w14:textId="77777777">
        <w:tc>
          <w:tcPr>
            <w:tcW w:w="2260" w:type="dxa"/>
            <w:shd w:val="clear" w:color="auto" w:fill="auto"/>
          </w:tcPr>
          <w:p w14:paraId="72C4F7BC" w14:textId="77777777" w:rsidR="00C01A50" w:rsidRPr="00317F08" w:rsidRDefault="00C01A50" w:rsidP="00880811">
            <w:pPr>
              <w:spacing w:before="0" w:after="0"/>
              <w:rPr>
                <w:lang w:val="en-AU"/>
              </w:rPr>
            </w:pPr>
            <w:r w:rsidRPr="00317F08">
              <w:rPr>
                <w:lang w:val="en-AU"/>
              </w:rPr>
              <w:t>Annual Allocation HS:GS (%)</w:t>
            </w:r>
          </w:p>
        </w:tc>
        <w:tc>
          <w:tcPr>
            <w:tcW w:w="1009" w:type="dxa"/>
            <w:shd w:val="clear" w:color="auto" w:fill="auto"/>
          </w:tcPr>
          <w:p w14:paraId="0960DCF0" w14:textId="77777777" w:rsidR="00C01A50" w:rsidRPr="00317F08" w:rsidRDefault="00C01A50" w:rsidP="00880811">
            <w:pPr>
              <w:spacing w:before="0" w:after="0"/>
              <w:jc w:val="right"/>
              <w:rPr>
                <w:lang w:val="en-AU"/>
              </w:rPr>
            </w:pPr>
            <w:r w:rsidRPr="00317F08">
              <w:rPr>
                <w:lang w:val="en-AU"/>
              </w:rPr>
              <w:t>95:54</w:t>
            </w:r>
          </w:p>
        </w:tc>
        <w:tc>
          <w:tcPr>
            <w:tcW w:w="1009" w:type="dxa"/>
            <w:shd w:val="clear" w:color="auto" w:fill="auto"/>
          </w:tcPr>
          <w:p w14:paraId="64089D8E" w14:textId="77777777" w:rsidR="00C01A50" w:rsidRPr="00317F08" w:rsidRDefault="00C01A50" w:rsidP="00880811">
            <w:pPr>
              <w:spacing w:before="0" w:after="0"/>
              <w:jc w:val="right"/>
              <w:rPr>
                <w:lang w:val="en-AU"/>
              </w:rPr>
            </w:pPr>
            <w:r w:rsidRPr="00317F08">
              <w:rPr>
                <w:lang w:val="en-AU"/>
              </w:rPr>
              <w:t>100:73</w:t>
            </w:r>
          </w:p>
        </w:tc>
        <w:tc>
          <w:tcPr>
            <w:tcW w:w="1009" w:type="dxa"/>
            <w:shd w:val="clear" w:color="auto" w:fill="auto"/>
          </w:tcPr>
          <w:p w14:paraId="39913D88" w14:textId="77777777" w:rsidR="00C01A50" w:rsidRPr="00317F08" w:rsidRDefault="00C01A50" w:rsidP="00880811">
            <w:pPr>
              <w:spacing w:before="0" w:after="0"/>
              <w:jc w:val="right"/>
              <w:rPr>
                <w:lang w:val="en-AU"/>
              </w:rPr>
            </w:pPr>
            <w:r w:rsidRPr="00317F08">
              <w:rPr>
                <w:lang w:val="en-AU"/>
              </w:rPr>
              <w:t>95:63</w:t>
            </w:r>
          </w:p>
        </w:tc>
        <w:tc>
          <w:tcPr>
            <w:tcW w:w="1009" w:type="dxa"/>
            <w:shd w:val="clear" w:color="auto" w:fill="auto"/>
          </w:tcPr>
          <w:p w14:paraId="13F2684B" w14:textId="77777777" w:rsidR="00C01A50" w:rsidRPr="00317F08" w:rsidRDefault="00C01A50" w:rsidP="00880811">
            <w:pPr>
              <w:spacing w:before="0" w:after="0"/>
              <w:jc w:val="right"/>
              <w:rPr>
                <w:lang w:val="en-AU"/>
              </w:rPr>
            </w:pPr>
            <w:r w:rsidRPr="00317F08">
              <w:rPr>
                <w:lang w:val="en-AU"/>
              </w:rPr>
              <w:t>95:53</w:t>
            </w:r>
          </w:p>
        </w:tc>
        <w:tc>
          <w:tcPr>
            <w:tcW w:w="1080" w:type="dxa"/>
            <w:shd w:val="clear" w:color="auto" w:fill="auto"/>
          </w:tcPr>
          <w:p w14:paraId="5597CF93" w14:textId="77777777" w:rsidR="00C01A50" w:rsidRPr="00317F08" w:rsidRDefault="00C01A50" w:rsidP="00880811">
            <w:pPr>
              <w:spacing w:before="0" w:after="0"/>
              <w:jc w:val="right"/>
              <w:rPr>
                <w:lang w:val="en-AU"/>
              </w:rPr>
            </w:pPr>
            <w:r w:rsidRPr="00317F08">
              <w:rPr>
                <w:lang w:val="en-AU"/>
              </w:rPr>
              <w:t>95:37</w:t>
            </w:r>
          </w:p>
        </w:tc>
        <w:tc>
          <w:tcPr>
            <w:tcW w:w="1009" w:type="dxa"/>
            <w:shd w:val="clear" w:color="auto" w:fill="auto"/>
          </w:tcPr>
          <w:p w14:paraId="3C031B6F" w14:textId="77777777" w:rsidR="00C01A50" w:rsidRPr="00317F08" w:rsidRDefault="00C01A50" w:rsidP="00880811">
            <w:pPr>
              <w:spacing w:before="0" w:after="0"/>
              <w:jc w:val="right"/>
              <w:rPr>
                <w:lang w:val="en-AU"/>
              </w:rPr>
            </w:pPr>
          </w:p>
        </w:tc>
        <w:tc>
          <w:tcPr>
            <w:tcW w:w="1009" w:type="dxa"/>
            <w:shd w:val="clear" w:color="auto" w:fill="auto"/>
          </w:tcPr>
          <w:p w14:paraId="5E4053C7" w14:textId="77777777" w:rsidR="00C01A50" w:rsidRPr="00317F08" w:rsidRDefault="00C01A50" w:rsidP="00880811">
            <w:pPr>
              <w:spacing w:before="0" w:after="0"/>
              <w:jc w:val="right"/>
              <w:rPr>
                <w:lang w:val="en-AU"/>
              </w:rPr>
            </w:pPr>
          </w:p>
        </w:tc>
      </w:tr>
      <w:tr w:rsidR="00C01A50" w:rsidRPr="00317F08" w14:paraId="3DA54288" w14:textId="77777777">
        <w:tc>
          <w:tcPr>
            <w:tcW w:w="2260" w:type="dxa"/>
            <w:shd w:val="clear" w:color="auto" w:fill="auto"/>
          </w:tcPr>
          <w:p w14:paraId="3DC52447" w14:textId="77777777" w:rsidR="00C01A50" w:rsidRPr="00317F08" w:rsidRDefault="00C01A50" w:rsidP="00880811">
            <w:pPr>
              <w:spacing w:before="0" w:after="0"/>
              <w:rPr>
                <w:lang w:val="en-AU"/>
              </w:rPr>
            </w:pPr>
            <w:r w:rsidRPr="00317F08">
              <w:rPr>
                <w:lang w:val="en-AU"/>
              </w:rPr>
              <w:t>Annual Use (GL)</w:t>
            </w:r>
          </w:p>
        </w:tc>
        <w:tc>
          <w:tcPr>
            <w:tcW w:w="1009" w:type="dxa"/>
            <w:shd w:val="clear" w:color="auto" w:fill="auto"/>
          </w:tcPr>
          <w:p w14:paraId="4F0D8ABD" w14:textId="77777777" w:rsidR="00C01A50" w:rsidRPr="00317F08" w:rsidRDefault="00C01A50" w:rsidP="00880811">
            <w:pPr>
              <w:spacing w:before="0" w:after="0"/>
              <w:jc w:val="right"/>
              <w:rPr>
                <w:lang w:val="en-AU"/>
              </w:rPr>
            </w:pPr>
            <w:r w:rsidRPr="00317F08">
              <w:rPr>
                <w:lang w:val="en-AU"/>
              </w:rPr>
              <w:t>830</w:t>
            </w:r>
          </w:p>
        </w:tc>
        <w:tc>
          <w:tcPr>
            <w:tcW w:w="1009" w:type="dxa"/>
            <w:shd w:val="clear" w:color="auto" w:fill="auto"/>
          </w:tcPr>
          <w:p w14:paraId="5590516C" w14:textId="77777777" w:rsidR="00C01A50" w:rsidRPr="00317F08" w:rsidRDefault="00C01A50" w:rsidP="00880811">
            <w:pPr>
              <w:spacing w:before="0" w:after="0"/>
              <w:jc w:val="right"/>
              <w:rPr>
                <w:lang w:val="en-AU"/>
              </w:rPr>
            </w:pPr>
            <w:r w:rsidRPr="00317F08">
              <w:rPr>
                <w:lang w:val="en-AU"/>
              </w:rPr>
              <w:t>941</w:t>
            </w:r>
          </w:p>
        </w:tc>
        <w:tc>
          <w:tcPr>
            <w:tcW w:w="1009" w:type="dxa"/>
            <w:shd w:val="clear" w:color="auto" w:fill="auto"/>
          </w:tcPr>
          <w:p w14:paraId="1C907121" w14:textId="77777777" w:rsidR="00C01A50" w:rsidRPr="00317F08" w:rsidRDefault="00C01A50" w:rsidP="00880811">
            <w:pPr>
              <w:spacing w:before="0" w:after="0"/>
              <w:jc w:val="right"/>
              <w:rPr>
                <w:lang w:val="en-AU"/>
              </w:rPr>
            </w:pPr>
            <w:r w:rsidRPr="00317F08">
              <w:rPr>
                <w:lang w:val="en-AU"/>
              </w:rPr>
              <w:t>699</w:t>
            </w:r>
          </w:p>
        </w:tc>
        <w:tc>
          <w:tcPr>
            <w:tcW w:w="1009" w:type="dxa"/>
            <w:shd w:val="clear" w:color="auto" w:fill="auto"/>
          </w:tcPr>
          <w:p w14:paraId="6C50D11B" w14:textId="77777777" w:rsidR="00C01A50" w:rsidRPr="00317F08" w:rsidRDefault="00C01A50" w:rsidP="00880811">
            <w:pPr>
              <w:spacing w:before="0" w:after="0"/>
              <w:jc w:val="right"/>
              <w:rPr>
                <w:lang w:val="en-AU"/>
              </w:rPr>
            </w:pPr>
            <w:r w:rsidRPr="00317F08">
              <w:rPr>
                <w:lang w:val="en-AU"/>
              </w:rPr>
              <w:t>730</w:t>
            </w:r>
          </w:p>
        </w:tc>
        <w:tc>
          <w:tcPr>
            <w:tcW w:w="1080" w:type="dxa"/>
            <w:shd w:val="clear" w:color="auto" w:fill="auto"/>
          </w:tcPr>
          <w:p w14:paraId="7372FC01" w14:textId="77777777" w:rsidR="00C01A50" w:rsidRPr="00317F08" w:rsidRDefault="00C01A50" w:rsidP="00880811">
            <w:pPr>
              <w:spacing w:before="0" w:after="0"/>
              <w:jc w:val="right"/>
              <w:rPr>
                <w:lang w:val="en-AU"/>
              </w:rPr>
            </w:pPr>
            <w:r w:rsidRPr="00317F08">
              <w:rPr>
                <w:lang w:val="en-AU"/>
              </w:rPr>
              <w:t>526</w:t>
            </w:r>
          </w:p>
        </w:tc>
        <w:tc>
          <w:tcPr>
            <w:tcW w:w="1009" w:type="dxa"/>
            <w:shd w:val="clear" w:color="auto" w:fill="auto"/>
          </w:tcPr>
          <w:p w14:paraId="1D3AB4AB" w14:textId="77777777" w:rsidR="00C01A50" w:rsidRPr="00317F08" w:rsidRDefault="00C01A50" w:rsidP="00880811">
            <w:pPr>
              <w:spacing w:before="0" w:after="0"/>
              <w:jc w:val="right"/>
              <w:rPr>
                <w:lang w:val="en-AU"/>
              </w:rPr>
            </w:pPr>
            <w:r w:rsidRPr="00317F08">
              <w:rPr>
                <w:lang w:val="en-AU"/>
              </w:rPr>
              <w:t>+111</w:t>
            </w:r>
          </w:p>
        </w:tc>
        <w:tc>
          <w:tcPr>
            <w:tcW w:w="1009" w:type="dxa"/>
            <w:shd w:val="clear" w:color="auto" w:fill="auto"/>
          </w:tcPr>
          <w:p w14:paraId="7031B2CC" w14:textId="77777777" w:rsidR="00C01A50" w:rsidRPr="00317F08" w:rsidRDefault="00C01A50" w:rsidP="00880811">
            <w:pPr>
              <w:spacing w:before="0" w:after="0"/>
              <w:jc w:val="right"/>
              <w:rPr>
                <w:lang w:val="en-AU"/>
              </w:rPr>
            </w:pPr>
            <w:r w:rsidRPr="00317F08">
              <w:rPr>
                <w:lang w:val="en-AU"/>
              </w:rPr>
              <w:t>-100</w:t>
            </w:r>
          </w:p>
        </w:tc>
      </w:tr>
      <w:tr w:rsidR="00C01A50" w:rsidRPr="00317F08" w14:paraId="58096C6E" w14:textId="77777777">
        <w:tc>
          <w:tcPr>
            <w:tcW w:w="2260" w:type="dxa"/>
            <w:shd w:val="clear" w:color="auto" w:fill="auto"/>
          </w:tcPr>
          <w:p w14:paraId="07F63027" w14:textId="77777777" w:rsidR="00C01A50" w:rsidRPr="00317F08" w:rsidRDefault="00C01A50" w:rsidP="00880811">
            <w:pPr>
              <w:spacing w:before="0" w:after="0"/>
              <w:rPr>
                <w:lang w:val="en-AU"/>
              </w:rPr>
            </w:pPr>
            <w:r w:rsidRPr="00317F08">
              <w:rPr>
                <w:lang w:val="en-AU"/>
              </w:rPr>
              <w:t>Crop Water Use (%)</w:t>
            </w:r>
          </w:p>
        </w:tc>
        <w:tc>
          <w:tcPr>
            <w:tcW w:w="1009" w:type="dxa"/>
            <w:shd w:val="clear" w:color="auto" w:fill="auto"/>
          </w:tcPr>
          <w:p w14:paraId="0AA20C5B" w14:textId="77777777" w:rsidR="00C01A50" w:rsidRPr="00317F08" w:rsidRDefault="00C01A50" w:rsidP="00880811">
            <w:pPr>
              <w:spacing w:before="0" w:after="0"/>
              <w:jc w:val="right"/>
              <w:rPr>
                <w:lang w:val="en-AU"/>
              </w:rPr>
            </w:pPr>
          </w:p>
        </w:tc>
        <w:tc>
          <w:tcPr>
            <w:tcW w:w="1009" w:type="dxa"/>
            <w:shd w:val="clear" w:color="auto" w:fill="auto"/>
          </w:tcPr>
          <w:p w14:paraId="05C0BDC7" w14:textId="77777777" w:rsidR="00C01A50" w:rsidRPr="00317F08" w:rsidRDefault="00C01A50" w:rsidP="00880811">
            <w:pPr>
              <w:spacing w:before="0" w:after="0"/>
              <w:jc w:val="right"/>
              <w:rPr>
                <w:lang w:val="en-AU"/>
              </w:rPr>
            </w:pPr>
          </w:p>
        </w:tc>
        <w:tc>
          <w:tcPr>
            <w:tcW w:w="1009" w:type="dxa"/>
            <w:shd w:val="clear" w:color="auto" w:fill="auto"/>
          </w:tcPr>
          <w:p w14:paraId="4E3D300B" w14:textId="77777777" w:rsidR="00C01A50" w:rsidRPr="00317F08" w:rsidRDefault="00C01A50" w:rsidP="00880811">
            <w:pPr>
              <w:spacing w:before="0" w:after="0"/>
              <w:jc w:val="right"/>
              <w:rPr>
                <w:lang w:val="en-AU"/>
              </w:rPr>
            </w:pPr>
          </w:p>
        </w:tc>
        <w:tc>
          <w:tcPr>
            <w:tcW w:w="1009" w:type="dxa"/>
            <w:shd w:val="clear" w:color="auto" w:fill="auto"/>
          </w:tcPr>
          <w:p w14:paraId="1C68EB0B" w14:textId="77777777" w:rsidR="00C01A50" w:rsidRPr="00317F08" w:rsidRDefault="00C01A50" w:rsidP="00880811">
            <w:pPr>
              <w:spacing w:before="0" w:after="0"/>
              <w:jc w:val="right"/>
              <w:rPr>
                <w:lang w:val="en-AU"/>
              </w:rPr>
            </w:pPr>
          </w:p>
        </w:tc>
        <w:tc>
          <w:tcPr>
            <w:tcW w:w="1080" w:type="dxa"/>
            <w:shd w:val="clear" w:color="auto" w:fill="auto"/>
          </w:tcPr>
          <w:p w14:paraId="000DBEB2" w14:textId="77777777" w:rsidR="00C01A50" w:rsidRPr="00317F08" w:rsidRDefault="00C01A50" w:rsidP="00880811">
            <w:pPr>
              <w:spacing w:before="0" w:after="0"/>
              <w:jc w:val="right"/>
              <w:rPr>
                <w:lang w:val="en-AU"/>
              </w:rPr>
            </w:pPr>
          </w:p>
        </w:tc>
        <w:tc>
          <w:tcPr>
            <w:tcW w:w="1009" w:type="dxa"/>
            <w:shd w:val="clear" w:color="auto" w:fill="auto"/>
          </w:tcPr>
          <w:p w14:paraId="2A5960E5" w14:textId="77777777" w:rsidR="00C01A50" w:rsidRPr="00317F08" w:rsidRDefault="00C01A50" w:rsidP="00880811">
            <w:pPr>
              <w:spacing w:before="0" w:after="0"/>
              <w:jc w:val="right"/>
              <w:rPr>
                <w:lang w:val="en-AU"/>
              </w:rPr>
            </w:pPr>
          </w:p>
        </w:tc>
        <w:tc>
          <w:tcPr>
            <w:tcW w:w="1009" w:type="dxa"/>
            <w:shd w:val="clear" w:color="auto" w:fill="auto"/>
          </w:tcPr>
          <w:p w14:paraId="41E70DCE" w14:textId="77777777" w:rsidR="00C01A50" w:rsidRPr="00317F08" w:rsidRDefault="00C01A50" w:rsidP="00880811">
            <w:pPr>
              <w:spacing w:before="0" w:after="0"/>
              <w:jc w:val="right"/>
              <w:rPr>
                <w:lang w:val="en-AU"/>
              </w:rPr>
            </w:pPr>
          </w:p>
        </w:tc>
      </w:tr>
      <w:tr w:rsidR="00C01A50" w:rsidRPr="00317F08" w14:paraId="64C9A7EE" w14:textId="77777777">
        <w:tc>
          <w:tcPr>
            <w:tcW w:w="2260" w:type="dxa"/>
            <w:shd w:val="clear" w:color="auto" w:fill="auto"/>
          </w:tcPr>
          <w:p w14:paraId="7C919492" w14:textId="77777777" w:rsidR="00C01A50" w:rsidRPr="00317F08" w:rsidRDefault="00C01A50" w:rsidP="002939B3">
            <w:pPr>
              <w:numPr>
                <w:ilvl w:val="0"/>
                <w:numId w:val="8"/>
              </w:numPr>
              <w:spacing w:before="0" w:after="0"/>
              <w:rPr>
                <w:lang w:val="en-AU"/>
              </w:rPr>
            </w:pPr>
            <w:r w:rsidRPr="00317F08">
              <w:rPr>
                <w:lang w:val="en-AU"/>
              </w:rPr>
              <w:t>rice</w:t>
            </w:r>
          </w:p>
        </w:tc>
        <w:tc>
          <w:tcPr>
            <w:tcW w:w="1009" w:type="dxa"/>
            <w:shd w:val="clear" w:color="auto" w:fill="auto"/>
          </w:tcPr>
          <w:p w14:paraId="77FD925B" w14:textId="77777777" w:rsidR="00C01A50" w:rsidRPr="00317F08" w:rsidRDefault="00C01A50" w:rsidP="00880811">
            <w:pPr>
              <w:spacing w:before="0" w:after="0"/>
              <w:jc w:val="right"/>
              <w:rPr>
                <w:lang w:val="en-AU"/>
              </w:rPr>
            </w:pPr>
            <w:r w:rsidRPr="00317F08">
              <w:rPr>
                <w:lang w:val="en-AU"/>
              </w:rPr>
              <w:t>43</w:t>
            </w:r>
          </w:p>
        </w:tc>
        <w:tc>
          <w:tcPr>
            <w:tcW w:w="1009" w:type="dxa"/>
            <w:shd w:val="clear" w:color="auto" w:fill="auto"/>
          </w:tcPr>
          <w:p w14:paraId="55E4ADDC" w14:textId="77777777" w:rsidR="00C01A50" w:rsidRPr="00317F08" w:rsidRDefault="00C01A50" w:rsidP="00880811">
            <w:pPr>
              <w:spacing w:before="0" w:after="0"/>
              <w:jc w:val="right"/>
              <w:rPr>
                <w:lang w:val="en-AU"/>
              </w:rPr>
            </w:pPr>
            <w:r w:rsidRPr="00317F08">
              <w:rPr>
                <w:lang w:val="en-AU"/>
              </w:rPr>
              <w:t>39</w:t>
            </w:r>
          </w:p>
        </w:tc>
        <w:tc>
          <w:tcPr>
            <w:tcW w:w="1009" w:type="dxa"/>
            <w:shd w:val="clear" w:color="auto" w:fill="auto"/>
          </w:tcPr>
          <w:p w14:paraId="40EEB40D" w14:textId="77777777" w:rsidR="00C01A50" w:rsidRPr="00317F08" w:rsidRDefault="00C01A50" w:rsidP="00880811">
            <w:pPr>
              <w:spacing w:before="0" w:after="0"/>
              <w:jc w:val="right"/>
              <w:rPr>
                <w:lang w:val="en-AU"/>
              </w:rPr>
            </w:pPr>
            <w:r w:rsidRPr="00317F08">
              <w:rPr>
                <w:lang w:val="en-AU"/>
              </w:rPr>
              <w:t>34</w:t>
            </w:r>
          </w:p>
        </w:tc>
        <w:tc>
          <w:tcPr>
            <w:tcW w:w="1009" w:type="dxa"/>
            <w:shd w:val="clear" w:color="auto" w:fill="auto"/>
          </w:tcPr>
          <w:p w14:paraId="207E3C7A" w14:textId="77777777" w:rsidR="00C01A50" w:rsidRPr="00317F08" w:rsidRDefault="00C01A50" w:rsidP="00880811">
            <w:pPr>
              <w:spacing w:before="0" w:after="0"/>
              <w:jc w:val="right"/>
              <w:rPr>
                <w:lang w:val="en-AU"/>
              </w:rPr>
            </w:pPr>
            <w:r w:rsidRPr="00317F08">
              <w:rPr>
                <w:lang w:val="en-AU"/>
              </w:rPr>
              <w:t>35</w:t>
            </w:r>
          </w:p>
        </w:tc>
        <w:tc>
          <w:tcPr>
            <w:tcW w:w="1080" w:type="dxa"/>
            <w:shd w:val="clear" w:color="auto" w:fill="auto"/>
          </w:tcPr>
          <w:p w14:paraId="25E2E16C" w14:textId="77777777" w:rsidR="00C01A50" w:rsidRPr="00317F08" w:rsidRDefault="00C01A50" w:rsidP="00880811">
            <w:pPr>
              <w:spacing w:before="0" w:after="0"/>
              <w:jc w:val="right"/>
              <w:rPr>
                <w:lang w:val="en-AU"/>
              </w:rPr>
            </w:pPr>
            <w:r w:rsidRPr="00317F08">
              <w:rPr>
                <w:lang w:val="en-AU"/>
              </w:rPr>
              <w:t>26</w:t>
            </w:r>
          </w:p>
        </w:tc>
        <w:tc>
          <w:tcPr>
            <w:tcW w:w="1009" w:type="dxa"/>
            <w:shd w:val="clear" w:color="auto" w:fill="auto"/>
          </w:tcPr>
          <w:p w14:paraId="0BEEC28E" w14:textId="77777777" w:rsidR="00C01A50" w:rsidRPr="00317F08" w:rsidRDefault="00C01A50" w:rsidP="00880811">
            <w:pPr>
              <w:spacing w:before="0" w:after="0"/>
              <w:jc w:val="right"/>
              <w:rPr>
                <w:lang w:val="en-AU"/>
              </w:rPr>
            </w:pPr>
            <w:r w:rsidRPr="00317F08">
              <w:rPr>
                <w:lang w:val="en-AU"/>
              </w:rPr>
              <w:t>-4</w:t>
            </w:r>
          </w:p>
        </w:tc>
        <w:tc>
          <w:tcPr>
            <w:tcW w:w="1009" w:type="dxa"/>
            <w:shd w:val="clear" w:color="auto" w:fill="auto"/>
          </w:tcPr>
          <w:p w14:paraId="61AA7EA7" w14:textId="77777777" w:rsidR="00C01A50" w:rsidRPr="00317F08" w:rsidRDefault="00C01A50" w:rsidP="00880811">
            <w:pPr>
              <w:spacing w:before="0" w:after="0"/>
              <w:jc w:val="right"/>
              <w:rPr>
                <w:lang w:val="en-AU"/>
              </w:rPr>
            </w:pPr>
            <w:r w:rsidRPr="00317F08">
              <w:rPr>
                <w:lang w:val="en-AU"/>
              </w:rPr>
              <w:t>-8</w:t>
            </w:r>
          </w:p>
        </w:tc>
      </w:tr>
      <w:tr w:rsidR="00C01A50" w:rsidRPr="00317F08" w14:paraId="5119ADEC" w14:textId="77777777">
        <w:tc>
          <w:tcPr>
            <w:tcW w:w="2260" w:type="dxa"/>
            <w:shd w:val="clear" w:color="auto" w:fill="auto"/>
          </w:tcPr>
          <w:p w14:paraId="273C3871" w14:textId="77777777" w:rsidR="00C01A50" w:rsidRPr="00317F08" w:rsidRDefault="00C01A50" w:rsidP="002939B3">
            <w:pPr>
              <w:numPr>
                <w:ilvl w:val="0"/>
                <w:numId w:val="8"/>
              </w:numPr>
              <w:spacing w:before="0" w:after="0"/>
              <w:rPr>
                <w:lang w:val="en-AU"/>
              </w:rPr>
            </w:pPr>
            <w:r w:rsidRPr="00317F08">
              <w:rPr>
                <w:lang w:val="en-AU"/>
              </w:rPr>
              <w:t>pasture</w:t>
            </w:r>
          </w:p>
        </w:tc>
        <w:tc>
          <w:tcPr>
            <w:tcW w:w="1009" w:type="dxa"/>
            <w:shd w:val="clear" w:color="auto" w:fill="auto"/>
          </w:tcPr>
          <w:p w14:paraId="4C4E1EDE" w14:textId="77777777" w:rsidR="00C01A50" w:rsidRPr="00317F08" w:rsidRDefault="00C01A50" w:rsidP="00880811">
            <w:pPr>
              <w:spacing w:before="0" w:after="0"/>
              <w:jc w:val="right"/>
              <w:rPr>
                <w:lang w:val="en-AU"/>
              </w:rPr>
            </w:pPr>
            <w:r w:rsidRPr="00317F08">
              <w:rPr>
                <w:lang w:val="en-AU"/>
              </w:rPr>
              <w:t>8</w:t>
            </w:r>
          </w:p>
        </w:tc>
        <w:tc>
          <w:tcPr>
            <w:tcW w:w="1009" w:type="dxa"/>
            <w:shd w:val="clear" w:color="auto" w:fill="auto"/>
          </w:tcPr>
          <w:p w14:paraId="6C02FFFD" w14:textId="77777777" w:rsidR="00C01A50" w:rsidRPr="00317F08" w:rsidRDefault="00C01A50" w:rsidP="00880811">
            <w:pPr>
              <w:spacing w:before="0" w:after="0"/>
              <w:jc w:val="right"/>
              <w:rPr>
                <w:lang w:val="en-AU"/>
              </w:rPr>
            </w:pPr>
            <w:r w:rsidRPr="00317F08">
              <w:rPr>
                <w:lang w:val="en-AU"/>
              </w:rPr>
              <w:t>5</w:t>
            </w:r>
          </w:p>
        </w:tc>
        <w:tc>
          <w:tcPr>
            <w:tcW w:w="1009" w:type="dxa"/>
            <w:shd w:val="clear" w:color="auto" w:fill="auto"/>
          </w:tcPr>
          <w:p w14:paraId="4A2388D7" w14:textId="77777777" w:rsidR="00C01A50" w:rsidRPr="00317F08" w:rsidRDefault="00C01A50" w:rsidP="00880811">
            <w:pPr>
              <w:spacing w:before="0" w:after="0"/>
              <w:jc w:val="right"/>
              <w:rPr>
                <w:lang w:val="en-AU"/>
              </w:rPr>
            </w:pPr>
            <w:r w:rsidRPr="00317F08">
              <w:rPr>
                <w:lang w:val="en-AU"/>
              </w:rPr>
              <w:t>4</w:t>
            </w:r>
          </w:p>
        </w:tc>
        <w:tc>
          <w:tcPr>
            <w:tcW w:w="1009" w:type="dxa"/>
            <w:shd w:val="clear" w:color="auto" w:fill="auto"/>
          </w:tcPr>
          <w:p w14:paraId="50458ABA" w14:textId="77777777" w:rsidR="00C01A50" w:rsidRPr="00317F08" w:rsidRDefault="00C01A50" w:rsidP="00880811">
            <w:pPr>
              <w:spacing w:before="0" w:after="0"/>
              <w:jc w:val="right"/>
              <w:rPr>
                <w:lang w:val="en-AU"/>
              </w:rPr>
            </w:pPr>
            <w:r w:rsidRPr="00317F08">
              <w:rPr>
                <w:lang w:val="en-AU"/>
              </w:rPr>
              <w:t>4</w:t>
            </w:r>
          </w:p>
        </w:tc>
        <w:tc>
          <w:tcPr>
            <w:tcW w:w="1080" w:type="dxa"/>
            <w:shd w:val="clear" w:color="auto" w:fill="auto"/>
          </w:tcPr>
          <w:p w14:paraId="16E7ED9F" w14:textId="77777777" w:rsidR="00C01A50" w:rsidRPr="00317F08" w:rsidRDefault="00C01A50" w:rsidP="00880811">
            <w:pPr>
              <w:spacing w:before="0" w:after="0"/>
              <w:jc w:val="right"/>
              <w:rPr>
                <w:lang w:val="en-AU"/>
              </w:rPr>
            </w:pPr>
            <w:r w:rsidRPr="00317F08">
              <w:rPr>
                <w:lang w:val="en-AU"/>
              </w:rPr>
              <w:t>2</w:t>
            </w:r>
          </w:p>
        </w:tc>
        <w:tc>
          <w:tcPr>
            <w:tcW w:w="1009" w:type="dxa"/>
            <w:shd w:val="clear" w:color="auto" w:fill="auto"/>
          </w:tcPr>
          <w:p w14:paraId="5A939D64" w14:textId="77777777" w:rsidR="00C01A50" w:rsidRPr="00317F08" w:rsidRDefault="00C01A50" w:rsidP="00880811">
            <w:pPr>
              <w:spacing w:before="0" w:after="0"/>
              <w:jc w:val="right"/>
              <w:rPr>
                <w:lang w:val="en-AU"/>
              </w:rPr>
            </w:pPr>
            <w:r w:rsidRPr="00317F08">
              <w:rPr>
                <w:lang w:val="en-AU"/>
              </w:rPr>
              <w:t>-3</w:t>
            </w:r>
          </w:p>
        </w:tc>
        <w:tc>
          <w:tcPr>
            <w:tcW w:w="1009" w:type="dxa"/>
            <w:shd w:val="clear" w:color="auto" w:fill="auto"/>
          </w:tcPr>
          <w:p w14:paraId="6C09DABE" w14:textId="77777777" w:rsidR="00C01A50" w:rsidRPr="00317F08" w:rsidRDefault="00C01A50" w:rsidP="00880811">
            <w:pPr>
              <w:spacing w:before="0" w:after="0"/>
              <w:jc w:val="right"/>
              <w:rPr>
                <w:lang w:val="en-AU"/>
              </w:rPr>
            </w:pPr>
            <w:r w:rsidRPr="00317F08">
              <w:rPr>
                <w:lang w:val="en-AU"/>
              </w:rPr>
              <w:t>-4</w:t>
            </w:r>
          </w:p>
        </w:tc>
      </w:tr>
      <w:tr w:rsidR="00C01A50" w:rsidRPr="00317F08" w14:paraId="599506E8" w14:textId="77777777">
        <w:tc>
          <w:tcPr>
            <w:tcW w:w="2260" w:type="dxa"/>
            <w:shd w:val="clear" w:color="auto" w:fill="auto"/>
          </w:tcPr>
          <w:p w14:paraId="61321D29" w14:textId="77777777" w:rsidR="00C01A50" w:rsidRPr="00317F08" w:rsidRDefault="00C01A50" w:rsidP="002939B3">
            <w:pPr>
              <w:numPr>
                <w:ilvl w:val="0"/>
                <w:numId w:val="8"/>
              </w:numPr>
              <w:spacing w:before="0" w:after="0"/>
              <w:rPr>
                <w:lang w:val="en-AU"/>
              </w:rPr>
            </w:pPr>
            <w:r w:rsidRPr="00317F08">
              <w:rPr>
                <w:lang w:val="en-AU"/>
              </w:rPr>
              <w:t>cereal /oilseed</w:t>
            </w:r>
          </w:p>
        </w:tc>
        <w:tc>
          <w:tcPr>
            <w:tcW w:w="1009" w:type="dxa"/>
            <w:shd w:val="clear" w:color="auto" w:fill="auto"/>
          </w:tcPr>
          <w:p w14:paraId="5A959359" w14:textId="77777777" w:rsidR="00C01A50" w:rsidRPr="00317F08" w:rsidRDefault="00C01A50" w:rsidP="00880811">
            <w:pPr>
              <w:spacing w:before="0" w:after="0"/>
              <w:jc w:val="right"/>
              <w:rPr>
                <w:lang w:val="en-AU"/>
              </w:rPr>
            </w:pPr>
            <w:r w:rsidRPr="00317F08">
              <w:rPr>
                <w:lang w:val="en-AU"/>
              </w:rPr>
              <w:t>22</w:t>
            </w:r>
          </w:p>
        </w:tc>
        <w:tc>
          <w:tcPr>
            <w:tcW w:w="1009" w:type="dxa"/>
            <w:shd w:val="clear" w:color="auto" w:fill="auto"/>
          </w:tcPr>
          <w:p w14:paraId="374294ED" w14:textId="77777777" w:rsidR="00C01A50" w:rsidRPr="00317F08" w:rsidRDefault="00C01A50" w:rsidP="00880811">
            <w:pPr>
              <w:spacing w:before="0" w:after="0"/>
              <w:jc w:val="right"/>
              <w:rPr>
                <w:lang w:val="en-AU"/>
              </w:rPr>
            </w:pPr>
            <w:r w:rsidRPr="00317F08">
              <w:rPr>
                <w:lang w:val="en-AU"/>
              </w:rPr>
              <w:t>24</w:t>
            </w:r>
          </w:p>
        </w:tc>
        <w:tc>
          <w:tcPr>
            <w:tcW w:w="1009" w:type="dxa"/>
            <w:shd w:val="clear" w:color="auto" w:fill="auto"/>
          </w:tcPr>
          <w:p w14:paraId="1058088A" w14:textId="77777777" w:rsidR="00C01A50" w:rsidRPr="00317F08" w:rsidRDefault="00C01A50" w:rsidP="00880811">
            <w:pPr>
              <w:spacing w:before="0" w:after="0"/>
              <w:jc w:val="right"/>
              <w:rPr>
                <w:lang w:val="en-AU"/>
              </w:rPr>
            </w:pPr>
            <w:r w:rsidRPr="00317F08">
              <w:rPr>
                <w:lang w:val="en-AU"/>
              </w:rPr>
              <w:t>24</w:t>
            </w:r>
          </w:p>
        </w:tc>
        <w:tc>
          <w:tcPr>
            <w:tcW w:w="1009" w:type="dxa"/>
            <w:shd w:val="clear" w:color="auto" w:fill="auto"/>
          </w:tcPr>
          <w:p w14:paraId="1C4C51B4" w14:textId="77777777" w:rsidR="00C01A50" w:rsidRPr="00317F08" w:rsidRDefault="00C01A50" w:rsidP="00880811">
            <w:pPr>
              <w:spacing w:before="0" w:after="0"/>
              <w:jc w:val="right"/>
              <w:rPr>
                <w:lang w:val="en-AU"/>
              </w:rPr>
            </w:pPr>
            <w:r w:rsidRPr="00317F08">
              <w:rPr>
                <w:lang w:val="en-AU"/>
              </w:rPr>
              <w:t>24</w:t>
            </w:r>
          </w:p>
        </w:tc>
        <w:tc>
          <w:tcPr>
            <w:tcW w:w="1080" w:type="dxa"/>
            <w:shd w:val="clear" w:color="auto" w:fill="auto"/>
          </w:tcPr>
          <w:p w14:paraId="36E72961" w14:textId="77777777" w:rsidR="00C01A50" w:rsidRPr="00317F08" w:rsidRDefault="00C01A50" w:rsidP="00880811">
            <w:pPr>
              <w:spacing w:before="0" w:after="0"/>
              <w:jc w:val="right"/>
              <w:rPr>
                <w:lang w:val="en-AU"/>
              </w:rPr>
            </w:pPr>
            <w:r w:rsidRPr="00317F08">
              <w:rPr>
                <w:lang w:val="en-AU"/>
              </w:rPr>
              <w:t>18</w:t>
            </w:r>
          </w:p>
        </w:tc>
        <w:tc>
          <w:tcPr>
            <w:tcW w:w="1009" w:type="dxa"/>
            <w:shd w:val="clear" w:color="auto" w:fill="auto"/>
          </w:tcPr>
          <w:p w14:paraId="5D2B308C" w14:textId="77777777" w:rsidR="00C01A50" w:rsidRPr="00317F08" w:rsidRDefault="00C01A50" w:rsidP="00880811">
            <w:pPr>
              <w:spacing w:before="0" w:after="0"/>
              <w:jc w:val="right"/>
              <w:rPr>
                <w:lang w:val="en-AU"/>
              </w:rPr>
            </w:pPr>
            <w:r w:rsidRPr="00317F08">
              <w:rPr>
                <w:lang w:val="en-AU"/>
              </w:rPr>
              <w:t>+2</w:t>
            </w:r>
          </w:p>
        </w:tc>
        <w:tc>
          <w:tcPr>
            <w:tcW w:w="1009" w:type="dxa"/>
            <w:shd w:val="clear" w:color="auto" w:fill="auto"/>
          </w:tcPr>
          <w:p w14:paraId="5CF2618B" w14:textId="77777777" w:rsidR="00C01A50" w:rsidRPr="00317F08" w:rsidRDefault="00C01A50" w:rsidP="00880811">
            <w:pPr>
              <w:spacing w:before="0" w:after="0"/>
              <w:jc w:val="right"/>
              <w:rPr>
                <w:lang w:val="en-AU"/>
              </w:rPr>
            </w:pPr>
            <w:r w:rsidRPr="00317F08">
              <w:rPr>
                <w:lang w:val="en-AU"/>
              </w:rPr>
              <w:t>+2</w:t>
            </w:r>
          </w:p>
        </w:tc>
      </w:tr>
      <w:tr w:rsidR="00C01A50" w:rsidRPr="00317F08" w14:paraId="26B83CB2" w14:textId="77777777">
        <w:tc>
          <w:tcPr>
            <w:tcW w:w="2260" w:type="dxa"/>
            <w:shd w:val="clear" w:color="auto" w:fill="auto"/>
          </w:tcPr>
          <w:p w14:paraId="4536E452" w14:textId="77777777" w:rsidR="00C01A50" w:rsidRPr="00317F08" w:rsidRDefault="00C01A50" w:rsidP="002939B3">
            <w:pPr>
              <w:numPr>
                <w:ilvl w:val="0"/>
                <w:numId w:val="8"/>
              </w:numPr>
              <w:spacing w:before="0" w:after="0"/>
              <w:rPr>
                <w:lang w:val="en-AU"/>
              </w:rPr>
            </w:pPr>
            <w:r w:rsidRPr="00317F08">
              <w:rPr>
                <w:lang w:val="en-AU"/>
              </w:rPr>
              <w:t>vegetables</w:t>
            </w:r>
          </w:p>
        </w:tc>
        <w:tc>
          <w:tcPr>
            <w:tcW w:w="1009" w:type="dxa"/>
            <w:shd w:val="clear" w:color="auto" w:fill="auto"/>
          </w:tcPr>
          <w:p w14:paraId="65E20929" w14:textId="77777777" w:rsidR="00C01A50" w:rsidRPr="00317F08" w:rsidRDefault="00C01A50" w:rsidP="00880811">
            <w:pPr>
              <w:spacing w:before="0" w:after="0"/>
              <w:jc w:val="right"/>
              <w:rPr>
                <w:lang w:val="en-AU"/>
              </w:rPr>
            </w:pPr>
            <w:r w:rsidRPr="00317F08">
              <w:rPr>
                <w:lang w:val="en-AU"/>
              </w:rPr>
              <w:t>3</w:t>
            </w:r>
          </w:p>
        </w:tc>
        <w:tc>
          <w:tcPr>
            <w:tcW w:w="1009" w:type="dxa"/>
            <w:shd w:val="clear" w:color="auto" w:fill="auto"/>
          </w:tcPr>
          <w:p w14:paraId="2B864EE6" w14:textId="77777777" w:rsidR="00C01A50" w:rsidRPr="00317F08" w:rsidRDefault="00C01A50" w:rsidP="00880811">
            <w:pPr>
              <w:spacing w:before="0" w:after="0"/>
              <w:jc w:val="right"/>
              <w:rPr>
                <w:lang w:val="en-AU"/>
              </w:rPr>
            </w:pPr>
            <w:r w:rsidRPr="00317F08">
              <w:rPr>
                <w:lang w:val="en-AU"/>
              </w:rPr>
              <w:t>2</w:t>
            </w:r>
          </w:p>
        </w:tc>
        <w:tc>
          <w:tcPr>
            <w:tcW w:w="1009" w:type="dxa"/>
            <w:shd w:val="clear" w:color="auto" w:fill="auto"/>
          </w:tcPr>
          <w:p w14:paraId="5A8DA1B3" w14:textId="77777777" w:rsidR="00C01A50" w:rsidRPr="00317F08" w:rsidRDefault="00C01A50" w:rsidP="00880811">
            <w:pPr>
              <w:spacing w:before="0" w:after="0"/>
              <w:jc w:val="right"/>
              <w:rPr>
                <w:lang w:val="en-AU"/>
              </w:rPr>
            </w:pPr>
            <w:r w:rsidRPr="00317F08">
              <w:rPr>
                <w:lang w:val="en-AU"/>
              </w:rPr>
              <w:t>3</w:t>
            </w:r>
          </w:p>
        </w:tc>
        <w:tc>
          <w:tcPr>
            <w:tcW w:w="1009" w:type="dxa"/>
            <w:shd w:val="clear" w:color="auto" w:fill="auto"/>
          </w:tcPr>
          <w:p w14:paraId="06812932" w14:textId="77777777" w:rsidR="00C01A50" w:rsidRPr="00317F08" w:rsidRDefault="00C01A50" w:rsidP="00880811">
            <w:pPr>
              <w:spacing w:before="0" w:after="0"/>
              <w:jc w:val="right"/>
              <w:rPr>
                <w:lang w:val="en-AU"/>
              </w:rPr>
            </w:pPr>
            <w:r w:rsidRPr="00317F08">
              <w:rPr>
                <w:lang w:val="en-AU"/>
              </w:rPr>
              <w:t>2</w:t>
            </w:r>
          </w:p>
        </w:tc>
        <w:tc>
          <w:tcPr>
            <w:tcW w:w="1080" w:type="dxa"/>
            <w:shd w:val="clear" w:color="auto" w:fill="auto"/>
          </w:tcPr>
          <w:p w14:paraId="24161C7C" w14:textId="77777777" w:rsidR="00C01A50" w:rsidRPr="00317F08" w:rsidRDefault="00C01A50" w:rsidP="00880811">
            <w:pPr>
              <w:spacing w:before="0" w:after="0"/>
              <w:jc w:val="right"/>
              <w:rPr>
                <w:lang w:val="en-AU"/>
              </w:rPr>
            </w:pPr>
            <w:r w:rsidRPr="00317F08">
              <w:rPr>
                <w:lang w:val="en-AU"/>
              </w:rPr>
              <w:t>2</w:t>
            </w:r>
          </w:p>
        </w:tc>
        <w:tc>
          <w:tcPr>
            <w:tcW w:w="1009" w:type="dxa"/>
            <w:shd w:val="clear" w:color="auto" w:fill="auto"/>
          </w:tcPr>
          <w:p w14:paraId="7F4F9929" w14:textId="77777777" w:rsidR="00C01A50" w:rsidRPr="00317F08" w:rsidRDefault="00C01A50" w:rsidP="00880811">
            <w:pPr>
              <w:spacing w:before="0" w:after="0"/>
              <w:jc w:val="right"/>
              <w:rPr>
                <w:lang w:val="en-AU"/>
              </w:rPr>
            </w:pPr>
            <w:r w:rsidRPr="00317F08">
              <w:rPr>
                <w:lang w:val="en-AU"/>
              </w:rPr>
              <w:t>-1</w:t>
            </w:r>
          </w:p>
        </w:tc>
        <w:tc>
          <w:tcPr>
            <w:tcW w:w="1009" w:type="dxa"/>
            <w:shd w:val="clear" w:color="auto" w:fill="auto"/>
          </w:tcPr>
          <w:p w14:paraId="2BB3AB1D" w14:textId="77777777" w:rsidR="00C01A50" w:rsidRPr="00317F08" w:rsidRDefault="00C01A50" w:rsidP="00880811">
            <w:pPr>
              <w:spacing w:before="0" w:after="0"/>
              <w:jc w:val="right"/>
              <w:rPr>
                <w:lang w:val="en-AU"/>
              </w:rPr>
            </w:pPr>
            <w:r w:rsidRPr="00317F08">
              <w:rPr>
                <w:lang w:val="en-AU"/>
              </w:rPr>
              <w:t>-1</w:t>
            </w:r>
          </w:p>
        </w:tc>
      </w:tr>
      <w:tr w:rsidR="00C01A50" w:rsidRPr="00317F08" w14:paraId="44969D56" w14:textId="77777777">
        <w:tc>
          <w:tcPr>
            <w:tcW w:w="2260" w:type="dxa"/>
            <w:shd w:val="clear" w:color="auto" w:fill="auto"/>
          </w:tcPr>
          <w:p w14:paraId="04FD453F" w14:textId="77777777" w:rsidR="00C01A50" w:rsidRPr="00317F08" w:rsidRDefault="00C01A50" w:rsidP="002939B3">
            <w:pPr>
              <w:numPr>
                <w:ilvl w:val="0"/>
                <w:numId w:val="8"/>
              </w:numPr>
              <w:spacing w:before="0" w:after="0"/>
              <w:rPr>
                <w:lang w:val="en-AU"/>
              </w:rPr>
            </w:pPr>
            <w:r w:rsidRPr="00317F08">
              <w:rPr>
                <w:lang w:val="en-AU"/>
              </w:rPr>
              <w:t>cotton</w:t>
            </w:r>
          </w:p>
        </w:tc>
        <w:tc>
          <w:tcPr>
            <w:tcW w:w="1009" w:type="dxa"/>
            <w:shd w:val="clear" w:color="auto" w:fill="auto"/>
          </w:tcPr>
          <w:p w14:paraId="0356276E" w14:textId="77777777" w:rsidR="00C01A50" w:rsidRPr="00317F08" w:rsidRDefault="00C01A50" w:rsidP="00880811">
            <w:pPr>
              <w:spacing w:before="0" w:after="0"/>
              <w:jc w:val="right"/>
              <w:rPr>
                <w:lang w:val="en-AU"/>
              </w:rPr>
            </w:pPr>
            <w:r w:rsidRPr="00317F08">
              <w:rPr>
                <w:lang w:val="en-AU"/>
              </w:rPr>
              <w:t>0</w:t>
            </w:r>
          </w:p>
        </w:tc>
        <w:tc>
          <w:tcPr>
            <w:tcW w:w="1009" w:type="dxa"/>
            <w:shd w:val="clear" w:color="auto" w:fill="auto"/>
          </w:tcPr>
          <w:p w14:paraId="1B335A84" w14:textId="77777777" w:rsidR="00C01A50" w:rsidRPr="00317F08" w:rsidRDefault="00C01A50" w:rsidP="00880811">
            <w:pPr>
              <w:spacing w:before="0" w:after="0"/>
              <w:jc w:val="right"/>
              <w:rPr>
                <w:lang w:val="en-AU"/>
              </w:rPr>
            </w:pPr>
            <w:r w:rsidRPr="00317F08">
              <w:rPr>
                <w:lang w:val="en-AU"/>
              </w:rPr>
              <w:t>9</w:t>
            </w:r>
          </w:p>
        </w:tc>
        <w:tc>
          <w:tcPr>
            <w:tcW w:w="1009" w:type="dxa"/>
            <w:shd w:val="clear" w:color="auto" w:fill="auto"/>
          </w:tcPr>
          <w:p w14:paraId="1C242C3C" w14:textId="77777777" w:rsidR="00C01A50" w:rsidRPr="00317F08" w:rsidRDefault="00C01A50" w:rsidP="00880811">
            <w:pPr>
              <w:spacing w:before="0" w:after="0"/>
              <w:jc w:val="right"/>
              <w:rPr>
                <w:lang w:val="en-AU"/>
              </w:rPr>
            </w:pPr>
            <w:r w:rsidRPr="00317F08">
              <w:rPr>
                <w:lang w:val="en-AU"/>
              </w:rPr>
              <w:t>10</w:t>
            </w:r>
          </w:p>
        </w:tc>
        <w:tc>
          <w:tcPr>
            <w:tcW w:w="1009" w:type="dxa"/>
            <w:shd w:val="clear" w:color="auto" w:fill="auto"/>
          </w:tcPr>
          <w:p w14:paraId="32C1A8B4" w14:textId="77777777" w:rsidR="00C01A50" w:rsidRPr="00317F08" w:rsidRDefault="00C01A50" w:rsidP="00880811">
            <w:pPr>
              <w:spacing w:before="0" w:after="0"/>
              <w:jc w:val="right"/>
              <w:rPr>
                <w:lang w:val="en-AU"/>
              </w:rPr>
            </w:pPr>
            <w:r w:rsidRPr="00317F08">
              <w:rPr>
                <w:lang w:val="en-AU"/>
              </w:rPr>
              <w:t>8</w:t>
            </w:r>
          </w:p>
        </w:tc>
        <w:tc>
          <w:tcPr>
            <w:tcW w:w="1080" w:type="dxa"/>
            <w:shd w:val="clear" w:color="auto" w:fill="auto"/>
          </w:tcPr>
          <w:p w14:paraId="4A71CFFD" w14:textId="77777777" w:rsidR="00C01A50" w:rsidRPr="00317F08" w:rsidRDefault="00C01A50" w:rsidP="00880811">
            <w:pPr>
              <w:spacing w:before="0" w:after="0"/>
              <w:jc w:val="right"/>
              <w:rPr>
                <w:lang w:val="en-AU"/>
              </w:rPr>
            </w:pPr>
            <w:r w:rsidRPr="00317F08">
              <w:rPr>
                <w:lang w:val="en-AU"/>
              </w:rPr>
              <w:t>15</w:t>
            </w:r>
          </w:p>
        </w:tc>
        <w:tc>
          <w:tcPr>
            <w:tcW w:w="1009" w:type="dxa"/>
            <w:shd w:val="clear" w:color="auto" w:fill="auto"/>
          </w:tcPr>
          <w:p w14:paraId="0B450B82" w14:textId="77777777" w:rsidR="00C01A50" w:rsidRPr="00317F08" w:rsidRDefault="00C01A50" w:rsidP="00880811">
            <w:pPr>
              <w:spacing w:before="0" w:after="0"/>
              <w:jc w:val="right"/>
              <w:rPr>
                <w:lang w:val="en-AU"/>
              </w:rPr>
            </w:pPr>
            <w:r w:rsidRPr="00317F08">
              <w:rPr>
                <w:lang w:val="en-AU"/>
              </w:rPr>
              <w:t>+9</w:t>
            </w:r>
          </w:p>
        </w:tc>
        <w:tc>
          <w:tcPr>
            <w:tcW w:w="1009" w:type="dxa"/>
            <w:shd w:val="clear" w:color="auto" w:fill="auto"/>
          </w:tcPr>
          <w:p w14:paraId="72D73199" w14:textId="77777777" w:rsidR="00C01A50" w:rsidRPr="00317F08" w:rsidRDefault="00C01A50" w:rsidP="00880811">
            <w:pPr>
              <w:spacing w:before="0" w:after="0"/>
              <w:jc w:val="right"/>
              <w:rPr>
                <w:lang w:val="en-AU"/>
              </w:rPr>
            </w:pPr>
            <w:r w:rsidRPr="00317F08">
              <w:rPr>
                <w:lang w:val="en-AU"/>
              </w:rPr>
              <w:t>-+8</w:t>
            </w:r>
          </w:p>
        </w:tc>
      </w:tr>
      <w:tr w:rsidR="00C01A50" w:rsidRPr="00317F08" w14:paraId="63FB7260" w14:textId="77777777">
        <w:tc>
          <w:tcPr>
            <w:tcW w:w="2260" w:type="dxa"/>
            <w:shd w:val="clear" w:color="auto" w:fill="auto"/>
          </w:tcPr>
          <w:p w14:paraId="611ED5AA" w14:textId="77777777" w:rsidR="00C01A50" w:rsidRPr="00317F08" w:rsidRDefault="00C01A50" w:rsidP="002939B3">
            <w:pPr>
              <w:numPr>
                <w:ilvl w:val="0"/>
                <w:numId w:val="8"/>
              </w:numPr>
              <w:spacing w:before="0" w:after="0"/>
              <w:rPr>
                <w:lang w:val="en-AU"/>
              </w:rPr>
            </w:pPr>
            <w:r w:rsidRPr="00317F08">
              <w:rPr>
                <w:lang w:val="en-AU"/>
              </w:rPr>
              <w:t>citrus / vines</w:t>
            </w:r>
          </w:p>
        </w:tc>
        <w:tc>
          <w:tcPr>
            <w:tcW w:w="1009" w:type="dxa"/>
            <w:shd w:val="clear" w:color="auto" w:fill="auto"/>
          </w:tcPr>
          <w:p w14:paraId="76F7CA66" w14:textId="77777777" w:rsidR="00C01A50" w:rsidRPr="00317F08" w:rsidRDefault="00C01A50" w:rsidP="00880811">
            <w:pPr>
              <w:spacing w:before="0" w:after="0"/>
              <w:jc w:val="right"/>
              <w:rPr>
                <w:lang w:val="en-AU"/>
              </w:rPr>
            </w:pPr>
            <w:r w:rsidRPr="00317F08">
              <w:rPr>
                <w:lang w:val="en-AU"/>
              </w:rPr>
              <w:t>17</w:t>
            </w:r>
          </w:p>
        </w:tc>
        <w:tc>
          <w:tcPr>
            <w:tcW w:w="1009" w:type="dxa"/>
            <w:shd w:val="clear" w:color="auto" w:fill="auto"/>
          </w:tcPr>
          <w:p w14:paraId="1B1C9D9F" w14:textId="77777777" w:rsidR="00C01A50" w:rsidRPr="00317F08" w:rsidRDefault="00C01A50" w:rsidP="00880811">
            <w:pPr>
              <w:spacing w:before="0" w:after="0"/>
              <w:jc w:val="right"/>
              <w:rPr>
                <w:lang w:val="en-AU"/>
              </w:rPr>
            </w:pPr>
            <w:r w:rsidRPr="00317F08">
              <w:rPr>
                <w:lang w:val="en-AU"/>
              </w:rPr>
              <w:t>16</w:t>
            </w:r>
          </w:p>
        </w:tc>
        <w:tc>
          <w:tcPr>
            <w:tcW w:w="1009" w:type="dxa"/>
            <w:shd w:val="clear" w:color="auto" w:fill="auto"/>
          </w:tcPr>
          <w:p w14:paraId="33D7AC43" w14:textId="77777777" w:rsidR="00C01A50" w:rsidRPr="00317F08" w:rsidRDefault="00C01A50" w:rsidP="00880811">
            <w:pPr>
              <w:spacing w:before="0" w:after="0"/>
              <w:jc w:val="right"/>
              <w:rPr>
                <w:lang w:val="en-AU"/>
              </w:rPr>
            </w:pPr>
            <w:r w:rsidRPr="00317F08">
              <w:rPr>
                <w:lang w:val="en-AU"/>
              </w:rPr>
              <w:t>20</w:t>
            </w:r>
          </w:p>
        </w:tc>
        <w:tc>
          <w:tcPr>
            <w:tcW w:w="1009" w:type="dxa"/>
            <w:shd w:val="clear" w:color="auto" w:fill="auto"/>
          </w:tcPr>
          <w:p w14:paraId="73F85576" w14:textId="77777777" w:rsidR="00C01A50" w:rsidRPr="00317F08" w:rsidRDefault="00C01A50" w:rsidP="00880811">
            <w:pPr>
              <w:spacing w:before="0" w:after="0"/>
              <w:jc w:val="right"/>
              <w:rPr>
                <w:lang w:val="en-AU"/>
              </w:rPr>
            </w:pPr>
            <w:r w:rsidRPr="00317F08">
              <w:rPr>
                <w:lang w:val="en-AU"/>
              </w:rPr>
              <w:t>20</w:t>
            </w:r>
          </w:p>
        </w:tc>
        <w:tc>
          <w:tcPr>
            <w:tcW w:w="1080" w:type="dxa"/>
            <w:shd w:val="clear" w:color="auto" w:fill="auto"/>
          </w:tcPr>
          <w:p w14:paraId="18F388E1" w14:textId="77777777" w:rsidR="00C01A50" w:rsidRPr="00317F08" w:rsidRDefault="00C01A50" w:rsidP="00880811">
            <w:pPr>
              <w:spacing w:before="0" w:after="0"/>
              <w:jc w:val="right"/>
              <w:rPr>
                <w:lang w:val="en-AU"/>
              </w:rPr>
            </w:pPr>
            <w:r w:rsidRPr="00317F08">
              <w:rPr>
                <w:lang w:val="en-AU"/>
              </w:rPr>
              <w:t>24</w:t>
            </w:r>
          </w:p>
        </w:tc>
        <w:tc>
          <w:tcPr>
            <w:tcW w:w="1009" w:type="dxa"/>
            <w:shd w:val="clear" w:color="auto" w:fill="auto"/>
          </w:tcPr>
          <w:p w14:paraId="51D6E0B3" w14:textId="77777777" w:rsidR="00C01A50" w:rsidRPr="00317F08" w:rsidRDefault="00C01A50" w:rsidP="00880811">
            <w:pPr>
              <w:spacing w:before="0" w:after="0"/>
              <w:jc w:val="right"/>
              <w:rPr>
                <w:lang w:val="en-AU"/>
              </w:rPr>
            </w:pPr>
            <w:r w:rsidRPr="00317F08">
              <w:rPr>
                <w:lang w:val="en-AU"/>
              </w:rPr>
              <w:t>-1</w:t>
            </w:r>
          </w:p>
        </w:tc>
        <w:tc>
          <w:tcPr>
            <w:tcW w:w="1009" w:type="dxa"/>
            <w:shd w:val="clear" w:color="auto" w:fill="auto"/>
          </w:tcPr>
          <w:p w14:paraId="3B771F60" w14:textId="77777777" w:rsidR="00C01A50" w:rsidRPr="00317F08" w:rsidRDefault="00C01A50" w:rsidP="00880811">
            <w:pPr>
              <w:spacing w:before="0" w:after="0"/>
              <w:jc w:val="right"/>
              <w:rPr>
                <w:lang w:val="en-AU"/>
              </w:rPr>
            </w:pPr>
            <w:r w:rsidRPr="00317F08">
              <w:rPr>
                <w:lang w:val="en-AU"/>
              </w:rPr>
              <w:t>+3</w:t>
            </w:r>
          </w:p>
        </w:tc>
      </w:tr>
      <w:tr w:rsidR="00C01A50" w:rsidRPr="00317F08" w14:paraId="6A092C68" w14:textId="77777777">
        <w:tc>
          <w:tcPr>
            <w:tcW w:w="2260" w:type="dxa"/>
            <w:shd w:val="clear" w:color="auto" w:fill="auto"/>
          </w:tcPr>
          <w:p w14:paraId="405FB82C" w14:textId="77777777" w:rsidR="00C01A50" w:rsidRPr="00317F08" w:rsidRDefault="00C01A50" w:rsidP="002939B3">
            <w:pPr>
              <w:numPr>
                <w:ilvl w:val="0"/>
                <w:numId w:val="8"/>
              </w:numPr>
              <w:spacing w:before="0" w:after="0"/>
              <w:rPr>
                <w:lang w:val="en-AU"/>
              </w:rPr>
            </w:pPr>
            <w:r w:rsidRPr="00317F08">
              <w:rPr>
                <w:lang w:val="en-AU"/>
              </w:rPr>
              <w:t>other</w:t>
            </w:r>
          </w:p>
        </w:tc>
        <w:tc>
          <w:tcPr>
            <w:tcW w:w="1009" w:type="dxa"/>
            <w:shd w:val="clear" w:color="auto" w:fill="auto"/>
          </w:tcPr>
          <w:p w14:paraId="33294E05" w14:textId="77777777" w:rsidR="00C01A50" w:rsidRPr="00317F08" w:rsidRDefault="00C01A50" w:rsidP="00880811">
            <w:pPr>
              <w:spacing w:before="0" w:after="0"/>
              <w:jc w:val="right"/>
              <w:rPr>
                <w:lang w:val="en-AU"/>
              </w:rPr>
            </w:pPr>
            <w:r w:rsidRPr="00317F08">
              <w:rPr>
                <w:lang w:val="en-AU"/>
              </w:rPr>
              <w:t>7</w:t>
            </w:r>
          </w:p>
        </w:tc>
        <w:tc>
          <w:tcPr>
            <w:tcW w:w="1009" w:type="dxa"/>
            <w:shd w:val="clear" w:color="auto" w:fill="auto"/>
          </w:tcPr>
          <w:p w14:paraId="52A2EE15" w14:textId="77777777" w:rsidR="00C01A50" w:rsidRPr="00317F08" w:rsidRDefault="00C01A50" w:rsidP="00880811">
            <w:pPr>
              <w:spacing w:before="0" w:after="0"/>
              <w:jc w:val="right"/>
              <w:rPr>
                <w:lang w:val="en-AU"/>
              </w:rPr>
            </w:pPr>
            <w:r w:rsidRPr="00317F08">
              <w:rPr>
                <w:lang w:val="en-AU"/>
              </w:rPr>
              <w:t>5</w:t>
            </w:r>
          </w:p>
        </w:tc>
        <w:tc>
          <w:tcPr>
            <w:tcW w:w="1009" w:type="dxa"/>
            <w:shd w:val="clear" w:color="auto" w:fill="auto"/>
          </w:tcPr>
          <w:p w14:paraId="4F94746B" w14:textId="77777777" w:rsidR="00C01A50" w:rsidRPr="00317F08" w:rsidRDefault="00C01A50" w:rsidP="00880811">
            <w:pPr>
              <w:spacing w:before="0" w:after="0"/>
              <w:jc w:val="right"/>
              <w:rPr>
                <w:lang w:val="en-AU"/>
              </w:rPr>
            </w:pPr>
            <w:r w:rsidRPr="00317F08">
              <w:rPr>
                <w:lang w:val="en-AU"/>
              </w:rPr>
              <w:t>6</w:t>
            </w:r>
          </w:p>
        </w:tc>
        <w:tc>
          <w:tcPr>
            <w:tcW w:w="1009" w:type="dxa"/>
            <w:shd w:val="clear" w:color="auto" w:fill="auto"/>
          </w:tcPr>
          <w:p w14:paraId="0D431014" w14:textId="77777777" w:rsidR="00C01A50" w:rsidRPr="00317F08" w:rsidRDefault="00C01A50" w:rsidP="00880811">
            <w:pPr>
              <w:spacing w:before="0" w:after="0"/>
              <w:jc w:val="right"/>
              <w:rPr>
                <w:lang w:val="en-AU"/>
              </w:rPr>
            </w:pPr>
            <w:r w:rsidRPr="00317F08">
              <w:rPr>
                <w:lang w:val="en-AU"/>
              </w:rPr>
              <w:t>7</w:t>
            </w:r>
          </w:p>
        </w:tc>
        <w:tc>
          <w:tcPr>
            <w:tcW w:w="1080" w:type="dxa"/>
            <w:shd w:val="clear" w:color="auto" w:fill="auto"/>
          </w:tcPr>
          <w:p w14:paraId="60CC959F" w14:textId="77777777" w:rsidR="00C01A50" w:rsidRPr="00317F08" w:rsidRDefault="00C01A50" w:rsidP="00880811">
            <w:pPr>
              <w:spacing w:before="0" w:after="0"/>
              <w:jc w:val="right"/>
              <w:rPr>
                <w:lang w:val="en-AU"/>
              </w:rPr>
            </w:pPr>
            <w:r w:rsidRPr="00317F08">
              <w:rPr>
                <w:lang w:val="en-AU"/>
              </w:rPr>
              <w:t>13</w:t>
            </w:r>
          </w:p>
        </w:tc>
        <w:tc>
          <w:tcPr>
            <w:tcW w:w="1009" w:type="dxa"/>
            <w:shd w:val="clear" w:color="auto" w:fill="auto"/>
          </w:tcPr>
          <w:p w14:paraId="2394E41B" w14:textId="77777777" w:rsidR="00C01A50" w:rsidRPr="00317F08" w:rsidRDefault="00C01A50" w:rsidP="00880811">
            <w:pPr>
              <w:spacing w:before="0" w:after="0"/>
              <w:jc w:val="right"/>
              <w:rPr>
                <w:lang w:val="en-AU"/>
              </w:rPr>
            </w:pPr>
            <w:r w:rsidRPr="00317F08">
              <w:rPr>
                <w:lang w:val="en-AU"/>
              </w:rPr>
              <w:t>0</w:t>
            </w:r>
          </w:p>
        </w:tc>
        <w:tc>
          <w:tcPr>
            <w:tcW w:w="1009" w:type="dxa"/>
            <w:shd w:val="clear" w:color="auto" w:fill="auto"/>
          </w:tcPr>
          <w:p w14:paraId="21FFB681" w14:textId="77777777" w:rsidR="00C01A50" w:rsidRPr="00317F08" w:rsidRDefault="00C01A50" w:rsidP="00880811">
            <w:pPr>
              <w:spacing w:before="0" w:after="0"/>
              <w:jc w:val="right"/>
              <w:rPr>
                <w:lang w:val="en-AU"/>
              </w:rPr>
            </w:pPr>
            <w:r w:rsidRPr="00317F08">
              <w:rPr>
                <w:lang w:val="en-AU"/>
              </w:rPr>
              <w:t>0</w:t>
            </w:r>
          </w:p>
        </w:tc>
      </w:tr>
    </w:tbl>
    <w:p w14:paraId="7CF97ECC" w14:textId="77777777" w:rsidR="00C01A50" w:rsidRPr="00E0721E" w:rsidRDefault="00C01A50" w:rsidP="00880811">
      <w:pPr>
        <w:rPr>
          <w:lang w:val="en-AU"/>
        </w:rPr>
      </w:pPr>
      <w:r w:rsidRPr="00E0721E">
        <w:rPr>
          <w:lang w:val="en-AU"/>
        </w:rPr>
        <w:fldChar w:fldCharType="begin"/>
      </w:r>
      <w:r w:rsidRPr="00E0721E">
        <w:rPr>
          <w:lang w:val="en-AU"/>
        </w:rPr>
        <w:instrText xml:space="preserve"> REF _Ref341085633 \h </w:instrText>
      </w:r>
      <w:r w:rsidRPr="00E0721E">
        <w:rPr>
          <w:lang w:val="en-AU"/>
        </w:rPr>
      </w:r>
      <w:r w:rsidRPr="00E0721E">
        <w:rPr>
          <w:lang w:val="en-AU"/>
        </w:rPr>
        <w:fldChar w:fldCharType="separate"/>
      </w:r>
      <w:r w:rsidR="008E5D7A">
        <w:t xml:space="preserve">Table </w:t>
      </w:r>
      <w:r w:rsidR="008E5D7A">
        <w:rPr>
          <w:noProof/>
        </w:rPr>
        <w:t>9</w:t>
      </w:r>
      <w:r w:rsidRPr="00E0721E">
        <w:rPr>
          <w:lang w:val="en-AU"/>
        </w:rPr>
        <w:fldChar w:fldCharType="end"/>
      </w:r>
      <w:r w:rsidRPr="00E0721E">
        <w:rPr>
          <w:lang w:val="en-AU"/>
        </w:rPr>
        <w:t xml:space="preserve"> shows that since 2005/06 water use has declined following Government purchases by around 14% in years of similar surface water allocations (2014/15). This decline is similar to the proportion of general security water entitlements recovered for the environment since 2009. The data also indicates a shift in crop water use away from rice (-8%) and pasture (-4%) principally towards cotton (+8%) with smaller increases in water use on cereal/oilseed crops and vines/citrus.</w:t>
      </w:r>
    </w:p>
    <w:p w14:paraId="0A826354" w14:textId="77777777" w:rsidR="00C01A50" w:rsidRDefault="00C01A50" w:rsidP="00880811">
      <w:pPr>
        <w:rPr>
          <w:lang w:val="en-AU"/>
        </w:rPr>
      </w:pPr>
      <w:r w:rsidRPr="00E0721E">
        <w:rPr>
          <w:lang w:val="en-AU"/>
        </w:rPr>
        <w:t xml:space="preserve">The annual allocation associated with the general security water entitlements recovered for the environment (270 GL) equates to 143 GL at 53% allocation (2014/15) and 170 GL at 63% allocation (2013/14). The relative reduction in surface water use within each of these years within the Coleambally and Murrumbidgee Irrigation Areas totalled 148 GL in 2014/15 and 167 GL in 2013/14 compared to water use in 2005/06. This suggests </w:t>
      </w:r>
      <w:r>
        <w:rPr>
          <w:lang w:val="en-AU"/>
        </w:rPr>
        <w:t xml:space="preserve">the </w:t>
      </w:r>
      <w:r w:rsidRPr="00E0721E">
        <w:rPr>
          <w:lang w:val="en-AU"/>
        </w:rPr>
        <w:t xml:space="preserve">reduction in annual water use </w:t>
      </w:r>
      <w:r>
        <w:rPr>
          <w:lang w:val="en-AU"/>
        </w:rPr>
        <w:t>is similar in volume</w:t>
      </w:r>
      <w:r w:rsidRPr="00E0721E">
        <w:rPr>
          <w:lang w:val="en-AU"/>
        </w:rPr>
        <w:t xml:space="preserve"> to the </w:t>
      </w:r>
      <w:r>
        <w:rPr>
          <w:lang w:val="en-AU"/>
        </w:rPr>
        <w:t>total reduction in</w:t>
      </w:r>
      <w:r w:rsidRPr="00E0721E">
        <w:rPr>
          <w:lang w:val="en-AU"/>
        </w:rPr>
        <w:t xml:space="preserve"> allocation</w:t>
      </w:r>
      <w:r>
        <w:rPr>
          <w:lang w:val="en-AU"/>
        </w:rPr>
        <w:t>s</w:t>
      </w:r>
      <w:r w:rsidRPr="00E0721E">
        <w:rPr>
          <w:lang w:val="en-AU"/>
        </w:rPr>
        <w:t xml:space="preserve"> associated with the entitlements</w:t>
      </w:r>
      <w:r>
        <w:rPr>
          <w:lang w:val="en-AU"/>
        </w:rPr>
        <w:t xml:space="preserve"> recovered for the environment. This in turn suggests that Murrumbidgee irrigators have not generally purchased allocations to offset the net reduction in water availability. </w:t>
      </w:r>
    </w:p>
    <w:p w14:paraId="472953E0" w14:textId="77777777" w:rsidR="00C01A50" w:rsidRPr="00317F08" w:rsidRDefault="00C01A50" w:rsidP="00880811">
      <w:pPr>
        <w:rPr>
          <w:lang w:val="en-AU"/>
        </w:rPr>
      </w:pPr>
      <w:r w:rsidRPr="00317F08">
        <w:rPr>
          <w:lang w:val="en-AU"/>
        </w:rPr>
        <w:t>The significantly lower annual allocation in</w:t>
      </w:r>
      <w:r>
        <w:rPr>
          <w:lang w:val="en-AU"/>
        </w:rPr>
        <w:t xml:space="preserve"> </w:t>
      </w:r>
      <w:r w:rsidRPr="00317F08">
        <w:rPr>
          <w:lang w:val="en-AU"/>
        </w:rPr>
        <w:t xml:space="preserve">2015/16 resulted in </w:t>
      </w:r>
      <w:r>
        <w:rPr>
          <w:lang w:val="en-AU"/>
        </w:rPr>
        <w:t>substantially</w:t>
      </w:r>
      <w:r w:rsidRPr="00317F08">
        <w:rPr>
          <w:lang w:val="en-AU"/>
        </w:rPr>
        <w:t xml:space="preserve"> less water use within both the Murrumbidgee and the Coleambally Irrigation Area</w:t>
      </w:r>
      <w:r>
        <w:rPr>
          <w:lang w:val="en-AU"/>
        </w:rPr>
        <w:t>s</w:t>
      </w:r>
      <w:r w:rsidRPr="00317F08">
        <w:rPr>
          <w:lang w:val="en-AU"/>
        </w:rPr>
        <w:t>. There was also a major shift in water use away from rice (9%) and winter crops (3-6%) and an increase in cotton (7-14%)</w:t>
      </w:r>
      <w:r>
        <w:rPr>
          <w:lang w:val="en-AU"/>
        </w:rPr>
        <w:t>.</w:t>
      </w:r>
    </w:p>
    <w:p w14:paraId="1783815C" w14:textId="77777777" w:rsidR="00C01A50" w:rsidRPr="00317F08" w:rsidRDefault="00C01A50" w:rsidP="00880811">
      <w:pPr>
        <w:pStyle w:val="Heading2"/>
        <w:rPr>
          <w:lang w:val="en-AU"/>
        </w:rPr>
      </w:pPr>
      <w:bookmarkStart w:id="181" w:name="_Toc347747840"/>
      <w:r w:rsidRPr="00317F08">
        <w:rPr>
          <w:lang w:val="en-AU"/>
        </w:rPr>
        <w:lastRenderedPageBreak/>
        <w:t>NSW Murr</w:t>
      </w:r>
      <w:r>
        <w:rPr>
          <w:lang w:val="en-AU"/>
        </w:rPr>
        <w:t>a</w:t>
      </w:r>
      <w:r w:rsidRPr="00317F08">
        <w:rPr>
          <w:lang w:val="en-AU"/>
        </w:rPr>
        <w:t>y</w:t>
      </w:r>
      <w:bookmarkEnd w:id="181"/>
      <w:r w:rsidRPr="00317F08">
        <w:rPr>
          <w:lang w:val="en-AU"/>
        </w:rPr>
        <w:t xml:space="preserve"> </w:t>
      </w:r>
    </w:p>
    <w:p w14:paraId="2B0656C1" w14:textId="77777777" w:rsidR="00C01A50" w:rsidRPr="00317F08" w:rsidRDefault="00C01A50" w:rsidP="00880811">
      <w:pPr>
        <w:rPr>
          <w:lang w:val="en-AU"/>
        </w:rPr>
      </w:pPr>
      <w:r w:rsidRPr="00317F08">
        <w:rPr>
          <w:lang w:val="en-AU"/>
        </w:rPr>
        <w:t>Irrigation water use within the NSW Murray includes extractions by surface water users within the joint irrigation schemes</w:t>
      </w:r>
      <w:r>
        <w:rPr>
          <w:lang w:val="en-AU"/>
        </w:rPr>
        <w:t xml:space="preserve">, </w:t>
      </w:r>
      <w:r w:rsidRPr="00317F08">
        <w:rPr>
          <w:lang w:val="en-AU"/>
        </w:rPr>
        <w:t>private diverters</w:t>
      </w:r>
      <w:r>
        <w:rPr>
          <w:lang w:val="en-AU"/>
        </w:rPr>
        <w:t xml:space="preserve"> and groundwater users</w:t>
      </w:r>
      <w:r w:rsidRPr="00317F08">
        <w:rPr>
          <w:lang w:val="en-AU"/>
        </w:rPr>
        <w:t xml:space="preserve">. Murray Irrigation, centred on Finley and Deniliquin is the largest joint scheme. There are </w:t>
      </w:r>
      <w:r>
        <w:rPr>
          <w:lang w:val="en-AU"/>
        </w:rPr>
        <w:t>several</w:t>
      </w:r>
      <w:r w:rsidRPr="00317F08">
        <w:rPr>
          <w:lang w:val="en-AU"/>
        </w:rPr>
        <w:t xml:space="preserve"> smaller schemes </w:t>
      </w:r>
      <w:r>
        <w:rPr>
          <w:lang w:val="en-AU"/>
        </w:rPr>
        <w:t xml:space="preserve">of which </w:t>
      </w:r>
      <w:r w:rsidRPr="00317F08">
        <w:rPr>
          <w:lang w:val="en-AU"/>
        </w:rPr>
        <w:t>the large</w:t>
      </w:r>
      <w:r>
        <w:rPr>
          <w:lang w:val="en-AU"/>
        </w:rPr>
        <w:t xml:space="preserve">st are </w:t>
      </w:r>
      <w:r w:rsidRPr="00317F08">
        <w:rPr>
          <w:lang w:val="en-AU"/>
        </w:rPr>
        <w:t>Western Murray</w:t>
      </w:r>
      <w:r>
        <w:rPr>
          <w:lang w:val="en-AU"/>
        </w:rPr>
        <w:t>, centred on Dareton and</w:t>
      </w:r>
      <w:r w:rsidRPr="008F3683">
        <w:rPr>
          <w:lang w:val="en-AU"/>
        </w:rPr>
        <w:t xml:space="preserve"> </w:t>
      </w:r>
      <w:r w:rsidRPr="00317F08">
        <w:rPr>
          <w:lang w:val="en-AU"/>
        </w:rPr>
        <w:t>West Corurgan</w:t>
      </w:r>
      <w:r>
        <w:rPr>
          <w:lang w:val="en-AU"/>
        </w:rPr>
        <w:t xml:space="preserve"> and </w:t>
      </w:r>
      <w:r w:rsidRPr="00317F08">
        <w:rPr>
          <w:lang w:val="en-AU"/>
        </w:rPr>
        <w:t xml:space="preserve">Moira </w:t>
      </w:r>
      <w:r>
        <w:rPr>
          <w:lang w:val="en-AU"/>
        </w:rPr>
        <w:t>located in the central Murray valley</w:t>
      </w:r>
      <w:r w:rsidRPr="00317F08">
        <w:rPr>
          <w:lang w:val="en-AU"/>
        </w:rPr>
        <w:t>.</w:t>
      </w:r>
    </w:p>
    <w:p w14:paraId="2D3AE3A9" w14:textId="77777777" w:rsidR="00C01A50" w:rsidRPr="00317F08" w:rsidRDefault="00C01A50" w:rsidP="00751B2F">
      <w:pPr>
        <w:rPr>
          <w:lang w:val="en-AU"/>
        </w:rPr>
      </w:pPr>
      <w:r>
        <w:rPr>
          <w:lang w:val="en-AU"/>
        </w:rPr>
        <w:fldChar w:fldCharType="begin"/>
      </w:r>
      <w:r>
        <w:rPr>
          <w:lang w:val="en-AU"/>
        </w:rPr>
        <w:instrText xml:space="preserve"> REF _Ref341172454 \h </w:instrText>
      </w:r>
      <w:r>
        <w:rPr>
          <w:lang w:val="en-AU"/>
        </w:rPr>
      </w:r>
      <w:r>
        <w:rPr>
          <w:lang w:val="en-AU"/>
        </w:rPr>
        <w:fldChar w:fldCharType="separate"/>
      </w:r>
      <w:r w:rsidR="008E5D7A">
        <w:t xml:space="preserve">Table </w:t>
      </w:r>
      <w:r w:rsidR="008E5D7A">
        <w:rPr>
          <w:noProof/>
        </w:rPr>
        <w:t>10</w:t>
      </w:r>
      <w:r>
        <w:rPr>
          <w:lang w:val="en-AU"/>
        </w:rPr>
        <w:fldChar w:fldCharType="end"/>
      </w:r>
      <w:r>
        <w:rPr>
          <w:lang w:val="en-AU"/>
        </w:rPr>
        <w:t xml:space="preserve"> shows the Commonwealth directly</w:t>
      </w:r>
      <w:r w:rsidRPr="00317F08">
        <w:rPr>
          <w:lang w:val="en-AU"/>
        </w:rPr>
        <w:t xml:space="preserve"> purchased approximately</w:t>
      </w:r>
      <w:r>
        <w:rPr>
          <w:lang w:val="en-AU"/>
        </w:rPr>
        <w:t xml:space="preserve"> 8</w:t>
      </w:r>
      <w:r w:rsidRPr="00317F08">
        <w:rPr>
          <w:lang w:val="en-AU"/>
        </w:rPr>
        <w:t xml:space="preserve">% of </w:t>
      </w:r>
      <w:r>
        <w:rPr>
          <w:lang w:val="en-AU"/>
        </w:rPr>
        <w:t xml:space="preserve">the </w:t>
      </w:r>
      <w:r w:rsidRPr="00317F08">
        <w:rPr>
          <w:lang w:val="en-AU"/>
        </w:rPr>
        <w:t xml:space="preserve">High Security entitlements </w:t>
      </w:r>
      <w:r>
        <w:rPr>
          <w:lang w:val="en-AU"/>
        </w:rPr>
        <w:t>on the NSW Murray and secured a further 2% through on-farm infrastructure savings. By contrast,</w:t>
      </w:r>
      <w:r w:rsidRPr="00317F08">
        <w:rPr>
          <w:lang w:val="en-AU"/>
        </w:rPr>
        <w:t xml:space="preserve"> </w:t>
      </w:r>
      <w:r>
        <w:rPr>
          <w:lang w:val="en-AU"/>
        </w:rPr>
        <w:t xml:space="preserve">it directly </w:t>
      </w:r>
      <w:r w:rsidRPr="00317F08">
        <w:rPr>
          <w:lang w:val="en-AU"/>
        </w:rPr>
        <w:t>purchased around</w:t>
      </w:r>
      <w:r>
        <w:rPr>
          <w:lang w:val="en-AU"/>
        </w:rPr>
        <w:t xml:space="preserve"> 15</w:t>
      </w:r>
      <w:r w:rsidRPr="00317F08">
        <w:rPr>
          <w:lang w:val="en-AU"/>
        </w:rPr>
        <w:t xml:space="preserve">% of the General Security Entitlements </w:t>
      </w:r>
      <w:r>
        <w:rPr>
          <w:lang w:val="en-AU"/>
        </w:rPr>
        <w:t xml:space="preserve">and recovered another 6% through on-farm </w:t>
      </w:r>
      <w:r w:rsidRPr="00317F08">
        <w:rPr>
          <w:lang w:val="en-AU"/>
        </w:rPr>
        <w:t>infrastructure improvements.</w:t>
      </w:r>
      <w:r>
        <w:rPr>
          <w:lang w:val="en-AU"/>
        </w:rPr>
        <w:t xml:space="preserve"> Compared to the Murrumbidgee relatively low volumes of LTAAY were recovered from supplementary or conveyance loss entitlements. </w:t>
      </w:r>
      <w:r w:rsidRPr="00CB7524">
        <w:rPr>
          <w:lang w:val="en-AU"/>
        </w:rPr>
        <w:t xml:space="preserve">The majority of the General </w:t>
      </w:r>
      <w:r w:rsidR="003D271D" w:rsidRPr="00CB7524">
        <w:rPr>
          <w:lang w:val="en-AU"/>
        </w:rPr>
        <w:t xml:space="preserve">Security </w:t>
      </w:r>
      <w:r w:rsidRPr="00CB7524">
        <w:rPr>
          <w:lang w:val="en-AU"/>
        </w:rPr>
        <w:t>water entitlement purchases occurred prior to 2012/13.</w:t>
      </w:r>
    </w:p>
    <w:p w14:paraId="473C910D" w14:textId="77777777" w:rsidR="00C01A50" w:rsidRPr="00317F08" w:rsidRDefault="00C01A50" w:rsidP="00CB7524">
      <w:pPr>
        <w:pStyle w:val="Caption"/>
        <w:keepNext/>
        <w:rPr>
          <w:lang w:val="en-AU"/>
        </w:rPr>
      </w:pPr>
      <w:bookmarkStart w:id="182" w:name="_Ref341172454"/>
      <w:r>
        <w:t xml:space="preserve">Table </w:t>
      </w:r>
      <w:r>
        <w:fldChar w:fldCharType="begin"/>
      </w:r>
      <w:r>
        <w:instrText xml:space="preserve"> SEQ Table \* ARABIC </w:instrText>
      </w:r>
      <w:r>
        <w:fldChar w:fldCharType="separate"/>
      </w:r>
      <w:r w:rsidR="008E5D7A">
        <w:rPr>
          <w:noProof/>
        </w:rPr>
        <w:t>10</w:t>
      </w:r>
      <w:r>
        <w:fldChar w:fldCharType="end"/>
      </w:r>
      <w:bookmarkEnd w:id="182"/>
      <w:r>
        <w:t xml:space="preserve">: </w:t>
      </w:r>
      <w:r>
        <w:rPr>
          <w:lang w:val="en-AU"/>
        </w:rPr>
        <w:t>Commonwealth recovery</w:t>
      </w:r>
      <w:r w:rsidRPr="00317F08">
        <w:rPr>
          <w:lang w:val="en-AU"/>
        </w:rPr>
        <w:t xml:space="preserve"> of water entitlements from the </w:t>
      </w:r>
      <w:r>
        <w:rPr>
          <w:lang w:val="en-AU"/>
        </w:rPr>
        <w:t>NSW Murray</w:t>
      </w:r>
      <w:r w:rsidRPr="00317F08">
        <w:rPr>
          <w:lang w:val="en-A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6"/>
        <w:gridCol w:w="1155"/>
        <w:gridCol w:w="1456"/>
        <w:gridCol w:w="1049"/>
        <w:gridCol w:w="1048"/>
        <w:gridCol w:w="851"/>
        <w:gridCol w:w="1336"/>
        <w:gridCol w:w="857"/>
      </w:tblGrid>
      <w:tr w:rsidR="00C01A50" w:rsidRPr="00317F08" w14:paraId="673949DB" w14:textId="77777777">
        <w:trPr>
          <w:cantSplit/>
        </w:trPr>
        <w:tc>
          <w:tcPr>
            <w:tcW w:w="0" w:type="auto"/>
            <w:shd w:val="clear" w:color="auto" w:fill="auto"/>
          </w:tcPr>
          <w:p w14:paraId="79958493" w14:textId="77777777" w:rsidR="00C01A50" w:rsidRPr="00783410" w:rsidRDefault="00C01A50" w:rsidP="00880811">
            <w:pPr>
              <w:spacing w:before="0" w:after="0"/>
              <w:rPr>
                <w:sz w:val="19"/>
                <w:szCs w:val="19"/>
                <w:lang w:val="en-AU"/>
              </w:rPr>
            </w:pPr>
            <w:r w:rsidRPr="003D6671">
              <w:rPr>
                <w:sz w:val="19"/>
                <w:szCs w:val="19"/>
                <w:lang w:val="en-AU"/>
              </w:rPr>
              <w:t>Class of entitlement</w:t>
            </w:r>
          </w:p>
        </w:tc>
        <w:tc>
          <w:tcPr>
            <w:tcW w:w="0" w:type="auto"/>
          </w:tcPr>
          <w:p w14:paraId="780BE7F8" w14:textId="77777777" w:rsidR="00C01A50" w:rsidRPr="003D6671" w:rsidRDefault="00C01A50" w:rsidP="00880811">
            <w:pPr>
              <w:spacing w:before="0" w:after="0"/>
              <w:rPr>
                <w:sz w:val="19"/>
                <w:szCs w:val="19"/>
                <w:lang w:val="en-AU"/>
              </w:rPr>
            </w:pPr>
            <w:r w:rsidRPr="003D6671">
              <w:rPr>
                <w:sz w:val="19"/>
                <w:szCs w:val="19"/>
                <w:lang w:val="en-AU"/>
              </w:rPr>
              <w:t>ML issued</w:t>
            </w:r>
          </w:p>
          <w:p w14:paraId="7BCF1CEF" w14:textId="77777777" w:rsidR="00C01A50" w:rsidRPr="00783410" w:rsidRDefault="00C01A50" w:rsidP="00880811">
            <w:pPr>
              <w:spacing w:before="0" w:after="0"/>
              <w:rPr>
                <w:sz w:val="19"/>
                <w:szCs w:val="19"/>
                <w:lang w:val="en-AU"/>
              </w:rPr>
            </w:pPr>
            <w:r w:rsidRPr="003D6671">
              <w:rPr>
                <w:sz w:val="19"/>
                <w:szCs w:val="19"/>
                <w:lang w:val="en-AU"/>
              </w:rPr>
              <w:t>(Murray Lower Darling Water Sharing Plan 2016)</w:t>
            </w:r>
          </w:p>
        </w:tc>
        <w:tc>
          <w:tcPr>
            <w:tcW w:w="0" w:type="auto"/>
            <w:shd w:val="clear" w:color="auto" w:fill="auto"/>
          </w:tcPr>
          <w:p w14:paraId="5396092A" w14:textId="77777777" w:rsidR="00C01A50" w:rsidRPr="00783410" w:rsidRDefault="00C01A50" w:rsidP="00880811">
            <w:pPr>
              <w:spacing w:before="0" w:after="0"/>
              <w:rPr>
                <w:sz w:val="19"/>
                <w:szCs w:val="19"/>
                <w:lang w:val="en-AU"/>
              </w:rPr>
            </w:pPr>
            <w:r w:rsidRPr="003D6671">
              <w:rPr>
                <w:sz w:val="19"/>
                <w:szCs w:val="19"/>
                <w:lang w:val="en-AU"/>
              </w:rPr>
              <w:t>Recovery (ML) related to Infrastructure investments</w:t>
            </w:r>
          </w:p>
        </w:tc>
        <w:tc>
          <w:tcPr>
            <w:tcW w:w="0" w:type="auto"/>
            <w:shd w:val="clear" w:color="auto" w:fill="auto"/>
          </w:tcPr>
          <w:p w14:paraId="3DEA7257" w14:textId="77777777" w:rsidR="00C01A50" w:rsidRPr="00783410" w:rsidRDefault="00C01A50" w:rsidP="00880811">
            <w:pPr>
              <w:spacing w:before="0" w:after="0"/>
              <w:rPr>
                <w:sz w:val="19"/>
                <w:szCs w:val="19"/>
                <w:lang w:val="en-AU"/>
              </w:rPr>
            </w:pPr>
            <w:r w:rsidRPr="003D6671">
              <w:rPr>
                <w:sz w:val="19"/>
                <w:szCs w:val="19"/>
                <w:lang w:val="en-AU"/>
              </w:rPr>
              <w:t>Direct purchases (ML)</w:t>
            </w:r>
          </w:p>
        </w:tc>
        <w:tc>
          <w:tcPr>
            <w:tcW w:w="0" w:type="auto"/>
            <w:shd w:val="clear" w:color="auto" w:fill="auto"/>
          </w:tcPr>
          <w:p w14:paraId="66314487" w14:textId="77777777" w:rsidR="00C01A50" w:rsidRPr="00783410" w:rsidRDefault="00C01A50" w:rsidP="00880811">
            <w:pPr>
              <w:spacing w:before="0" w:after="0"/>
              <w:rPr>
                <w:sz w:val="19"/>
                <w:szCs w:val="19"/>
                <w:lang w:val="en-AU"/>
              </w:rPr>
            </w:pPr>
            <w:r w:rsidRPr="003D6671">
              <w:rPr>
                <w:sz w:val="19"/>
                <w:szCs w:val="19"/>
                <w:lang w:val="en-AU"/>
              </w:rPr>
              <w:t>Other purchases (ML)</w:t>
            </w:r>
          </w:p>
        </w:tc>
        <w:tc>
          <w:tcPr>
            <w:tcW w:w="0" w:type="auto"/>
            <w:shd w:val="clear" w:color="auto" w:fill="auto"/>
          </w:tcPr>
          <w:p w14:paraId="0B1ECF7B" w14:textId="77777777" w:rsidR="00C01A50" w:rsidRPr="00783410" w:rsidRDefault="00C01A50" w:rsidP="00880811">
            <w:pPr>
              <w:spacing w:before="0" w:after="0"/>
              <w:rPr>
                <w:sz w:val="19"/>
                <w:szCs w:val="19"/>
                <w:lang w:val="en-AU"/>
              </w:rPr>
            </w:pPr>
            <w:r w:rsidRPr="003D6671">
              <w:rPr>
                <w:sz w:val="19"/>
                <w:szCs w:val="19"/>
                <w:lang w:val="en-AU"/>
              </w:rPr>
              <w:t>Total (ML)</w:t>
            </w:r>
          </w:p>
        </w:tc>
        <w:tc>
          <w:tcPr>
            <w:tcW w:w="0" w:type="auto"/>
            <w:shd w:val="clear" w:color="auto" w:fill="auto"/>
          </w:tcPr>
          <w:p w14:paraId="380A4C65" w14:textId="77777777" w:rsidR="00C01A50" w:rsidRPr="00783410" w:rsidRDefault="00C01A50" w:rsidP="00880811">
            <w:pPr>
              <w:spacing w:before="0" w:after="0"/>
              <w:rPr>
                <w:sz w:val="19"/>
                <w:szCs w:val="19"/>
                <w:lang w:val="en-AU"/>
              </w:rPr>
            </w:pPr>
            <w:r w:rsidRPr="003D6671">
              <w:rPr>
                <w:sz w:val="19"/>
                <w:szCs w:val="19"/>
                <w:lang w:val="en-AU"/>
              </w:rPr>
              <w:t>Recovery as proportion of the total of that entitlement (%)</w:t>
            </w:r>
          </w:p>
        </w:tc>
        <w:tc>
          <w:tcPr>
            <w:tcW w:w="0" w:type="auto"/>
            <w:shd w:val="clear" w:color="auto" w:fill="auto"/>
          </w:tcPr>
          <w:p w14:paraId="7E2186B2" w14:textId="77777777" w:rsidR="00C01A50" w:rsidRPr="00783410" w:rsidRDefault="00C01A50" w:rsidP="00880811">
            <w:pPr>
              <w:spacing w:before="0" w:after="0"/>
              <w:rPr>
                <w:sz w:val="19"/>
                <w:szCs w:val="19"/>
                <w:lang w:val="en-AU"/>
              </w:rPr>
            </w:pPr>
            <w:r w:rsidRPr="003D6671">
              <w:rPr>
                <w:sz w:val="19"/>
                <w:szCs w:val="19"/>
                <w:lang w:val="en-AU"/>
              </w:rPr>
              <w:t>LTAAY (ML)</w:t>
            </w:r>
          </w:p>
        </w:tc>
      </w:tr>
      <w:tr w:rsidR="00C01A50" w:rsidRPr="00317F08" w14:paraId="2FC40717" w14:textId="77777777">
        <w:trPr>
          <w:cantSplit/>
        </w:trPr>
        <w:tc>
          <w:tcPr>
            <w:tcW w:w="0" w:type="auto"/>
            <w:shd w:val="clear" w:color="auto" w:fill="auto"/>
          </w:tcPr>
          <w:p w14:paraId="1BD345AE" w14:textId="77777777" w:rsidR="00C01A50" w:rsidRPr="00783410" w:rsidRDefault="00C01A50" w:rsidP="00880811">
            <w:pPr>
              <w:spacing w:before="0" w:after="0"/>
              <w:rPr>
                <w:sz w:val="19"/>
                <w:szCs w:val="19"/>
                <w:lang w:val="en-AU"/>
              </w:rPr>
            </w:pPr>
            <w:r w:rsidRPr="00783410">
              <w:rPr>
                <w:sz w:val="19"/>
                <w:szCs w:val="19"/>
                <w:lang w:val="en-AU"/>
              </w:rPr>
              <w:t>Conveyance</w:t>
            </w:r>
          </w:p>
        </w:tc>
        <w:tc>
          <w:tcPr>
            <w:tcW w:w="0" w:type="auto"/>
          </w:tcPr>
          <w:p w14:paraId="1324E600" w14:textId="77777777" w:rsidR="00C01A50" w:rsidRPr="00783410" w:rsidRDefault="00C01A50" w:rsidP="00880811">
            <w:pPr>
              <w:spacing w:before="0" w:after="0"/>
              <w:jc w:val="right"/>
              <w:rPr>
                <w:sz w:val="19"/>
                <w:szCs w:val="19"/>
                <w:lang w:val="en-AU"/>
              </w:rPr>
            </w:pPr>
            <w:r w:rsidRPr="00783410">
              <w:rPr>
                <w:sz w:val="19"/>
                <w:szCs w:val="19"/>
                <w:lang w:val="en-AU"/>
              </w:rPr>
              <w:t>330,000</w:t>
            </w:r>
          </w:p>
        </w:tc>
        <w:tc>
          <w:tcPr>
            <w:tcW w:w="0" w:type="auto"/>
            <w:shd w:val="clear" w:color="auto" w:fill="auto"/>
          </w:tcPr>
          <w:p w14:paraId="099853E9" w14:textId="77777777" w:rsidR="00C01A50" w:rsidRPr="00783410" w:rsidRDefault="00C01A50" w:rsidP="00880811">
            <w:pPr>
              <w:spacing w:before="0" w:after="0"/>
              <w:jc w:val="right"/>
              <w:rPr>
                <w:sz w:val="19"/>
                <w:szCs w:val="19"/>
                <w:lang w:val="en-AU"/>
              </w:rPr>
            </w:pPr>
            <w:r w:rsidRPr="00783410">
              <w:rPr>
                <w:sz w:val="19"/>
                <w:szCs w:val="19"/>
                <w:lang w:val="en-AU"/>
              </w:rPr>
              <w:t>11,990</w:t>
            </w:r>
          </w:p>
        </w:tc>
        <w:tc>
          <w:tcPr>
            <w:tcW w:w="0" w:type="auto"/>
            <w:shd w:val="clear" w:color="auto" w:fill="auto"/>
          </w:tcPr>
          <w:p w14:paraId="33D7D72E" w14:textId="77777777" w:rsidR="00C01A50" w:rsidRPr="00783410" w:rsidRDefault="00C01A50" w:rsidP="00880811">
            <w:pPr>
              <w:spacing w:before="0" w:after="0"/>
              <w:jc w:val="right"/>
              <w:rPr>
                <w:sz w:val="19"/>
                <w:szCs w:val="19"/>
                <w:lang w:val="en-AU"/>
              </w:rPr>
            </w:pPr>
          </w:p>
        </w:tc>
        <w:tc>
          <w:tcPr>
            <w:tcW w:w="0" w:type="auto"/>
            <w:shd w:val="clear" w:color="auto" w:fill="auto"/>
          </w:tcPr>
          <w:p w14:paraId="7A66C8C3" w14:textId="77777777" w:rsidR="00C01A50" w:rsidRPr="00783410" w:rsidRDefault="00C01A50" w:rsidP="00880811">
            <w:pPr>
              <w:spacing w:before="0" w:after="0"/>
              <w:jc w:val="right"/>
              <w:rPr>
                <w:sz w:val="19"/>
                <w:szCs w:val="19"/>
                <w:lang w:val="en-AU"/>
              </w:rPr>
            </w:pPr>
          </w:p>
        </w:tc>
        <w:tc>
          <w:tcPr>
            <w:tcW w:w="0" w:type="auto"/>
            <w:shd w:val="clear" w:color="auto" w:fill="auto"/>
          </w:tcPr>
          <w:p w14:paraId="5430E4DD" w14:textId="77777777" w:rsidR="00C01A50" w:rsidRPr="00783410" w:rsidRDefault="00C01A50" w:rsidP="00880811">
            <w:pPr>
              <w:spacing w:before="0" w:after="0"/>
              <w:jc w:val="right"/>
              <w:rPr>
                <w:sz w:val="19"/>
                <w:szCs w:val="19"/>
                <w:lang w:val="en-AU"/>
              </w:rPr>
            </w:pPr>
            <w:r w:rsidRPr="00783410">
              <w:rPr>
                <w:sz w:val="19"/>
                <w:szCs w:val="19"/>
                <w:lang w:val="en-AU"/>
              </w:rPr>
              <w:t>11,990</w:t>
            </w:r>
          </w:p>
        </w:tc>
        <w:tc>
          <w:tcPr>
            <w:tcW w:w="0" w:type="auto"/>
            <w:shd w:val="clear" w:color="auto" w:fill="auto"/>
          </w:tcPr>
          <w:p w14:paraId="72C8CE38" w14:textId="77777777" w:rsidR="00C01A50" w:rsidRPr="00783410" w:rsidRDefault="00C01A50" w:rsidP="00880811">
            <w:pPr>
              <w:spacing w:before="0" w:after="0"/>
              <w:jc w:val="right"/>
              <w:rPr>
                <w:sz w:val="19"/>
                <w:szCs w:val="19"/>
                <w:lang w:val="en-AU"/>
              </w:rPr>
            </w:pPr>
            <w:r w:rsidRPr="00783410">
              <w:rPr>
                <w:sz w:val="19"/>
                <w:szCs w:val="19"/>
                <w:lang w:val="en-AU"/>
              </w:rPr>
              <w:t>4</w:t>
            </w:r>
          </w:p>
        </w:tc>
        <w:tc>
          <w:tcPr>
            <w:tcW w:w="0" w:type="auto"/>
            <w:shd w:val="clear" w:color="auto" w:fill="auto"/>
          </w:tcPr>
          <w:p w14:paraId="1C9C35AE" w14:textId="77777777" w:rsidR="00C01A50" w:rsidRPr="00783410" w:rsidRDefault="00C01A50" w:rsidP="00880811">
            <w:pPr>
              <w:spacing w:before="0" w:after="0"/>
              <w:jc w:val="right"/>
              <w:rPr>
                <w:sz w:val="19"/>
                <w:szCs w:val="19"/>
                <w:lang w:val="en-AU"/>
              </w:rPr>
            </w:pPr>
            <w:r w:rsidRPr="00783410">
              <w:rPr>
                <w:sz w:val="19"/>
                <w:szCs w:val="19"/>
                <w:lang w:val="en-AU"/>
              </w:rPr>
              <w:t>9</w:t>
            </w:r>
            <w:r>
              <w:rPr>
                <w:sz w:val="19"/>
                <w:szCs w:val="19"/>
                <w:lang w:val="en-AU"/>
              </w:rPr>
              <w:t>,</w:t>
            </w:r>
            <w:r w:rsidRPr="00783410">
              <w:rPr>
                <w:sz w:val="19"/>
                <w:szCs w:val="19"/>
                <w:lang w:val="en-AU"/>
              </w:rPr>
              <w:t>400</w:t>
            </w:r>
          </w:p>
        </w:tc>
      </w:tr>
      <w:tr w:rsidR="00C01A50" w:rsidRPr="00317F08" w14:paraId="0F1848D1" w14:textId="77777777">
        <w:trPr>
          <w:cantSplit/>
        </w:trPr>
        <w:tc>
          <w:tcPr>
            <w:tcW w:w="0" w:type="auto"/>
            <w:shd w:val="clear" w:color="auto" w:fill="auto"/>
          </w:tcPr>
          <w:p w14:paraId="0E50BDA6" w14:textId="77777777" w:rsidR="00C01A50" w:rsidRPr="00783410" w:rsidRDefault="00C01A50" w:rsidP="00880811">
            <w:pPr>
              <w:spacing w:before="0" w:after="0"/>
              <w:rPr>
                <w:sz w:val="19"/>
                <w:szCs w:val="19"/>
                <w:lang w:val="en-AU"/>
              </w:rPr>
            </w:pPr>
            <w:r w:rsidRPr="00783410">
              <w:rPr>
                <w:sz w:val="19"/>
                <w:szCs w:val="19"/>
                <w:lang w:val="en-AU"/>
              </w:rPr>
              <w:t>General Security*</w:t>
            </w:r>
          </w:p>
        </w:tc>
        <w:tc>
          <w:tcPr>
            <w:tcW w:w="0" w:type="auto"/>
          </w:tcPr>
          <w:p w14:paraId="4A8836F0" w14:textId="77777777" w:rsidR="00C01A50" w:rsidRPr="00783410" w:rsidRDefault="00C01A50" w:rsidP="00880811">
            <w:pPr>
              <w:spacing w:before="0" w:after="0"/>
              <w:jc w:val="right"/>
              <w:rPr>
                <w:sz w:val="19"/>
                <w:szCs w:val="19"/>
                <w:lang w:val="en-AU"/>
              </w:rPr>
            </w:pPr>
            <w:r w:rsidRPr="00783410">
              <w:rPr>
                <w:sz w:val="19"/>
                <w:szCs w:val="19"/>
                <w:lang w:val="en-AU"/>
              </w:rPr>
              <w:t>1,750,325</w:t>
            </w:r>
          </w:p>
        </w:tc>
        <w:tc>
          <w:tcPr>
            <w:tcW w:w="0" w:type="auto"/>
            <w:shd w:val="clear" w:color="auto" w:fill="auto"/>
          </w:tcPr>
          <w:p w14:paraId="66B0606A" w14:textId="77777777" w:rsidR="00C01A50" w:rsidRPr="00783410" w:rsidRDefault="00C01A50" w:rsidP="00880811">
            <w:pPr>
              <w:spacing w:before="0" w:after="0"/>
              <w:jc w:val="right"/>
              <w:rPr>
                <w:sz w:val="19"/>
                <w:szCs w:val="19"/>
                <w:lang w:val="en-AU"/>
              </w:rPr>
            </w:pPr>
            <w:r w:rsidRPr="00783410">
              <w:rPr>
                <w:sz w:val="19"/>
                <w:szCs w:val="19"/>
                <w:lang w:val="en-AU"/>
              </w:rPr>
              <w:t>94,984</w:t>
            </w:r>
          </w:p>
        </w:tc>
        <w:tc>
          <w:tcPr>
            <w:tcW w:w="0" w:type="auto"/>
            <w:shd w:val="clear" w:color="auto" w:fill="auto"/>
          </w:tcPr>
          <w:p w14:paraId="176FAA70" w14:textId="77777777" w:rsidR="00C01A50" w:rsidRPr="00783410" w:rsidRDefault="00C01A50" w:rsidP="00880811">
            <w:pPr>
              <w:spacing w:before="0" w:after="0"/>
              <w:jc w:val="right"/>
              <w:rPr>
                <w:sz w:val="19"/>
                <w:szCs w:val="19"/>
                <w:lang w:val="en-AU"/>
              </w:rPr>
            </w:pPr>
            <w:r w:rsidRPr="00783410">
              <w:rPr>
                <w:sz w:val="19"/>
                <w:szCs w:val="19"/>
                <w:lang w:val="en-AU"/>
              </w:rPr>
              <w:t>253,273</w:t>
            </w:r>
          </w:p>
        </w:tc>
        <w:tc>
          <w:tcPr>
            <w:tcW w:w="0" w:type="auto"/>
            <w:shd w:val="clear" w:color="auto" w:fill="auto"/>
          </w:tcPr>
          <w:p w14:paraId="31EA3BB1" w14:textId="77777777" w:rsidR="00C01A50" w:rsidRPr="00783410" w:rsidRDefault="00C01A50" w:rsidP="00880811">
            <w:pPr>
              <w:spacing w:before="0" w:after="0"/>
              <w:jc w:val="right"/>
              <w:rPr>
                <w:sz w:val="19"/>
                <w:szCs w:val="19"/>
                <w:lang w:val="en-AU"/>
              </w:rPr>
            </w:pPr>
          </w:p>
        </w:tc>
        <w:tc>
          <w:tcPr>
            <w:tcW w:w="0" w:type="auto"/>
            <w:shd w:val="clear" w:color="auto" w:fill="auto"/>
          </w:tcPr>
          <w:p w14:paraId="0200C734" w14:textId="77777777" w:rsidR="00C01A50" w:rsidRPr="00783410" w:rsidRDefault="00C01A50" w:rsidP="00880811">
            <w:pPr>
              <w:spacing w:before="0" w:after="0"/>
              <w:jc w:val="right"/>
              <w:rPr>
                <w:sz w:val="19"/>
                <w:szCs w:val="19"/>
                <w:lang w:val="en-AU"/>
              </w:rPr>
            </w:pPr>
            <w:r w:rsidRPr="00783410">
              <w:rPr>
                <w:sz w:val="19"/>
                <w:szCs w:val="19"/>
                <w:lang w:val="en-AU"/>
              </w:rPr>
              <w:t>348,257</w:t>
            </w:r>
          </w:p>
        </w:tc>
        <w:tc>
          <w:tcPr>
            <w:tcW w:w="0" w:type="auto"/>
            <w:shd w:val="clear" w:color="auto" w:fill="auto"/>
          </w:tcPr>
          <w:p w14:paraId="72E6B775" w14:textId="77777777" w:rsidR="00C01A50" w:rsidRPr="00783410" w:rsidRDefault="00C01A50" w:rsidP="00880811">
            <w:pPr>
              <w:spacing w:before="0" w:after="0"/>
              <w:jc w:val="right"/>
              <w:rPr>
                <w:sz w:val="19"/>
                <w:szCs w:val="19"/>
                <w:lang w:val="en-AU"/>
              </w:rPr>
            </w:pPr>
            <w:r w:rsidRPr="00783410">
              <w:rPr>
                <w:sz w:val="19"/>
                <w:szCs w:val="19"/>
                <w:lang w:val="en-AU"/>
              </w:rPr>
              <w:t>21</w:t>
            </w:r>
          </w:p>
        </w:tc>
        <w:tc>
          <w:tcPr>
            <w:tcW w:w="0" w:type="auto"/>
            <w:shd w:val="clear" w:color="auto" w:fill="auto"/>
          </w:tcPr>
          <w:p w14:paraId="1818EBBC" w14:textId="77777777" w:rsidR="00C01A50" w:rsidRPr="00783410" w:rsidRDefault="00C01A50" w:rsidP="00880811">
            <w:pPr>
              <w:spacing w:before="0" w:after="0"/>
              <w:jc w:val="right"/>
              <w:rPr>
                <w:sz w:val="19"/>
                <w:szCs w:val="19"/>
                <w:lang w:val="en-AU"/>
              </w:rPr>
            </w:pPr>
            <w:r w:rsidRPr="00783410">
              <w:rPr>
                <w:sz w:val="19"/>
                <w:szCs w:val="19"/>
                <w:lang w:val="en-AU"/>
              </w:rPr>
              <w:t>282,088</w:t>
            </w:r>
          </w:p>
        </w:tc>
      </w:tr>
      <w:tr w:rsidR="00C01A50" w:rsidRPr="00317F08" w14:paraId="78BE936F" w14:textId="77777777">
        <w:trPr>
          <w:cantSplit/>
        </w:trPr>
        <w:tc>
          <w:tcPr>
            <w:tcW w:w="0" w:type="auto"/>
            <w:shd w:val="clear" w:color="auto" w:fill="auto"/>
          </w:tcPr>
          <w:p w14:paraId="31AE3246" w14:textId="77777777" w:rsidR="00C01A50" w:rsidRPr="00783410" w:rsidRDefault="00C01A50" w:rsidP="00880811">
            <w:pPr>
              <w:spacing w:before="0" w:after="0"/>
              <w:rPr>
                <w:sz w:val="19"/>
                <w:szCs w:val="19"/>
                <w:lang w:val="en-AU"/>
              </w:rPr>
            </w:pPr>
            <w:r w:rsidRPr="00783410">
              <w:rPr>
                <w:sz w:val="19"/>
                <w:szCs w:val="19"/>
                <w:lang w:val="en-AU"/>
              </w:rPr>
              <w:t>Groundwater</w:t>
            </w:r>
          </w:p>
        </w:tc>
        <w:tc>
          <w:tcPr>
            <w:tcW w:w="0" w:type="auto"/>
          </w:tcPr>
          <w:p w14:paraId="02CB71B0" w14:textId="77777777" w:rsidR="00C01A50" w:rsidRPr="00783410" w:rsidRDefault="00C01A50" w:rsidP="00880811">
            <w:pPr>
              <w:spacing w:before="0" w:after="0"/>
              <w:jc w:val="right"/>
              <w:rPr>
                <w:sz w:val="19"/>
                <w:szCs w:val="19"/>
                <w:lang w:val="en-AU"/>
              </w:rPr>
            </w:pPr>
          </w:p>
        </w:tc>
        <w:tc>
          <w:tcPr>
            <w:tcW w:w="0" w:type="auto"/>
            <w:shd w:val="clear" w:color="auto" w:fill="auto"/>
          </w:tcPr>
          <w:p w14:paraId="51D520A3" w14:textId="77777777" w:rsidR="00C01A50" w:rsidRPr="00783410" w:rsidRDefault="00C01A50" w:rsidP="00880811">
            <w:pPr>
              <w:spacing w:before="0" w:after="0"/>
              <w:jc w:val="right"/>
              <w:rPr>
                <w:sz w:val="19"/>
                <w:szCs w:val="19"/>
                <w:lang w:val="en-AU"/>
              </w:rPr>
            </w:pPr>
            <w:r w:rsidRPr="00783410">
              <w:rPr>
                <w:sz w:val="19"/>
                <w:szCs w:val="19"/>
                <w:lang w:val="en-AU"/>
              </w:rPr>
              <w:t>1,551</w:t>
            </w:r>
          </w:p>
        </w:tc>
        <w:tc>
          <w:tcPr>
            <w:tcW w:w="0" w:type="auto"/>
            <w:shd w:val="clear" w:color="auto" w:fill="auto"/>
          </w:tcPr>
          <w:p w14:paraId="7851F3CA" w14:textId="77777777" w:rsidR="00C01A50" w:rsidRPr="00783410" w:rsidRDefault="00C01A50" w:rsidP="00880811">
            <w:pPr>
              <w:spacing w:before="0" w:after="0"/>
              <w:jc w:val="right"/>
              <w:rPr>
                <w:sz w:val="19"/>
                <w:szCs w:val="19"/>
                <w:lang w:val="en-AU"/>
              </w:rPr>
            </w:pPr>
          </w:p>
        </w:tc>
        <w:tc>
          <w:tcPr>
            <w:tcW w:w="0" w:type="auto"/>
            <w:shd w:val="clear" w:color="auto" w:fill="auto"/>
          </w:tcPr>
          <w:p w14:paraId="7B0296C6" w14:textId="77777777" w:rsidR="00C01A50" w:rsidRPr="00783410" w:rsidRDefault="00C01A50" w:rsidP="00880811">
            <w:pPr>
              <w:spacing w:before="0" w:after="0"/>
              <w:jc w:val="right"/>
              <w:rPr>
                <w:sz w:val="19"/>
                <w:szCs w:val="19"/>
                <w:lang w:val="en-AU"/>
              </w:rPr>
            </w:pPr>
          </w:p>
        </w:tc>
        <w:tc>
          <w:tcPr>
            <w:tcW w:w="0" w:type="auto"/>
            <w:shd w:val="clear" w:color="auto" w:fill="auto"/>
          </w:tcPr>
          <w:p w14:paraId="2D5F16A7" w14:textId="77777777" w:rsidR="00C01A50" w:rsidRPr="00783410" w:rsidRDefault="00C01A50" w:rsidP="00880811">
            <w:pPr>
              <w:spacing w:before="0" w:after="0"/>
              <w:jc w:val="right"/>
              <w:rPr>
                <w:sz w:val="19"/>
                <w:szCs w:val="19"/>
                <w:lang w:val="en-AU"/>
              </w:rPr>
            </w:pPr>
            <w:r w:rsidRPr="00783410">
              <w:rPr>
                <w:sz w:val="19"/>
                <w:szCs w:val="19"/>
                <w:lang w:val="en-AU"/>
              </w:rPr>
              <w:t>1,551</w:t>
            </w:r>
          </w:p>
        </w:tc>
        <w:tc>
          <w:tcPr>
            <w:tcW w:w="0" w:type="auto"/>
            <w:shd w:val="clear" w:color="auto" w:fill="auto"/>
          </w:tcPr>
          <w:p w14:paraId="33F4CDB9" w14:textId="77777777" w:rsidR="00C01A50" w:rsidRPr="00783410" w:rsidRDefault="00C01A50" w:rsidP="00880811">
            <w:pPr>
              <w:spacing w:before="0" w:after="0"/>
              <w:jc w:val="right"/>
              <w:rPr>
                <w:sz w:val="19"/>
                <w:szCs w:val="19"/>
                <w:lang w:val="en-AU"/>
              </w:rPr>
            </w:pPr>
          </w:p>
        </w:tc>
        <w:tc>
          <w:tcPr>
            <w:tcW w:w="0" w:type="auto"/>
            <w:shd w:val="clear" w:color="auto" w:fill="auto"/>
          </w:tcPr>
          <w:p w14:paraId="51850FDE" w14:textId="77777777" w:rsidR="00C01A50" w:rsidRPr="00783410" w:rsidRDefault="00C01A50" w:rsidP="00880811">
            <w:pPr>
              <w:spacing w:before="0" w:after="0"/>
              <w:jc w:val="right"/>
              <w:rPr>
                <w:sz w:val="19"/>
                <w:szCs w:val="19"/>
                <w:lang w:val="en-AU"/>
              </w:rPr>
            </w:pPr>
            <w:r w:rsidRPr="00783410">
              <w:rPr>
                <w:sz w:val="19"/>
                <w:szCs w:val="19"/>
                <w:lang w:val="en-AU"/>
              </w:rPr>
              <w:t>1,551</w:t>
            </w:r>
          </w:p>
        </w:tc>
      </w:tr>
      <w:tr w:rsidR="00C01A50" w:rsidRPr="00317F08" w14:paraId="21051AE4" w14:textId="77777777">
        <w:trPr>
          <w:cantSplit/>
        </w:trPr>
        <w:tc>
          <w:tcPr>
            <w:tcW w:w="0" w:type="auto"/>
            <w:shd w:val="clear" w:color="auto" w:fill="auto"/>
          </w:tcPr>
          <w:p w14:paraId="422AF6B8" w14:textId="77777777" w:rsidR="00C01A50" w:rsidRPr="00783410" w:rsidRDefault="00C01A50" w:rsidP="00880811">
            <w:pPr>
              <w:spacing w:before="0" w:after="0"/>
              <w:rPr>
                <w:sz w:val="19"/>
                <w:szCs w:val="19"/>
                <w:lang w:val="en-AU"/>
              </w:rPr>
            </w:pPr>
            <w:r w:rsidRPr="00783410">
              <w:rPr>
                <w:sz w:val="19"/>
                <w:szCs w:val="19"/>
                <w:lang w:val="en-AU"/>
              </w:rPr>
              <w:t>High Security</w:t>
            </w:r>
          </w:p>
        </w:tc>
        <w:tc>
          <w:tcPr>
            <w:tcW w:w="0" w:type="auto"/>
          </w:tcPr>
          <w:p w14:paraId="0547D22E" w14:textId="77777777" w:rsidR="00C01A50" w:rsidRPr="00783410" w:rsidRDefault="00C01A50" w:rsidP="00880811">
            <w:pPr>
              <w:spacing w:before="0" w:after="0"/>
              <w:jc w:val="right"/>
              <w:rPr>
                <w:sz w:val="19"/>
                <w:szCs w:val="19"/>
                <w:lang w:val="en-AU"/>
              </w:rPr>
            </w:pPr>
            <w:r w:rsidRPr="00783410">
              <w:rPr>
                <w:sz w:val="19"/>
                <w:szCs w:val="19"/>
                <w:lang w:val="en-AU"/>
              </w:rPr>
              <w:t>199,331</w:t>
            </w:r>
          </w:p>
        </w:tc>
        <w:tc>
          <w:tcPr>
            <w:tcW w:w="0" w:type="auto"/>
            <w:shd w:val="clear" w:color="auto" w:fill="auto"/>
          </w:tcPr>
          <w:p w14:paraId="2F56E051" w14:textId="77777777" w:rsidR="00C01A50" w:rsidRPr="00783410" w:rsidRDefault="00C01A50" w:rsidP="00880811">
            <w:pPr>
              <w:spacing w:before="0" w:after="0"/>
              <w:jc w:val="right"/>
              <w:rPr>
                <w:sz w:val="19"/>
                <w:szCs w:val="19"/>
                <w:lang w:val="en-AU"/>
              </w:rPr>
            </w:pPr>
            <w:r w:rsidRPr="00783410">
              <w:rPr>
                <w:sz w:val="19"/>
                <w:szCs w:val="19"/>
                <w:lang w:val="en-AU"/>
              </w:rPr>
              <w:t>4,343</w:t>
            </w:r>
          </w:p>
        </w:tc>
        <w:tc>
          <w:tcPr>
            <w:tcW w:w="0" w:type="auto"/>
            <w:shd w:val="clear" w:color="auto" w:fill="auto"/>
          </w:tcPr>
          <w:p w14:paraId="32E84058" w14:textId="77777777" w:rsidR="00C01A50" w:rsidRPr="00783410" w:rsidRDefault="00C01A50" w:rsidP="00880811">
            <w:pPr>
              <w:spacing w:before="0" w:after="0"/>
              <w:jc w:val="right"/>
              <w:rPr>
                <w:sz w:val="19"/>
                <w:szCs w:val="19"/>
                <w:lang w:val="en-AU"/>
              </w:rPr>
            </w:pPr>
            <w:r w:rsidRPr="00783410">
              <w:rPr>
                <w:sz w:val="19"/>
                <w:szCs w:val="19"/>
                <w:lang w:val="en-AU"/>
              </w:rPr>
              <w:t>15,068</w:t>
            </w:r>
          </w:p>
        </w:tc>
        <w:tc>
          <w:tcPr>
            <w:tcW w:w="0" w:type="auto"/>
            <w:shd w:val="clear" w:color="auto" w:fill="auto"/>
          </w:tcPr>
          <w:p w14:paraId="12F93D4C" w14:textId="77777777" w:rsidR="00C01A50" w:rsidRPr="00783410" w:rsidRDefault="00C01A50" w:rsidP="00880811">
            <w:pPr>
              <w:spacing w:before="0" w:after="0"/>
              <w:jc w:val="right"/>
              <w:rPr>
                <w:sz w:val="19"/>
                <w:szCs w:val="19"/>
                <w:lang w:val="en-AU"/>
              </w:rPr>
            </w:pPr>
          </w:p>
        </w:tc>
        <w:tc>
          <w:tcPr>
            <w:tcW w:w="0" w:type="auto"/>
            <w:shd w:val="clear" w:color="auto" w:fill="auto"/>
          </w:tcPr>
          <w:p w14:paraId="7EB15177" w14:textId="77777777" w:rsidR="00C01A50" w:rsidRPr="00783410" w:rsidRDefault="00C01A50" w:rsidP="00880811">
            <w:pPr>
              <w:spacing w:before="0" w:after="0"/>
              <w:jc w:val="right"/>
              <w:rPr>
                <w:sz w:val="19"/>
                <w:szCs w:val="19"/>
                <w:lang w:val="en-AU"/>
              </w:rPr>
            </w:pPr>
            <w:r w:rsidRPr="00783410">
              <w:rPr>
                <w:sz w:val="19"/>
                <w:szCs w:val="19"/>
                <w:lang w:val="en-AU"/>
              </w:rPr>
              <w:t>19,411</w:t>
            </w:r>
          </w:p>
        </w:tc>
        <w:tc>
          <w:tcPr>
            <w:tcW w:w="0" w:type="auto"/>
            <w:shd w:val="clear" w:color="auto" w:fill="auto"/>
          </w:tcPr>
          <w:p w14:paraId="738F3FA8" w14:textId="77777777" w:rsidR="00C01A50" w:rsidRPr="00783410" w:rsidRDefault="00C01A50" w:rsidP="00880811">
            <w:pPr>
              <w:spacing w:before="0" w:after="0"/>
              <w:jc w:val="right"/>
              <w:rPr>
                <w:sz w:val="19"/>
                <w:szCs w:val="19"/>
                <w:lang w:val="en-AU"/>
              </w:rPr>
            </w:pPr>
            <w:r w:rsidRPr="00783410">
              <w:rPr>
                <w:sz w:val="19"/>
                <w:szCs w:val="19"/>
                <w:lang w:val="en-AU"/>
              </w:rPr>
              <w:t>10</w:t>
            </w:r>
          </w:p>
        </w:tc>
        <w:tc>
          <w:tcPr>
            <w:tcW w:w="0" w:type="auto"/>
            <w:shd w:val="clear" w:color="auto" w:fill="auto"/>
          </w:tcPr>
          <w:p w14:paraId="598A12EE" w14:textId="77777777" w:rsidR="00C01A50" w:rsidRPr="00783410" w:rsidRDefault="00C01A50" w:rsidP="00880811">
            <w:pPr>
              <w:spacing w:before="0" w:after="0"/>
              <w:jc w:val="right"/>
              <w:rPr>
                <w:sz w:val="19"/>
                <w:szCs w:val="19"/>
                <w:lang w:val="en-AU"/>
              </w:rPr>
            </w:pPr>
            <w:r w:rsidRPr="00783410">
              <w:rPr>
                <w:sz w:val="19"/>
                <w:szCs w:val="19"/>
                <w:lang w:val="en-AU"/>
              </w:rPr>
              <w:t>18,442</w:t>
            </w:r>
          </w:p>
        </w:tc>
      </w:tr>
      <w:tr w:rsidR="00C01A50" w:rsidRPr="00317F08" w14:paraId="358EE34B" w14:textId="77777777">
        <w:trPr>
          <w:cantSplit/>
        </w:trPr>
        <w:tc>
          <w:tcPr>
            <w:tcW w:w="0" w:type="auto"/>
            <w:shd w:val="clear" w:color="auto" w:fill="auto"/>
          </w:tcPr>
          <w:p w14:paraId="5BE55BEB" w14:textId="77777777" w:rsidR="00C01A50" w:rsidRPr="00783410" w:rsidRDefault="00C01A50" w:rsidP="00880811">
            <w:pPr>
              <w:spacing w:before="0" w:after="0"/>
              <w:rPr>
                <w:sz w:val="19"/>
                <w:szCs w:val="19"/>
                <w:lang w:val="en-AU"/>
              </w:rPr>
            </w:pPr>
            <w:r w:rsidRPr="00783410">
              <w:rPr>
                <w:sz w:val="19"/>
                <w:szCs w:val="19"/>
                <w:lang w:val="en-AU"/>
              </w:rPr>
              <w:t>Supplementary</w:t>
            </w:r>
          </w:p>
        </w:tc>
        <w:tc>
          <w:tcPr>
            <w:tcW w:w="0" w:type="auto"/>
          </w:tcPr>
          <w:p w14:paraId="09041DF7" w14:textId="77777777" w:rsidR="00C01A50" w:rsidRPr="00783410" w:rsidRDefault="00C01A50" w:rsidP="00880811">
            <w:pPr>
              <w:spacing w:before="0" w:after="0"/>
              <w:jc w:val="right"/>
              <w:rPr>
                <w:sz w:val="19"/>
                <w:szCs w:val="19"/>
                <w:lang w:val="en-AU"/>
              </w:rPr>
            </w:pPr>
            <w:r w:rsidRPr="00783410">
              <w:rPr>
                <w:sz w:val="19"/>
                <w:szCs w:val="19"/>
                <w:lang w:val="en-AU"/>
              </w:rPr>
              <w:t>502,579</w:t>
            </w:r>
          </w:p>
        </w:tc>
        <w:tc>
          <w:tcPr>
            <w:tcW w:w="0" w:type="auto"/>
            <w:shd w:val="clear" w:color="auto" w:fill="auto"/>
          </w:tcPr>
          <w:p w14:paraId="7DFE4D2A" w14:textId="77777777" w:rsidR="00C01A50" w:rsidRPr="00783410" w:rsidRDefault="00C01A50" w:rsidP="00880811">
            <w:pPr>
              <w:spacing w:before="0" w:after="0"/>
              <w:jc w:val="right"/>
              <w:rPr>
                <w:sz w:val="19"/>
                <w:szCs w:val="19"/>
                <w:lang w:val="en-AU"/>
              </w:rPr>
            </w:pPr>
            <w:r w:rsidRPr="00783410">
              <w:rPr>
                <w:sz w:val="19"/>
                <w:szCs w:val="19"/>
                <w:lang w:val="en-AU"/>
              </w:rPr>
              <w:t>4,333</w:t>
            </w:r>
          </w:p>
        </w:tc>
        <w:tc>
          <w:tcPr>
            <w:tcW w:w="0" w:type="auto"/>
            <w:shd w:val="clear" w:color="auto" w:fill="auto"/>
          </w:tcPr>
          <w:p w14:paraId="1FE34C8E" w14:textId="77777777" w:rsidR="00C01A50" w:rsidRPr="00783410" w:rsidRDefault="00C01A50" w:rsidP="00880811">
            <w:pPr>
              <w:spacing w:before="0" w:after="0"/>
              <w:jc w:val="right"/>
              <w:rPr>
                <w:sz w:val="19"/>
                <w:szCs w:val="19"/>
                <w:lang w:val="en-AU"/>
              </w:rPr>
            </w:pPr>
          </w:p>
        </w:tc>
        <w:tc>
          <w:tcPr>
            <w:tcW w:w="0" w:type="auto"/>
            <w:shd w:val="clear" w:color="auto" w:fill="auto"/>
          </w:tcPr>
          <w:p w14:paraId="6DFCA6A5" w14:textId="77777777" w:rsidR="00C01A50" w:rsidRPr="00783410" w:rsidRDefault="00C01A50" w:rsidP="00880811">
            <w:pPr>
              <w:spacing w:before="0" w:after="0"/>
              <w:jc w:val="right"/>
              <w:rPr>
                <w:sz w:val="19"/>
                <w:szCs w:val="19"/>
                <w:lang w:val="en-AU"/>
              </w:rPr>
            </w:pPr>
          </w:p>
        </w:tc>
        <w:tc>
          <w:tcPr>
            <w:tcW w:w="0" w:type="auto"/>
            <w:shd w:val="clear" w:color="auto" w:fill="auto"/>
          </w:tcPr>
          <w:p w14:paraId="1091F796" w14:textId="77777777" w:rsidR="00C01A50" w:rsidRPr="00783410" w:rsidRDefault="00C01A50" w:rsidP="00880811">
            <w:pPr>
              <w:spacing w:before="0" w:after="0"/>
              <w:jc w:val="right"/>
              <w:rPr>
                <w:sz w:val="19"/>
                <w:szCs w:val="19"/>
                <w:lang w:val="en-AU"/>
              </w:rPr>
            </w:pPr>
            <w:r w:rsidRPr="00783410">
              <w:rPr>
                <w:sz w:val="19"/>
                <w:szCs w:val="19"/>
                <w:lang w:val="en-AU"/>
              </w:rPr>
              <w:t>4,333</w:t>
            </w:r>
          </w:p>
        </w:tc>
        <w:tc>
          <w:tcPr>
            <w:tcW w:w="0" w:type="auto"/>
            <w:shd w:val="clear" w:color="auto" w:fill="auto"/>
          </w:tcPr>
          <w:p w14:paraId="4AD401D8" w14:textId="77777777" w:rsidR="00C01A50" w:rsidRPr="00783410" w:rsidRDefault="00C01A50" w:rsidP="00880811">
            <w:pPr>
              <w:spacing w:before="0" w:after="0"/>
              <w:jc w:val="right"/>
              <w:rPr>
                <w:sz w:val="19"/>
                <w:szCs w:val="19"/>
                <w:lang w:val="en-AU"/>
              </w:rPr>
            </w:pPr>
            <w:r w:rsidRPr="00783410">
              <w:rPr>
                <w:sz w:val="19"/>
                <w:szCs w:val="19"/>
                <w:lang w:val="en-AU"/>
              </w:rPr>
              <w:t>2</w:t>
            </w:r>
          </w:p>
        </w:tc>
        <w:tc>
          <w:tcPr>
            <w:tcW w:w="0" w:type="auto"/>
            <w:shd w:val="clear" w:color="auto" w:fill="auto"/>
          </w:tcPr>
          <w:p w14:paraId="425798D4" w14:textId="77777777" w:rsidR="00C01A50" w:rsidRPr="00783410" w:rsidRDefault="00C01A50" w:rsidP="00880811">
            <w:pPr>
              <w:spacing w:before="0" w:after="0"/>
              <w:jc w:val="right"/>
              <w:rPr>
                <w:sz w:val="19"/>
                <w:szCs w:val="19"/>
                <w:lang w:val="en-AU"/>
              </w:rPr>
            </w:pPr>
            <w:r w:rsidRPr="00783410">
              <w:rPr>
                <w:sz w:val="19"/>
                <w:szCs w:val="19"/>
                <w:lang w:val="en-AU"/>
              </w:rPr>
              <w:t>3,184</w:t>
            </w:r>
          </w:p>
        </w:tc>
      </w:tr>
      <w:tr w:rsidR="00C01A50" w:rsidRPr="00317F08" w14:paraId="109EF3F5" w14:textId="77777777">
        <w:trPr>
          <w:cantSplit/>
        </w:trPr>
        <w:tc>
          <w:tcPr>
            <w:tcW w:w="0" w:type="auto"/>
            <w:shd w:val="clear" w:color="auto" w:fill="auto"/>
          </w:tcPr>
          <w:p w14:paraId="45B28BC3" w14:textId="77777777" w:rsidR="00C01A50" w:rsidRPr="00783410" w:rsidRDefault="00C01A50" w:rsidP="00880811">
            <w:pPr>
              <w:spacing w:before="0" w:after="0"/>
              <w:rPr>
                <w:sz w:val="19"/>
                <w:szCs w:val="19"/>
                <w:lang w:val="en-AU"/>
              </w:rPr>
            </w:pPr>
            <w:r w:rsidRPr="00783410">
              <w:rPr>
                <w:sz w:val="19"/>
                <w:szCs w:val="19"/>
                <w:lang w:val="en-AU"/>
              </w:rPr>
              <w:t>Unregulated</w:t>
            </w:r>
          </w:p>
        </w:tc>
        <w:tc>
          <w:tcPr>
            <w:tcW w:w="0" w:type="auto"/>
          </w:tcPr>
          <w:p w14:paraId="6DA897AC" w14:textId="77777777" w:rsidR="00C01A50" w:rsidRPr="00783410" w:rsidRDefault="00C01A50" w:rsidP="00880811">
            <w:pPr>
              <w:spacing w:before="0" w:after="0"/>
              <w:jc w:val="right"/>
              <w:rPr>
                <w:sz w:val="19"/>
                <w:szCs w:val="19"/>
                <w:lang w:val="en-AU"/>
              </w:rPr>
            </w:pPr>
          </w:p>
        </w:tc>
        <w:tc>
          <w:tcPr>
            <w:tcW w:w="0" w:type="auto"/>
            <w:shd w:val="clear" w:color="auto" w:fill="auto"/>
          </w:tcPr>
          <w:p w14:paraId="77CF8789" w14:textId="77777777" w:rsidR="00C01A50" w:rsidRPr="00783410" w:rsidRDefault="00C01A50" w:rsidP="00880811">
            <w:pPr>
              <w:spacing w:before="0" w:after="0"/>
              <w:jc w:val="right"/>
              <w:rPr>
                <w:sz w:val="19"/>
                <w:szCs w:val="19"/>
                <w:lang w:val="en-AU"/>
              </w:rPr>
            </w:pPr>
            <w:r w:rsidRPr="00783410">
              <w:rPr>
                <w:sz w:val="19"/>
                <w:szCs w:val="19"/>
                <w:lang w:val="en-AU"/>
              </w:rPr>
              <w:t>184</w:t>
            </w:r>
          </w:p>
        </w:tc>
        <w:tc>
          <w:tcPr>
            <w:tcW w:w="0" w:type="auto"/>
            <w:shd w:val="clear" w:color="auto" w:fill="auto"/>
          </w:tcPr>
          <w:p w14:paraId="6F8F7BE4" w14:textId="77777777" w:rsidR="00C01A50" w:rsidRPr="00783410" w:rsidRDefault="00C01A50" w:rsidP="00880811">
            <w:pPr>
              <w:spacing w:before="0" w:after="0"/>
              <w:jc w:val="right"/>
              <w:rPr>
                <w:sz w:val="19"/>
                <w:szCs w:val="19"/>
                <w:lang w:val="en-AU"/>
              </w:rPr>
            </w:pPr>
          </w:p>
        </w:tc>
        <w:tc>
          <w:tcPr>
            <w:tcW w:w="0" w:type="auto"/>
            <w:shd w:val="clear" w:color="auto" w:fill="auto"/>
          </w:tcPr>
          <w:p w14:paraId="6E90D409" w14:textId="77777777" w:rsidR="00C01A50" w:rsidRPr="00783410" w:rsidRDefault="00C01A50" w:rsidP="00880811">
            <w:pPr>
              <w:spacing w:before="0" w:after="0"/>
              <w:jc w:val="right"/>
              <w:rPr>
                <w:sz w:val="19"/>
                <w:szCs w:val="19"/>
                <w:lang w:val="en-AU"/>
              </w:rPr>
            </w:pPr>
          </w:p>
        </w:tc>
        <w:tc>
          <w:tcPr>
            <w:tcW w:w="0" w:type="auto"/>
            <w:shd w:val="clear" w:color="auto" w:fill="auto"/>
          </w:tcPr>
          <w:p w14:paraId="45234100" w14:textId="77777777" w:rsidR="00C01A50" w:rsidRPr="00783410" w:rsidRDefault="00C01A50" w:rsidP="00880811">
            <w:pPr>
              <w:spacing w:before="0" w:after="0"/>
              <w:jc w:val="right"/>
              <w:rPr>
                <w:sz w:val="19"/>
                <w:szCs w:val="19"/>
                <w:lang w:val="en-AU"/>
              </w:rPr>
            </w:pPr>
            <w:r w:rsidRPr="00783410">
              <w:rPr>
                <w:sz w:val="19"/>
                <w:szCs w:val="19"/>
                <w:lang w:val="en-AU"/>
              </w:rPr>
              <w:t>184</w:t>
            </w:r>
          </w:p>
        </w:tc>
        <w:tc>
          <w:tcPr>
            <w:tcW w:w="0" w:type="auto"/>
            <w:shd w:val="clear" w:color="auto" w:fill="auto"/>
          </w:tcPr>
          <w:p w14:paraId="74816DD8" w14:textId="77777777" w:rsidR="00C01A50" w:rsidRPr="00783410" w:rsidRDefault="00C01A50" w:rsidP="00880811">
            <w:pPr>
              <w:spacing w:before="0" w:after="0"/>
              <w:jc w:val="right"/>
              <w:rPr>
                <w:sz w:val="19"/>
                <w:szCs w:val="19"/>
                <w:lang w:val="en-AU"/>
              </w:rPr>
            </w:pPr>
          </w:p>
        </w:tc>
        <w:tc>
          <w:tcPr>
            <w:tcW w:w="0" w:type="auto"/>
            <w:shd w:val="clear" w:color="auto" w:fill="auto"/>
          </w:tcPr>
          <w:p w14:paraId="245FF74C" w14:textId="77777777" w:rsidR="00C01A50" w:rsidRPr="00783410" w:rsidRDefault="00C01A50" w:rsidP="00880811">
            <w:pPr>
              <w:spacing w:before="0" w:after="0"/>
              <w:jc w:val="right"/>
              <w:rPr>
                <w:sz w:val="19"/>
                <w:szCs w:val="19"/>
                <w:lang w:val="en-AU"/>
              </w:rPr>
            </w:pPr>
            <w:r w:rsidRPr="00783410">
              <w:rPr>
                <w:sz w:val="19"/>
                <w:szCs w:val="19"/>
                <w:lang w:val="en-AU"/>
              </w:rPr>
              <w:t>145</w:t>
            </w:r>
          </w:p>
        </w:tc>
      </w:tr>
    </w:tbl>
    <w:p w14:paraId="3D01AD36" w14:textId="77777777" w:rsidR="001276F4" w:rsidRDefault="00C01A50" w:rsidP="00880811">
      <w:pPr>
        <w:rPr>
          <w:lang w:val="en-AU"/>
        </w:rPr>
      </w:pPr>
      <w:r w:rsidRPr="00317F08">
        <w:rPr>
          <w:lang w:val="en-AU"/>
        </w:rPr>
        <w:t>Water use in the NSW Murray is dominated by Murray Irrigation</w:t>
      </w:r>
      <w:r>
        <w:rPr>
          <w:lang w:val="en-AU"/>
        </w:rPr>
        <w:t>’s</w:t>
      </w:r>
      <w:r w:rsidRPr="00317F08">
        <w:rPr>
          <w:lang w:val="en-AU"/>
        </w:rPr>
        <w:t xml:space="preserve"> </w:t>
      </w:r>
      <w:r>
        <w:rPr>
          <w:lang w:val="en-AU"/>
        </w:rPr>
        <w:t xml:space="preserve">customers </w:t>
      </w:r>
      <w:r w:rsidRPr="00317F08">
        <w:rPr>
          <w:lang w:val="en-AU"/>
        </w:rPr>
        <w:t>and to a lesser extent</w:t>
      </w:r>
      <w:r>
        <w:rPr>
          <w:lang w:val="en-AU"/>
        </w:rPr>
        <w:t xml:space="preserve"> those of</w:t>
      </w:r>
      <w:r w:rsidRPr="00317F08">
        <w:rPr>
          <w:lang w:val="en-AU"/>
        </w:rPr>
        <w:t xml:space="preserve"> Western Murray Ltd. At the time of privatisation (March 1995) Murray Irrigation held slightly over 70% of the General Security Entitlements within the NSW Murray Valley. Over 80% of the high security entitlements were held within Western Murray Ltd, centred on Dareton. </w:t>
      </w:r>
    </w:p>
    <w:p w14:paraId="045EB4BB" w14:textId="77777777" w:rsidR="001276F4" w:rsidRDefault="001276F4">
      <w:pPr>
        <w:spacing w:before="0" w:after="0" w:line="240" w:lineRule="auto"/>
        <w:jc w:val="left"/>
        <w:rPr>
          <w:lang w:val="en-AU"/>
        </w:rPr>
      </w:pPr>
      <w:r>
        <w:rPr>
          <w:lang w:val="en-AU"/>
        </w:rPr>
        <w:br w:type="page"/>
      </w:r>
    </w:p>
    <w:p w14:paraId="404821AE" w14:textId="77777777" w:rsidR="00C01A50" w:rsidRDefault="00C01A50" w:rsidP="00880811">
      <w:pPr>
        <w:rPr>
          <w:lang w:val="en-AU"/>
        </w:rPr>
      </w:pPr>
    </w:p>
    <w:p w14:paraId="2A40EF72" w14:textId="77777777" w:rsidR="00C01A50" w:rsidRDefault="00C01A50" w:rsidP="00880811">
      <w:pPr>
        <w:pStyle w:val="Caption"/>
        <w:keepNext/>
      </w:pPr>
      <w:bookmarkStart w:id="183" w:name="_Ref341173915"/>
      <w:r>
        <w:t xml:space="preserve">Table </w:t>
      </w:r>
      <w:r>
        <w:fldChar w:fldCharType="begin"/>
      </w:r>
      <w:r>
        <w:instrText xml:space="preserve"> SEQ Table \* ARABIC </w:instrText>
      </w:r>
      <w:r>
        <w:fldChar w:fldCharType="separate"/>
      </w:r>
      <w:r w:rsidR="008E5D7A">
        <w:rPr>
          <w:noProof/>
        </w:rPr>
        <w:t>11</w:t>
      </w:r>
      <w:r>
        <w:fldChar w:fldCharType="end"/>
      </w:r>
      <w:bookmarkEnd w:id="183"/>
      <w:r>
        <w:t>: Water use in MIL before and after the Basin Plan (</w:t>
      </w:r>
      <w:r>
        <w:rPr>
          <w:lang w:val="en-AU"/>
        </w:rPr>
        <w:t>MIL</w:t>
      </w:r>
      <w:r w:rsidRPr="00317F08">
        <w:rPr>
          <w:lang w:val="en-AU"/>
        </w:rPr>
        <w:t xml:space="preserve"> Annual Compli</w:t>
      </w:r>
      <w:r>
        <w:rPr>
          <w:lang w:val="en-AU"/>
        </w:rPr>
        <w:t xml:space="preserve">ance Report 2015 </w:t>
      </w:r>
      <w:r w:rsidRPr="00317F08">
        <w:rPr>
          <w:lang w:val="en-AU"/>
        </w:rPr>
        <w:t>pg 20-21</w:t>
      </w:r>
      <w:r>
        <w:rPr>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3"/>
        <w:gridCol w:w="1161"/>
        <w:gridCol w:w="970"/>
        <w:gridCol w:w="970"/>
        <w:gridCol w:w="970"/>
        <w:gridCol w:w="970"/>
        <w:gridCol w:w="1100"/>
        <w:gridCol w:w="1164"/>
      </w:tblGrid>
      <w:tr w:rsidR="00C01A50" w:rsidRPr="00317F08" w14:paraId="6DE8D740" w14:textId="77777777">
        <w:tc>
          <w:tcPr>
            <w:tcW w:w="0" w:type="auto"/>
            <w:shd w:val="clear" w:color="auto" w:fill="auto"/>
          </w:tcPr>
          <w:p w14:paraId="182EBD16" w14:textId="77777777" w:rsidR="00C01A50" w:rsidRPr="00317F08" w:rsidRDefault="00C01A50" w:rsidP="00880811">
            <w:pPr>
              <w:spacing w:before="0" w:after="0"/>
              <w:jc w:val="center"/>
              <w:rPr>
                <w:lang w:val="en-AU"/>
              </w:rPr>
            </w:pPr>
            <w:r w:rsidRPr="00317F08">
              <w:rPr>
                <w:lang w:val="en-AU"/>
              </w:rPr>
              <w:t>Year</w:t>
            </w:r>
          </w:p>
        </w:tc>
        <w:tc>
          <w:tcPr>
            <w:tcW w:w="0" w:type="auto"/>
            <w:shd w:val="clear" w:color="auto" w:fill="auto"/>
          </w:tcPr>
          <w:p w14:paraId="5418B235" w14:textId="77777777" w:rsidR="00C01A50" w:rsidRPr="00317F08" w:rsidRDefault="00C01A50" w:rsidP="00880811">
            <w:pPr>
              <w:spacing w:before="0" w:after="0"/>
              <w:jc w:val="center"/>
              <w:rPr>
                <w:lang w:val="en-AU"/>
              </w:rPr>
            </w:pPr>
            <w:r w:rsidRPr="00317F08">
              <w:rPr>
                <w:lang w:val="en-AU"/>
              </w:rPr>
              <w:t>2005/06</w:t>
            </w:r>
          </w:p>
        </w:tc>
        <w:tc>
          <w:tcPr>
            <w:tcW w:w="0" w:type="auto"/>
            <w:shd w:val="clear" w:color="auto" w:fill="auto"/>
          </w:tcPr>
          <w:p w14:paraId="52798474" w14:textId="77777777" w:rsidR="00C01A50" w:rsidRPr="00317F08" w:rsidRDefault="00C01A50" w:rsidP="00880811">
            <w:pPr>
              <w:spacing w:before="0" w:after="0"/>
              <w:jc w:val="center"/>
              <w:rPr>
                <w:lang w:val="en-AU"/>
              </w:rPr>
            </w:pPr>
            <w:r w:rsidRPr="00317F08">
              <w:rPr>
                <w:lang w:val="en-AU"/>
              </w:rPr>
              <w:t>2012/13</w:t>
            </w:r>
          </w:p>
        </w:tc>
        <w:tc>
          <w:tcPr>
            <w:tcW w:w="0" w:type="auto"/>
            <w:shd w:val="clear" w:color="auto" w:fill="auto"/>
          </w:tcPr>
          <w:p w14:paraId="1ADB30E2" w14:textId="77777777" w:rsidR="00C01A50" w:rsidRPr="00317F08" w:rsidRDefault="00C01A50" w:rsidP="00880811">
            <w:pPr>
              <w:spacing w:before="0" w:after="0"/>
              <w:jc w:val="center"/>
              <w:rPr>
                <w:lang w:val="en-AU"/>
              </w:rPr>
            </w:pPr>
            <w:r w:rsidRPr="00317F08">
              <w:rPr>
                <w:lang w:val="en-AU"/>
              </w:rPr>
              <w:t>2013/14</w:t>
            </w:r>
          </w:p>
        </w:tc>
        <w:tc>
          <w:tcPr>
            <w:tcW w:w="0" w:type="auto"/>
            <w:shd w:val="clear" w:color="auto" w:fill="auto"/>
          </w:tcPr>
          <w:p w14:paraId="65EF004D" w14:textId="77777777" w:rsidR="00C01A50" w:rsidRPr="00317F08" w:rsidRDefault="00C01A50" w:rsidP="00880811">
            <w:pPr>
              <w:spacing w:before="0" w:after="0"/>
              <w:jc w:val="center"/>
              <w:rPr>
                <w:lang w:val="en-AU"/>
              </w:rPr>
            </w:pPr>
            <w:r w:rsidRPr="00317F08">
              <w:rPr>
                <w:lang w:val="en-AU"/>
              </w:rPr>
              <w:t>2014/15</w:t>
            </w:r>
          </w:p>
        </w:tc>
        <w:tc>
          <w:tcPr>
            <w:tcW w:w="0" w:type="auto"/>
            <w:shd w:val="clear" w:color="auto" w:fill="auto"/>
          </w:tcPr>
          <w:p w14:paraId="1CEB7EA3" w14:textId="77777777" w:rsidR="00C01A50" w:rsidRPr="00317F08" w:rsidRDefault="00C01A50" w:rsidP="00880811">
            <w:pPr>
              <w:spacing w:before="0" w:after="0"/>
              <w:jc w:val="center"/>
              <w:rPr>
                <w:lang w:val="en-AU"/>
              </w:rPr>
            </w:pPr>
            <w:r w:rsidRPr="00317F08">
              <w:rPr>
                <w:lang w:val="en-AU"/>
              </w:rPr>
              <w:t>2015/16</w:t>
            </w:r>
          </w:p>
        </w:tc>
        <w:tc>
          <w:tcPr>
            <w:tcW w:w="0" w:type="auto"/>
            <w:shd w:val="clear" w:color="auto" w:fill="auto"/>
          </w:tcPr>
          <w:p w14:paraId="116605F0" w14:textId="77777777" w:rsidR="00C01A50" w:rsidRPr="00317F08" w:rsidRDefault="00C01A50" w:rsidP="00880811">
            <w:pPr>
              <w:spacing w:before="0" w:after="0"/>
              <w:jc w:val="center"/>
              <w:rPr>
                <w:lang w:val="en-AU"/>
              </w:rPr>
            </w:pPr>
            <w:r w:rsidRPr="00317F08">
              <w:rPr>
                <w:lang w:val="en-AU"/>
              </w:rPr>
              <w:t>Change 2005/06- 2012/13</w:t>
            </w:r>
          </w:p>
        </w:tc>
        <w:tc>
          <w:tcPr>
            <w:tcW w:w="0" w:type="auto"/>
            <w:shd w:val="clear" w:color="auto" w:fill="auto"/>
          </w:tcPr>
          <w:p w14:paraId="11FE900C" w14:textId="77777777" w:rsidR="00C01A50" w:rsidRPr="00317F08" w:rsidRDefault="00C01A50" w:rsidP="00880811">
            <w:pPr>
              <w:spacing w:before="0" w:after="0"/>
              <w:jc w:val="center"/>
              <w:rPr>
                <w:lang w:val="en-AU"/>
              </w:rPr>
            </w:pPr>
            <w:r w:rsidRPr="00317F08">
              <w:rPr>
                <w:lang w:val="en-AU"/>
              </w:rPr>
              <w:t>Change 2005/06 - 2014/15</w:t>
            </w:r>
          </w:p>
        </w:tc>
      </w:tr>
      <w:tr w:rsidR="00C01A50" w:rsidRPr="00317F08" w14:paraId="3BE1C7BB" w14:textId="77777777">
        <w:tc>
          <w:tcPr>
            <w:tcW w:w="0" w:type="auto"/>
            <w:shd w:val="clear" w:color="auto" w:fill="auto"/>
          </w:tcPr>
          <w:p w14:paraId="1896A99D" w14:textId="77777777" w:rsidR="00C01A50" w:rsidRPr="00317F08" w:rsidRDefault="00C01A50" w:rsidP="00880811">
            <w:pPr>
              <w:spacing w:before="0" w:after="0"/>
              <w:rPr>
                <w:lang w:val="en-AU"/>
              </w:rPr>
            </w:pPr>
            <w:r w:rsidRPr="00317F08">
              <w:rPr>
                <w:lang w:val="en-AU"/>
              </w:rPr>
              <w:t>Annual Allocation GS: MIL Dividend</w:t>
            </w:r>
            <w:r>
              <w:rPr>
                <w:lang w:val="en-AU"/>
              </w:rPr>
              <w:t xml:space="preserve"> </w:t>
            </w:r>
            <w:r w:rsidRPr="00317F08">
              <w:rPr>
                <w:lang w:val="en-AU"/>
              </w:rPr>
              <w:t>(%)</w:t>
            </w:r>
          </w:p>
        </w:tc>
        <w:tc>
          <w:tcPr>
            <w:tcW w:w="0" w:type="auto"/>
            <w:shd w:val="clear" w:color="auto" w:fill="auto"/>
          </w:tcPr>
          <w:p w14:paraId="66F5AD25" w14:textId="77777777" w:rsidR="00C01A50" w:rsidRPr="00317F08" w:rsidRDefault="00C01A50" w:rsidP="00880811">
            <w:pPr>
              <w:spacing w:before="0" w:after="0"/>
              <w:jc w:val="right"/>
              <w:rPr>
                <w:lang w:val="en-AU"/>
              </w:rPr>
            </w:pPr>
            <w:r w:rsidRPr="00317F08">
              <w:rPr>
                <w:lang w:val="en-AU"/>
              </w:rPr>
              <w:t>63:0</w:t>
            </w:r>
          </w:p>
        </w:tc>
        <w:tc>
          <w:tcPr>
            <w:tcW w:w="0" w:type="auto"/>
            <w:shd w:val="clear" w:color="auto" w:fill="auto"/>
          </w:tcPr>
          <w:p w14:paraId="7A005EB9" w14:textId="77777777" w:rsidR="00C01A50" w:rsidRPr="00317F08" w:rsidRDefault="00C01A50" w:rsidP="00880811">
            <w:pPr>
              <w:spacing w:before="0" w:after="0"/>
              <w:jc w:val="right"/>
              <w:rPr>
                <w:lang w:val="en-AU"/>
              </w:rPr>
            </w:pPr>
            <w:r w:rsidRPr="00317F08">
              <w:rPr>
                <w:lang w:val="en-AU"/>
              </w:rPr>
              <w:t>100:7</w:t>
            </w:r>
          </w:p>
        </w:tc>
        <w:tc>
          <w:tcPr>
            <w:tcW w:w="0" w:type="auto"/>
            <w:shd w:val="clear" w:color="auto" w:fill="auto"/>
          </w:tcPr>
          <w:p w14:paraId="7B3EC9D4" w14:textId="77777777" w:rsidR="00C01A50" w:rsidRPr="00317F08" w:rsidRDefault="00C01A50" w:rsidP="00880811">
            <w:pPr>
              <w:spacing w:before="0" w:after="0"/>
              <w:jc w:val="right"/>
              <w:rPr>
                <w:lang w:val="en-AU"/>
              </w:rPr>
            </w:pPr>
            <w:r w:rsidRPr="00317F08">
              <w:rPr>
                <w:lang w:val="en-AU"/>
              </w:rPr>
              <w:t>100:12</w:t>
            </w:r>
          </w:p>
        </w:tc>
        <w:tc>
          <w:tcPr>
            <w:tcW w:w="0" w:type="auto"/>
            <w:shd w:val="clear" w:color="auto" w:fill="auto"/>
          </w:tcPr>
          <w:p w14:paraId="32D1B623" w14:textId="77777777" w:rsidR="00C01A50" w:rsidRPr="00317F08" w:rsidRDefault="00C01A50" w:rsidP="00880811">
            <w:pPr>
              <w:spacing w:before="0" w:after="0"/>
              <w:jc w:val="right"/>
              <w:rPr>
                <w:lang w:val="en-AU"/>
              </w:rPr>
            </w:pPr>
            <w:r w:rsidRPr="00317F08">
              <w:rPr>
                <w:lang w:val="en-AU"/>
              </w:rPr>
              <w:t>61:2</w:t>
            </w:r>
          </w:p>
        </w:tc>
        <w:tc>
          <w:tcPr>
            <w:tcW w:w="0" w:type="auto"/>
            <w:shd w:val="clear" w:color="auto" w:fill="auto"/>
          </w:tcPr>
          <w:p w14:paraId="32453AC0" w14:textId="77777777" w:rsidR="00C01A50" w:rsidRPr="00317F08" w:rsidRDefault="00C01A50" w:rsidP="00880811">
            <w:pPr>
              <w:spacing w:before="0" w:after="0"/>
              <w:jc w:val="right"/>
              <w:rPr>
                <w:lang w:val="en-AU"/>
              </w:rPr>
            </w:pPr>
            <w:r w:rsidRPr="00317F08">
              <w:rPr>
                <w:lang w:val="en-AU"/>
              </w:rPr>
              <w:t>23:6</w:t>
            </w:r>
          </w:p>
        </w:tc>
        <w:tc>
          <w:tcPr>
            <w:tcW w:w="0" w:type="auto"/>
            <w:shd w:val="clear" w:color="auto" w:fill="auto"/>
          </w:tcPr>
          <w:p w14:paraId="24EBB004" w14:textId="77777777" w:rsidR="00C01A50" w:rsidRPr="00317F08" w:rsidRDefault="00C01A50" w:rsidP="00880811">
            <w:pPr>
              <w:spacing w:before="0" w:after="0"/>
              <w:jc w:val="right"/>
              <w:rPr>
                <w:lang w:val="en-AU"/>
              </w:rPr>
            </w:pPr>
          </w:p>
        </w:tc>
        <w:tc>
          <w:tcPr>
            <w:tcW w:w="0" w:type="auto"/>
            <w:shd w:val="clear" w:color="auto" w:fill="auto"/>
          </w:tcPr>
          <w:p w14:paraId="00CC623F" w14:textId="77777777" w:rsidR="00C01A50" w:rsidRPr="00317F08" w:rsidRDefault="00C01A50" w:rsidP="00880811">
            <w:pPr>
              <w:spacing w:before="0" w:after="0"/>
              <w:jc w:val="right"/>
              <w:rPr>
                <w:lang w:val="en-AU"/>
              </w:rPr>
            </w:pPr>
          </w:p>
        </w:tc>
      </w:tr>
      <w:tr w:rsidR="00C01A50" w:rsidRPr="00317F08" w14:paraId="7BCFBC5C" w14:textId="77777777">
        <w:tc>
          <w:tcPr>
            <w:tcW w:w="0" w:type="auto"/>
            <w:shd w:val="clear" w:color="auto" w:fill="auto"/>
          </w:tcPr>
          <w:p w14:paraId="5FB8174A" w14:textId="77777777" w:rsidR="00C01A50" w:rsidRPr="00317F08" w:rsidRDefault="00C01A50" w:rsidP="00880811">
            <w:pPr>
              <w:spacing w:before="0" w:after="0"/>
              <w:rPr>
                <w:lang w:val="en-AU"/>
              </w:rPr>
            </w:pPr>
            <w:r w:rsidRPr="00317F08">
              <w:rPr>
                <w:lang w:val="en-AU"/>
              </w:rPr>
              <w:t>Carryover from previous year (GL)</w:t>
            </w:r>
          </w:p>
        </w:tc>
        <w:tc>
          <w:tcPr>
            <w:tcW w:w="0" w:type="auto"/>
            <w:shd w:val="clear" w:color="auto" w:fill="auto"/>
          </w:tcPr>
          <w:p w14:paraId="34626CB1" w14:textId="77777777" w:rsidR="00C01A50" w:rsidRPr="00317F08" w:rsidRDefault="00C01A50" w:rsidP="00880811">
            <w:pPr>
              <w:spacing w:before="0" w:after="0"/>
              <w:jc w:val="right"/>
              <w:rPr>
                <w:lang w:val="en-AU"/>
              </w:rPr>
            </w:pPr>
            <w:r w:rsidRPr="00317F08">
              <w:rPr>
                <w:lang w:val="en-AU"/>
              </w:rPr>
              <w:t>210</w:t>
            </w:r>
          </w:p>
        </w:tc>
        <w:tc>
          <w:tcPr>
            <w:tcW w:w="0" w:type="auto"/>
            <w:shd w:val="clear" w:color="auto" w:fill="auto"/>
          </w:tcPr>
          <w:p w14:paraId="3EF090FA" w14:textId="77777777" w:rsidR="00C01A50" w:rsidRPr="00317F08" w:rsidRDefault="00C01A50" w:rsidP="00880811">
            <w:pPr>
              <w:spacing w:before="0" w:after="0"/>
              <w:jc w:val="right"/>
              <w:rPr>
                <w:lang w:val="en-AU"/>
              </w:rPr>
            </w:pPr>
            <w:r w:rsidRPr="00317F08">
              <w:rPr>
                <w:lang w:val="en-AU"/>
              </w:rPr>
              <w:t>430</w:t>
            </w:r>
          </w:p>
        </w:tc>
        <w:tc>
          <w:tcPr>
            <w:tcW w:w="0" w:type="auto"/>
            <w:shd w:val="clear" w:color="auto" w:fill="auto"/>
          </w:tcPr>
          <w:p w14:paraId="2DF69605" w14:textId="77777777" w:rsidR="00C01A50" w:rsidRPr="00317F08" w:rsidRDefault="00C01A50" w:rsidP="00880811">
            <w:pPr>
              <w:spacing w:before="0" w:after="0"/>
              <w:jc w:val="right"/>
              <w:rPr>
                <w:lang w:val="en-AU"/>
              </w:rPr>
            </w:pPr>
            <w:r w:rsidRPr="00317F08">
              <w:rPr>
                <w:lang w:val="en-AU"/>
              </w:rPr>
              <w:t>101</w:t>
            </w:r>
          </w:p>
        </w:tc>
        <w:tc>
          <w:tcPr>
            <w:tcW w:w="0" w:type="auto"/>
            <w:shd w:val="clear" w:color="auto" w:fill="auto"/>
          </w:tcPr>
          <w:p w14:paraId="67E6176E" w14:textId="77777777" w:rsidR="00C01A50" w:rsidRPr="00317F08" w:rsidRDefault="00C01A50" w:rsidP="00880811">
            <w:pPr>
              <w:spacing w:before="0" w:after="0"/>
              <w:jc w:val="right"/>
              <w:rPr>
                <w:lang w:val="en-AU"/>
              </w:rPr>
            </w:pPr>
            <w:r w:rsidRPr="00317F08">
              <w:rPr>
                <w:lang w:val="en-AU"/>
              </w:rPr>
              <w:t>220</w:t>
            </w:r>
          </w:p>
        </w:tc>
        <w:tc>
          <w:tcPr>
            <w:tcW w:w="0" w:type="auto"/>
            <w:shd w:val="clear" w:color="auto" w:fill="auto"/>
          </w:tcPr>
          <w:p w14:paraId="011DBA18" w14:textId="77777777" w:rsidR="00C01A50" w:rsidRPr="00317F08" w:rsidRDefault="00C01A50" w:rsidP="00880811">
            <w:pPr>
              <w:spacing w:before="0" w:after="0"/>
              <w:jc w:val="right"/>
              <w:rPr>
                <w:lang w:val="en-AU"/>
              </w:rPr>
            </w:pPr>
            <w:r w:rsidRPr="00317F08">
              <w:rPr>
                <w:lang w:val="en-AU"/>
              </w:rPr>
              <w:t>152</w:t>
            </w:r>
          </w:p>
        </w:tc>
        <w:tc>
          <w:tcPr>
            <w:tcW w:w="0" w:type="auto"/>
            <w:shd w:val="clear" w:color="auto" w:fill="auto"/>
          </w:tcPr>
          <w:p w14:paraId="6C78EA1B" w14:textId="77777777" w:rsidR="00C01A50" w:rsidRPr="00317F08" w:rsidRDefault="00C01A50" w:rsidP="00880811">
            <w:pPr>
              <w:spacing w:before="0" w:after="0"/>
              <w:jc w:val="right"/>
              <w:rPr>
                <w:lang w:val="en-AU"/>
              </w:rPr>
            </w:pPr>
          </w:p>
        </w:tc>
        <w:tc>
          <w:tcPr>
            <w:tcW w:w="0" w:type="auto"/>
            <w:shd w:val="clear" w:color="auto" w:fill="auto"/>
          </w:tcPr>
          <w:p w14:paraId="75BA0145" w14:textId="77777777" w:rsidR="00C01A50" w:rsidRPr="00317F08" w:rsidRDefault="00C01A50" w:rsidP="00880811">
            <w:pPr>
              <w:spacing w:before="0" w:after="0"/>
              <w:jc w:val="right"/>
              <w:rPr>
                <w:lang w:val="en-AU"/>
              </w:rPr>
            </w:pPr>
          </w:p>
        </w:tc>
      </w:tr>
      <w:tr w:rsidR="00C01A50" w:rsidRPr="00317F08" w14:paraId="4484E896" w14:textId="77777777">
        <w:tc>
          <w:tcPr>
            <w:tcW w:w="0" w:type="auto"/>
            <w:shd w:val="clear" w:color="auto" w:fill="auto"/>
          </w:tcPr>
          <w:p w14:paraId="6B79FED8" w14:textId="77777777" w:rsidR="00C01A50" w:rsidRPr="00317F08" w:rsidRDefault="00C01A50" w:rsidP="00880811">
            <w:pPr>
              <w:spacing w:before="0" w:after="0"/>
              <w:rPr>
                <w:lang w:val="en-AU"/>
              </w:rPr>
            </w:pPr>
            <w:r w:rsidRPr="00317F08">
              <w:rPr>
                <w:lang w:val="en-AU"/>
              </w:rPr>
              <w:t>Annual Use (GL)</w:t>
            </w:r>
          </w:p>
        </w:tc>
        <w:tc>
          <w:tcPr>
            <w:tcW w:w="0" w:type="auto"/>
            <w:shd w:val="clear" w:color="auto" w:fill="auto"/>
          </w:tcPr>
          <w:p w14:paraId="42329430" w14:textId="77777777" w:rsidR="00C01A50" w:rsidRPr="00317F08" w:rsidRDefault="00C01A50" w:rsidP="00880811">
            <w:pPr>
              <w:spacing w:before="0" w:after="0"/>
              <w:jc w:val="right"/>
              <w:rPr>
                <w:lang w:val="en-AU"/>
              </w:rPr>
            </w:pPr>
            <w:r w:rsidRPr="00317F08">
              <w:rPr>
                <w:lang w:val="en-AU"/>
              </w:rPr>
              <w:t xml:space="preserve">985 </w:t>
            </w:r>
            <w:r>
              <w:rPr>
                <w:lang w:val="en-AU"/>
              </w:rPr>
              <w:br/>
            </w:r>
            <w:r w:rsidRPr="00317F08">
              <w:rPr>
                <w:lang w:val="en-AU"/>
              </w:rPr>
              <w:t>(887 excl</w:t>
            </w:r>
            <w:r>
              <w:rPr>
                <w:lang w:val="en-AU"/>
              </w:rPr>
              <w:t>uding the</w:t>
            </w:r>
            <w:r w:rsidRPr="00317F08">
              <w:rPr>
                <w:lang w:val="en-AU"/>
              </w:rPr>
              <w:t xml:space="preserve"> Snowy Adv</w:t>
            </w:r>
            <w:r>
              <w:rPr>
                <w:lang w:val="en-AU"/>
              </w:rPr>
              <w:t>ance</w:t>
            </w:r>
            <w:r w:rsidRPr="00317F08">
              <w:rPr>
                <w:lang w:val="en-AU"/>
              </w:rPr>
              <w:t>)</w:t>
            </w:r>
          </w:p>
        </w:tc>
        <w:tc>
          <w:tcPr>
            <w:tcW w:w="0" w:type="auto"/>
            <w:shd w:val="clear" w:color="auto" w:fill="auto"/>
          </w:tcPr>
          <w:p w14:paraId="296BC8AF" w14:textId="77777777" w:rsidR="00C01A50" w:rsidRPr="00317F08" w:rsidRDefault="00C01A50" w:rsidP="00880811">
            <w:pPr>
              <w:spacing w:before="0" w:after="0"/>
              <w:jc w:val="right"/>
              <w:rPr>
                <w:lang w:val="en-AU"/>
              </w:rPr>
            </w:pPr>
            <w:r w:rsidRPr="00317F08">
              <w:rPr>
                <w:lang w:val="en-AU"/>
              </w:rPr>
              <w:t>1263</w:t>
            </w:r>
          </w:p>
        </w:tc>
        <w:tc>
          <w:tcPr>
            <w:tcW w:w="0" w:type="auto"/>
            <w:shd w:val="clear" w:color="auto" w:fill="auto"/>
          </w:tcPr>
          <w:p w14:paraId="26FEB3D9" w14:textId="77777777" w:rsidR="00C01A50" w:rsidRPr="00317F08" w:rsidRDefault="00C01A50" w:rsidP="00880811">
            <w:pPr>
              <w:spacing w:before="0" w:after="0"/>
              <w:jc w:val="right"/>
              <w:rPr>
                <w:lang w:val="en-AU"/>
              </w:rPr>
            </w:pPr>
            <w:r w:rsidRPr="00317F08">
              <w:rPr>
                <w:lang w:val="en-AU"/>
              </w:rPr>
              <w:t>924</w:t>
            </w:r>
          </w:p>
        </w:tc>
        <w:tc>
          <w:tcPr>
            <w:tcW w:w="0" w:type="auto"/>
            <w:shd w:val="clear" w:color="auto" w:fill="auto"/>
          </w:tcPr>
          <w:p w14:paraId="1446503F" w14:textId="77777777" w:rsidR="00C01A50" w:rsidRPr="00317F08" w:rsidRDefault="00C01A50" w:rsidP="00880811">
            <w:pPr>
              <w:spacing w:before="0" w:after="0"/>
              <w:jc w:val="right"/>
              <w:rPr>
                <w:lang w:val="en-AU"/>
              </w:rPr>
            </w:pPr>
            <w:r w:rsidRPr="00317F08">
              <w:rPr>
                <w:lang w:val="en-AU"/>
              </w:rPr>
              <w:t>739</w:t>
            </w:r>
          </w:p>
        </w:tc>
        <w:tc>
          <w:tcPr>
            <w:tcW w:w="0" w:type="auto"/>
            <w:shd w:val="clear" w:color="auto" w:fill="auto"/>
          </w:tcPr>
          <w:p w14:paraId="68812E24" w14:textId="77777777" w:rsidR="00C01A50" w:rsidRPr="00317F08" w:rsidRDefault="00C01A50" w:rsidP="00880811">
            <w:pPr>
              <w:spacing w:before="0" w:after="0"/>
              <w:jc w:val="right"/>
              <w:rPr>
                <w:lang w:val="en-AU"/>
              </w:rPr>
            </w:pPr>
            <w:r w:rsidRPr="00317F08">
              <w:rPr>
                <w:lang w:val="en-AU"/>
              </w:rPr>
              <w:t>339</w:t>
            </w:r>
          </w:p>
        </w:tc>
        <w:tc>
          <w:tcPr>
            <w:tcW w:w="0" w:type="auto"/>
            <w:shd w:val="clear" w:color="auto" w:fill="auto"/>
          </w:tcPr>
          <w:p w14:paraId="3ED41031" w14:textId="77777777" w:rsidR="00C01A50" w:rsidRPr="00317F08" w:rsidRDefault="00C01A50" w:rsidP="00880811">
            <w:pPr>
              <w:spacing w:before="0" w:after="0"/>
              <w:jc w:val="right"/>
              <w:rPr>
                <w:lang w:val="en-AU"/>
              </w:rPr>
            </w:pPr>
            <w:r w:rsidRPr="00317F08">
              <w:rPr>
                <w:lang w:val="en-AU"/>
              </w:rPr>
              <w:t>+278</w:t>
            </w:r>
          </w:p>
        </w:tc>
        <w:tc>
          <w:tcPr>
            <w:tcW w:w="0" w:type="auto"/>
            <w:shd w:val="clear" w:color="auto" w:fill="auto"/>
          </w:tcPr>
          <w:p w14:paraId="687DFDF7" w14:textId="77777777" w:rsidR="00C01A50" w:rsidRPr="00317F08" w:rsidRDefault="00C01A50" w:rsidP="00880811">
            <w:pPr>
              <w:spacing w:before="0" w:after="0"/>
              <w:jc w:val="right"/>
              <w:rPr>
                <w:lang w:val="en-AU"/>
              </w:rPr>
            </w:pPr>
            <w:r w:rsidRPr="00317F08">
              <w:rPr>
                <w:lang w:val="en-AU"/>
              </w:rPr>
              <w:t xml:space="preserve">-246 </w:t>
            </w:r>
            <w:r>
              <w:rPr>
                <w:lang w:val="en-AU"/>
              </w:rPr>
              <w:br/>
            </w:r>
            <w:r w:rsidRPr="00317F08">
              <w:rPr>
                <w:lang w:val="en-AU"/>
              </w:rPr>
              <w:t>(-148 excl</w:t>
            </w:r>
            <w:r>
              <w:rPr>
                <w:lang w:val="en-AU"/>
              </w:rPr>
              <w:t>uding the</w:t>
            </w:r>
            <w:r w:rsidRPr="00317F08">
              <w:rPr>
                <w:lang w:val="en-AU"/>
              </w:rPr>
              <w:t xml:space="preserve"> Snowy Adv</w:t>
            </w:r>
            <w:r>
              <w:rPr>
                <w:lang w:val="en-AU"/>
              </w:rPr>
              <w:t>ance</w:t>
            </w:r>
            <w:r w:rsidRPr="00317F08">
              <w:rPr>
                <w:lang w:val="en-AU"/>
              </w:rPr>
              <w:t>)</w:t>
            </w:r>
          </w:p>
        </w:tc>
      </w:tr>
      <w:tr w:rsidR="00C01A50" w:rsidRPr="00317F08" w14:paraId="086C99CE" w14:textId="77777777">
        <w:tc>
          <w:tcPr>
            <w:tcW w:w="0" w:type="auto"/>
            <w:shd w:val="clear" w:color="auto" w:fill="auto"/>
          </w:tcPr>
          <w:p w14:paraId="39DBA5FF" w14:textId="77777777" w:rsidR="00C01A50" w:rsidRPr="00317F08" w:rsidRDefault="00C01A50" w:rsidP="00880811">
            <w:pPr>
              <w:spacing w:before="0" w:after="0"/>
              <w:rPr>
                <w:lang w:val="en-AU"/>
              </w:rPr>
            </w:pPr>
            <w:r w:rsidRPr="00317F08">
              <w:rPr>
                <w:lang w:val="en-AU"/>
              </w:rPr>
              <w:t>Crop Water Use (%)</w:t>
            </w:r>
          </w:p>
        </w:tc>
        <w:tc>
          <w:tcPr>
            <w:tcW w:w="0" w:type="auto"/>
            <w:shd w:val="clear" w:color="auto" w:fill="auto"/>
          </w:tcPr>
          <w:p w14:paraId="3A7C09DE" w14:textId="77777777" w:rsidR="00C01A50" w:rsidRPr="00317F08" w:rsidRDefault="00C01A50" w:rsidP="00880811">
            <w:pPr>
              <w:spacing w:before="0" w:after="0"/>
              <w:jc w:val="right"/>
              <w:rPr>
                <w:lang w:val="en-AU"/>
              </w:rPr>
            </w:pPr>
          </w:p>
        </w:tc>
        <w:tc>
          <w:tcPr>
            <w:tcW w:w="0" w:type="auto"/>
            <w:shd w:val="clear" w:color="auto" w:fill="auto"/>
          </w:tcPr>
          <w:p w14:paraId="43936882" w14:textId="77777777" w:rsidR="00C01A50" w:rsidRPr="00317F08" w:rsidRDefault="00C01A50" w:rsidP="00880811">
            <w:pPr>
              <w:spacing w:before="0" w:after="0"/>
              <w:jc w:val="right"/>
              <w:rPr>
                <w:lang w:val="en-AU"/>
              </w:rPr>
            </w:pPr>
          </w:p>
        </w:tc>
        <w:tc>
          <w:tcPr>
            <w:tcW w:w="0" w:type="auto"/>
            <w:shd w:val="clear" w:color="auto" w:fill="auto"/>
          </w:tcPr>
          <w:p w14:paraId="091D1B6C" w14:textId="77777777" w:rsidR="00C01A50" w:rsidRPr="00317F08" w:rsidRDefault="00C01A50" w:rsidP="00880811">
            <w:pPr>
              <w:spacing w:before="0" w:after="0"/>
              <w:jc w:val="right"/>
              <w:rPr>
                <w:lang w:val="en-AU"/>
              </w:rPr>
            </w:pPr>
          </w:p>
        </w:tc>
        <w:tc>
          <w:tcPr>
            <w:tcW w:w="0" w:type="auto"/>
            <w:shd w:val="clear" w:color="auto" w:fill="auto"/>
          </w:tcPr>
          <w:p w14:paraId="3CB1A9B1" w14:textId="77777777" w:rsidR="00C01A50" w:rsidRPr="00317F08" w:rsidRDefault="00C01A50" w:rsidP="00880811">
            <w:pPr>
              <w:spacing w:before="0" w:after="0"/>
              <w:jc w:val="right"/>
              <w:rPr>
                <w:lang w:val="en-AU"/>
              </w:rPr>
            </w:pPr>
          </w:p>
        </w:tc>
        <w:tc>
          <w:tcPr>
            <w:tcW w:w="0" w:type="auto"/>
            <w:shd w:val="clear" w:color="auto" w:fill="auto"/>
          </w:tcPr>
          <w:p w14:paraId="06C7D2A1" w14:textId="77777777" w:rsidR="00C01A50" w:rsidRPr="00317F08" w:rsidRDefault="00C01A50" w:rsidP="00880811">
            <w:pPr>
              <w:spacing w:before="0" w:after="0"/>
              <w:jc w:val="right"/>
              <w:rPr>
                <w:lang w:val="en-AU"/>
              </w:rPr>
            </w:pPr>
          </w:p>
        </w:tc>
        <w:tc>
          <w:tcPr>
            <w:tcW w:w="0" w:type="auto"/>
            <w:shd w:val="clear" w:color="auto" w:fill="auto"/>
          </w:tcPr>
          <w:p w14:paraId="3AE83079" w14:textId="77777777" w:rsidR="00C01A50" w:rsidRPr="00317F08" w:rsidRDefault="00C01A50" w:rsidP="00880811">
            <w:pPr>
              <w:spacing w:before="0" w:after="0"/>
              <w:jc w:val="right"/>
              <w:rPr>
                <w:lang w:val="en-AU"/>
              </w:rPr>
            </w:pPr>
          </w:p>
        </w:tc>
        <w:tc>
          <w:tcPr>
            <w:tcW w:w="0" w:type="auto"/>
            <w:shd w:val="clear" w:color="auto" w:fill="auto"/>
          </w:tcPr>
          <w:p w14:paraId="78985E75" w14:textId="77777777" w:rsidR="00C01A50" w:rsidRPr="00317F08" w:rsidRDefault="00C01A50" w:rsidP="00880811">
            <w:pPr>
              <w:spacing w:before="0" w:after="0"/>
              <w:jc w:val="right"/>
              <w:rPr>
                <w:lang w:val="en-AU"/>
              </w:rPr>
            </w:pPr>
          </w:p>
        </w:tc>
      </w:tr>
      <w:tr w:rsidR="00C01A50" w:rsidRPr="00317F08" w14:paraId="14E6426B" w14:textId="77777777">
        <w:tc>
          <w:tcPr>
            <w:tcW w:w="0" w:type="auto"/>
            <w:shd w:val="clear" w:color="auto" w:fill="auto"/>
          </w:tcPr>
          <w:p w14:paraId="49552B82" w14:textId="77777777" w:rsidR="00C01A50" w:rsidRPr="00317F08" w:rsidRDefault="00C01A50" w:rsidP="002939B3">
            <w:pPr>
              <w:numPr>
                <w:ilvl w:val="0"/>
                <w:numId w:val="8"/>
              </w:numPr>
              <w:spacing w:before="0" w:after="0"/>
              <w:rPr>
                <w:lang w:val="en-AU"/>
              </w:rPr>
            </w:pPr>
            <w:r w:rsidRPr="00317F08">
              <w:rPr>
                <w:lang w:val="en-AU"/>
              </w:rPr>
              <w:t>rice</w:t>
            </w:r>
          </w:p>
        </w:tc>
        <w:tc>
          <w:tcPr>
            <w:tcW w:w="0" w:type="auto"/>
            <w:shd w:val="clear" w:color="auto" w:fill="auto"/>
          </w:tcPr>
          <w:p w14:paraId="6372F27E" w14:textId="77777777" w:rsidR="00C01A50" w:rsidRPr="00317F08" w:rsidRDefault="00C01A50" w:rsidP="00880811">
            <w:pPr>
              <w:spacing w:before="0" w:after="0"/>
              <w:jc w:val="right"/>
              <w:rPr>
                <w:lang w:val="en-AU"/>
              </w:rPr>
            </w:pPr>
            <w:r w:rsidRPr="00317F08">
              <w:rPr>
                <w:lang w:val="en-AU"/>
              </w:rPr>
              <w:t>49</w:t>
            </w:r>
          </w:p>
        </w:tc>
        <w:tc>
          <w:tcPr>
            <w:tcW w:w="0" w:type="auto"/>
            <w:shd w:val="clear" w:color="auto" w:fill="auto"/>
          </w:tcPr>
          <w:p w14:paraId="4BCDA490" w14:textId="77777777" w:rsidR="00C01A50" w:rsidRPr="00317F08" w:rsidRDefault="00C01A50" w:rsidP="00880811">
            <w:pPr>
              <w:spacing w:before="0" w:after="0"/>
              <w:jc w:val="right"/>
              <w:rPr>
                <w:lang w:val="en-AU"/>
              </w:rPr>
            </w:pPr>
            <w:r w:rsidRPr="00317F08">
              <w:rPr>
                <w:lang w:val="en-AU"/>
              </w:rPr>
              <w:t>54</w:t>
            </w:r>
          </w:p>
        </w:tc>
        <w:tc>
          <w:tcPr>
            <w:tcW w:w="0" w:type="auto"/>
            <w:shd w:val="clear" w:color="auto" w:fill="auto"/>
          </w:tcPr>
          <w:p w14:paraId="2B2F0B85" w14:textId="77777777" w:rsidR="00C01A50" w:rsidRPr="00317F08" w:rsidRDefault="00C01A50" w:rsidP="00880811">
            <w:pPr>
              <w:spacing w:before="0" w:after="0"/>
              <w:jc w:val="right"/>
              <w:rPr>
                <w:lang w:val="en-AU"/>
              </w:rPr>
            </w:pPr>
            <w:r w:rsidRPr="00317F08">
              <w:rPr>
                <w:lang w:val="en-AU"/>
              </w:rPr>
              <w:t>53</w:t>
            </w:r>
          </w:p>
        </w:tc>
        <w:tc>
          <w:tcPr>
            <w:tcW w:w="0" w:type="auto"/>
            <w:shd w:val="clear" w:color="auto" w:fill="auto"/>
          </w:tcPr>
          <w:p w14:paraId="46D9B3AD" w14:textId="77777777" w:rsidR="00C01A50" w:rsidRPr="00317F08" w:rsidRDefault="00C01A50" w:rsidP="00880811">
            <w:pPr>
              <w:spacing w:before="0" w:after="0"/>
              <w:jc w:val="right"/>
              <w:rPr>
                <w:lang w:val="en-AU"/>
              </w:rPr>
            </w:pPr>
            <w:r w:rsidRPr="00317F08">
              <w:rPr>
                <w:lang w:val="en-AU"/>
              </w:rPr>
              <w:t>45</w:t>
            </w:r>
          </w:p>
        </w:tc>
        <w:tc>
          <w:tcPr>
            <w:tcW w:w="0" w:type="auto"/>
            <w:shd w:val="clear" w:color="auto" w:fill="auto"/>
          </w:tcPr>
          <w:p w14:paraId="28CEBCD4" w14:textId="77777777" w:rsidR="00C01A50" w:rsidRPr="00317F08" w:rsidRDefault="00C01A50" w:rsidP="00880811">
            <w:pPr>
              <w:spacing w:before="0" w:after="0"/>
              <w:jc w:val="right"/>
              <w:rPr>
                <w:lang w:val="en-AU"/>
              </w:rPr>
            </w:pPr>
            <w:r w:rsidRPr="00317F08">
              <w:rPr>
                <w:lang w:val="en-AU"/>
              </w:rPr>
              <w:t>11</w:t>
            </w:r>
          </w:p>
        </w:tc>
        <w:tc>
          <w:tcPr>
            <w:tcW w:w="0" w:type="auto"/>
            <w:shd w:val="clear" w:color="auto" w:fill="auto"/>
          </w:tcPr>
          <w:p w14:paraId="1E2EE7B6" w14:textId="77777777" w:rsidR="00C01A50" w:rsidRPr="00317F08" w:rsidRDefault="00C01A50" w:rsidP="00880811">
            <w:pPr>
              <w:spacing w:before="0" w:after="0"/>
              <w:jc w:val="right"/>
              <w:rPr>
                <w:lang w:val="en-AU"/>
              </w:rPr>
            </w:pPr>
            <w:r w:rsidRPr="00317F08">
              <w:rPr>
                <w:lang w:val="en-AU"/>
              </w:rPr>
              <w:t>+5</w:t>
            </w:r>
          </w:p>
        </w:tc>
        <w:tc>
          <w:tcPr>
            <w:tcW w:w="0" w:type="auto"/>
            <w:shd w:val="clear" w:color="auto" w:fill="auto"/>
          </w:tcPr>
          <w:p w14:paraId="087BEAAA" w14:textId="77777777" w:rsidR="00C01A50" w:rsidRPr="00317F08" w:rsidRDefault="00C01A50" w:rsidP="00880811">
            <w:pPr>
              <w:spacing w:before="0" w:after="0"/>
              <w:jc w:val="right"/>
              <w:rPr>
                <w:lang w:val="en-AU"/>
              </w:rPr>
            </w:pPr>
            <w:r w:rsidRPr="00317F08">
              <w:rPr>
                <w:lang w:val="en-AU"/>
              </w:rPr>
              <w:t>-4</w:t>
            </w:r>
          </w:p>
        </w:tc>
      </w:tr>
      <w:tr w:rsidR="00C01A50" w:rsidRPr="00317F08" w14:paraId="2935E892" w14:textId="77777777">
        <w:tc>
          <w:tcPr>
            <w:tcW w:w="0" w:type="auto"/>
            <w:shd w:val="clear" w:color="auto" w:fill="auto"/>
          </w:tcPr>
          <w:p w14:paraId="608EC15C" w14:textId="77777777" w:rsidR="00C01A50" w:rsidRPr="00317F08" w:rsidRDefault="00C01A50" w:rsidP="002939B3">
            <w:pPr>
              <w:numPr>
                <w:ilvl w:val="0"/>
                <w:numId w:val="8"/>
              </w:numPr>
              <w:spacing w:before="0" w:after="0"/>
              <w:rPr>
                <w:lang w:val="en-AU"/>
              </w:rPr>
            </w:pPr>
            <w:r w:rsidRPr="00317F08">
              <w:rPr>
                <w:lang w:val="en-AU"/>
              </w:rPr>
              <w:t>Annual Pasture</w:t>
            </w:r>
          </w:p>
        </w:tc>
        <w:tc>
          <w:tcPr>
            <w:tcW w:w="0" w:type="auto"/>
            <w:shd w:val="clear" w:color="auto" w:fill="auto"/>
          </w:tcPr>
          <w:p w14:paraId="5F9CD2FE" w14:textId="77777777" w:rsidR="00C01A50" w:rsidRPr="00317F08" w:rsidRDefault="00C01A50" w:rsidP="00880811">
            <w:pPr>
              <w:spacing w:before="0" w:after="0"/>
              <w:jc w:val="right"/>
              <w:rPr>
                <w:lang w:val="en-AU"/>
              </w:rPr>
            </w:pPr>
            <w:r w:rsidRPr="00317F08">
              <w:rPr>
                <w:lang w:val="en-AU"/>
              </w:rPr>
              <w:t>25</w:t>
            </w:r>
          </w:p>
        </w:tc>
        <w:tc>
          <w:tcPr>
            <w:tcW w:w="0" w:type="auto"/>
            <w:shd w:val="clear" w:color="auto" w:fill="auto"/>
          </w:tcPr>
          <w:p w14:paraId="1E573BAF" w14:textId="77777777" w:rsidR="00C01A50" w:rsidRPr="00317F08" w:rsidRDefault="00C01A50" w:rsidP="00880811">
            <w:pPr>
              <w:spacing w:before="0" w:after="0"/>
              <w:jc w:val="right"/>
              <w:rPr>
                <w:lang w:val="en-AU"/>
              </w:rPr>
            </w:pPr>
            <w:r w:rsidRPr="00317F08">
              <w:rPr>
                <w:lang w:val="en-AU"/>
              </w:rPr>
              <w:t>17</w:t>
            </w:r>
          </w:p>
        </w:tc>
        <w:tc>
          <w:tcPr>
            <w:tcW w:w="0" w:type="auto"/>
            <w:shd w:val="clear" w:color="auto" w:fill="auto"/>
          </w:tcPr>
          <w:p w14:paraId="13996126" w14:textId="77777777" w:rsidR="00C01A50" w:rsidRPr="00317F08" w:rsidRDefault="00C01A50" w:rsidP="00880811">
            <w:pPr>
              <w:spacing w:before="0" w:after="0"/>
              <w:jc w:val="right"/>
              <w:rPr>
                <w:lang w:val="en-AU"/>
              </w:rPr>
            </w:pPr>
            <w:r w:rsidRPr="00317F08">
              <w:rPr>
                <w:lang w:val="en-AU"/>
              </w:rPr>
              <w:t>15</w:t>
            </w:r>
          </w:p>
        </w:tc>
        <w:tc>
          <w:tcPr>
            <w:tcW w:w="0" w:type="auto"/>
            <w:shd w:val="clear" w:color="auto" w:fill="auto"/>
          </w:tcPr>
          <w:p w14:paraId="7E30A799" w14:textId="77777777" w:rsidR="00C01A50" w:rsidRPr="00317F08" w:rsidRDefault="00C01A50" w:rsidP="00880811">
            <w:pPr>
              <w:spacing w:before="0" w:after="0"/>
              <w:jc w:val="right"/>
              <w:rPr>
                <w:lang w:val="en-AU"/>
              </w:rPr>
            </w:pPr>
            <w:r w:rsidRPr="00317F08">
              <w:rPr>
                <w:lang w:val="en-AU"/>
              </w:rPr>
              <w:t>20</w:t>
            </w:r>
          </w:p>
        </w:tc>
        <w:tc>
          <w:tcPr>
            <w:tcW w:w="0" w:type="auto"/>
            <w:shd w:val="clear" w:color="auto" w:fill="auto"/>
          </w:tcPr>
          <w:p w14:paraId="2B9A8CA6" w14:textId="77777777" w:rsidR="00C01A50" w:rsidRPr="00317F08" w:rsidRDefault="00C01A50" w:rsidP="00880811">
            <w:pPr>
              <w:spacing w:before="0" w:after="0"/>
              <w:jc w:val="right"/>
              <w:rPr>
                <w:lang w:val="en-AU"/>
              </w:rPr>
            </w:pPr>
            <w:r w:rsidRPr="00317F08">
              <w:rPr>
                <w:lang w:val="en-AU"/>
              </w:rPr>
              <w:t>31</w:t>
            </w:r>
          </w:p>
        </w:tc>
        <w:tc>
          <w:tcPr>
            <w:tcW w:w="0" w:type="auto"/>
            <w:shd w:val="clear" w:color="auto" w:fill="auto"/>
          </w:tcPr>
          <w:p w14:paraId="63127DB7" w14:textId="77777777" w:rsidR="00C01A50" w:rsidRPr="00317F08" w:rsidRDefault="00C01A50" w:rsidP="00880811">
            <w:pPr>
              <w:spacing w:before="0" w:after="0"/>
              <w:jc w:val="right"/>
              <w:rPr>
                <w:lang w:val="en-AU"/>
              </w:rPr>
            </w:pPr>
            <w:r w:rsidRPr="00317F08">
              <w:rPr>
                <w:lang w:val="en-AU"/>
              </w:rPr>
              <w:t>-8</w:t>
            </w:r>
          </w:p>
        </w:tc>
        <w:tc>
          <w:tcPr>
            <w:tcW w:w="0" w:type="auto"/>
            <w:shd w:val="clear" w:color="auto" w:fill="auto"/>
          </w:tcPr>
          <w:p w14:paraId="576DC546" w14:textId="77777777" w:rsidR="00C01A50" w:rsidRPr="00317F08" w:rsidRDefault="00C01A50" w:rsidP="00880811">
            <w:pPr>
              <w:spacing w:before="0" w:after="0"/>
              <w:jc w:val="right"/>
              <w:rPr>
                <w:lang w:val="en-AU"/>
              </w:rPr>
            </w:pPr>
            <w:r w:rsidRPr="00317F08">
              <w:rPr>
                <w:lang w:val="en-AU"/>
              </w:rPr>
              <w:t>-5</w:t>
            </w:r>
          </w:p>
        </w:tc>
      </w:tr>
      <w:tr w:rsidR="00C01A50" w:rsidRPr="00317F08" w14:paraId="7120BFA3" w14:textId="77777777">
        <w:tc>
          <w:tcPr>
            <w:tcW w:w="0" w:type="auto"/>
            <w:shd w:val="clear" w:color="auto" w:fill="auto"/>
          </w:tcPr>
          <w:p w14:paraId="1427F039" w14:textId="77777777" w:rsidR="00C01A50" w:rsidRPr="00317F08" w:rsidRDefault="00C01A50" w:rsidP="002939B3">
            <w:pPr>
              <w:numPr>
                <w:ilvl w:val="0"/>
                <w:numId w:val="8"/>
              </w:numPr>
              <w:spacing w:before="0" w:after="0"/>
              <w:rPr>
                <w:lang w:val="en-AU"/>
              </w:rPr>
            </w:pPr>
            <w:r w:rsidRPr="00317F08">
              <w:rPr>
                <w:lang w:val="en-AU"/>
              </w:rPr>
              <w:t>Perennial pasture</w:t>
            </w:r>
          </w:p>
        </w:tc>
        <w:tc>
          <w:tcPr>
            <w:tcW w:w="0" w:type="auto"/>
            <w:shd w:val="clear" w:color="auto" w:fill="auto"/>
          </w:tcPr>
          <w:p w14:paraId="5B37839C" w14:textId="77777777" w:rsidR="00C01A50" w:rsidRPr="00317F08" w:rsidRDefault="00C01A50" w:rsidP="00880811">
            <w:pPr>
              <w:spacing w:before="0" w:after="0"/>
              <w:jc w:val="right"/>
              <w:rPr>
                <w:lang w:val="en-AU"/>
              </w:rPr>
            </w:pPr>
            <w:r w:rsidRPr="00317F08">
              <w:rPr>
                <w:lang w:val="en-AU"/>
              </w:rPr>
              <w:t>11</w:t>
            </w:r>
          </w:p>
        </w:tc>
        <w:tc>
          <w:tcPr>
            <w:tcW w:w="0" w:type="auto"/>
            <w:shd w:val="clear" w:color="auto" w:fill="auto"/>
          </w:tcPr>
          <w:p w14:paraId="7BC0EDC1" w14:textId="77777777" w:rsidR="00C01A50" w:rsidRPr="00317F08" w:rsidRDefault="00C01A50" w:rsidP="00880811">
            <w:pPr>
              <w:spacing w:before="0" w:after="0"/>
              <w:jc w:val="right"/>
              <w:rPr>
                <w:lang w:val="en-AU"/>
              </w:rPr>
            </w:pPr>
            <w:r w:rsidRPr="00317F08">
              <w:rPr>
                <w:lang w:val="en-AU"/>
              </w:rPr>
              <w:t>7</w:t>
            </w:r>
          </w:p>
        </w:tc>
        <w:tc>
          <w:tcPr>
            <w:tcW w:w="0" w:type="auto"/>
            <w:shd w:val="clear" w:color="auto" w:fill="auto"/>
          </w:tcPr>
          <w:p w14:paraId="336E0F82" w14:textId="77777777" w:rsidR="00C01A50" w:rsidRPr="00317F08" w:rsidRDefault="00C01A50" w:rsidP="00880811">
            <w:pPr>
              <w:spacing w:before="0" w:after="0"/>
              <w:jc w:val="right"/>
              <w:rPr>
                <w:lang w:val="en-AU"/>
              </w:rPr>
            </w:pPr>
            <w:r w:rsidRPr="00317F08">
              <w:rPr>
                <w:lang w:val="en-AU"/>
              </w:rPr>
              <w:t>5</w:t>
            </w:r>
          </w:p>
        </w:tc>
        <w:tc>
          <w:tcPr>
            <w:tcW w:w="0" w:type="auto"/>
            <w:shd w:val="clear" w:color="auto" w:fill="auto"/>
          </w:tcPr>
          <w:p w14:paraId="2055B496" w14:textId="77777777" w:rsidR="00C01A50" w:rsidRPr="00317F08" w:rsidRDefault="00C01A50" w:rsidP="00880811">
            <w:pPr>
              <w:spacing w:before="0" w:after="0"/>
              <w:jc w:val="right"/>
              <w:rPr>
                <w:lang w:val="en-AU"/>
              </w:rPr>
            </w:pPr>
            <w:r w:rsidRPr="00317F08">
              <w:rPr>
                <w:lang w:val="en-AU"/>
              </w:rPr>
              <w:t>5</w:t>
            </w:r>
          </w:p>
        </w:tc>
        <w:tc>
          <w:tcPr>
            <w:tcW w:w="0" w:type="auto"/>
            <w:shd w:val="clear" w:color="auto" w:fill="auto"/>
          </w:tcPr>
          <w:p w14:paraId="12FDA77A" w14:textId="77777777" w:rsidR="00C01A50" w:rsidRPr="00317F08" w:rsidRDefault="00C01A50" w:rsidP="00880811">
            <w:pPr>
              <w:spacing w:before="0" w:after="0"/>
              <w:jc w:val="right"/>
              <w:rPr>
                <w:lang w:val="en-AU"/>
              </w:rPr>
            </w:pPr>
            <w:r w:rsidRPr="00317F08">
              <w:rPr>
                <w:lang w:val="en-AU"/>
              </w:rPr>
              <w:t>7</w:t>
            </w:r>
          </w:p>
        </w:tc>
        <w:tc>
          <w:tcPr>
            <w:tcW w:w="0" w:type="auto"/>
            <w:shd w:val="clear" w:color="auto" w:fill="auto"/>
          </w:tcPr>
          <w:p w14:paraId="280EA3A7" w14:textId="77777777" w:rsidR="00C01A50" w:rsidRPr="00317F08" w:rsidRDefault="00C01A50" w:rsidP="00880811">
            <w:pPr>
              <w:spacing w:before="0" w:after="0"/>
              <w:jc w:val="right"/>
              <w:rPr>
                <w:lang w:val="en-AU"/>
              </w:rPr>
            </w:pPr>
            <w:r w:rsidRPr="00317F08">
              <w:rPr>
                <w:lang w:val="en-AU"/>
              </w:rPr>
              <w:t>-4</w:t>
            </w:r>
          </w:p>
        </w:tc>
        <w:tc>
          <w:tcPr>
            <w:tcW w:w="0" w:type="auto"/>
            <w:shd w:val="clear" w:color="auto" w:fill="auto"/>
          </w:tcPr>
          <w:p w14:paraId="54A8F736" w14:textId="77777777" w:rsidR="00C01A50" w:rsidRPr="00317F08" w:rsidRDefault="00C01A50" w:rsidP="00880811">
            <w:pPr>
              <w:spacing w:before="0" w:after="0"/>
              <w:jc w:val="right"/>
              <w:rPr>
                <w:lang w:val="en-AU"/>
              </w:rPr>
            </w:pPr>
            <w:r w:rsidRPr="00317F08">
              <w:rPr>
                <w:lang w:val="en-AU"/>
              </w:rPr>
              <w:t>-6</w:t>
            </w:r>
          </w:p>
        </w:tc>
      </w:tr>
      <w:tr w:rsidR="00C01A50" w:rsidRPr="00317F08" w14:paraId="6099EF6B" w14:textId="77777777">
        <w:tc>
          <w:tcPr>
            <w:tcW w:w="0" w:type="auto"/>
            <w:shd w:val="clear" w:color="auto" w:fill="auto"/>
          </w:tcPr>
          <w:p w14:paraId="1064B512" w14:textId="77777777" w:rsidR="00C01A50" w:rsidRPr="00317F08" w:rsidRDefault="00C01A50" w:rsidP="002939B3">
            <w:pPr>
              <w:numPr>
                <w:ilvl w:val="0"/>
                <w:numId w:val="8"/>
              </w:numPr>
              <w:spacing w:before="0" w:after="0"/>
              <w:rPr>
                <w:lang w:val="en-AU"/>
              </w:rPr>
            </w:pPr>
            <w:r w:rsidRPr="00317F08">
              <w:rPr>
                <w:lang w:val="en-AU"/>
              </w:rPr>
              <w:t>Cereals</w:t>
            </w:r>
          </w:p>
        </w:tc>
        <w:tc>
          <w:tcPr>
            <w:tcW w:w="0" w:type="auto"/>
            <w:shd w:val="clear" w:color="auto" w:fill="auto"/>
          </w:tcPr>
          <w:p w14:paraId="028339E7" w14:textId="77777777" w:rsidR="00C01A50" w:rsidRPr="00317F08" w:rsidRDefault="00C01A50" w:rsidP="00880811">
            <w:pPr>
              <w:spacing w:before="0" w:after="0"/>
              <w:jc w:val="right"/>
              <w:rPr>
                <w:lang w:val="en-AU"/>
              </w:rPr>
            </w:pPr>
            <w:r w:rsidRPr="00317F08">
              <w:rPr>
                <w:lang w:val="en-AU"/>
              </w:rPr>
              <w:t>10</w:t>
            </w:r>
          </w:p>
        </w:tc>
        <w:tc>
          <w:tcPr>
            <w:tcW w:w="0" w:type="auto"/>
            <w:shd w:val="clear" w:color="auto" w:fill="auto"/>
          </w:tcPr>
          <w:p w14:paraId="7F50F588" w14:textId="77777777" w:rsidR="00C01A50" w:rsidRPr="00317F08" w:rsidRDefault="00C01A50" w:rsidP="00880811">
            <w:pPr>
              <w:spacing w:before="0" w:after="0"/>
              <w:jc w:val="right"/>
              <w:rPr>
                <w:lang w:val="en-AU"/>
              </w:rPr>
            </w:pPr>
            <w:r w:rsidRPr="00317F08">
              <w:rPr>
                <w:lang w:val="en-AU"/>
              </w:rPr>
              <w:t>15</w:t>
            </w:r>
          </w:p>
        </w:tc>
        <w:tc>
          <w:tcPr>
            <w:tcW w:w="0" w:type="auto"/>
            <w:shd w:val="clear" w:color="auto" w:fill="auto"/>
          </w:tcPr>
          <w:p w14:paraId="5FE85F76" w14:textId="77777777" w:rsidR="00C01A50" w:rsidRPr="00317F08" w:rsidRDefault="00C01A50" w:rsidP="00880811">
            <w:pPr>
              <w:spacing w:before="0" w:after="0"/>
              <w:jc w:val="right"/>
              <w:rPr>
                <w:lang w:val="en-AU"/>
              </w:rPr>
            </w:pPr>
            <w:r w:rsidRPr="00317F08">
              <w:rPr>
                <w:lang w:val="en-AU"/>
              </w:rPr>
              <w:t>14</w:t>
            </w:r>
          </w:p>
        </w:tc>
        <w:tc>
          <w:tcPr>
            <w:tcW w:w="0" w:type="auto"/>
            <w:shd w:val="clear" w:color="auto" w:fill="auto"/>
          </w:tcPr>
          <w:p w14:paraId="70A328C7" w14:textId="77777777" w:rsidR="00C01A50" w:rsidRPr="00317F08" w:rsidRDefault="00C01A50" w:rsidP="00880811">
            <w:pPr>
              <w:spacing w:before="0" w:after="0"/>
              <w:jc w:val="right"/>
              <w:rPr>
                <w:lang w:val="en-AU"/>
              </w:rPr>
            </w:pPr>
            <w:r w:rsidRPr="00317F08">
              <w:rPr>
                <w:lang w:val="en-AU"/>
              </w:rPr>
              <w:t>17</w:t>
            </w:r>
          </w:p>
        </w:tc>
        <w:tc>
          <w:tcPr>
            <w:tcW w:w="0" w:type="auto"/>
            <w:shd w:val="clear" w:color="auto" w:fill="auto"/>
          </w:tcPr>
          <w:p w14:paraId="3E603E3F" w14:textId="77777777" w:rsidR="00C01A50" w:rsidRPr="00317F08" w:rsidRDefault="00C01A50" w:rsidP="00880811">
            <w:pPr>
              <w:spacing w:before="0" w:after="0"/>
              <w:jc w:val="right"/>
              <w:rPr>
                <w:lang w:val="en-AU"/>
              </w:rPr>
            </w:pPr>
            <w:r w:rsidRPr="00317F08">
              <w:rPr>
                <w:lang w:val="en-AU"/>
              </w:rPr>
              <w:t>30</w:t>
            </w:r>
          </w:p>
        </w:tc>
        <w:tc>
          <w:tcPr>
            <w:tcW w:w="0" w:type="auto"/>
            <w:shd w:val="clear" w:color="auto" w:fill="auto"/>
          </w:tcPr>
          <w:p w14:paraId="0D40DCB8" w14:textId="77777777" w:rsidR="00C01A50" w:rsidRPr="00317F08" w:rsidRDefault="00C01A50" w:rsidP="00880811">
            <w:pPr>
              <w:spacing w:before="0" w:after="0"/>
              <w:jc w:val="right"/>
              <w:rPr>
                <w:lang w:val="en-AU"/>
              </w:rPr>
            </w:pPr>
            <w:r w:rsidRPr="00317F08">
              <w:rPr>
                <w:lang w:val="en-AU"/>
              </w:rPr>
              <w:t>+5</w:t>
            </w:r>
          </w:p>
        </w:tc>
        <w:tc>
          <w:tcPr>
            <w:tcW w:w="0" w:type="auto"/>
            <w:shd w:val="clear" w:color="auto" w:fill="auto"/>
          </w:tcPr>
          <w:p w14:paraId="0C602C8E" w14:textId="77777777" w:rsidR="00C01A50" w:rsidRPr="00317F08" w:rsidRDefault="00C01A50" w:rsidP="00880811">
            <w:pPr>
              <w:spacing w:before="0" w:after="0"/>
              <w:jc w:val="right"/>
              <w:rPr>
                <w:lang w:val="en-AU"/>
              </w:rPr>
            </w:pPr>
            <w:r w:rsidRPr="00317F08">
              <w:rPr>
                <w:lang w:val="en-AU"/>
              </w:rPr>
              <w:t>+7</w:t>
            </w:r>
          </w:p>
        </w:tc>
      </w:tr>
      <w:tr w:rsidR="00C01A50" w:rsidRPr="00317F08" w14:paraId="75D1CB5B" w14:textId="77777777">
        <w:tc>
          <w:tcPr>
            <w:tcW w:w="0" w:type="auto"/>
            <w:shd w:val="clear" w:color="auto" w:fill="auto"/>
          </w:tcPr>
          <w:p w14:paraId="0C82BFAE" w14:textId="77777777" w:rsidR="00C01A50" w:rsidRPr="00317F08" w:rsidRDefault="00C01A50" w:rsidP="002939B3">
            <w:pPr>
              <w:numPr>
                <w:ilvl w:val="0"/>
                <w:numId w:val="8"/>
              </w:numPr>
              <w:spacing w:before="0" w:after="0"/>
              <w:rPr>
                <w:lang w:val="en-AU"/>
              </w:rPr>
            </w:pPr>
            <w:r w:rsidRPr="00317F08">
              <w:rPr>
                <w:lang w:val="en-AU"/>
              </w:rPr>
              <w:t>Other</w:t>
            </w:r>
          </w:p>
        </w:tc>
        <w:tc>
          <w:tcPr>
            <w:tcW w:w="0" w:type="auto"/>
            <w:shd w:val="clear" w:color="auto" w:fill="auto"/>
          </w:tcPr>
          <w:p w14:paraId="0F002798" w14:textId="77777777" w:rsidR="00C01A50" w:rsidRPr="00317F08" w:rsidRDefault="00C01A50" w:rsidP="00880811">
            <w:pPr>
              <w:spacing w:before="0" w:after="0"/>
              <w:jc w:val="right"/>
              <w:rPr>
                <w:lang w:val="en-AU"/>
              </w:rPr>
            </w:pPr>
            <w:r w:rsidRPr="00317F08">
              <w:rPr>
                <w:lang w:val="en-AU"/>
              </w:rPr>
              <w:t>5</w:t>
            </w:r>
          </w:p>
        </w:tc>
        <w:tc>
          <w:tcPr>
            <w:tcW w:w="0" w:type="auto"/>
            <w:shd w:val="clear" w:color="auto" w:fill="auto"/>
          </w:tcPr>
          <w:p w14:paraId="13FB9A3C" w14:textId="77777777" w:rsidR="00C01A50" w:rsidRPr="00317F08" w:rsidRDefault="00C01A50" w:rsidP="00880811">
            <w:pPr>
              <w:spacing w:before="0" w:after="0"/>
              <w:jc w:val="right"/>
              <w:rPr>
                <w:lang w:val="en-AU"/>
              </w:rPr>
            </w:pPr>
            <w:r w:rsidRPr="00317F08">
              <w:rPr>
                <w:lang w:val="en-AU"/>
              </w:rPr>
              <w:t>4</w:t>
            </w:r>
          </w:p>
        </w:tc>
        <w:tc>
          <w:tcPr>
            <w:tcW w:w="0" w:type="auto"/>
            <w:shd w:val="clear" w:color="auto" w:fill="auto"/>
          </w:tcPr>
          <w:p w14:paraId="3658A320" w14:textId="77777777" w:rsidR="00C01A50" w:rsidRPr="00317F08" w:rsidRDefault="00C01A50" w:rsidP="00880811">
            <w:pPr>
              <w:spacing w:before="0" w:after="0"/>
              <w:jc w:val="right"/>
              <w:rPr>
                <w:lang w:val="en-AU"/>
              </w:rPr>
            </w:pPr>
            <w:r w:rsidRPr="00317F08">
              <w:rPr>
                <w:lang w:val="en-AU"/>
              </w:rPr>
              <w:t>7</w:t>
            </w:r>
          </w:p>
        </w:tc>
        <w:tc>
          <w:tcPr>
            <w:tcW w:w="0" w:type="auto"/>
            <w:shd w:val="clear" w:color="auto" w:fill="auto"/>
          </w:tcPr>
          <w:p w14:paraId="0176C65D" w14:textId="77777777" w:rsidR="00C01A50" w:rsidRPr="00317F08" w:rsidRDefault="00C01A50" w:rsidP="00880811">
            <w:pPr>
              <w:spacing w:before="0" w:after="0"/>
              <w:jc w:val="right"/>
              <w:rPr>
                <w:lang w:val="en-AU"/>
              </w:rPr>
            </w:pPr>
            <w:r w:rsidRPr="00317F08">
              <w:rPr>
                <w:lang w:val="en-AU"/>
              </w:rPr>
              <w:t>9</w:t>
            </w:r>
          </w:p>
        </w:tc>
        <w:tc>
          <w:tcPr>
            <w:tcW w:w="0" w:type="auto"/>
            <w:shd w:val="clear" w:color="auto" w:fill="auto"/>
          </w:tcPr>
          <w:p w14:paraId="44A4990E" w14:textId="77777777" w:rsidR="00C01A50" w:rsidRPr="00317F08" w:rsidRDefault="00C01A50" w:rsidP="00880811">
            <w:pPr>
              <w:spacing w:before="0" w:after="0"/>
              <w:jc w:val="right"/>
              <w:rPr>
                <w:lang w:val="en-AU"/>
              </w:rPr>
            </w:pPr>
            <w:r w:rsidRPr="00317F08">
              <w:rPr>
                <w:lang w:val="en-AU"/>
              </w:rPr>
              <w:t>22***</w:t>
            </w:r>
          </w:p>
        </w:tc>
        <w:tc>
          <w:tcPr>
            <w:tcW w:w="0" w:type="auto"/>
            <w:shd w:val="clear" w:color="auto" w:fill="auto"/>
          </w:tcPr>
          <w:p w14:paraId="79907B8F" w14:textId="77777777" w:rsidR="00C01A50" w:rsidRPr="00317F08" w:rsidRDefault="00C01A50" w:rsidP="00880811">
            <w:pPr>
              <w:spacing w:before="0" w:after="0"/>
              <w:jc w:val="right"/>
              <w:rPr>
                <w:lang w:val="en-AU"/>
              </w:rPr>
            </w:pPr>
            <w:r w:rsidRPr="00317F08">
              <w:rPr>
                <w:lang w:val="en-AU"/>
              </w:rPr>
              <w:t>-1</w:t>
            </w:r>
          </w:p>
        </w:tc>
        <w:tc>
          <w:tcPr>
            <w:tcW w:w="0" w:type="auto"/>
            <w:shd w:val="clear" w:color="auto" w:fill="auto"/>
          </w:tcPr>
          <w:p w14:paraId="36E12193" w14:textId="77777777" w:rsidR="00C01A50" w:rsidRPr="00317F08" w:rsidRDefault="00C01A50" w:rsidP="00880811">
            <w:pPr>
              <w:spacing w:before="0" w:after="0"/>
              <w:jc w:val="right"/>
              <w:rPr>
                <w:lang w:val="en-AU"/>
              </w:rPr>
            </w:pPr>
            <w:r w:rsidRPr="00317F08">
              <w:rPr>
                <w:lang w:val="en-AU"/>
              </w:rPr>
              <w:t>+4</w:t>
            </w:r>
          </w:p>
        </w:tc>
      </w:tr>
      <w:tr w:rsidR="00C01A50" w:rsidRPr="00317F08" w14:paraId="2B1C724F" w14:textId="77777777">
        <w:tc>
          <w:tcPr>
            <w:tcW w:w="0" w:type="auto"/>
            <w:shd w:val="clear" w:color="auto" w:fill="auto"/>
          </w:tcPr>
          <w:p w14:paraId="0C7362CA" w14:textId="77777777" w:rsidR="00C01A50" w:rsidRPr="00317F08" w:rsidRDefault="00C01A50" w:rsidP="002939B3">
            <w:pPr>
              <w:numPr>
                <w:ilvl w:val="0"/>
                <w:numId w:val="8"/>
              </w:numPr>
              <w:spacing w:before="0" w:after="0"/>
              <w:rPr>
                <w:lang w:val="en-AU"/>
              </w:rPr>
            </w:pPr>
            <w:r w:rsidRPr="00317F08">
              <w:rPr>
                <w:lang w:val="en-AU"/>
              </w:rPr>
              <w:t>Cotton</w:t>
            </w:r>
          </w:p>
        </w:tc>
        <w:tc>
          <w:tcPr>
            <w:tcW w:w="0" w:type="auto"/>
            <w:shd w:val="clear" w:color="auto" w:fill="auto"/>
          </w:tcPr>
          <w:p w14:paraId="41A19542" w14:textId="77777777" w:rsidR="00C01A50" w:rsidRPr="00317F08" w:rsidRDefault="00C01A50" w:rsidP="00880811">
            <w:pPr>
              <w:spacing w:before="0" w:after="0"/>
              <w:jc w:val="right"/>
              <w:rPr>
                <w:lang w:val="en-AU"/>
              </w:rPr>
            </w:pPr>
            <w:r w:rsidRPr="00317F08">
              <w:rPr>
                <w:lang w:val="en-AU"/>
              </w:rPr>
              <w:t>0</w:t>
            </w:r>
          </w:p>
        </w:tc>
        <w:tc>
          <w:tcPr>
            <w:tcW w:w="0" w:type="auto"/>
            <w:shd w:val="clear" w:color="auto" w:fill="auto"/>
          </w:tcPr>
          <w:p w14:paraId="6EE7CF74" w14:textId="77777777" w:rsidR="00C01A50" w:rsidRPr="00317F08" w:rsidRDefault="00C01A50" w:rsidP="00880811">
            <w:pPr>
              <w:spacing w:before="0" w:after="0"/>
              <w:jc w:val="right"/>
              <w:rPr>
                <w:lang w:val="en-AU"/>
              </w:rPr>
            </w:pPr>
            <w:r w:rsidRPr="00317F08">
              <w:rPr>
                <w:lang w:val="en-AU"/>
              </w:rPr>
              <w:t>1</w:t>
            </w:r>
          </w:p>
        </w:tc>
        <w:tc>
          <w:tcPr>
            <w:tcW w:w="0" w:type="auto"/>
            <w:shd w:val="clear" w:color="auto" w:fill="auto"/>
          </w:tcPr>
          <w:p w14:paraId="4E0E841C" w14:textId="77777777" w:rsidR="00C01A50" w:rsidRPr="00317F08" w:rsidRDefault="00C01A50" w:rsidP="00880811">
            <w:pPr>
              <w:spacing w:before="0" w:after="0"/>
              <w:jc w:val="right"/>
              <w:rPr>
                <w:lang w:val="en-AU"/>
              </w:rPr>
            </w:pPr>
            <w:r w:rsidRPr="00317F08">
              <w:rPr>
                <w:lang w:val="en-AU"/>
              </w:rPr>
              <w:t>1</w:t>
            </w:r>
          </w:p>
        </w:tc>
        <w:tc>
          <w:tcPr>
            <w:tcW w:w="0" w:type="auto"/>
            <w:shd w:val="clear" w:color="auto" w:fill="auto"/>
          </w:tcPr>
          <w:p w14:paraId="1DEF0076" w14:textId="77777777" w:rsidR="00C01A50" w:rsidRPr="00317F08" w:rsidRDefault="00C01A50" w:rsidP="00880811">
            <w:pPr>
              <w:spacing w:before="0" w:after="0"/>
              <w:jc w:val="right"/>
              <w:rPr>
                <w:lang w:val="en-AU"/>
              </w:rPr>
            </w:pPr>
            <w:r w:rsidRPr="00317F08">
              <w:rPr>
                <w:lang w:val="en-AU"/>
              </w:rPr>
              <w:t>1</w:t>
            </w:r>
          </w:p>
        </w:tc>
        <w:tc>
          <w:tcPr>
            <w:tcW w:w="0" w:type="auto"/>
            <w:shd w:val="clear" w:color="auto" w:fill="auto"/>
          </w:tcPr>
          <w:p w14:paraId="74F183FC" w14:textId="77777777" w:rsidR="00C01A50" w:rsidRPr="00317F08" w:rsidRDefault="00C01A50" w:rsidP="00880811">
            <w:pPr>
              <w:spacing w:before="0" w:after="0"/>
              <w:jc w:val="right"/>
              <w:rPr>
                <w:lang w:val="en-AU"/>
              </w:rPr>
            </w:pPr>
            <w:r w:rsidRPr="00317F08">
              <w:rPr>
                <w:lang w:val="en-AU"/>
              </w:rPr>
              <w:t>1</w:t>
            </w:r>
          </w:p>
        </w:tc>
        <w:tc>
          <w:tcPr>
            <w:tcW w:w="0" w:type="auto"/>
            <w:shd w:val="clear" w:color="auto" w:fill="auto"/>
          </w:tcPr>
          <w:p w14:paraId="70614192" w14:textId="77777777" w:rsidR="00C01A50" w:rsidRPr="00317F08" w:rsidRDefault="00C01A50" w:rsidP="00880811">
            <w:pPr>
              <w:spacing w:before="0" w:after="0"/>
              <w:jc w:val="right"/>
              <w:rPr>
                <w:lang w:val="en-AU"/>
              </w:rPr>
            </w:pPr>
            <w:r w:rsidRPr="00317F08">
              <w:rPr>
                <w:lang w:val="en-AU"/>
              </w:rPr>
              <w:t>+1</w:t>
            </w:r>
          </w:p>
        </w:tc>
        <w:tc>
          <w:tcPr>
            <w:tcW w:w="0" w:type="auto"/>
            <w:shd w:val="clear" w:color="auto" w:fill="auto"/>
          </w:tcPr>
          <w:p w14:paraId="5E1D74F3" w14:textId="77777777" w:rsidR="00C01A50" w:rsidRPr="00317F08" w:rsidRDefault="00C01A50" w:rsidP="00880811">
            <w:pPr>
              <w:spacing w:before="0" w:after="0"/>
              <w:jc w:val="right"/>
              <w:rPr>
                <w:lang w:val="en-AU"/>
              </w:rPr>
            </w:pPr>
            <w:r w:rsidRPr="00317F08">
              <w:rPr>
                <w:lang w:val="en-AU"/>
              </w:rPr>
              <w:t>+1</w:t>
            </w:r>
          </w:p>
        </w:tc>
      </w:tr>
      <w:tr w:rsidR="00C01A50" w:rsidRPr="00317F08" w14:paraId="5154A26A" w14:textId="77777777">
        <w:tc>
          <w:tcPr>
            <w:tcW w:w="0" w:type="auto"/>
            <w:shd w:val="clear" w:color="auto" w:fill="auto"/>
          </w:tcPr>
          <w:p w14:paraId="7D5A06FB" w14:textId="77777777" w:rsidR="00C01A50" w:rsidRPr="00317F08" w:rsidRDefault="00C01A50" w:rsidP="00880811">
            <w:pPr>
              <w:spacing w:before="0" w:after="0"/>
              <w:rPr>
                <w:lang w:val="en-AU"/>
              </w:rPr>
            </w:pPr>
            <w:r w:rsidRPr="00317F08">
              <w:rPr>
                <w:lang w:val="en-AU"/>
              </w:rPr>
              <w:t>Annual Trade into MIL (excl Govt)</w:t>
            </w:r>
          </w:p>
        </w:tc>
        <w:tc>
          <w:tcPr>
            <w:tcW w:w="0" w:type="auto"/>
            <w:shd w:val="clear" w:color="auto" w:fill="auto"/>
          </w:tcPr>
          <w:p w14:paraId="01CAB390" w14:textId="77777777" w:rsidR="00C01A50" w:rsidRPr="00317F08" w:rsidRDefault="00C01A50" w:rsidP="00880811">
            <w:pPr>
              <w:spacing w:before="0" w:after="0"/>
              <w:jc w:val="right"/>
              <w:rPr>
                <w:lang w:val="en-AU"/>
              </w:rPr>
            </w:pPr>
            <w:r w:rsidRPr="00317F08">
              <w:rPr>
                <w:lang w:val="en-AU"/>
              </w:rPr>
              <w:t>+93**</w:t>
            </w:r>
          </w:p>
        </w:tc>
        <w:tc>
          <w:tcPr>
            <w:tcW w:w="0" w:type="auto"/>
            <w:shd w:val="clear" w:color="auto" w:fill="auto"/>
          </w:tcPr>
          <w:p w14:paraId="58574FD6" w14:textId="77777777" w:rsidR="00C01A50" w:rsidRPr="00317F08" w:rsidRDefault="00C01A50" w:rsidP="00880811">
            <w:pPr>
              <w:spacing w:before="0" w:after="0"/>
              <w:jc w:val="right"/>
              <w:rPr>
                <w:lang w:val="en-AU"/>
              </w:rPr>
            </w:pPr>
            <w:r w:rsidRPr="00317F08">
              <w:rPr>
                <w:lang w:val="en-AU"/>
              </w:rPr>
              <w:t>+150</w:t>
            </w:r>
          </w:p>
        </w:tc>
        <w:tc>
          <w:tcPr>
            <w:tcW w:w="0" w:type="auto"/>
            <w:shd w:val="clear" w:color="auto" w:fill="auto"/>
          </w:tcPr>
          <w:p w14:paraId="289EAB40" w14:textId="77777777" w:rsidR="00C01A50" w:rsidRPr="00317F08" w:rsidRDefault="00C01A50" w:rsidP="00880811">
            <w:pPr>
              <w:spacing w:before="0" w:after="0"/>
              <w:jc w:val="right"/>
              <w:rPr>
                <w:lang w:val="en-AU"/>
              </w:rPr>
            </w:pPr>
            <w:r w:rsidRPr="00317F08">
              <w:rPr>
                <w:lang w:val="en-AU"/>
              </w:rPr>
              <w:t>-7</w:t>
            </w:r>
          </w:p>
        </w:tc>
        <w:tc>
          <w:tcPr>
            <w:tcW w:w="0" w:type="auto"/>
            <w:shd w:val="clear" w:color="auto" w:fill="auto"/>
          </w:tcPr>
          <w:p w14:paraId="6A1C6CF2" w14:textId="77777777" w:rsidR="00C01A50" w:rsidRPr="00317F08" w:rsidRDefault="00C01A50" w:rsidP="00880811">
            <w:pPr>
              <w:spacing w:before="0" w:after="0"/>
              <w:jc w:val="right"/>
              <w:rPr>
                <w:lang w:val="en-AU"/>
              </w:rPr>
            </w:pPr>
            <w:r w:rsidRPr="00317F08">
              <w:rPr>
                <w:lang w:val="en-AU"/>
              </w:rPr>
              <w:t>+100*</w:t>
            </w:r>
          </w:p>
        </w:tc>
        <w:tc>
          <w:tcPr>
            <w:tcW w:w="0" w:type="auto"/>
            <w:shd w:val="clear" w:color="auto" w:fill="auto"/>
          </w:tcPr>
          <w:p w14:paraId="5F8C70AE" w14:textId="77777777" w:rsidR="00C01A50" w:rsidRPr="00317F08" w:rsidRDefault="00C01A50" w:rsidP="00880811">
            <w:pPr>
              <w:spacing w:before="0" w:after="0"/>
              <w:jc w:val="right"/>
              <w:rPr>
                <w:lang w:val="en-AU"/>
              </w:rPr>
            </w:pPr>
            <w:r w:rsidRPr="00317F08">
              <w:rPr>
                <w:lang w:val="en-AU"/>
              </w:rPr>
              <w:t>+20</w:t>
            </w:r>
          </w:p>
        </w:tc>
        <w:tc>
          <w:tcPr>
            <w:tcW w:w="0" w:type="auto"/>
            <w:shd w:val="clear" w:color="auto" w:fill="auto"/>
          </w:tcPr>
          <w:p w14:paraId="29CBAB37" w14:textId="77777777" w:rsidR="00C01A50" w:rsidRPr="00317F08" w:rsidRDefault="00C01A50" w:rsidP="00880811">
            <w:pPr>
              <w:spacing w:before="0" w:after="0"/>
              <w:jc w:val="right"/>
              <w:rPr>
                <w:lang w:val="en-AU"/>
              </w:rPr>
            </w:pPr>
            <w:r w:rsidRPr="00317F08">
              <w:rPr>
                <w:lang w:val="en-AU"/>
              </w:rPr>
              <w:t>+63</w:t>
            </w:r>
          </w:p>
        </w:tc>
        <w:tc>
          <w:tcPr>
            <w:tcW w:w="0" w:type="auto"/>
            <w:shd w:val="clear" w:color="auto" w:fill="auto"/>
          </w:tcPr>
          <w:p w14:paraId="057414F5" w14:textId="77777777" w:rsidR="00C01A50" w:rsidRPr="00317F08" w:rsidRDefault="00C01A50" w:rsidP="00880811">
            <w:pPr>
              <w:spacing w:before="0" w:after="0"/>
              <w:jc w:val="right"/>
              <w:rPr>
                <w:lang w:val="en-AU"/>
              </w:rPr>
            </w:pPr>
            <w:r w:rsidRPr="00317F08">
              <w:rPr>
                <w:lang w:val="en-AU"/>
              </w:rPr>
              <w:t>-50</w:t>
            </w:r>
          </w:p>
        </w:tc>
      </w:tr>
      <w:tr w:rsidR="00C01A50" w:rsidRPr="00317F08" w14:paraId="64353588" w14:textId="77777777">
        <w:tc>
          <w:tcPr>
            <w:tcW w:w="0" w:type="auto"/>
            <w:shd w:val="clear" w:color="auto" w:fill="auto"/>
          </w:tcPr>
          <w:p w14:paraId="36E7AB2E" w14:textId="77777777" w:rsidR="00C01A50" w:rsidRPr="00317F08" w:rsidRDefault="00C01A50" w:rsidP="00880811">
            <w:pPr>
              <w:spacing w:before="0" w:after="0"/>
              <w:rPr>
                <w:lang w:val="en-AU"/>
              </w:rPr>
            </w:pPr>
          </w:p>
        </w:tc>
        <w:tc>
          <w:tcPr>
            <w:tcW w:w="0" w:type="auto"/>
            <w:shd w:val="clear" w:color="auto" w:fill="auto"/>
          </w:tcPr>
          <w:p w14:paraId="709EC20C" w14:textId="77777777" w:rsidR="00C01A50" w:rsidRPr="00317F08" w:rsidRDefault="00C01A50" w:rsidP="00880811">
            <w:pPr>
              <w:spacing w:before="0" w:after="0"/>
              <w:jc w:val="right"/>
              <w:rPr>
                <w:lang w:val="en-AU"/>
              </w:rPr>
            </w:pPr>
          </w:p>
        </w:tc>
        <w:tc>
          <w:tcPr>
            <w:tcW w:w="0" w:type="auto"/>
            <w:shd w:val="clear" w:color="auto" w:fill="auto"/>
          </w:tcPr>
          <w:p w14:paraId="15874B5C" w14:textId="77777777" w:rsidR="00C01A50" w:rsidRPr="00317F08" w:rsidRDefault="00C01A50" w:rsidP="00880811">
            <w:pPr>
              <w:spacing w:before="0" w:after="0"/>
              <w:jc w:val="right"/>
              <w:rPr>
                <w:lang w:val="en-AU"/>
              </w:rPr>
            </w:pPr>
          </w:p>
        </w:tc>
        <w:tc>
          <w:tcPr>
            <w:tcW w:w="0" w:type="auto"/>
            <w:shd w:val="clear" w:color="auto" w:fill="auto"/>
          </w:tcPr>
          <w:p w14:paraId="0262CBC9" w14:textId="77777777" w:rsidR="00C01A50" w:rsidRPr="00317F08" w:rsidRDefault="00C01A50" w:rsidP="00880811">
            <w:pPr>
              <w:spacing w:before="0" w:after="0"/>
              <w:jc w:val="right"/>
              <w:rPr>
                <w:lang w:val="en-AU"/>
              </w:rPr>
            </w:pPr>
          </w:p>
        </w:tc>
        <w:tc>
          <w:tcPr>
            <w:tcW w:w="0" w:type="auto"/>
            <w:shd w:val="clear" w:color="auto" w:fill="auto"/>
          </w:tcPr>
          <w:p w14:paraId="23309CD0" w14:textId="77777777" w:rsidR="00C01A50" w:rsidRPr="00317F08" w:rsidRDefault="00C01A50" w:rsidP="00880811">
            <w:pPr>
              <w:spacing w:before="0" w:after="0"/>
              <w:jc w:val="right"/>
              <w:rPr>
                <w:lang w:val="en-AU"/>
              </w:rPr>
            </w:pPr>
          </w:p>
        </w:tc>
        <w:tc>
          <w:tcPr>
            <w:tcW w:w="0" w:type="auto"/>
            <w:shd w:val="clear" w:color="auto" w:fill="auto"/>
          </w:tcPr>
          <w:p w14:paraId="1AFC9349" w14:textId="77777777" w:rsidR="00C01A50" w:rsidRPr="00317F08" w:rsidRDefault="00C01A50" w:rsidP="00880811">
            <w:pPr>
              <w:spacing w:before="0" w:after="0"/>
              <w:jc w:val="right"/>
              <w:rPr>
                <w:lang w:val="en-AU"/>
              </w:rPr>
            </w:pPr>
          </w:p>
        </w:tc>
        <w:tc>
          <w:tcPr>
            <w:tcW w:w="0" w:type="auto"/>
            <w:shd w:val="clear" w:color="auto" w:fill="auto"/>
          </w:tcPr>
          <w:p w14:paraId="66AB1914" w14:textId="77777777" w:rsidR="00C01A50" w:rsidRPr="00317F08" w:rsidRDefault="00C01A50" w:rsidP="00880811">
            <w:pPr>
              <w:spacing w:before="0" w:after="0"/>
              <w:jc w:val="right"/>
              <w:rPr>
                <w:lang w:val="en-AU"/>
              </w:rPr>
            </w:pPr>
          </w:p>
        </w:tc>
        <w:tc>
          <w:tcPr>
            <w:tcW w:w="0" w:type="auto"/>
            <w:shd w:val="clear" w:color="auto" w:fill="auto"/>
          </w:tcPr>
          <w:p w14:paraId="4CEE11FF" w14:textId="77777777" w:rsidR="00C01A50" w:rsidRPr="00317F08" w:rsidRDefault="00C01A50" w:rsidP="00880811">
            <w:pPr>
              <w:spacing w:before="0" w:after="0"/>
              <w:jc w:val="right"/>
              <w:rPr>
                <w:lang w:val="en-AU"/>
              </w:rPr>
            </w:pPr>
          </w:p>
        </w:tc>
      </w:tr>
    </w:tbl>
    <w:p w14:paraId="685390B3" w14:textId="77777777" w:rsidR="00C01A50" w:rsidRPr="009E3D32" w:rsidRDefault="00C01A50" w:rsidP="009E3D32">
      <w:pPr>
        <w:keepLines/>
        <w:spacing w:after="240"/>
        <w:contextualSpacing/>
        <w:jc w:val="left"/>
        <w:rPr>
          <w:rFonts w:eastAsia="Calibri"/>
          <w:color w:val="000000"/>
          <w:sz w:val="18"/>
          <w:szCs w:val="22"/>
          <w:lang w:val="en-AU"/>
        </w:rPr>
      </w:pPr>
      <w:r w:rsidRPr="009E3D32">
        <w:rPr>
          <w:rFonts w:eastAsia="Calibri"/>
          <w:color w:val="000000"/>
          <w:sz w:val="18"/>
          <w:szCs w:val="22"/>
          <w:lang w:val="en-AU"/>
        </w:rPr>
        <w:t xml:space="preserve">Note *NSW Murray Valley trade net +20GL Ref NSW Office Water </w:t>
      </w:r>
    </w:p>
    <w:p w14:paraId="68E30B40" w14:textId="77777777" w:rsidR="00C01A50" w:rsidRPr="009E3D32" w:rsidRDefault="00C01A50" w:rsidP="009E3D32">
      <w:pPr>
        <w:keepLines/>
        <w:spacing w:after="240"/>
        <w:contextualSpacing/>
        <w:jc w:val="left"/>
        <w:rPr>
          <w:rFonts w:eastAsia="Calibri"/>
          <w:color w:val="000000"/>
          <w:sz w:val="18"/>
          <w:szCs w:val="22"/>
          <w:lang w:val="en-AU"/>
        </w:rPr>
      </w:pPr>
      <w:r w:rsidRPr="009E3D32">
        <w:rPr>
          <w:rFonts w:eastAsia="Calibri"/>
          <w:color w:val="000000"/>
          <w:sz w:val="18"/>
          <w:szCs w:val="22"/>
          <w:lang w:val="en-AU"/>
        </w:rPr>
        <w:t>** In addition 98GL was transferred into MIL as a Snowy advance</w:t>
      </w:r>
    </w:p>
    <w:p w14:paraId="6933897D" w14:textId="77777777" w:rsidR="00C01A50" w:rsidRPr="009E3D32" w:rsidRDefault="00C01A50" w:rsidP="009E3D32">
      <w:pPr>
        <w:keepLines/>
        <w:spacing w:after="240"/>
        <w:contextualSpacing/>
        <w:jc w:val="left"/>
        <w:rPr>
          <w:rFonts w:eastAsia="Calibri"/>
          <w:color w:val="000000"/>
          <w:sz w:val="18"/>
          <w:szCs w:val="22"/>
          <w:lang w:val="en-AU"/>
        </w:rPr>
      </w:pPr>
      <w:r w:rsidRPr="009E3D32">
        <w:rPr>
          <w:rFonts w:eastAsia="Calibri"/>
          <w:color w:val="000000"/>
          <w:sz w:val="18"/>
          <w:szCs w:val="22"/>
          <w:lang w:val="en-AU"/>
        </w:rPr>
        <w:t>*** This included 11% of water used on other summer crops, excluding horticulture</w:t>
      </w:r>
    </w:p>
    <w:p w14:paraId="792E682F" w14:textId="77777777" w:rsidR="00C01A50" w:rsidRPr="00317F08" w:rsidRDefault="00C01A50" w:rsidP="00880811">
      <w:pPr>
        <w:rPr>
          <w:lang w:val="en-AU"/>
        </w:rPr>
      </w:pPr>
      <w:r>
        <w:rPr>
          <w:lang w:val="en-AU"/>
        </w:rPr>
        <w:fldChar w:fldCharType="begin"/>
      </w:r>
      <w:r>
        <w:rPr>
          <w:lang w:val="en-AU"/>
        </w:rPr>
        <w:instrText xml:space="preserve"> REF _Ref341173915 \h </w:instrText>
      </w:r>
      <w:r>
        <w:rPr>
          <w:lang w:val="en-AU"/>
        </w:rPr>
      </w:r>
      <w:r>
        <w:rPr>
          <w:lang w:val="en-AU"/>
        </w:rPr>
        <w:fldChar w:fldCharType="separate"/>
      </w:r>
      <w:r w:rsidR="008E5D7A">
        <w:t xml:space="preserve">Table </w:t>
      </w:r>
      <w:r w:rsidR="008E5D7A">
        <w:rPr>
          <w:noProof/>
        </w:rPr>
        <w:t>11</w:t>
      </w:r>
      <w:r>
        <w:rPr>
          <w:lang w:val="en-AU"/>
        </w:rPr>
        <w:fldChar w:fldCharType="end"/>
      </w:r>
      <w:r>
        <w:rPr>
          <w:lang w:val="en-AU"/>
        </w:rPr>
        <w:t xml:space="preserve"> shows </w:t>
      </w:r>
      <w:r w:rsidRPr="00317F08">
        <w:rPr>
          <w:lang w:val="en-AU"/>
        </w:rPr>
        <w:t xml:space="preserve">that water use has declined by around 17% since 2005/06 for years </w:t>
      </w:r>
      <w:r>
        <w:rPr>
          <w:lang w:val="en-AU"/>
        </w:rPr>
        <w:t>with</w:t>
      </w:r>
      <w:r w:rsidRPr="00317F08">
        <w:rPr>
          <w:lang w:val="en-AU"/>
        </w:rPr>
        <w:t xml:space="preserve"> similar allocation</w:t>
      </w:r>
      <w:r>
        <w:rPr>
          <w:lang w:val="en-AU"/>
        </w:rPr>
        <w:t xml:space="preserve"> level</w:t>
      </w:r>
      <w:r w:rsidRPr="00317F08">
        <w:rPr>
          <w:lang w:val="en-AU"/>
        </w:rPr>
        <w:t>s (</w:t>
      </w:r>
      <w:r w:rsidR="008D473C">
        <w:rPr>
          <w:lang w:val="en-AU"/>
        </w:rPr>
        <w:t xml:space="preserve">e.g., </w:t>
      </w:r>
      <w:r w:rsidRPr="00317F08">
        <w:rPr>
          <w:lang w:val="en-AU"/>
        </w:rPr>
        <w:t xml:space="preserve">2014/15) </w:t>
      </w:r>
      <w:r w:rsidR="008D473C">
        <w:rPr>
          <w:lang w:val="en-AU"/>
        </w:rPr>
        <w:t xml:space="preserve">– </w:t>
      </w:r>
      <w:r w:rsidRPr="00317F08">
        <w:rPr>
          <w:lang w:val="en-AU"/>
        </w:rPr>
        <w:t xml:space="preserve">if the </w:t>
      </w:r>
      <w:r w:rsidR="00E209D5">
        <w:rPr>
          <w:lang w:val="en-AU"/>
        </w:rPr>
        <w:t xml:space="preserve">access to </w:t>
      </w:r>
      <w:r w:rsidR="00E209D5" w:rsidRPr="00317F08">
        <w:rPr>
          <w:lang w:val="en-AU"/>
        </w:rPr>
        <w:t>water</w:t>
      </w:r>
      <w:r w:rsidR="00E209D5">
        <w:rPr>
          <w:lang w:val="en-AU"/>
        </w:rPr>
        <w:t xml:space="preserve"> enabled through</w:t>
      </w:r>
      <w:r w:rsidR="00325A40">
        <w:rPr>
          <w:lang w:val="en-AU"/>
        </w:rPr>
        <w:t xml:space="preserve"> the</w:t>
      </w:r>
      <w:r w:rsidR="00E209D5" w:rsidRPr="00317F08">
        <w:rPr>
          <w:lang w:val="en-AU"/>
        </w:rPr>
        <w:t xml:space="preserve"> </w:t>
      </w:r>
      <w:r w:rsidR="00325A40">
        <w:rPr>
          <w:lang w:val="en-AU"/>
        </w:rPr>
        <w:t>“</w:t>
      </w:r>
      <w:r w:rsidRPr="00317F08">
        <w:rPr>
          <w:lang w:val="en-AU"/>
        </w:rPr>
        <w:t>Snowy Advance</w:t>
      </w:r>
      <w:r w:rsidR="00325A40">
        <w:rPr>
          <w:lang w:val="en-AU"/>
        </w:rPr>
        <w:t>” (</w:t>
      </w:r>
      <w:r w:rsidR="008D473C" w:rsidRPr="006111CC">
        <w:rPr>
          <w:rFonts w:asciiTheme="majorHAnsi" w:hAnsiTheme="majorHAnsi"/>
          <w:szCs w:val="22"/>
          <w:lang w:val="en-AU"/>
        </w:rPr>
        <w:t>an agreement between Murray Irrigation and Snowy Hydro Limited to allow early season access to up to 200 GL of water</w:t>
      </w:r>
      <w:r w:rsidR="008D473C">
        <w:rPr>
          <w:rFonts w:asciiTheme="majorHAnsi" w:hAnsiTheme="majorHAnsi"/>
          <w:szCs w:val="22"/>
          <w:lang w:val="en-AU"/>
        </w:rPr>
        <w:t>)</w:t>
      </w:r>
      <w:r w:rsidRPr="00317F08">
        <w:rPr>
          <w:lang w:val="en-AU"/>
        </w:rPr>
        <w:t xml:space="preserve"> is subtracted from the annual usage on farm. The data also indicates a shift in crop water use away from rice (-4%) and pasture (-11%) principally towards cereal/oilseed crops and other summer crops, including corn/maize and cotton.</w:t>
      </w:r>
    </w:p>
    <w:p w14:paraId="045FC2DF" w14:textId="77777777" w:rsidR="00C01A50" w:rsidRPr="00317F08" w:rsidRDefault="00C01A50" w:rsidP="00880811">
      <w:pPr>
        <w:rPr>
          <w:lang w:val="en-AU"/>
        </w:rPr>
      </w:pPr>
      <w:r>
        <w:rPr>
          <w:lang w:val="en-AU"/>
        </w:rPr>
        <w:t xml:space="preserve">In 2014/15, the 63% </w:t>
      </w:r>
      <w:r w:rsidRPr="00317F08">
        <w:rPr>
          <w:lang w:val="en-AU"/>
        </w:rPr>
        <w:t>allocation</w:t>
      </w:r>
      <w:r>
        <w:rPr>
          <w:lang w:val="en-AU"/>
        </w:rPr>
        <w:t xml:space="preserve"> to</w:t>
      </w:r>
      <w:r w:rsidRPr="00317F08">
        <w:rPr>
          <w:lang w:val="en-AU"/>
        </w:rPr>
        <w:t xml:space="preserve"> the </w:t>
      </w:r>
      <w:r w:rsidR="003D271D" w:rsidRPr="00317F08">
        <w:rPr>
          <w:lang w:val="en-AU"/>
        </w:rPr>
        <w:t xml:space="preserve">General </w:t>
      </w:r>
      <w:r w:rsidR="003D271D">
        <w:rPr>
          <w:lang w:val="en-AU"/>
        </w:rPr>
        <w:t>S</w:t>
      </w:r>
      <w:r w:rsidR="003D271D" w:rsidRPr="00317F08">
        <w:rPr>
          <w:lang w:val="en-AU"/>
        </w:rPr>
        <w:t xml:space="preserve">ecurity </w:t>
      </w:r>
      <w:r w:rsidRPr="00317F08">
        <w:rPr>
          <w:lang w:val="en-AU"/>
        </w:rPr>
        <w:t>entitlements purchased by Government (348 GL) equate</w:t>
      </w:r>
      <w:r>
        <w:rPr>
          <w:lang w:val="en-AU"/>
        </w:rPr>
        <w:t>d</w:t>
      </w:r>
      <w:r w:rsidRPr="00317F08">
        <w:rPr>
          <w:lang w:val="en-AU"/>
        </w:rPr>
        <w:t xml:space="preserve"> to 219 GL</w:t>
      </w:r>
      <w:r>
        <w:rPr>
          <w:lang w:val="en-AU"/>
        </w:rPr>
        <w:t>.</w:t>
      </w:r>
      <w:r w:rsidRPr="00317F08">
        <w:rPr>
          <w:lang w:val="en-AU"/>
        </w:rPr>
        <w:t xml:space="preserve"> The relative reduction in surface water use in 2014/15 within Murr</w:t>
      </w:r>
      <w:r>
        <w:rPr>
          <w:lang w:val="en-AU"/>
        </w:rPr>
        <w:t>a</w:t>
      </w:r>
      <w:r w:rsidRPr="00317F08">
        <w:rPr>
          <w:lang w:val="en-AU"/>
        </w:rPr>
        <w:t xml:space="preserve">y Irrigation totalled 148 GL compared to water use in 2005/06, after excluding the Snowy Advance of 98 GL made in that year. Given that Murray </w:t>
      </w:r>
      <w:r>
        <w:rPr>
          <w:lang w:val="en-AU"/>
        </w:rPr>
        <w:t>I</w:t>
      </w:r>
      <w:r w:rsidRPr="00317F08">
        <w:rPr>
          <w:lang w:val="en-AU"/>
        </w:rPr>
        <w:t xml:space="preserve">rrigation holds around 70% of the General Security entitlements within </w:t>
      </w:r>
      <w:r w:rsidRPr="00317F08">
        <w:rPr>
          <w:lang w:val="en-AU"/>
        </w:rPr>
        <w:lastRenderedPageBreak/>
        <w:t xml:space="preserve">the valley, </w:t>
      </w:r>
      <w:r w:rsidRPr="00E0721E">
        <w:rPr>
          <w:lang w:val="en-AU"/>
        </w:rPr>
        <w:t xml:space="preserve">this suggests </w:t>
      </w:r>
      <w:r>
        <w:rPr>
          <w:lang w:val="en-AU"/>
        </w:rPr>
        <w:t xml:space="preserve">the </w:t>
      </w:r>
      <w:r w:rsidRPr="00E0721E">
        <w:rPr>
          <w:lang w:val="en-AU"/>
        </w:rPr>
        <w:t xml:space="preserve">reduction in annual water use </w:t>
      </w:r>
      <w:r>
        <w:rPr>
          <w:lang w:val="en-AU"/>
        </w:rPr>
        <w:t>is similar in volume</w:t>
      </w:r>
      <w:r w:rsidRPr="00E0721E">
        <w:rPr>
          <w:lang w:val="en-AU"/>
        </w:rPr>
        <w:t xml:space="preserve"> to the </w:t>
      </w:r>
      <w:r>
        <w:rPr>
          <w:lang w:val="en-AU"/>
        </w:rPr>
        <w:t>total reduction in</w:t>
      </w:r>
      <w:r w:rsidRPr="00E0721E">
        <w:rPr>
          <w:lang w:val="en-AU"/>
        </w:rPr>
        <w:t xml:space="preserve"> allocation</w:t>
      </w:r>
      <w:r>
        <w:rPr>
          <w:lang w:val="en-AU"/>
        </w:rPr>
        <w:t>s</w:t>
      </w:r>
      <w:r w:rsidRPr="00E0721E">
        <w:rPr>
          <w:lang w:val="en-AU"/>
        </w:rPr>
        <w:t xml:space="preserve"> associated with the entitlements</w:t>
      </w:r>
      <w:r>
        <w:rPr>
          <w:lang w:val="en-AU"/>
        </w:rPr>
        <w:t xml:space="preserve"> recovered for the environment. As with the Murrumbidgee, this suggests that NSW Murray irrigators have not generally purchased allocations to offset the net reduction in water availability. </w:t>
      </w:r>
    </w:p>
    <w:p w14:paraId="68C398C9" w14:textId="77777777" w:rsidR="00C01A50" w:rsidRPr="00317F08" w:rsidRDefault="00C01A50" w:rsidP="00880811">
      <w:pPr>
        <w:rPr>
          <w:lang w:val="en-AU"/>
        </w:rPr>
      </w:pPr>
      <w:r w:rsidRPr="00317F08">
        <w:rPr>
          <w:lang w:val="en-AU"/>
        </w:rPr>
        <w:t>In 2015/16, a season with a very low General Security allocation, there was a significant shift in crop water use, away from rice to annual pasture, other summer crops and winter crops. The rise in commodity prices for lamb and beef and the dairy industry</w:t>
      </w:r>
      <w:r>
        <w:rPr>
          <w:lang w:val="en-AU"/>
        </w:rPr>
        <w:t>’s</w:t>
      </w:r>
      <w:r w:rsidRPr="00317F08">
        <w:rPr>
          <w:lang w:val="en-AU"/>
        </w:rPr>
        <w:t xml:space="preserve"> reliance </w:t>
      </w:r>
      <w:r>
        <w:rPr>
          <w:lang w:val="en-AU"/>
        </w:rPr>
        <w:t xml:space="preserve">on the purchase of NSW allocations </w:t>
      </w:r>
      <w:r w:rsidRPr="00317F08">
        <w:rPr>
          <w:lang w:val="en-AU"/>
        </w:rPr>
        <w:t>saw an increased focus on annual pasture water use. Temporary water traded at values around $250/ML for much of the season, which saw water historically used for rice production used</w:t>
      </w:r>
      <w:r>
        <w:rPr>
          <w:lang w:val="en-AU"/>
        </w:rPr>
        <w:t xml:space="preserve"> instead either</w:t>
      </w:r>
      <w:r w:rsidRPr="00317F08">
        <w:rPr>
          <w:lang w:val="en-AU"/>
        </w:rPr>
        <w:t xml:space="preserve"> for winter crop production, traded on the annual market or carried forward to the following year. The gross margin per ML for rice was projected to be $175-225 for crops producing district average yields.</w:t>
      </w:r>
    </w:p>
    <w:p w14:paraId="32C94491" w14:textId="77777777" w:rsidR="00C01A50" w:rsidRPr="00317F08" w:rsidRDefault="00C01A50" w:rsidP="00880811">
      <w:pPr>
        <w:pStyle w:val="Heading2"/>
        <w:rPr>
          <w:lang w:val="en-AU"/>
        </w:rPr>
      </w:pPr>
      <w:bookmarkStart w:id="184" w:name="_Toc347747841"/>
      <w:r>
        <w:rPr>
          <w:lang w:val="en-AU"/>
        </w:rPr>
        <w:t>Possible future trends</w:t>
      </w:r>
      <w:bookmarkEnd w:id="184"/>
      <w:r>
        <w:rPr>
          <w:lang w:val="en-AU"/>
        </w:rPr>
        <w:t xml:space="preserve"> </w:t>
      </w:r>
    </w:p>
    <w:p w14:paraId="6E583794" w14:textId="77777777" w:rsidR="00C01A50" w:rsidRDefault="00C01A50" w:rsidP="00880811">
      <w:pPr>
        <w:rPr>
          <w:lang w:val="en-AU"/>
        </w:rPr>
      </w:pPr>
      <w:r>
        <w:rPr>
          <w:lang w:val="en-AU"/>
        </w:rPr>
        <w:t>The market</w:t>
      </w:r>
      <w:r w:rsidRPr="00317F08">
        <w:rPr>
          <w:lang w:val="en-AU"/>
        </w:rPr>
        <w:t xml:space="preserve"> price</w:t>
      </w:r>
      <w:r>
        <w:rPr>
          <w:lang w:val="en-AU"/>
        </w:rPr>
        <w:t xml:space="preserve"> for water</w:t>
      </w:r>
      <w:r w:rsidRPr="00317F08">
        <w:rPr>
          <w:lang w:val="en-AU"/>
        </w:rPr>
        <w:t xml:space="preserve"> at any point is a function of supply and demand</w:t>
      </w:r>
      <w:r>
        <w:rPr>
          <w:lang w:val="en-AU"/>
        </w:rPr>
        <w:t>. The supply side at any point depends on</w:t>
      </w:r>
      <w:r w:rsidRPr="00317F08">
        <w:rPr>
          <w:lang w:val="en-AU"/>
        </w:rPr>
        <w:t xml:space="preserve"> </w:t>
      </w:r>
      <w:r>
        <w:rPr>
          <w:lang w:val="en-AU"/>
        </w:rPr>
        <w:t>current</w:t>
      </w:r>
      <w:r w:rsidRPr="00317F08">
        <w:rPr>
          <w:lang w:val="en-AU"/>
        </w:rPr>
        <w:t xml:space="preserve"> allocation</w:t>
      </w:r>
      <w:r>
        <w:rPr>
          <w:lang w:val="en-AU"/>
        </w:rPr>
        <w:t xml:space="preserve"> levels</w:t>
      </w:r>
      <w:r w:rsidRPr="00317F08">
        <w:rPr>
          <w:lang w:val="en-AU"/>
        </w:rPr>
        <w:t xml:space="preserve"> and</w:t>
      </w:r>
      <w:r>
        <w:rPr>
          <w:lang w:val="en-AU"/>
        </w:rPr>
        <w:t xml:space="preserve"> the outlook for future allocations. In average to wet years in the southern-connected Basin, demand is driven at the margins by the relative profitability of different interruptible irrigation crops, most of which are grown in NSW. </w:t>
      </w:r>
    </w:p>
    <w:p w14:paraId="49591EDA" w14:textId="77777777" w:rsidR="00C01A50" w:rsidRPr="00317F08" w:rsidRDefault="00C01A50" w:rsidP="00880811">
      <w:pPr>
        <w:rPr>
          <w:lang w:val="en-AU"/>
        </w:rPr>
      </w:pPr>
      <w:r>
        <w:rPr>
          <w:lang w:val="en-AU"/>
        </w:rPr>
        <w:t xml:space="preserve">Water market prices and the directions of trade are therefore </w:t>
      </w:r>
      <w:r w:rsidRPr="00317F08">
        <w:rPr>
          <w:lang w:val="en-AU"/>
        </w:rPr>
        <w:t xml:space="preserve">strongly influenced by the relative profitability of different </w:t>
      </w:r>
      <w:r>
        <w:rPr>
          <w:lang w:val="en-AU"/>
        </w:rPr>
        <w:t xml:space="preserve">interruptible </w:t>
      </w:r>
      <w:r w:rsidRPr="00317F08">
        <w:rPr>
          <w:lang w:val="en-AU"/>
        </w:rPr>
        <w:t>enterprises</w:t>
      </w:r>
      <w:r>
        <w:rPr>
          <w:lang w:val="en-AU"/>
        </w:rPr>
        <w:t xml:space="preserve"> in NSW</w:t>
      </w:r>
      <w:r w:rsidRPr="00317F08">
        <w:rPr>
          <w:lang w:val="en-AU"/>
        </w:rPr>
        <w:t>.</w:t>
      </w:r>
      <w:r>
        <w:rPr>
          <w:lang w:val="en-AU"/>
        </w:rPr>
        <w:t xml:space="preserve"> In that context, it is important to understand what the future might hold for irrigation in NSW. </w:t>
      </w:r>
    </w:p>
    <w:p w14:paraId="7B017539" w14:textId="77777777" w:rsidR="00C01A50" w:rsidRDefault="00C01A50" w:rsidP="00880811">
      <w:pPr>
        <w:rPr>
          <w:lang w:val="en-AU"/>
        </w:rPr>
      </w:pPr>
      <w:r w:rsidRPr="00317F08">
        <w:rPr>
          <w:lang w:val="en-AU"/>
        </w:rPr>
        <w:t>Historically round 60-70% of the water available in southern NSW was used for rice production. The relative proportion used for rice has now declined to 35-45%. This change has been driven by the adoption of higher value enterprises, or in the case of winter crop production, improved management</w:t>
      </w:r>
      <w:r>
        <w:rPr>
          <w:lang w:val="en-AU"/>
        </w:rPr>
        <w:t>,</w:t>
      </w:r>
      <w:r w:rsidRPr="00317F08">
        <w:rPr>
          <w:lang w:val="en-AU"/>
        </w:rPr>
        <w:t xml:space="preserve"> and investment</w:t>
      </w:r>
      <w:r>
        <w:rPr>
          <w:lang w:val="en-AU"/>
        </w:rPr>
        <w:t>s</w:t>
      </w:r>
      <w:r w:rsidRPr="00317F08">
        <w:rPr>
          <w:lang w:val="en-AU"/>
        </w:rPr>
        <w:t xml:space="preserve"> in improved irrigation systems and layouts. </w:t>
      </w:r>
    </w:p>
    <w:p w14:paraId="01FAF85B" w14:textId="77777777" w:rsidR="00C01A50" w:rsidRPr="00317F08" w:rsidRDefault="00C01A50" w:rsidP="00880811">
      <w:pPr>
        <w:rPr>
          <w:lang w:val="en-AU"/>
        </w:rPr>
      </w:pPr>
      <w:r w:rsidRPr="00317F08">
        <w:rPr>
          <w:lang w:val="en-AU"/>
        </w:rPr>
        <w:t>The way water is used in southern NSW will continue to improve</w:t>
      </w:r>
      <w:r>
        <w:rPr>
          <w:lang w:val="en-AU"/>
        </w:rPr>
        <w:t xml:space="preserve">, </w:t>
      </w:r>
      <w:r w:rsidRPr="00317F08">
        <w:rPr>
          <w:lang w:val="en-AU"/>
        </w:rPr>
        <w:t xml:space="preserve">and the enterprises </w:t>
      </w:r>
      <w:r>
        <w:rPr>
          <w:lang w:val="en-AU"/>
        </w:rPr>
        <w:t xml:space="preserve">making most use of water will continue to change.  </w:t>
      </w:r>
      <w:r w:rsidRPr="00317F08">
        <w:rPr>
          <w:lang w:val="en-AU"/>
        </w:rPr>
        <w:t>Th</w:t>
      </w:r>
      <w:r>
        <w:rPr>
          <w:lang w:val="en-AU"/>
        </w:rPr>
        <w:t>re</w:t>
      </w:r>
      <w:r w:rsidRPr="00317F08">
        <w:rPr>
          <w:lang w:val="en-AU"/>
        </w:rPr>
        <w:t xml:space="preserve">e likely future </w:t>
      </w:r>
      <w:r>
        <w:rPr>
          <w:lang w:val="en-AU"/>
        </w:rPr>
        <w:t xml:space="preserve">changes in NSW will have implications for Victorian irrigators, and it is important to note that they will become more important in relative terms as water continues to be recovered for the environment and the consumptive pool shrinks further. Those future changes include the adoption of: </w:t>
      </w:r>
    </w:p>
    <w:p w14:paraId="14167D39" w14:textId="77777777" w:rsidR="00C01A50" w:rsidRPr="00317F08" w:rsidRDefault="00C01A50" w:rsidP="002939B3">
      <w:pPr>
        <w:numPr>
          <w:ilvl w:val="0"/>
          <w:numId w:val="10"/>
        </w:numPr>
        <w:rPr>
          <w:lang w:val="en-AU"/>
        </w:rPr>
      </w:pPr>
      <w:r w:rsidRPr="00317F08">
        <w:rPr>
          <w:lang w:val="en-AU"/>
        </w:rPr>
        <w:t>Higher value annual cropping systems</w:t>
      </w:r>
    </w:p>
    <w:p w14:paraId="3DCEB619" w14:textId="77777777" w:rsidR="00C01A50" w:rsidRPr="00317F08" w:rsidRDefault="00C01A50" w:rsidP="002939B3">
      <w:pPr>
        <w:numPr>
          <w:ilvl w:val="0"/>
          <w:numId w:val="10"/>
        </w:numPr>
        <w:rPr>
          <w:lang w:val="en-AU"/>
        </w:rPr>
      </w:pPr>
      <w:r>
        <w:rPr>
          <w:lang w:val="en-AU"/>
        </w:rPr>
        <w:t xml:space="preserve">Lower water-use, </w:t>
      </w:r>
      <w:r w:rsidRPr="00317F08">
        <w:rPr>
          <w:lang w:val="en-AU"/>
        </w:rPr>
        <w:t>higher value rice farming systems</w:t>
      </w:r>
    </w:p>
    <w:p w14:paraId="3E2CA503" w14:textId="77777777" w:rsidR="00C01A50" w:rsidRPr="00317F08" w:rsidRDefault="00C01A50" w:rsidP="000B5691">
      <w:pPr>
        <w:keepNext/>
        <w:numPr>
          <w:ilvl w:val="0"/>
          <w:numId w:val="10"/>
        </w:numPr>
        <w:ind w:left="1077"/>
        <w:rPr>
          <w:lang w:val="en-AU"/>
        </w:rPr>
      </w:pPr>
      <w:r>
        <w:rPr>
          <w:lang w:val="en-AU"/>
        </w:rPr>
        <w:t>Larger-scale</w:t>
      </w:r>
      <w:r w:rsidRPr="00317F08">
        <w:rPr>
          <w:lang w:val="en-AU"/>
        </w:rPr>
        <w:t xml:space="preserve"> horticultur</w:t>
      </w:r>
      <w:r>
        <w:rPr>
          <w:lang w:val="en-AU"/>
        </w:rPr>
        <w:t xml:space="preserve">al production systems </w:t>
      </w:r>
    </w:p>
    <w:p w14:paraId="51C34C50" w14:textId="77777777" w:rsidR="00C01A50" w:rsidRPr="00317F08" w:rsidRDefault="00C01A50" w:rsidP="00880811">
      <w:pPr>
        <w:rPr>
          <w:lang w:val="en-AU"/>
        </w:rPr>
      </w:pPr>
      <w:r w:rsidRPr="00317F08">
        <w:rPr>
          <w:lang w:val="en-AU"/>
        </w:rPr>
        <w:t>The</w:t>
      </w:r>
      <w:r>
        <w:rPr>
          <w:lang w:val="en-AU"/>
        </w:rPr>
        <w:t xml:space="preserve"> area</w:t>
      </w:r>
      <w:r w:rsidRPr="00317F08">
        <w:rPr>
          <w:lang w:val="en-AU"/>
        </w:rPr>
        <w:t xml:space="preserve"> of </w:t>
      </w:r>
      <w:r w:rsidRPr="00783410">
        <w:rPr>
          <w:b/>
          <w:lang w:val="en-AU"/>
        </w:rPr>
        <w:t xml:space="preserve">higher value winter and summer annual cropping systems </w:t>
      </w:r>
      <w:r>
        <w:rPr>
          <w:lang w:val="en-AU"/>
        </w:rPr>
        <w:t>in</w:t>
      </w:r>
      <w:r w:rsidRPr="00317F08">
        <w:rPr>
          <w:lang w:val="en-AU"/>
        </w:rPr>
        <w:t xml:space="preserve"> southern NSW is expected to increase</w:t>
      </w:r>
      <w:r>
        <w:rPr>
          <w:lang w:val="en-AU"/>
        </w:rPr>
        <w:t>.</w:t>
      </w:r>
      <w:r w:rsidRPr="00317F08">
        <w:rPr>
          <w:lang w:val="en-AU"/>
        </w:rPr>
        <w:t xml:space="preserve"> The diversification</w:t>
      </w:r>
      <w:r>
        <w:rPr>
          <w:lang w:val="en-AU"/>
        </w:rPr>
        <w:t xml:space="preserve"> already seen</w:t>
      </w:r>
      <w:r w:rsidRPr="00317F08">
        <w:rPr>
          <w:lang w:val="en-AU"/>
        </w:rPr>
        <w:t xml:space="preserve"> in parts of the Murrumbidgee is expected to </w:t>
      </w:r>
      <w:r>
        <w:rPr>
          <w:lang w:val="en-AU"/>
        </w:rPr>
        <w:t xml:space="preserve">extend further and to spread into the NSW Murray (properties in the Victorian Murray are generally too small to take advantage of these systems) as irrigators </w:t>
      </w:r>
      <w:r w:rsidRPr="00317F08">
        <w:rPr>
          <w:lang w:val="en-AU"/>
        </w:rPr>
        <w:t xml:space="preserve">become more familiar and </w:t>
      </w:r>
      <w:r>
        <w:rPr>
          <w:lang w:val="en-AU"/>
        </w:rPr>
        <w:t xml:space="preserve">more </w:t>
      </w:r>
      <w:r w:rsidRPr="00317F08">
        <w:rPr>
          <w:lang w:val="en-AU"/>
        </w:rPr>
        <w:t xml:space="preserve">confident with these systems. The area sown to cotton and corn </w:t>
      </w:r>
      <w:r>
        <w:rPr>
          <w:lang w:val="en-AU"/>
        </w:rPr>
        <w:t xml:space="preserve">in particular </w:t>
      </w:r>
      <w:r w:rsidRPr="00317F08">
        <w:rPr>
          <w:lang w:val="en-AU"/>
        </w:rPr>
        <w:t>will continue to increase</w:t>
      </w:r>
      <w:r>
        <w:rPr>
          <w:lang w:val="en-AU"/>
        </w:rPr>
        <w:t>,</w:t>
      </w:r>
      <w:r w:rsidRPr="00317F08">
        <w:rPr>
          <w:lang w:val="en-AU"/>
        </w:rPr>
        <w:t xml:space="preserve"> and the management of winter </w:t>
      </w:r>
      <w:r w:rsidRPr="00317F08">
        <w:rPr>
          <w:lang w:val="en-AU"/>
        </w:rPr>
        <w:lastRenderedPageBreak/>
        <w:t>crops will continue to improve</w:t>
      </w:r>
      <w:r>
        <w:rPr>
          <w:lang w:val="en-AU"/>
        </w:rPr>
        <w:t xml:space="preserve">, </w:t>
      </w:r>
      <w:r w:rsidRPr="00317F08">
        <w:rPr>
          <w:lang w:val="en-AU"/>
        </w:rPr>
        <w:t>lead</w:t>
      </w:r>
      <w:r>
        <w:rPr>
          <w:lang w:val="en-AU"/>
        </w:rPr>
        <w:t>ing</w:t>
      </w:r>
      <w:r w:rsidRPr="00317F08">
        <w:rPr>
          <w:lang w:val="en-AU"/>
        </w:rPr>
        <w:t xml:space="preserve"> to a higher proportion of </w:t>
      </w:r>
      <w:r>
        <w:rPr>
          <w:lang w:val="en-AU"/>
        </w:rPr>
        <w:t xml:space="preserve">the consumptive pool being </w:t>
      </w:r>
      <w:r w:rsidRPr="00317F08">
        <w:rPr>
          <w:lang w:val="en-AU"/>
        </w:rPr>
        <w:t xml:space="preserve">used on these crops. </w:t>
      </w:r>
      <w:r>
        <w:rPr>
          <w:lang w:val="en-AU"/>
        </w:rPr>
        <w:t xml:space="preserve">Automated irrigation systems and </w:t>
      </w:r>
      <w:r w:rsidRPr="00317F08">
        <w:rPr>
          <w:lang w:val="en-AU"/>
        </w:rPr>
        <w:t xml:space="preserve">improved layouts </w:t>
      </w:r>
      <w:r>
        <w:rPr>
          <w:lang w:val="en-AU"/>
        </w:rPr>
        <w:t xml:space="preserve">are also leading </w:t>
      </w:r>
      <w:r w:rsidRPr="00317F08">
        <w:rPr>
          <w:lang w:val="en-AU"/>
        </w:rPr>
        <w:t xml:space="preserve">to increased crop yields, improved </w:t>
      </w:r>
      <w:r>
        <w:rPr>
          <w:lang w:val="en-AU"/>
        </w:rPr>
        <w:t xml:space="preserve">application </w:t>
      </w:r>
      <w:r w:rsidRPr="00317F08">
        <w:rPr>
          <w:lang w:val="en-AU"/>
        </w:rPr>
        <w:t xml:space="preserve">efficiency and </w:t>
      </w:r>
      <w:r>
        <w:rPr>
          <w:lang w:val="en-AU"/>
        </w:rPr>
        <w:t>diversified</w:t>
      </w:r>
      <w:r w:rsidRPr="00317F08">
        <w:rPr>
          <w:lang w:val="en-AU"/>
        </w:rPr>
        <w:t xml:space="preserve"> crop</w:t>
      </w:r>
      <w:r>
        <w:rPr>
          <w:lang w:val="en-AU"/>
        </w:rPr>
        <w:t xml:space="preserve">ping systems in both valleys. </w:t>
      </w:r>
    </w:p>
    <w:p w14:paraId="4C538C4D" w14:textId="77777777" w:rsidR="00C01A50" w:rsidRPr="00317F08" w:rsidRDefault="00C01A50" w:rsidP="00880811">
      <w:pPr>
        <w:rPr>
          <w:lang w:val="en-AU"/>
        </w:rPr>
      </w:pPr>
      <w:r w:rsidRPr="008401C2">
        <w:rPr>
          <w:b/>
          <w:lang w:val="en-AU"/>
        </w:rPr>
        <w:t>Lower water use rice farming systems</w:t>
      </w:r>
      <w:r w:rsidRPr="008401C2">
        <w:rPr>
          <w:lang w:val="en-AU"/>
        </w:rPr>
        <w:t xml:space="preserve"> will assist NSW irrigators to adjust to the effects of the Basin Plan. For example, the rice industry recently released shorter growing season varieties with twofold benefits; they will enable </w:t>
      </w:r>
      <w:r w:rsidR="000F4EAF" w:rsidRPr="008401C2">
        <w:rPr>
          <w:lang w:val="en-AU"/>
        </w:rPr>
        <w:t>double cropping</w:t>
      </w:r>
      <w:r w:rsidRPr="008401C2">
        <w:rPr>
          <w:lang w:val="en-AU"/>
        </w:rPr>
        <w:t xml:space="preserve"> in rotation with higher producing winter crops, and the rice crop itself will use around 15-20% less water. While this could lead to more water being available for other enterprises, it is more likely the water will be used for rice production, due to the increased return per unit of water, and the existing grower skills and industry infrastructure. This may make it easier for rice growers to compete on the water market in years of average to below average allocations.</w:t>
      </w:r>
    </w:p>
    <w:p w14:paraId="3C3A4DC0" w14:textId="77777777" w:rsidR="00C01A50" w:rsidRPr="00317F08" w:rsidRDefault="00C01A50" w:rsidP="00880811">
      <w:pPr>
        <w:rPr>
          <w:lang w:val="en-AU"/>
        </w:rPr>
      </w:pPr>
      <w:r>
        <w:rPr>
          <w:lang w:val="en-AU"/>
        </w:rPr>
        <w:t xml:space="preserve">The next priority </w:t>
      </w:r>
      <w:r w:rsidRPr="00317F08">
        <w:rPr>
          <w:lang w:val="en-AU"/>
        </w:rPr>
        <w:t>is to breed varieties and develop agronom</w:t>
      </w:r>
      <w:r>
        <w:rPr>
          <w:lang w:val="en-AU"/>
        </w:rPr>
        <w:t xml:space="preserve">ic packages </w:t>
      </w:r>
      <w:r w:rsidRPr="00317F08">
        <w:rPr>
          <w:lang w:val="en-AU"/>
        </w:rPr>
        <w:t xml:space="preserve">for </w:t>
      </w:r>
      <w:r>
        <w:rPr>
          <w:lang w:val="en-AU"/>
        </w:rPr>
        <w:t xml:space="preserve">cold-tolerant rice varieties </w:t>
      </w:r>
      <w:r w:rsidRPr="00317F08">
        <w:rPr>
          <w:lang w:val="en-AU"/>
        </w:rPr>
        <w:t xml:space="preserve">that do not </w:t>
      </w:r>
      <w:r>
        <w:rPr>
          <w:lang w:val="en-AU"/>
        </w:rPr>
        <w:t xml:space="preserve">need the heat bank effects of </w:t>
      </w:r>
      <w:r w:rsidRPr="00317F08">
        <w:rPr>
          <w:lang w:val="en-AU"/>
        </w:rPr>
        <w:t xml:space="preserve">ponded </w:t>
      </w:r>
      <w:r>
        <w:rPr>
          <w:lang w:val="en-AU"/>
        </w:rPr>
        <w:t xml:space="preserve">irrigation systems. </w:t>
      </w:r>
      <w:r w:rsidRPr="00317F08">
        <w:rPr>
          <w:lang w:val="en-AU"/>
        </w:rPr>
        <w:t>This is expected to</w:t>
      </w:r>
      <w:r>
        <w:rPr>
          <w:lang w:val="en-AU"/>
        </w:rPr>
        <w:t xml:space="preserve"> reduce water use per hectare,</w:t>
      </w:r>
      <w:r w:rsidRPr="00317F08">
        <w:rPr>
          <w:lang w:val="en-AU"/>
        </w:rPr>
        <w:t xml:space="preserve"> </w:t>
      </w:r>
      <w:r>
        <w:rPr>
          <w:lang w:val="en-AU"/>
        </w:rPr>
        <w:t xml:space="preserve">increase </w:t>
      </w:r>
      <w:r w:rsidRPr="00317F08">
        <w:rPr>
          <w:lang w:val="en-AU"/>
        </w:rPr>
        <w:t xml:space="preserve">grain yields and </w:t>
      </w:r>
      <w:r>
        <w:rPr>
          <w:lang w:val="en-AU"/>
        </w:rPr>
        <w:t xml:space="preserve">encourage the use of </w:t>
      </w:r>
      <w:r w:rsidRPr="00317F08">
        <w:rPr>
          <w:lang w:val="en-AU"/>
        </w:rPr>
        <w:t xml:space="preserve">irrigation layouts more compatible </w:t>
      </w:r>
      <w:r>
        <w:rPr>
          <w:lang w:val="en-AU"/>
        </w:rPr>
        <w:t>with the best practice for</w:t>
      </w:r>
      <w:r w:rsidRPr="00317F08">
        <w:rPr>
          <w:lang w:val="en-AU"/>
        </w:rPr>
        <w:t xml:space="preserve"> high </w:t>
      </w:r>
      <w:r>
        <w:rPr>
          <w:lang w:val="en-AU"/>
        </w:rPr>
        <w:t>yields for the other crops grown in rice-based cropping systems.</w:t>
      </w:r>
    </w:p>
    <w:p w14:paraId="23C5882F" w14:textId="77777777" w:rsidR="00C01A50" w:rsidRPr="00317F08" w:rsidRDefault="00C01A50" w:rsidP="00880811">
      <w:pPr>
        <w:rPr>
          <w:lang w:val="en-AU"/>
        </w:rPr>
      </w:pPr>
      <w:r w:rsidRPr="00BA315C">
        <w:rPr>
          <w:b/>
          <w:lang w:val="en-AU"/>
        </w:rPr>
        <w:t>Large-scale horticultural production systems</w:t>
      </w:r>
      <w:r>
        <w:rPr>
          <w:lang w:val="en-AU"/>
        </w:rPr>
        <w:t>,</w:t>
      </w:r>
      <w:r w:rsidRPr="00317F08">
        <w:rPr>
          <w:lang w:val="en-AU"/>
        </w:rPr>
        <w:t xml:space="preserve"> particularly nut</w:t>
      </w:r>
      <w:r>
        <w:rPr>
          <w:lang w:val="en-AU"/>
        </w:rPr>
        <w:t xml:space="preserve"> crop</w:t>
      </w:r>
      <w:r w:rsidRPr="00317F08">
        <w:rPr>
          <w:lang w:val="en-AU"/>
        </w:rPr>
        <w:t xml:space="preserve">s, </w:t>
      </w:r>
      <w:r>
        <w:rPr>
          <w:lang w:val="en-AU"/>
        </w:rPr>
        <w:t xml:space="preserve">have increased significantly in </w:t>
      </w:r>
      <w:r w:rsidRPr="00317F08">
        <w:rPr>
          <w:lang w:val="en-AU"/>
        </w:rPr>
        <w:t>the Murrumbidgee</w:t>
      </w:r>
      <w:r>
        <w:rPr>
          <w:lang w:val="en-AU"/>
        </w:rPr>
        <w:t xml:space="preserve"> valley in recent years</w:t>
      </w:r>
      <w:r w:rsidRPr="00317F08">
        <w:rPr>
          <w:lang w:val="en-AU"/>
        </w:rPr>
        <w:t>.</w:t>
      </w:r>
      <w:r>
        <w:rPr>
          <w:lang w:val="en-AU"/>
        </w:rPr>
        <w:t xml:space="preserve"> Developments are also occurring in the NSW Murray around Kyalite.</w:t>
      </w:r>
      <w:r w:rsidRPr="00317F08">
        <w:rPr>
          <w:lang w:val="en-AU"/>
        </w:rPr>
        <w:t xml:space="preserve"> Continued </w:t>
      </w:r>
      <w:r>
        <w:rPr>
          <w:lang w:val="en-AU"/>
        </w:rPr>
        <w:t xml:space="preserve">expansion </w:t>
      </w:r>
      <w:r w:rsidRPr="00317F08">
        <w:rPr>
          <w:lang w:val="en-AU"/>
        </w:rPr>
        <w:t>of these plantings will increase the demand for water, particularly in years of low water availability.</w:t>
      </w:r>
    </w:p>
    <w:p w14:paraId="6C0626D9" w14:textId="77777777" w:rsidR="00C01A50" w:rsidRPr="00317F08" w:rsidRDefault="00C01A50" w:rsidP="008401C2">
      <w:pPr>
        <w:pStyle w:val="Heading2"/>
        <w:rPr>
          <w:lang w:val="en-AU"/>
        </w:rPr>
      </w:pPr>
      <w:bookmarkStart w:id="185" w:name="_Toc347747842"/>
      <w:r w:rsidRPr="00317F08">
        <w:rPr>
          <w:lang w:val="en-AU"/>
        </w:rPr>
        <w:t xml:space="preserve">Implications for Victoria and </w:t>
      </w:r>
      <w:r>
        <w:rPr>
          <w:lang w:val="en-AU"/>
        </w:rPr>
        <w:t xml:space="preserve">the </w:t>
      </w:r>
      <w:r w:rsidRPr="00317F08">
        <w:rPr>
          <w:lang w:val="en-AU"/>
        </w:rPr>
        <w:t>potential for further industry shifts</w:t>
      </w:r>
      <w:bookmarkEnd w:id="185"/>
    </w:p>
    <w:p w14:paraId="430D4061" w14:textId="77777777" w:rsidR="00C01A50" w:rsidRPr="00317F08" w:rsidRDefault="00C01A50" w:rsidP="00880811">
      <w:pPr>
        <w:rPr>
          <w:lang w:val="en-AU"/>
        </w:rPr>
      </w:pPr>
      <w:r w:rsidRPr="00317F08">
        <w:rPr>
          <w:lang w:val="en-AU"/>
        </w:rPr>
        <w:t xml:space="preserve">NSW Murray </w:t>
      </w:r>
      <w:r>
        <w:rPr>
          <w:lang w:val="en-AU"/>
        </w:rPr>
        <w:t xml:space="preserve">irrigators </w:t>
      </w:r>
      <w:r w:rsidRPr="00317F08">
        <w:rPr>
          <w:lang w:val="en-AU"/>
        </w:rPr>
        <w:t xml:space="preserve">have actively traded </w:t>
      </w:r>
      <w:r>
        <w:rPr>
          <w:lang w:val="en-AU"/>
        </w:rPr>
        <w:t xml:space="preserve">allocations </w:t>
      </w:r>
      <w:r w:rsidRPr="00317F08">
        <w:rPr>
          <w:lang w:val="en-AU"/>
        </w:rPr>
        <w:t xml:space="preserve">in most years over the past two decades. </w:t>
      </w:r>
      <w:r>
        <w:rPr>
          <w:lang w:val="en-AU"/>
        </w:rPr>
        <w:t xml:space="preserve">Most of these allocations were </w:t>
      </w:r>
      <w:r w:rsidRPr="00317F08">
        <w:rPr>
          <w:lang w:val="en-AU"/>
        </w:rPr>
        <w:t xml:space="preserve">sourced from either the NSW Murray </w:t>
      </w:r>
      <w:r>
        <w:rPr>
          <w:lang w:val="en-AU"/>
        </w:rPr>
        <w:t>V</w:t>
      </w:r>
      <w:r w:rsidRPr="00317F08">
        <w:rPr>
          <w:lang w:val="en-AU"/>
        </w:rPr>
        <w:t>alley or the Murrumbidgee. In both 2012/13 and 2013/14 in excess of 210 GL was traded on Murray Irrigation</w:t>
      </w:r>
      <w:r>
        <w:rPr>
          <w:lang w:val="en-AU"/>
        </w:rPr>
        <w:t>’s</w:t>
      </w:r>
      <w:r w:rsidRPr="00317F08">
        <w:rPr>
          <w:lang w:val="en-AU"/>
        </w:rPr>
        <w:t xml:space="preserve"> Water exchange. The NSW Office of Water reported that only 20 GL of water was traded into the valley in 2014/15.</w:t>
      </w:r>
    </w:p>
    <w:p w14:paraId="6E6B924A" w14:textId="77777777" w:rsidR="00C01A50" w:rsidRPr="00317F08" w:rsidRDefault="00C01A50" w:rsidP="00880811">
      <w:pPr>
        <w:rPr>
          <w:lang w:val="en-AU"/>
        </w:rPr>
      </w:pPr>
      <w:r w:rsidRPr="00317F08">
        <w:rPr>
          <w:lang w:val="en-AU"/>
        </w:rPr>
        <w:t xml:space="preserve">In 2015/16, the Inter Valley </w:t>
      </w:r>
      <w:r>
        <w:rPr>
          <w:lang w:val="en-AU"/>
        </w:rPr>
        <w:t xml:space="preserve">Trade of allocations </w:t>
      </w:r>
      <w:r w:rsidRPr="00317F08">
        <w:rPr>
          <w:lang w:val="en-AU"/>
        </w:rPr>
        <w:t xml:space="preserve">from the Murrumbidgee to the Murray was </w:t>
      </w:r>
      <w:r>
        <w:rPr>
          <w:lang w:val="en-AU"/>
        </w:rPr>
        <w:t>confined to a shorter period</w:t>
      </w:r>
      <w:r w:rsidRPr="00317F08">
        <w:rPr>
          <w:lang w:val="en-AU"/>
        </w:rPr>
        <w:t xml:space="preserve"> than in earlier years. This reflect</w:t>
      </w:r>
      <w:r>
        <w:rPr>
          <w:lang w:val="en-AU"/>
        </w:rPr>
        <w:t>ed</w:t>
      </w:r>
      <w:r w:rsidRPr="00317F08">
        <w:rPr>
          <w:lang w:val="en-AU"/>
        </w:rPr>
        <w:t xml:space="preserve"> increasing demand from NSW Murray Valley water users but also </w:t>
      </w:r>
      <w:r>
        <w:rPr>
          <w:lang w:val="en-AU"/>
        </w:rPr>
        <w:t xml:space="preserve">from </w:t>
      </w:r>
      <w:r w:rsidRPr="00317F08">
        <w:rPr>
          <w:lang w:val="en-AU"/>
        </w:rPr>
        <w:t xml:space="preserve">Victorian and SA (horticultural) water users during a period of low water availability. </w:t>
      </w:r>
      <w:r>
        <w:rPr>
          <w:lang w:val="en-AU"/>
        </w:rPr>
        <w:t xml:space="preserve">Because </w:t>
      </w:r>
      <w:r w:rsidRPr="00317F08">
        <w:rPr>
          <w:lang w:val="en-AU"/>
        </w:rPr>
        <w:t xml:space="preserve">Murrumbidgee water can be traded to the NSW and Victorian Murray below the Barmah choke, </w:t>
      </w:r>
      <w:r>
        <w:rPr>
          <w:lang w:val="en-AU"/>
        </w:rPr>
        <w:t xml:space="preserve">it is attractive </w:t>
      </w:r>
      <w:r w:rsidRPr="00317F08">
        <w:rPr>
          <w:lang w:val="en-AU"/>
        </w:rPr>
        <w:t>for</w:t>
      </w:r>
      <w:r>
        <w:rPr>
          <w:lang w:val="en-AU"/>
        </w:rPr>
        <w:t xml:space="preserve"> horticulturalists in the Mallee regions of Victoria, NSW and South Australia – especially during years of low allocations in Victoria and South Australia.</w:t>
      </w:r>
    </w:p>
    <w:p w14:paraId="2FD824E8" w14:textId="77777777" w:rsidR="00C01A50" w:rsidRPr="00317F08" w:rsidRDefault="00C01A50" w:rsidP="00880811">
      <w:pPr>
        <w:rPr>
          <w:lang w:val="en-AU"/>
        </w:rPr>
      </w:pPr>
      <w:r w:rsidRPr="00317F08">
        <w:rPr>
          <w:lang w:val="en-AU"/>
        </w:rPr>
        <w:t xml:space="preserve">NSW Murray </w:t>
      </w:r>
      <w:r>
        <w:rPr>
          <w:lang w:val="en-AU"/>
        </w:rPr>
        <w:t xml:space="preserve">irrigators </w:t>
      </w:r>
      <w:r w:rsidRPr="00317F08">
        <w:rPr>
          <w:lang w:val="en-AU"/>
        </w:rPr>
        <w:t>have also established arrangements to source water in years of low allocation</w:t>
      </w:r>
      <w:r>
        <w:rPr>
          <w:lang w:val="en-AU"/>
        </w:rPr>
        <w:t>s against general security entitlements</w:t>
      </w:r>
      <w:r w:rsidRPr="00317F08">
        <w:rPr>
          <w:lang w:val="en-AU"/>
        </w:rPr>
        <w:t>. This has included borrowing water from the Barmah Millewa Environmental water account when the General Security annual allocation is less than 30% and establishing an ‘allocation’ advance or forward release of water from the Snowy Mountains Corporation. Both these instruments have reduced the demand for annual trade of water into the region at these times.</w:t>
      </w:r>
    </w:p>
    <w:p w14:paraId="120CB439" w14:textId="77777777" w:rsidR="00C01A50" w:rsidRPr="00317F08" w:rsidRDefault="00C01A50" w:rsidP="00880811">
      <w:pPr>
        <w:rPr>
          <w:lang w:val="en-AU"/>
        </w:rPr>
      </w:pPr>
      <w:r>
        <w:rPr>
          <w:lang w:val="en-AU"/>
        </w:rPr>
        <w:t xml:space="preserve">Apart from 2011/12 and 2012/13 when high allocation levels and vast stores of carryover meant that water was abundant in Victoria, </w:t>
      </w:r>
      <w:r w:rsidRPr="00317F08">
        <w:rPr>
          <w:lang w:val="en-AU"/>
        </w:rPr>
        <w:t>there has been limited annual trade from Victoria</w:t>
      </w:r>
      <w:r>
        <w:rPr>
          <w:lang w:val="en-AU"/>
        </w:rPr>
        <w:t xml:space="preserve"> </w:t>
      </w:r>
      <w:r w:rsidRPr="00317F08">
        <w:rPr>
          <w:lang w:val="en-AU"/>
        </w:rPr>
        <w:t xml:space="preserve">to NSW in </w:t>
      </w:r>
      <w:r>
        <w:rPr>
          <w:lang w:val="en-AU"/>
        </w:rPr>
        <w:t>recent</w:t>
      </w:r>
      <w:r w:rsidRPr="00317F08">
        <w:rPr>
          <w:lang w:val="en-AU"/>
        </w:rPr>
        <w:t xml:space="preserve"> years. </w:t>
      </w:r>
      <w:r>
        <w:rPr>
          <w:lang w:val="en-AU"/>
        </w:rPr>
        <w:t xml:space="preserve">One reason is that </w:t>
      </w:r>
      <w:r w:rsidRPr="00317F08">
        <w:rPr>
          <w:lang w:val="en-AU"/>
        </w:rPr>
        <w:t>Murray Irrigation</w:t>
      </w:r>
      <w:r>
        <w:rPr>
          <w:lang w:val="en-AU"/>
        </w:rPr>
        <w:t>’s</w:t>
      </w:r>
      <w:r w:rsidRPr="00317F08">
        <w:rPr>
          <w:lang w:val="en-AU"/>
        </w:rPr>
        <w:t xml:space="preserve"> Water exchange</w:t>
      </w:r>
      <w:r>
        <w:rPr>
          <w:lang w:val="en-AU"/>
        </w:rPr>
        <w:t xml:space="preserve"> was traditionally seen as enabling faster </w:t>
      </w:r>
      <w:r>
        <w:rPr>
          <w:lang w:val="en-AU"/>
        </w:rPr>
        <w:lastRenderedPageBreak/>
        <w:t xml:space="preserve">transfers with irrigators being able to buy allocations from within Murray Irrigation and to use them on the same day. The introduction of Victoria’s online trading system, and the </w:t>
      </w:r>
      <w:r w:rsidRPr="00317F08">
        <w:rPr>
          <w:lang w:val="en-AU"/>
        </w:rPr>
        <w:t xml:space="preserve">increased activity </w:t>
      </w:r>
      <w:r>
        <w:rPr>
          <w:lang w:val="en-AU"/>
        </w:rPr>
        <w:t>of</w:t>
      </w:r>
      <w:r w:rsidRPr="00317F08">
        <w:rPr>
          <w:lang w:val="en-AU"/>
        </w:rPr>
        <w:t xml:space="preserve"> water brokers </w:t>
      </w:r>
      <w:r w:rsidR="000F4EAF">
        <w:rPr>
          <w:lang w:val="en-AU"/>
        </w:rPr>
        <w:t>have</w:t>
      </w:r>
      <w:r>
        <w:rPr>
          <w:lang w:val="en-AU"/>
        </w:rPr>
        <w:t xml:space="preserve"> helped to further integrate the water market. </w:t>
      </w:r>
    </w:p>
    <w:p w14:paraId="0C6A9D51" w14:textId="77777777" w:rsidR="00C01A50" w:rsidRPr="00317F08" w:rsidRDefault="00C01A50" w:rsidP="00880811">
      <w:pPr>
        <w:rPr>
          <w:lang w:val="en-AU"/>
        </w:rPr>
      </w:pPr>
      <w:r>
        <w:rPr>
          <w:lang w:val="en-AU"/>
        </w:rPr>
        <w:t>More importantly</w:t>
      </w:r>
      <w:r w:rsidRPr="00317F08">
        <w:rPr>
          <w:lang w:val="en-AU"/>
        </w:rPr>
        <w:t xml:space="preserve">, the returns generated by Victorian water users </w:t>
      </w:r>
      <w:r>
        <w:rPr>
          <w:lang w:val="en-AU"/>
        </w:rPr>
        <w:t xml:space="preserve">in </w:t>
      </w:r>
      <w:r w:rsidRPr="00317F08">
        <w:rPr>
          <w:lang w:val="en-AU"/>
        </w:rPr>
        <w:t>the horti</w:t>
      </w:r>
      <w:r>
        <w:rPr>
          <w:lang w:val="en-AU"/>
        </w:rPr>
        <w:t>culture and dairy industries have</w:t>
      </w:r>
      <w:r w:rsidRPr="00317F08">
        <w:rPr>
          <w:lang w:val="en-AU"/>
        </w:rPr>
        <w:t xml:space="preserve"> generally exceeded those generated by NSW users </w:t>
      </w:r>
      <w:r>
        <w:rPr>
          <w:lang w:val="en-AU"/>
        </w:rPr>
        <w:t>growing</w:t>
      </w:r>
      <w:r w:rsidRPr="00317F08">
        <w:rPr>
          <w:lang w:val="en-AU"/>
        </w:rPr>
        <w:t xml:space="preserve"> annual crop</w:t>
      </w:r>
      <w:r>
        <w:rPr>
          <w:lang w:val="en-AU"/>
        </w:rPr>
        <w:t>s. Victorian irrigators’ relatively fixed demands for water mean however, that in wet years some of their allocations are surplus to their requirements</w:t>
      </w:r>
      <w:r w:rsidRPr="00317F08">
        <w:rPr>
          <w:lang w:val="en-AU"/>
        </w:rPr>
        <w:t xml:space="preserve"> </w:t>
      </w:r>
      <w:r>
        <w:rPr>
          <w:lang w:val="en-AU"/>
        </w:rPr>
        <w:t>and they sell the surplus at low prices to annual croppers in NSW.</w:t>
      </w:r>
    </w:p>
    <w:p w14:paraId="7121DF26" w14:textId="77777777" w:rsidR="00C01A50" w:rsidRPr="009D3356" w:rsidRDefault="00C01A50" w:rsidP="009D3356">
      <w:pPr>
        <w:pStyle w:val="Heading2"/>
        <w:rPr>
          <w:lang w:val="en-AU"/>
        </w:rPr>
      </w:pPr>
      <w:bookmarkStart w:id="186" w:name="_Toc347747843"/>
      <w:r>
        <w:rPr>
          <w:lang w:val="en-AU"/>
        </w:rPr>
        <w:t>NSW s</w:t>
      </w:r>
      <w:r w:rsidRPr="009D3356">
        <w:rPr>
          <w:lang w:val="en-AU"/>
        </w:rPr>
        <w:t xml:space="preserve">tructural </w:t>
      </w:r>
      <w:r>
        <w:rPr>
          <w:lang w:val="en-AU"/>
        </w:rPr>
        <w:t>adjustment pressures</w:t>
      </w:r>
      <w:r w:rsidRPr="009D3356">
        <w:rPr>
          <w:lang w:val="en-AU"/>
        </w:rPr>
        <w:t xml:space="preserve"> </w:t>
      </w:r>
      <w:r>
        <w:rPr>
          <w:lang w:val="en-AU"/>
        </w:rPr>
        <w:t>arising from</w:t>
      </w:r>
      <w:r w:rsidRPr="009D3356">
        <w:rPr>
          <w:lang w:val="en-AU"/>
        </w:rPr>
        <w:t xml:space="preserve"> </w:t>
      </w:r>
      <w:r>
        <w:rPr>
          <w:lang w:val="en-AU"/>
        </w:rPr>
        <w:t>w</w:t>
      </w:r>
      <w:r w:rsidRPr="009D3356">
        <w:rPr>
          <w:lang w:val="en-AU"/>
        </w:rPr>
        <w:t xml:space="preserve">ater </w:t>
      </w:r>
      <w:r>
        <w:rPr>
          <w:lang w:val="en-AU"/>
        </w:rPr>
        <w:t>recovery</w:t>
      </w:r>
      <w:bookmarkEnd w:id="186"/>
    </w:p>
    <w:p w14:paraId="3B7AB3E2" w14:textId="77777777" w:rsidR="00C01A50" w:rsidRPr="00FC069A" w:rsidRDefault="00C01A50" w:rsidP="00880811">
      <w:pPr>
        <w:rPr>
          <w:lang w:val="en-AU"/>
        </w:rPr>
      </w:pPr>
      <w:r w:rsidRPr="00FC069A">
        <w:rPr>
          <w:lang w:val="en-AU"/>
        </w:rPr>
        <w:t>Many irrigators who sold water entitlement to the Commonwealth retained their land in anticipation of being able to purchase allocations to secure their annual water requirements. Others who sold their land as well, sold it to irrigators with similar expectations. The net result was that while Government purchases reduced seasonal water availability, the demand for allocations was not reduced to the same extent.</w:t>
      </w:r>
    </w:p>
    <w:p w14:paraId="6D53C156" w14:textId="77777777" w:rsidR="00C01A50" w:rsidRPr="00FC069A" w:rsidRDefault="00C01A50" w:rsidP="00880811">
      <w:pPr>
        <w:rPr>
          <w:lang w:val="en-AU"/>
        </w:rPr>
      </w:pPr>
      <w:r w:rsidRPr="00FC069A">
        <w:rPr>
          <w:lang w:val="en-AU"/>
        </w:rPr>
        <w:t xml:space="preserve">In dry years, this adds pressure to the allocation market resulting in higher prices. In 2015/16 water prices exceeded the unit returns per </w:t>
      </w:r>
      <w:r w:rsidR="00FF192A">
        <w:rPr>
          <w:lang w:val="en-AU"/>
        </w:rPr>
        <w:t>ML</w:t>
      </w:r>
      <w:r w:rsidRPr="00FC069A">
        <w:rPr>
          <w:lang w:val="en-AU"/>
        </w:rPr>
        <w:t>, at district average yields, for most summer and winter crops in NSW. As a result many NSW irrigators sold their water, with flow-on effects for the regional economy.</w:t>
      </w:r>
    </w:p>
    <w:p w14:paraId="412CF116" w14:textId="77777777" w:rsidR="00C01A50" w:rsidRPr="00FC069A" w:rsidRDefault="00C01A50" w:rsidP="00880811">
      <w:pPr>
        <w:rPr>
          <w:lang w:val="en-AU"/>
        </w:rPr>
      </w:pPr>
      <w:r w:rsidRPr="00FC069A">
        <w:rPr>
          <w:lang w:val="en-AU"/>
        </w:rPr>
        <w:t>At the time of writing, in November 2016, at 100% allocations, water was selling for approximately $80/ML in the NSW Murray and $100/ML in the Murrumbidgee. Historically, when allocations were 100% water prices were expected to be in the order of $30-50/ML. The increase has meant profits have been reduced for those irrigators dependent on allocation purchases, at a time when they would traditionally have expected to build up their financial reserves to carry them through the years of low allocations.</w:t>
      </w:r>
    </w:p>
    <w:p w14:paraId="7429A1BF" w14:textId="77777777" w:rsidR="00C01A50" w:rsidRPr="00FC069A" w:rsidRDefault="00C01A50" w:rsidP="00880811">
      <w:pPr>
        <w:rPr>
          <w:lang w:val="en-AU"/>
        </w:rPr>
      </w:pPr>
      <w:r w:rsidRPr="00FC069A">
        <w:rPr>
          <w:lang w:val="en-AU"/>
        </w:rPr>
        <w:t>Structurally, individual farm businesses have increased in size, there is greater reliance on allocation trade, irrigators are striving to diversify their production systems to include higher value crops, there is less rice being grown and rice processing infrastructure is being underutilised while cotton processing infrastructure is being expanded. With less water being used, water delivery charges inside the irrigation areas serviced by the larger water delivery companies are expected to increase as those companies strive to meet their predominantly fixed costs. Similarly, regional service industries have experienced a decline in sales as a result of the reduction in the consumptive pool and the associated reduction in plantings, and they are now more exposed to seasonal variations in actual water use as a result of market prices.</w:t>
      </w:r>
    </w:p>
    <w:p w14:paraId="7C2F0489" w14:textId="77777777" w:rsidR="00C01A50" w:rsidRPr="00317F08" w:rsidRDefault="00C01A50" w:rsidP="00880811">
      <w:pPr>
        <w:rPr>
          <w:lang w:val="en-AU"/>
        </w:rPr>
      </w:pPr>
      <w:r w:rsidRPr="00FC069A">
        <w:rPr>
          <w:lang w:val="en-AU"/>
        </w:rPr>
        <w:t xml:space="preserve">The water market in the southern-connected Basin is now more active and more ‘global’. This combined with the strong incentive for irrigators and </w:t>
      </w:r>
      <w:r>
        <w:rPr>
          <w:lang w:val="en-AU"/>
        </w:rPr>
        <w:t>industries</w:t>
      </w:r>
      <w:r w:rsidRPr="00FC069A">
        <w:rPr>
          <w:lang w:val="en-AU"/>
        </w:rPr>
        <w:t xml:space="preserve"> to adopt strategies to increase their returns per </w:t>
      </w:r>
      <w:r w:rsidR="00FF192A">
        <w:rPr>
          <w:lang w:val="en-AU"/>
        </w:rPr>
        <w:t>ML</w:t>
      </w:r>
      <w:r w:rsidRPr="00FC069A">
        <w:rPr>
          <w:lang w:val="en-AU"/>
        </w:rPr>
        <w:t xml:space="preserve"> of water used in NSW, may ultimately reduce the volume of water traded into Victoria, particularly in medium and medium-wet water availability years.</w:t>
      </w:r>
    </w:p>
    <w:p w14:paraId="32CDE831" w14:textId="77777777" w:rsidR="00C01A50" w:rsidRDefault="00C01A50" w:rsidP="00880811">
      <w:pPr>
        <w:pStyle w:val="Heading2"/>
        <w:rPr>
          <w:lang w:val="en-AU"/>
        </w:rPr>
      </w:pPr>
      <w:bookmarkStart w:id="187" w:name="_Toc347747844"/>
      <w:r>
        <w:rPr>
          <w:lang w:val="en-AU"/>
        </w:rPr>
        <w:lastRenderedPageBreak/>
        <w:t>Summing up</w:t>
      </w:r>
      <w:bookmarkEnd w:id="187"/>
    </w:p>
    <w:p w14:paraId="20517359" w14:textId="77777777" w:rsidR="00C01A50" w:rsidRPr="00CF0A21" w:rsidRDefault="00C01A50" w:rsidP="00880811">
      <w:pPr>
        <w:rPr>
          <w:lang w:val="en-AU"/>
        </w:rPr>
      </w:pPr>
      <w:r w:rsidRPr="00CF0A21">
        <w:rPr>
          <w:lang w:val="en-AU"/>
        </w:rPr>
        <w:t xml:space="preserve">Government purchases </w:t>
      </w:r>
      <w:r>
        <w:rPr>
          <w:lang w:val="en-AU"/>
        </w:rPr>
        <w:t xml:space="preserve">of </w:t>
      </w:r>
      <w:r w:rsidR="000F4EAF" w:rsidRPr="00CF0A21">
        <w:rPr>
          <w:lang w:val="en-AU"/>
        </w:rPr>
        <w:t xml:space="preserve">General Security </w:t>
      </w:r>
      <w:r w:rsidRPr="00CF0A21">
        <w:rPr>
          <w:lang w:val="en-AU"/>
        </w:rPr>
        <w:t>entitlements equate to 21% of the Murray total and 14% of the Murrumbidgee total. Small volumes of high security entitlements have been purchased from both valleys. Annual water use has declined in southern NSW by a volume similar to the annual allocation for the water entitlements purchased by Government, indicating that net trade from Victoria and Sout</w:t>
      </w:r>
      <w:r>
        <w:rPr>
          <w:lang w:val="en-AU"/>
        </w:rPr>
        <w:t>h</w:t>
      </w:r>
      <w:r w:rsidRPr="00CF0A21">
        <w:rPr>
          <w:lang w:val="en-AU"/>
        </w:rPr>
        <w:t xml:space="preserve"> Australia has not changed.</w:t>
      </w:r>
    </w:p>
    <w:p w14:paraId="6FC2E51C" w14:textId="77777777" w:rsidR="00C01A50" w:rsidRPr="00CF0A21" w:rsidRDefault="00C01A50" w:rsidP="00880811">
      <w:pPr>
        <w:rPr>
          <w:lang w:val="en-AU"/>
        </w:rPr>
      </w:pPr>
      <w:r w:rsidRPr="00CF0A21">
        <w:rPr>
          <w:lang w:val="en-AU"/>
        </w:rPr>
        <w:t xml:space="preserve">The reduction in </w:t>
      </w:r>
      <w:r>
        <w:rPr>
          <w:lang w:val="en-AU"/>
        </w:rPr>
        <w:t xml:space="preserve">the </w:t>
      </w:r>
      <w:r w:rsidRPr="00CF0A21">
        <w:rPr>
          <w:lang w:val="en-AU"/>
        </w:rPr>
        <w:t xml:space="preserve">consumptive pool has driven structural adjustment at the farm, industry and regional scales. Irrigators have gradually responded by shifting water away from rice towards other summer crops and winter crops. Corn and cotton plantings have increased, initially in the Murrumbidgee valley where cotton gins have been built at Darlington Point and Hay. NSW irrigators are increasingly using forward markets to reduce </w:t>
      </w:r>
      <w:r w:rsidR="000F4EAF" w:rsidRPr="00CF0A21">
        <w:rPr>
          <w:lang w:val="en-AU"/>
        </w:rPr>
        <w:t>season-to-season</w:t>
      </w:r>
      <w:r w:rsidRPr="00CF0A21">
        <w:rPr>
          <w:lang w:val="en-AU"/>
        </w:rPr>
        <w:t xml:space="preserve"> business variability.</w:t>
      </w:r>
    </w:p>
    <w:p w14:paraId="22DC63D3" w14:textId="77777777" w:rsidR="00C01A50" w:rsidRPr="00CF0A21" w:rsidRDefault="00C01A50" w:rsidP="00880811">
      <w:pPr>
        <w:rPr>
          <w:lang w:val="en-AU"/>
        </w:rPr>
      </w:pPr>
      <w:r w:rsidRPr="00CF0A21">
        <w:rPr>
          <w:lang w:val="en-AU"/>
        </w:rPr>
        <w:t xml:space="preserve">Annual water use is evolving in southern NSW as irrigators consider how best to respond to the changed business environment. The large volumes of carryover suggest a level of uncertainty as irrigators contemplate future management strategies. Plantings of higher return annual crops and perennial crops are likely to expand as irrigators become more confident in the production and marketing of these </w:t>
      </w:r>
      <w:r>
        <w:rPr>
          <w:lang w:val="en-AU"/>
        </w:rPr>
        <w:t>crops</w:t>
      </w:r>
      <w:r w:rsidRPr="00CF0A21">
        <w:rPr>
          <w:lang w:val="en-AU"/>
        </w:rPr>
        <w:t>.</w:t>
      </w:r>
    </w:p>
    <w:p w14:paraId="7BEE6AD8" w14:textId="77777777" w:rsidR="00C01A50" w:rsidRPr="00CF0A21" w:rsidRDefault="00C01A50" w:rsidP="00880811">
      <w:pPr>
        <w:rPr>
          <w:lang w:val="en-AU"/>
        </w:rPr>
      </w:pPr>
      <w:r w:rsidRPr="00CF0A21">
        <w:rPr>
          <w:lang w:val="en-AU"/>
        </w:rPr>
        <w:t xml:space="preserve">Irrigators and industries will seek to increase the returns per </w:t>
      </w:r>
      <w:r w:rsidR="00FF192A">
        <w:rPr>
          <w:lang w:val="en-AU"/>
        </w:rPr>
        <w:t>ML</w:t>
      </w:r>
      <w:r w:rsidRPr="00CF0A21">
        <w:rPr>
          <w:lang w:val="en-AU"/>
        </w:rPr>
        <w:t xml:space="preserve"> through improved management and through research and development. Recent developments in the rice industry are an example. These structural adjustment</w:t>
      </w:r>
      <w:r>
        <w:rPr>
          <w:lang w:val="en-AU"/>
        </w:rPr>
        <w:t>s</w:t>
      </w:r>
      <w:r w:rsidRPr="00CF0A21">
        <w:rPr>
          <w:lang w:val="en-AU"/>
        </w:rPr>
        <w:t xml:space="preserve"> may result in less water being traded into Victoria in the future especially if the marginal returns per </w:t>
      </w:r>
      <w:r w:rsidR="00FF192A">
        <w:rPr>
          <w:lang w:val="en-AU"/>
        </w:rPr>
        <w:t>ML</w:t>
      </w:r>
      <w:r w:rsidRPr="00CF0A21">
        <w:rPr>
          <w:lang w:val="en-AU"/>
        </w:rPr>
        <w:t xml:space="preserve"> approach those for dairying and horticulture. </w:t>
      </w:r>
    </w:p>
    <w:p w14:paraId="0485CE78" w14:textId="77777777" w:rsidR="00C01A50" w:rsidRPr="00783410" w:rsidRDefault="00C01A50" w:rsidP="00880811">
      <w:pPr>
        <w:rPr>
          <w:highlight w:val="yellow"/>
          <w:lang w:val="en-AU"/>
        </w:rPr>
      </w:pPr>
      <w:r w:rsidRPr="00CF0A21">
        <w:rPr>
          <w:lang w:val="en-AU"/>
        </w:rPr>
        <w:t xml:space="preserve">In the short to medium term water is likely to trade into Victoria in low allocation years when allocation prices exceed $200 per </w:t>
      </w:r>
      <w:r w:rsidR="00FF192A">
        <w:rPr>
          <w:lang w:val="en-AU"/>
        </w:rPr>
        <w:t>ML</w:t>
      </w:r>
      <w:r w:rsidRPr="00CF0A21">
        <w:rPr>
          <w:lang w:val="en-AU"/>
        </w:rPr>
        <w:t>. In medium to high availability years there will be greater demand for allocation trade within NSW valleys as demonstrated in 2013/14, 2014/15 and 2016/17. The future demand for allocations in NSW will be determined by the relative profitability of the enterprises adopted by irrigators, irrespective of regional boundaries. As an example, the expansion of horticulture in the Murrumbidgee valley is likely to compete for water currently traded from the Murrumbidgee valley to the horticultural sector in northern Victoria, in years of low water availability.</w:t>
      </w:r>
    </w:p>
    <w:p w14:paraId="1C4E7796" w14:textId="77777777" w:rsidR="00C01A50" w:rsidRDefault="00C01A50">
      <w:pPr>
        <w:spacing w:before="0" w:after="0" w:line="240" w:lineRule="auto"/>
        <w:jc w:val="left"/>
        <w:rPr>
          <w:lang w:val="en-AU"/>
        </w:rPr>
      </w:pPr>
      <w:r>
        <w:rPr>
          <w:lang w:val="en-AU"/>
        </w:rPr>
        <w:br w:type="page"/>
      </w:r>
    </w:p>
    <w:p w14:paraId="094E6C7E" w14:textId="77777777" w:rsidR="00C01A50" w:rsidRPr="00BA505A" w:rsidRDefault="00C01A50" w:rsidP="002C401F">
      <w:pPr>
        <w:pStyle w:val="Heading1"/>
      </w:pPr>
      <w:bookmarkStart w:id="188" w:name="_Ref342381195"/>
      <w:bookmarkStart w:id="189" w:name="_Toc347747845"/>
      <w:r>
        <w:rPr>
          <w:lang w:val="en-AU"/>
        </w:rPr>
        <w:lastRenderedPageBreak/>
        <w:t>The i</w:t>
      </w:r>
      <w:r w:rsidRPr="003B1DA3">
        <w:rPr>
          <w:lang w:val="en-AU"/>
        </w:rPr>
        <w:t xml:space="preserve">mpacts </w:t>
      </w:r>
      <w:r>
        <w:rPr>
          <w:lang w:val="en-AU"/>
        </w:rPr>
        <w:t xml:space="preserve">of the Basin Plan </w:t>
      </w:r>
      <w:r w:rsidRPr="00BA505A">
        <w:t>at the regional scale</w:t>
      </w:r>
      <w:bookmarkEnd w:id="188"/>
      <w:bookmarkEnd w:id="189"/>
    </w:p>
    <w:p w14:paraId="20A4DDB1" w14:textId="77777777" w:rsidR="00C01A50" w:rsidRDefault="00C01A50" w:rsidP="00184CDC">
      <w:pPr>
        <w:pStyle w:val="Heading2"/>
      </w:pPr>
      <w:bookmarkStart w:id="190" w:name="_Toc347747846"/>
      <w:r>
        <w:t>Overview</w:t>
      </w:r>
      <w:bookmarkEnd w:id="190"/>
    </w:p>
    <w:p w14:paraId="6FD98073" w14:textId="77777777" w:rsidR="00C01A50" w:rsidRDefault="00C01A50" w:rsidP="000E0856">
      <w:r>
        <w:t xml:space="preserve">The analysis in this report has mostly compared the impact of the Basin Plan in Victoria in four broadly defined regions; LMW districts, LMW diverters, GMW districts and GMW diverters. The analysis of the counterfactual in Chapter </w:t>
      </w:r>
      <w:r>
        <w:fldChar w:fldCharType="begin"/>
      </w:r>
      <w:r>
        <w:instrText xml:space="preserve"> REF _Ref342400627 \r \h </w:instrText>
      </w:r>
      <w:r>
        <w:fldChar w:fldCharType="separate"/>
      </w:r>
      <w:r w:rsidR="008E5D7A">
        <w:t>3</w:t>
      </w:r>
      <w:r>
        <w:fldChar w:fldCharType="end"/>
      </w:r>
      <w:r>
        <w:t xml:space="preserve"> shows LMW’s districts and diverters using the same volume of water with the Basin Plan as they do in the counterfactual. The impacts of the Basin Plan in Victoria are concentrated on GMW’s districts and diverters.</w:t>
      </w:r>
    </w:p>
    <w:p w14:paraId="0621C1FA" w14:textId="77777777" w:rsidR="00C01A50" w:rsidRDefault="00C01A50" w:rsidP="000E0856">
      <w:r>
        <w:t>Chapter 2 showed that there are significant pockets of horticulture amongst GMW’s districts and diverters and that the Basin Plan had to date not affected the total volu</w:t>
      </w:r>
      <w:r w:rsidR="002C5F31">
        <w:t xml:space="preserve">me of their water use. Chapter </w:t>
      </w:r>
      <w:r w:rsidR="002C5F31">
        <w:fldChar w:fldCharType="begin"/>
      </w:r>
      <w:r w:rsidR="002C5F31">
        <w:instrText xml:space="preserve"> REF _Ref342381415 \r \h </w:instrText>
      </w:r>
      <w:r w:rsidR="002C5F31">
        <w:fldChar w:fldCharType="separate"/>
      </w:r>
      <w:r w:rsidR="008E5D7A">
        <w:t>6</w:t>
      </w:r>
      <w:r w:rsidR="002C5F31">
        <w:fldChar w:fldCharType="end"/>
      </w:r>
      <w:r>
        <w:t xml:space="preserve"> showed that the impacts of the Basin Plan are felt most strongly in the irrigated dairy industry where the necessary adjustments add complexity and risk to farming. </w:t>
      </w:r>
    </w:p>
    <w:p w14:paraId="581B5395" w14:textId="77777777" w:rsidR="00C01A50" w:rsidRDefault="00672AD1" w:rsidP="000E0856">
      <w:r>
        <w:t>We have</w:t>
      </w:r>
      <w:r w:rsidR="00C01A50">
        <w:t xml:space="preserve"> not examined detailed impacts on mixed farming systems which RMCG’s (2016) analysis of ABARES data suggests now accounts for around 10% of water use in the GMID. </w:t>
      </w:r>
      <w:r>
        <w:t>Nor have we</w:t>
      </w:r>
      <w:r w:rsidR="00C01A50">
        <w:t xml:space="preserve"> examined in detail the impact on GMW’s diverters. </w:t>
      </w:r>
      <w:r w:rsidR="00EF3262">
        <w:t>Both populations</w:t>
      </w:r>
      <w:r w:rsidR="00C01A50">
        <w:t xml:space="preserve"> are more divergent than can be done justice in a high-level, short timeframe report such as this. Importantly both types of irrigators also have more flexibility than GMID dairy farmers. Mixed farmers can use water more opportunistically than dairy farmers, and GMW diverters are free of the fixed costs associated with the upkeep of GMW’s delivery system. </w:t>
      </w:r>
    </w:p>
    <w:p w14:paraId="2B626B13" w14:textId="77777777" w:rsidR="00C01A50" w:rsidRDefault="00C01A50" w:rsidP="000E0856">
      <w:r>
        <w:t>Irrigated dairying is the mainstay of GMID. Dairying can be outcompeted by irrigated industries that can pay more for water, and it can by outlasted by industries better adapted to variable water availability. Thus if irrigated pasture is a prerequisite underpinning the irrigated dairy industry, that industry must shrink. Concerns about the future of dairy are a major contributor to doubts about the business model in the GMID. This contrasts with the growing confidence in the future of LMW’s districts based on recent horticultural rejuvenation.</w:t>
      </w:r>
    </w:p>
    <w:p w14:paraId="79B2799C" w14:textId="77777777" w:rsidR="00C01A50" w:rsidRDefault="00C01A50" w:rsidP="000E0856">
      <w:r>
        <w:t xml:space="preserve">This chapter is focused on the future of the GMID. It is concerned primarily with the impact of the Basin Plan on how the fixed costs of running the GMID can be met given the reduction in total water use. It is also concerned with the lack of integration between the Basin Plan’s water recovery efforts through buy back and through off-farm infrastructure projects. </w:t>
      </w:r>
    </w:p>
    <w:p w14:paraId="4EF06156" w14:textId="77777777" w:rsidR="00C01A50" w:rsidRDefault="00C01A50" w:rsidP="00B80F1A">
      <w:pPr>
        <w:pStyle w:val="Heading2"/>
      </w:pPr>
      <w:bookmarkStart w:id="191" w:name="_Toc347747847"/>
      <w:r>
        <w:t>The nature of the problem</w:t>
      </w:r>
      <w:bookmarkEnd w:id="191"/>
    </w:p>
    <w:p w14:paraId="76D31042" w14:textId="77777777" w:rsidR="00C01A50" w:rsidRDefault="00C01A50" w:rsidP="00593A9A">
      <w:r>
        <w:t xml:space="preserve">Before the unbundling of water entitlements in Victoria in 2007, all water entitlements were tied to specific parcels of land and the spatial distribution of these entitlements provided a good guide to where the water was most likely to be used. Now around 7% of all entitlements are not tied to land, but for the time being the spatial distribution of the remaining entitlements still provides a reasonable proxy for where they are most likely to be used. </w:t>
      </w:r>
    </w:p>
    <w:p w14:paraId="1A23A306" w14:textId="77777777" w:rsidR="00C01A50" w:rsidRDefault="00C01A50" w:rsidP="00593A9A">
      <w:r>
        <w:t xml:space="preserve">In that context it </w:t>
      </w:r>
      <w:r w:rsidR="000B5691">
        <w:t>is important</w:t>
      </w:r>
      <w:r>
        <w:t xml:space="preserve"> to note that between 30 June 2001 and 30 June 2015 the volume of high reliability entitlements ‘tied to land’ in the GMID decreased from 1,648 GL to 992 GL, a 40% decrease (TC&amp;A 2016, Table 5). The decrease includes a contribution to the system-wide movement of 175 GL of </w:t>
      </w:r>
      <w:r>
        <w:lastRenderedPageBreak/>
        <w:t>privately owned entitlements no longer tied to land. Allocations against a large proportion of these ‘not tied to land’ entitlements will be used in the GMID in many years – if this were to be apportioned between LMW and GMW diverters in the same ratio as entitlements currently tied to land it would amount to 116 GL</w:t>
      </w:r>
      <w:r>
        <w:rPr>
          <w:rStyle w:val="FootnoteReference"/>
        </w:rPr>
        <w:footnoteReference w:id="16"/>
      </w:r>
      <w:r>
        <w:t xml:space="preserve">. A more realistic estimate of High Reliability Water Shares supporting irrigated enterprises in the GMID is therefore 1,108 GL, a 33% decrease since 2001. </w:t>
      </w:r>
    </w:p>
    <w:p w14:paraId="6431D825" w14:textId="77777777" w:rsidR="00C01A50" w:rsidRDefault="00C01A50" w:rsidP="00593A9A">
      <w:r>
        <w:t>To p</w:t>
      </w:r>
      <w:r w:rsidR="00EF3262">
        <w:t>ut this in perspective, this 540</w:t>
      </w:r>
      <w:r>
        <w:t xml:space="preserve"> GL reduction is greater than the volume of all high reliability entitlements held in the Murray Valley and Loddon Valley (formerly Pyramid-Boort) Irrigation Districts in 2001. The key difference in this comparison is that rather than being concentrated in a small number of locations, the purchases have been scattered throughout the GMID (</w:t>
      </w:r>
      <w:r>
        <w:fldChar w:fldCharType="begin"/>
      </w:r>
      <w:r>
        <w:instrText xml:space="preserve"> REF _Ref463298385 \h </w:instrText>
      </w:r>
      <w:r>
        <w:fldChar w:fldCharType="separate"/>
      </w:r>
      <w:r w:rsidR="008E5D7A">
        <w:t xml:space="preserve">Figure </w:t>
      </w:r>
      <w:r w:rsidR="008E5D7A">
        <w:rPr>
          <w:noProof/>
        </w:rPr>
        <w:t>47</w:t>
      </w:r>
      <w:r>
        <w:fldChar w:fldCharType="end"/>
      </w:r>
      <w:r>
        <w:t>). Because the changes in GMW customers’ water demands are spread throughout the network, opportunities to rationalise the network are much harder to identify and realise than they would have been had the transfers been concentrated in discrete areas.</w:t>
      </w:r>
    </w:p>
    <w:p w14:paraId="673E01C5" w14:textId="374493B8" w:rsidR="00C01A50" w:rsidRDefault="00901A1B" w:rsidP="003E068F">
      <w:pPr>
        <w:jc w:val="center"/>
      </w:pPr>
      <w:r>
        <w:rPr>
          <w:rFonts w:ascii="Helvetica" w:hAnsi="Helvetica" w:cs="Helvetica"/>
          <w:noProof/>
          <w:lang w:val="en-AU" w:eastAsia="en-AU" w:bidi="ar-SA"/>
        </w:rPr>
        <w:drawing>
          <wp:inline distT="0" distB="0" distL="0" distR="0" wp14:anchorId="4E11E8FB" wp14:editId="2023B1EA">
            <wp:extent cx="5270500" cy="3726594"/>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726594"/>
                    </a:xfrm>
                    <a:prstGeom prst="rect">
                      <a:avLst/>
                    </a:prstGeom>
                    <a:noFill/>
                    <a:ln>
                      <a:noFill/>
                    </a:ln>
                  </pic:spPr>
                </pic:pic>
              </a:graphicData>
            </a:graphic>
          </wp:inline>
        </w:drawing>
      </w:r>
    </w:p>
    <w:p w14:paraId="50D6C5D8" w14:textId="77777777" w:rsidR="00C01A50" w:rsidRDefault="00C01A50" w:rsidP="00593A9A">
      <w:pPr>
        <w:pStyle w:val="Caption"/>
      </w:pPr>
      <w:bookmarkStart w:id="192" w:name="_Ref463298385"/>
      <w:r>
        <w:t xml:space="preserve">Figure </w:t>
      </w:r>
      <w:r>
        <w:fldChar w:fldCharType="begin"/>
      </w:r>
      <w:r>
        <w:instrText xml:space="preserve"> SEQ Figure \* ARABIC </w:instrText>
      </w:r>
      <w:r>
        <w:fldChar w:fldCharType="separate"/>
      </w:r>
      <w:r w:rsidR="008E5D7A">
        <w:rPr>
          <w:noProof/>
        </w:rPr>
        <w:t>47</w:t>
      </w:r>
      <w:r>
        <w:rPr>
          <w:noProof/>
        </w:rPr>
        <w:fldChar w:fldCharType="end"/>
      </w:r>
      <w:bookmarkEnd w:id="192"/>
      <w:r>
        <w:t xml:space="preserve"> – Spatial distribution of water </w:t>
      </w:r>
      <w:r w:rsidR="006C395C">
        <w:t>entitlements</w:t>
      </w:r>
      <w:r>
        <w:t xml:space="preserve"> trade</w:t>
      </w:r>
      <w:r w:rsidR="006C395C">
        <w:t>d</w:t>
      </w:r>
      <w:r>
        <w:t xml:space="preserve"> to the Commonwealth from farms </w:t>
      </w:r>
      <w:r w:rsidR="006C395C">
        <w:t>in the GMID</w:t>
      </w:r>
    </w:p>
    <w:p w14:paraId="5A70E328" w14:textId="77777777" w:rsidR="00C01A50" w:rsidRDefault="00C01A50" w:rsidP="00593A9A">
      <w:r>
        <w:t xml:space="preserve">Reduced water deliveries, and a potential reduced customer base, are resulting from: </w:t>
      </w:r>
    </w:p>
    <w:p w14:paraId="37C760C1" w14:textId="77777777" w:rsidR="00C01A50" w:rsidRDefault="00C01A50" w:rsidP="00AB082F">
      <w:pPr>
        <w:pStyle w:val="ColorfulList-Accent11"/>
        <w:numPr>
          <w:ilvl w:val="0"/>
          <w:numId w:val="4"/>
        </w:numPr>
      </w:pPr>
      <w:r>
        <w:t xml:space="preserve">Commonwealth acquisition of High Reliability Water Shares for the environment </w:t>
      </w:r>
    </w:p>
    <w:p w14:paraId="76D7A32D" w14:textId="4241D257" w:rsidR="00C01A50" w:rsidRDefault="00044F44" w:rsidP="00AB082F">
      <w:pPr>
        <w:pStyle w:val="ColorfulList-Accent11"/>
        <w:numPr>
          <w:ilvl w:val="0"/>
          <w:numId w:val="4"/>
        </w:numPr>
      </w:pPr>
      <w:r>
        <w:t>Entitlement t</w:t>
      </w:r>
      <w:r w:rsidR="00C01A50">
        <w:t>rade to LMW diverters to support continued horticultural expansion</w:t>
      </w:r>
    </w:p>
    <w:p w14:paraId="499BF819" w14:textId="77777777" w:rsidR="00C01A50" w:rsidRDefault="00C01A50" w:rsidP="00AB082F">
      <w:pPr>
        <w:pStyle w:val="ColorfulList-Accent11"/>
        <w:numPr>
          <w:ilvl w:val="0"/>
          <w:numId w:val="4"/>
        </w:numPr>
      </w:pPr>
      <w:r>
        <w:t>Decreasing water availability resulting from climate change</w:t>
      </w:r>
      <w:r w:rsidR="00A9373D">
        <w:t>.</w:t>
      </w:r>
      <w:r w:rsidRPr="00E5077C">
        <w:t xml:space="preserve"> </w:t>
      </w:r>
    </w:p>
    <w:p w14:paraId="7F89AF92" w14:textId="77777777" w:rsidR="00C01A50" w:rsidRDefault="00C01A50" w:rsidP="00593A9A">
      <w:r>
        <w:lastRenderedPageBreak/>
        <w:t xml:space="preserve">When entitlement trade out of irrigation districts was first allowed, there was an annual 2% limit on the total volume that could be traded out in any one year. This was intended to slow the rates of change in order to give communities time to adjust. This was lifted to 4% under the National Water Initiative, and was eventually abolished in order to comply with the Basin Plan Water Trading Rules in July 2014. While the limit was in place Victoria allowed exemptions to target Commonwealth water purchases to less productive areas or areas where infrastructure was being rationalised to avoid the loss of water in modernised areas and improve regional productivity (DSE 2009 and GMW 2016c). However, the abolition of the limit rendered those efforts largely unsuccessful. </w:t>
      </w:r>
    </w:p>
    <w:p w14:paraId="602161BC" w14:textId="77777777" w:rsidR="00C01A50" w:rsidRDefault="00C01A50" w:rsidP="00593A9A">
      <w:r>
        <w:t xml:space="preserve">Any reductions in water availability associated with climate change will compound the challenges posed by this reduction. Long-term reductions in water availability associated with climate change are uncertain, but under a medium climate change scenario DSE (2008) estimated water availability would decrease by around 25% by 2055. GMW (2016a) assumed a reduction of 20% in historic flows for the purposes of estimating deliveries for the most recent price review. </w:t>
      </w:r>
    </w:p>
    <w:p w14:paraId="7BAF4023" w14:textId="77777777" w:rsidR="00C01A50" w:rsidRDefault="00C01A50" w:rsidP="004F20B4">
      <w:pPr>
        <w:pStyle w:val="Heading2"/>
      </w:pPr>
      <w:bookmarkStart w:id="193" w:name="_Toc347747848"/>
      <w:r>
        <w:t>Future outlook</w:t>
      </w:r>
      <w:bookmarkEnd w:id="193"/>
    </w:p>
    <w:p w14:paraId="0D3C6C90" w14:textId="77777777" w:rsidR="00C01A50" w:rsidRDefault="00C01A50" w:rsidP="00593A9A">
      <w:r>
        <w:t xml:space="preserve">Buybacks, trade out of the district and the drying climate are expected to result in significantly lower water deliveries in the GMID. GMW (2016a) estimates that water demand in the GMID over the next eight years will be in the order of 1,150 GL per year. This assumes no further impact on High Reliability Water Shares from Commonwealth water recovery programs, and no further purchases from LMW’s customers or horticultural developers in NSW or South Australia, but it does assume a 20% reduction in historical inflows due to climate change. </w:t>
      </w:r>
    </w:p>
    <w:p w14:paraId="621D8EE0" w14:textId="77777777" w:rsidR="00C01A50" w:rsidRDefault="00C01A50" w:rsidP="00593A9A">
      <w:r>
        <w:t>In the long term, average deliveries in the GMID are expected to be in the order of 1,200 GL</w:t>
      </w:r>
      <w:r>
        <w:rPr>
          <w:rStyle w:val="FootnoteReference"/>
        </w:rPr>
        <w:footnoteReference w:id="17"/>
      </w:r>
      <w:r>
        <w:t>. This is 41% lower than long-term average deliveries of 2,020 GL modelled for Stage 1 of the Connections Project (NVIRP 2010, Table 2-2). In effect the Commonwealth’s water recovery from off-farm infrastructure investments</w:t>
      </w:r>
      <w:r w:rsidR="006561EE" w:rsidRPr="006561EE">
        <w:t xml:space="preserve"> </w:t>
      </w:r>
      <w:r w:rsidR="006561EE">
        <w:t>has been working at cross-purposes with its water recovery from buyback</w:t>
      </w:r>
      <w:r>
        <w:t>.</w:t>
      </w:r>
      <w:r w:rsidR="000B5691">
        <w:t xml:space="preserve"> On one hand the </w:t>
      </w:r>
      <w:r w:rsidR="006561EE">
        <w:t>off-farm infrastructure investments have been providing more efficient services, on the other hand buyback has rendered those modernised services less cost effective.</w:t>
      </w:r>
    </w:p>
    <w:p w14:paraId="22FF1AEB" w14:textId="77777777" w:rsidR="00C01A50" w:rsidRDefault="00C01A50" w:rsidP="00593A9A">
      <w:r>
        <w:t>Reduced deliveries are a major challenge to GMW</w:t>
      </w:r>
      <w:r w:rsidRPr="00BC47B6">
        <w:t xml:space="preserve"> </w:t>
      </w:r>
      <w:r>
        <w:t xml:space="preserve">because its </w:t>
      </w:r>
      <w:r w:rsidRPr="00BC47B6">
        <w:t>extensive asset base requires routine annual maintenance, operations and renewal</w:t>
      </w:r>
      <w:r>
        <w:t>.</w:t>
      </w:r>
      <w:r w:rsidRPr="00BC47B6">
        <w:t xml:space="preserve"> </w:t>
      </w:r>
      <w:r>
        <w:t>T</w:t>
      </w:r>
      <w:r w:rsidRPr="00BC47B6">
        <w:t xml:space="preserve">herefore, </w:t>
      </w:r>
      <w:r>
        <w:t xml:space="preserve">its costs are </w:t>
      </w:r>
      <w:r w:rsidRPr="00BC47B6">
        <w:t>largely fixed</w:t>
      </w:r>
      <w:r>
        <w:t xml:space="preserve">. Consequently the average cost of maintaining the delivery infrastructure goes up as the volumes being delivered go down. </w:t>
      </w:r>
    </w:p>
    <w:p w14:paraId="2FB8604B" w14:textId="77777777" w:rsidR="00C01A50" w:rsidRDefault="00C01A50" w:rsidP="00593A9A">
      <w:r>
        <w:t>GMW has f</w:t>
      </w:r>
      <w:r w:rsidRPr="00BC47B6">
        <w:t xml:space="preserve">ew </w:t>
      </w:r>
      <w:r>
        <w:t xml:space="preserve">options for </w:t>
      </w:r>
      <w:r w:rsidRPr="00BC47B6">
        <w:t>manag</w:t>
      </w:r>
      <w:r>
        <w:t xml:space="preserve">ing the risk of reduced deliveries other than to design a tariff system that is predominantly based on fixed charges. These tariffs are vetted by the Essential Services Commission and seek to provide cost reflective pricing. While GMW’s revenue is secure under the current arrangements, the marginal benefits its customers derive from its services are going down as total deliveries go down, and the effective price they pay to use each </w:t>
      </w:r>
      <w:r w:rsidR="00FF192A">
        <w:t>ML</w:t>
      </w:r>
      <w:r>
        <w:t xml:space="preserve"> is going up. This is especially the case for those of its customers who have sold entitlements and wish to irrigate opportunistically when allocation prices are low. </w:t>
      </w:r>
    </w:p>
    <w:p w14:paraId="4F52FC8E" w14:textId="77777777" w:rsidR="00C01A50" w:rsidRDefault="00C01A50" w:rsidP="00593A9A">
      <w:r>
        <w:lastRenderedPageBreak/>
        <w:t>Up until 2005</w:t>
      </w:r>
      <w:r w:rsidR="002A2EB4">
        <w:t>/</w:t>
      </w:r>
      <w:r>
        <w:t xml:space="preserve">06 there was a close alignment between the volume of water entitlements tied to land in the GMID and the volume delivered. As illustrated in </w:t>
      </w:r>
      <w:r>
        <w:fldChar w:fldCharType="begin"/>
      </w:r>
      <w:r>
        <w:instrText xml:space="preserve"> REF _Ref463005891 \h </w:instrText>
      </w:r>
      <w:r>
        <w:fldChar w:fldCharType="separate"/>
      </w:r>
      <w:r w:rsidR="008E5D7A">
        <w:t xml:space="preserve">Figure </w:t>
      </w:r>
      <w:r w:rsidR="008E5D7A">
        <w:rPr>
          <w:noProof/>
        </w:rPr>
        <w:t>48</w:t>
      </w:r>
      <w:r>
        <w:fldChar w:fldCharType="end"/>
      </w:r>
      <w:r>
        <w:t xml:space="preserve">, the volume delivered was relatively lower during the height of the drought, but it has been relatively higher than entitlement volume since the drought broke; this is the combined result of the breaking of the drought, entitlement trade to LMW diverters, buyback, and the ability to hold water entitlements now without linking them to land. </w:t>
      </w:r>
    </w:p>
    <w:p w14:paraId="3DAFAF39" w14:textId="77777777" w:rsidR="00C01A50" w:rsidRDefault="00C01A50" w:rsidP="003E068F">
      <w:pPr>
        <w:keepNext/>
        <w:jc w:val="center"/>
      </w:pPr>
      <w:r>
        <w:rPr>
          <w:noProof/>
          <w:lang w:val="en-AU" w:eastAsia="en-AU" w:bidi="ar-SA"/>
        </w:rPr>
        <w:drawing>
          <wp:inline distT="0" distB="0" distL="0" distR="0" wp14:anchorId="0A0AA502" wp14:editId="5568FACB">
            <wp:extent cx="5195966" cy="3371850"/>
            <wp:effectExtent l="0" t="0" r="5080"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5">
                      <a:extLst>
                        <a:ext uri="{28A0092B-C50C-407E-A947-70E740481C1C}">
                          <a14:useLocalDpi xmlns:a14="http://schemas.microsoft.com/office/drawing/2010/main" val="0"/>
                        </a:ext>
                      </a:extLst>
                    </a:blip>
                    <a:srcRect l="1648" t="1264" r="1511" b="2359"/>
                    <a:stretch/>
                  </pic:blipFill>
                  <pic:spPr bwMode="auto">
                    <a:xfrm>
                      <a:off x="0" y="0"/>
                      <a:ext cx="5201690" cy="3375565"/>
                    </a:xfrm>
                    <a:prstGeom prst="rect">
                      <a:avLst/>
                    </a:prstGeom>
                    <a:noFill/>
                    <a:ln>
                      <a:noFill/>
                    </a:ln>
                    <a:extLst>
                      <a:ext uri="{53640926-AAD7-44D8-BBD7-CCE9431645EC}">
                        <a14:shadowObscured xmlns:a14="http://schemas.microsoft.com/office/drawing/2010/main"/>
                      </a:ext>
                    </a:extLst>
                  </pic:spPr>
                </pic:pic>
              </a:graphicData>
            </a:graphic>
          </wp:inline>
        </w:drawing>
      </w:r>
    </w:p>
    <w:p w14:paraId="17E1FD2B" w14:textId="77777777" w:rsidR="00C01A50" w:rsidRDefault="00C01A50" w:rsidP="00593A9A">
      <w:pPr>
        <w:pStyle w:val="Caption"/>
      </w:pPr>
      <w:bookmarkStart w:id="194" w:name="_Ref463005891"/>
      <w:r>
        <w:t xml:space="preserve">Figure </w:t>
      </w:r>
      <w:r>
        <w:fldChar w:fldCharType="begin"/>
      </w:r>
      <w:r>
        <w:instrText xml:space="preserve"> SEQ Figure \* ARABIC </w:instrText>
      </w:r>
      <w:r>
        <w:fldChar w:fldCharType="separate"/>
      </w:r>
      <w:r w:rsidR="008E5D7A">
        <w:rPr>
          <w:noProof/>
        </w:rPr>
        <w:t>48</w:t>
      </w:r>
      <w:r>
        <w:rPr>
          <w:noProof/>
        </w:rPr>
        <w:fldChar w:fldCharType="end"/>
      </w:r>
      <w:bookmarkEnd w:id="194"/>
      <w:r w:rsidR="00A83CF0">
        <w:rPr>
          <w:noProof/>
        </w:rPr>
        <w:t>:</w:t>
      </w:r>
      <w:r w:rsidR="00A83CF0">
        <w:t xml:space="preserve"> </w:t>
      </w:r>
      <w:r>
        <w:t>High Reliability Water Shares linked to land and water use in the GMID 2000</w:t>
      </w:r>
      <w:r w:rsidR="002A2EB4">
        <w:t>/</w:t>
      </w:r>
      <w:r>
        <w:t>01 to 2014</w:t>
      </w:r>
      <w:r w:rsidR="002A2EB4">
        <w:t>/</w:t>
      </w:r>
      <w:r>
        <w:t xml:space="preserve">15 </w:t>
      </w:r>
    </w:p>
    <w:p w14:paraId="53BA1DD5" w14:textId="77777777" w:rsidR="00C01A50" w:rsidRDefault="00C01A50" w:rsidP="00C54071">
      <w:pPr>
        <w:keepLines/>
        <w:spacing w:after="240"/>
        <w:contextualSpacing/>
        <w:jc w:val="left"/>
        <w:rPr>
          <w:rFonts w:eastAsia="Calibri"/>
          <w:color w:val="000000"/>
          <w:sz w:val="18"/>
          <w:szCs w:val="22"/>
          <w:lang w:val="en-AU"/>
        </w:rPr>
      </w:pPr>
      <w:r w:rsidRPr="00C54071">
        <w:rPr>
          <w:rFonts w:eastAsia="Calibri"/>
          <w:color w:val="000000"/>
          <w:sz w:val="18"/>
          <w:szCs w:val="22"/>
          <w:lang w:val="en-AU"/>
        </w:rPr>
        <w:t xml:space="preserve">Source: TC&amp;A 2016 and GMW Annual Reports. </w:t>
      </w:r>
    </w:p>
    <w:p w14:paraId="26174B99" w14:textId="77777777" w:rsidR="00C01A50" w:rsidRPr="005D0584" w:rsidRDefault="00C01A50" w:rsidP="005D0584"/>
    <w:p w14:paraId="66BBF08A" w14:textId="77777777" w:rsidR="00C01A50" w:rsidRPr="005D0584" w:rsidRDefault="00862692" w:rsidP="005D0584">
      <w:r>
        <w:fldChar w:fldCharType="begin"/>
      </w:r>
      <w:r>
        <w:instrText xml:space="preserve"> REF _Ref346030152 \h </w:instrText>
      </w:r>
      <w:r>
        <w:fldChar w:fldCharType="separate"/>
      </w:r>
      <w:r w:rsidR="008E5D7A">
        <w:t xml:space="preserve">Figure </w:t>
      </w:r>
      <w:r w:rsidR="008E5D7A">
        <w:rPr>
          <w:noProof/>
        </w:rPr>
        <w:t>49</w:t>
      </w:r>
      <w:r>
        <w:fldChar w:fldCharType="end"/>
      </w:r>
      <w:r>
        <w:t xml:space="preserve"> </w:t>
      </w:r>
      <w:r w:rsidR="00C01A50">
        <w:t>shows that another important relationship has also changed over a similar period. The number of GMID delivery shares created at the time of unbundling was directly related to the number of High Reliability Water Shares linked to land in the GMID at that time. While the number of those water shares has since dropped by more than 35%, for the combination of reasons outlined above, the number of Delivery Shares, against which GMID irrigators pay their fixed charges, has dropped by less than 5%.</w:t>
      </w:r>
    </w:p>
    <w:p w14:paraId="5307D4AB" w14:textId="77777777" w:rsidR="00C01A50" w:rsidRDefault="00C01A50" w:rsidP="003E068F">
      <w:pPr>
        <w:keepNext/>
        <w:jc w:val="center"/>
      </w:pPr>
      <w:r>
        <w:rPr>
          <w:noProof/>
          <w:lang w:val="en-AU" w:eastAsia="en-AU" w:bidi="ar-SA"/>
        </w:rPr>
        <w:lastRenderedPageBreak/>
        <w:drawing>
          <wp:inline distT="0" distB="0" distL="0" distR="0" wp14:anchorId="376A1902" wp14:editId="7C4E44B4">
            <wp:extent cx="4533900" cy="2705100"/>
            <wp:effectExtent l="0" t="0" r="0" b="0"/>
            <wp:docPr id="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6">
                      <a:extLst>
                        <a:ext uri="{28A0092B-C50C-407E-A947-70E740481C1C}">
                          <a14:useLocalDpi xmlns:a14="http://schemas.microsoft.com/office/drawing/2010/main" val="0"/>
                        </a:ext>
                      </a:extLst>
                    </a:blip>
                    <a:srcRect l="826" t="949" r="922" b="9311"/>
                    <a:stretch/>
                  </pic:blipFill>
                  <pic:spPr bwMode="auto">
                    <a:xfrm>
                      <a:off x="0" y="0"/>
                      <a:ext cx="4533900"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6E768B98" w14:textId="77777777" w:rsidR="00C01A50" w:rsidRDefault="00C01A50" w:rsidP="002F4CB4">
      <w:pPr>
        <w:pStyle w:val="Caption"/>
      </w:pPr>
      <w:bookmarkStart w:id="195" w:name="_Ref346030152"/>
      <w:bookmarkStart w:id="196" w:name="_Ref463378840"/>
      <w:r>
        <w:t xml:space="preserve">Figure </w:t>
      </w:r>
      <w:r>
        <w:fldChar w:fldCharType="begin"/>
      </w:r>
      <w:r>
        <w:instrText xml:space="preserve"> SEQ Figure \* ARABIC </w:instrText>
      </w:r>
      <w:r>
        <w:fldChar w:fldCharType="separate"/>
      </w:r>
      <w:r w:rsidR="008E5D7A">
        <w:rPr>
          <w:noProof/>
        </w:rPr>
        <w:t>49</w:t>
      </w:r>
      <w:r>
        <w:fldChar w:fldCharType="end"/>
      </w:r>
      <w:bookmarkEnd w:id="195"/>
      <w:r w:rsidR="002A2EB4">
        <w:t>:</w:t>
      </w:r>
      <w:r>
        <w:t xml:space="preserve"> </w:t>
      </w:r>
      <w:r w:rsidRPr="002F4CB4">
        <w:t>Change in Delivery Share and High Reliability Water Shares in the GMID relative to 2008</w:t>
      </w:r>
      <w:r w:rsidR="002A2EB4">
        <w:t>/</w:t>
      </w:r>
      <w:r w:rsidRPr="002F4CB4">
        <w:t xml:space="preserve">09 levels </w:t>
      </w:r>
      <w:bookmarkEnd w:id="196"/>
    </w:p>
    <w:p w14:paraId="54D64080" w14:textId="77777777" w:rsidR="00C01A50" w:rsidRDefault="00C01A50" w:rsidP="00593A9A">
      <w:r>
        <w:t xml:space="preserve">Delivery Shares were initially designed as an instrument to ration the capacity of the delivery system during times of peak demand, but now that the off-farm infrastructure has been modified, rationing is now largely no longer necessary. Delivery Shares are now artefacts that reflect how much benefit landholders </w:t>
      </w:r>
      <w:r w:rsidRPr="006B4B28">
        <w:rPr>
          <w:i/>
        </w:rPr>
        <w:t>could</w:t>
      </w:r>
      <w:r>
        <w:t xml:space="preserve"> derive from their access to the delivery system. As can be seen in </w:t>
      </w:r>
      <w:r>
        <w:fldChar w:fldCharType="begin"/>
      </w:r>
      <w:r>
        <w:instrText xml:space="preserve"> REF _Ref463355392 \h </w:instrText>
      </w:r>
      <w:r>
        <w:fldChar w:fldCharType="separate"/>
      </w:r>
      <w:r w:rsidR="008E5D7A">
        <w:t xml:space="preserve">Table </w:t>
      </w:r>
      <w:r w:rsidR="008E5D7A">
        <w:rPr>
          <w:noProof/>
        </w:rPr>
        <w:t>12</w:t>
      </w:r>
      <w:r>
        <w:fldChar w:fldCharType="end"/>
      </w:r>
      <w:r>
        <w:t>, GMW’s Infrastructure Access Fee, which is charged per Delivery Share, makes up the bulk of its customers costs of irrigation supply.</w:t>
      </w:r>
    </w:p>
    <w:p w14:paraId="3A755920" w14:textId="77777777" w:rsidR="00C01A50" w:rsidRDefault="00C01A50" w:rsidP="00593A9A">
      <w:pPr>
        <w:pStyle w:val="Caption"/>
        <w:keepNext/>
      </w:pPr>
      <w:bookmarkStart w:id="197" w:name="_Ref463355392"/>
      <w:r>
        <w:t xml:space="preserve">Table </w:t>
      </w:r>
      <w:r>
        <w:fldChar w:fldCharType="begin"/>
      </w:r>
      <w:r>
        <w:instrText xml:space="preserve"> SEQ Table \* ARABIC </w:instrText>
      </w:r>
      <w:r>
        <w:fldChar w:fldCharType="separate"/>
      </w:r>
      <w:r w:rsidR="008E5D7A">
        <w:rPr>
          <w:noProof/>
        </w:rPr>
        <w:t>12</w:t>
      </w:r>
      <w:r>
        <w:rPr>
          <w:noProof/>
        </w:rPr>
        <w:fldChar w:fldCharType="end"/>
      </w:r>
      <w:bookmarkEnd w:id="197"/>
      <w:r>
        <w:t xml:space="preserve"> – Breakdown of charges for a large irrigation customer in GM</w:t>
      </w:r>
      <w:r w:rsidR="00C215BA">
        <w:t>ID – f</w:t>
      </w:r>
      <w:r>
        <w:t xml:space="preserve">ixed charges are shaded blue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1"/>
        <w:gridCol w:w="1962"/>
        <w:gridCol w:w="1967"/>
        <w:gridCol w:w="1968"/>
      </w:tblGrid>
      <w:tr w:rsidR="00C01A50" w:rsidRPr="005652E3" w14:paraId="38AC5C97" w14:textId="77777777">
        <w:tc>
          <w:tcPr>
            <w:tcW w:w="3369" w:type="dxa"/>
            <w:shd w:val="clear" w:color="auto" w:fill="auto"/>
            <w:vAlign w:val="center"/>
          </w:tcPr>
          <w:p w14:paraId="42E8E64F" w14:textId="77777777" w:rsidR="00C01A50" w:rsidRPr="00641795" w:rsidRDefault="00C01A50" w:rsidP="00593A9A">
            <w:pPr>
              <w:tabs>
                <w:tab w:val="center" w:pos="4513"/>
                <w:tab w:val="right" w:pos="9026"/>
              </w:tabs>
              <w:spacing w:before="0" w:after="0"/>
              <w:rPr>
                <w:b/>
              </w:rPr>
            </w:pPr>
            <w:r w:rsidRPr="00641795">
              <w:rPr>
                <w:b/>
              </w:rPr>
              <w:t>Fees</w:t>
            </w:r>
          </w:p>
        </w:tc>
        <w:tc>
          <w:tcPr>
            <w:tcW w:w="2008" w:type="dxa"/>
            <w:shd w:val="clear" w:color="auto" w:fill="auto"/>
            <w:vAlign w:val="center"/>
          </w:tcPr>
          <w:p w14:paraId="7BD83BB0" w14:textId="77777777" w:rsidR="00C01A50" w:rsidRPr="00641795" w:rsidRDefault="00C01A50" w:rsidP="00593A9A">
            <w:pPr>
              <w:tabs>
                <w:tab w:val="center" w:pos="4513"/>
                <w:tab w:val="right" w:pos="9026"/>
              </w:tabs>
              <w:spacing w:before="0" w:after="0"/>
              <w:jc w:val="center"/>
              <w:rPr>
                <w:b/>
              </w:rPr>
            </w:pPr>
            <w:r w:rsidRPr="00641795">
              <w:rPr>
                <w:b/>
              </w:rPr>
              <w:t>Charge per unit</w:t>
            </w:r>
          </w:p>
        </w:tc>
        <w:tc>
          <w:tcPr>
            <w:tcW w:w="2008" w:type="dxa"/>
            <w:shd w:val="clear" w:color="auto" w:fill="auto"/>
            <w:vAlign w:val="center"/>
          </w:tcPr>
          <w:p w14:paraId="3176CAB8" w14:textId="77777777" w:rsidR="00C01A50" w:rsidRPr="00641795" w:rsidRDefault="00C01A50" w:rsidP="00593A9A">
            <w:pPr>
              <w:tabs>
                <w:tab w:val="center" w:pos="4513"/>
                <w:tab w:val="right" w:pos="9026"/>
              </w:tabs>
              <w:spacing w:before="0" w:after="0"/>
              <w:jc w:val="center"/>
              <w:rPr>
                <w:b/>
              </w:rPr>
            </w:pPr>
            <w:r w:rsidRPr="00641795">
              <w:rPr>
                <w:b/>
              </w:rPr>
              <w:t>Charge subtotal</w:t>
            </w:r>
          </w:p>
        </w:tc>
        <w:tc>
          <w:tcPr>
            <w:tcW w:w="2009" w:type="dxa"/>
            <w:shd w:val="clear" w:color="auto" w:fill="auto"/>
            <w:vAlign w:val="center"/>
          </w:tcPr>
          <w:p w14:paraId="354BD162" w14:textId="77777777" w:rsidR="00C01A50" w:rsidRPr="00641795" w:rsidRDefault="00C01A50" w:rsidP="00593A9A">
            <w:pPr>
              <w:tabs>
                <w:tab w:val="center" w:pos="4513"/>
                <w:tab w:val="right" w:pos="9026"/>
              </w:tabs>
              <w:spacing w:before="0" w:after="0"/>
              <w:jc w:val="center"/>
              <w:rPr>
                <w:b/>
              </w:rPr>
            </w:pPr>
            <w:r w:rsidRPr="00641795">
              <w:rPr>
                <w:b/>
              </w:rPr>
              <w:t>Proportion of total charge</w:t>
            </w:r>
          </w:p>
        </w:tc>
      </w:tr>
      <w:tr w:rsidR="00C01A50" w14:paraId="1BFE6CE6" w14:textId="77777777">
        <w:tc>
          <w:tcPr>
            <w:tcW w:w="3369" w:type="dxa"/>
            <w:shd w:val="clear" w:color="auto" w:fill="auto"/>
          </w:tcPr>
          <w:p w14:paraId="4768EB57" w14:textId="77777777" w:rsidR="00C01A50" w:rsidRPr="001E70DE" w:rsidRDefault="00C01A50" w:rsidP="00593A9A">
            <w:pPr>
              <w:tabs>
                <w:tab w:val="center" w:pos="4513"/>
                <w:tab w:val="right" w:pos="9026"/>
              </w:tabs>
              <w:spacing w:before="0" w:after="0"/>
            </w:pPr>
            <w:r w:rsidRPr="001E70DE">
              <w:t>Entitlement Storage HRWS ($/ML)</w:t>
            </w:r>
          </w:p>
        </w:tc>
        <w:tc>
          <w:tcPr>
            <w:tcW w:w="2008" w:type="dxa"/>
            <w:shd w:val="clear" w:color="auto" w:fill="auto"/>
            <w:vAlign w:val="center"/>
          </w:tcPr>
          <w:p w14:paraId="1F194452" w14:textId="77777777" w:rsidR="00C01A50" w:rsidRPr="006B470B" w:rsidRDefault="00C01A50" w:rsidP="00593A9A">
            <w:pPr>
              <w:tabs>
                <w:tab w:val="center" w:pos="4513"/>
                <w:tab w:val="right" w:pos="9026"/>
              </w:tabs>
              <w:spacing w:before="0" w:after="0"/>
              <w:jc w:val="center"/>
            </w:pPr>
            <w:r w:rsidRPr="006B470B">
              <w:t>$10.57</w:t>
            </w:r>
          </w:p>
        </w:tc>
        <w:tc>
          <w:tcPr>
            <w:tcW w:w="2008" w:type="dxa"/>
            <w:shd w:val="clear" w:color="auto" w:fill="auto"/>
            <w:vAlign w:val="center"/>
          </w:tcPr>
          <w:p w14:paraId="275EBDDB" w14:textId="77777777" w:rsidR="00C01A50" w:rsidRPr="004C0978" w:rsidRDefault="00C01A50" w:rsidP="00593A9A">
            <w:pPr>
              <w:tabs>
                <w:tab w:val="center" w:pos="4513"/>
                <w:tab w:val="right" w:pos="9026"/>
              </w:tabs>
              <w:spacing w:before="0" w:after="0"/>
              <w:jc w:val="center"/>
            </w:pPr>
            <w:r w:rsidRPr="004C0978">
              <w:t>$4,333.70</w:t>
            </w:r>
          </w:p>
        </w:tc>
        <w:tc>
          <w:tcPr>
            <w:tcW w:w="2009" w:type="dxa"/>
            <w:shd w:val="clear" w:color="auto" w:fill="auto"/>
            <w:vAlign w:val="center"/>
          </w:tcPr>
          <w:p w14:paraId="78A639A5" w14:textId="77777777" w:rsidR="00C01A50" w:rsidRPr="00345C34" w:rsidRDefault="00C01A50" w:rsidP="00593A9A">
            <w:pPr>
              <w:tabs>
                <w:tab w:val="center" w:pos="4513"/>
                <w:tab w:val="right" w:pos="9026"/>
              </w:tabs>
              <w:spacing w:before="0" w:after="0"/>
              <w:jc w:val="center"/>
            </w:pPr>
            <w:r w:rsidRPr="00345C34">
              <w:t>13%</w:t>
            </w:r>
          </w:p>
        </w:tc>
      </w:tr>
      <w:tr w:rsidR="00C01A50" w14:paraId="1C530670" w14:textId="77777777">
        <w:tc>
          <w:tcPr>
            <w:tcW w:w="3369" w:type="dxa"/>
            <w:shd w:val="clear" w:color="auto" w:fill="auto"/>
          </w:tcPr>
          <w:p w14:paraId="0AA47412" w14:textId="77777777" w:rsidR="00C01A50" w:rsidRPr="001E70DE" w:rsidRDefault="00C01A50" w:rsidP="00593A9A">
            <w:pPr>
              <w:tabs>
                <w:tab w:val="center" w:pos="4513"/>
                <w:tab w:val="right" w:pos="9026"/>
              </w:tabs>
              <w:spacing w:before="0" w:after="0"/>
            </w:pPr>
            <w:r w:rsidRPr="001E70DE">
              <w:t>Entitlement Storage LRWS ($/ML)</w:t>
            </w:r>
          </w:p>
        </w:tc>
        <w:tc>
          <w:tcPr>
            <w:tcW w:w="2008" w:type="dxa"/>
            <w:shd w:val="clear" w:color="auto" w:fill="auto"/>
            <w:vAlign w:val="center"/>
          </w:tcPr>
          <w:p w14:paraId="62059913" w14:textId="77777777" w:rsidR="00C01A50" w:rsidRPr="006B470B" w:rsidRDefault="00C01A50" w:rsidP="00593A9A">
            <w:pPr>
              <w:tabs>
                <w:tab w:val="center" w:pos="4513"/>
                <w:tab w:val="right" w:pos="9026"/>
              </w:tabs>
              <w:spacing w:before="0" w:after="0"/>
              <w:jc w:val="center"/>
            </w:pPr>
            <w:r w:rsidRPr="006B470B">
              <w:t>$5.18</w:t>
            </w:r>
          </w:p>
        </w:tc>
        <w:tc>
          <w:tcPr>
            <w:tcW w:w="2008" w:type="dxa"/>
            <w:shd w:val="clear" w:color="auto" w:fill="auto"/>
            <w:vAlign w:val="center"/>
          </w:tcPr>
          <w:p w14:paraId="0BCE5322" w14:textId="77777777" w:rsidR="00C01A50" w:rsidRPr="004C0978" w:rsidRDefault="00C01A50" w:rsidP="00593A9A">
            <w:pPr>
              <w:tabs>
                <w:tab w:val="center" w:pos="4513"/>
                <w:tab w:val="right" w:pos="9026"/>
              </w:tabs>
              <w:spacing w:before="0" w:after="0"/>
              <w:jc w:val="center"/>
            </w:pPr>
            <w:r w:rsidRPr="004C0978">
              <w:t>$-</w:t>
            </w:r>
          </w:p>
        </w:tc>
        <w:tc>
          <w:tcPr>
            <w:tcW w:w="2009" w:type="dxa"/>
            <w:shd w:val="clear" w:color="auto" w:fill="auto"/>
            <w:vAlign w:val="center"/>
          </w:tcPr>
          <w:p w14:paraId="0558020B" w14:textId="77777777" w:rsidR="00C01A50" w:rsidRPr="00345C34" w:rsidRDefault="00C01A50" w:rsidP="00593A9A">
            <w:pPr>
              <w:tabs>
                <w:tab w:val="center" w:pos="4513"/>
                <w:tab w:val="right" w:pos="9026"/>
              </w:tabs>
              <w:spacing w:before="0" w:after="0"/>
              <w:jc w:val="center"/>
            </w:pPr>
            <w:r w:rsidRPr="00345C34">
              <w:t>0%</w:t>
            </w:r>
          </w:p>
        </w:tc>
      </w:tr>
      <w:tr w:rsidR="00C01A50" w14:paraId="584E5E4D" w14:textId="77777777">
        <w:tc>
          <w:tcPr>
            <w:tcW w:w="3369" w:type="dxa"/>
            <w:shd w:val="clear" w:color="auto" w:fill="DBE5F1"/>
          </w:tcPr>
          <w:p w14:paraId="382AB122" w14:textId="77777777" w:rsidR="00C01A50" w:rsidRPr="001E70DE" w:rsidRDefault="00C01A50" w:rsidP="00593A9A">
            <w:pPr>
              <w:tabs>
                <w:tab w:val="center" w:pos="4513"/>
                <w:tab w:val="right" w:pos="9026"/>
              </w:tabs>
              <w:spacing w:before="0" w:after="0"/>
            </w:pPr>
            <w:r w:rsidRPr="001E70DE">
              <w:t>Service Point Remote Operate ($/</w:t>
            </w:r>
            <w:r>
              <w:t xml:space="preserve">service </w:t>
            </w:r>
            <w:r w:rsidRPr="001E70DE">
              <w:t>point)</w:t>
            </w:r>
          </w:p>
        </w:tc>
        <w:tc>
          <w:tcPr>
            <w:tcW w:w="2008" w:type="dxa"/>
            <w:shd w:val="clear" w:color="auto" w:fill="DBE5F1"/>
            <w:vAlign w:val="center"/>
          </w:tcPr>
          <w:p w14:paraId="58DA32E7" w14:textId="77777777" w:rsidR="00C01A50" w:rsidRPr="006B470B" w:rsidRDefault="00C01A50" w:rsidP="00593A9A">
            <w:pPr>
              <w:tabs>
                <w:tab w:val="center" w:pos="4513"/>
                <w:tab w:val="right" w:pos="9026"/>
              </w:tabs>
              <w:spacing w:before="0" w:after="0"/>
              <w:jc w:val="center"/>
            </w:pPr>
            <w:r w:rsidRPr="006B470B">
              <w:t>$400.00</w:t>
            </w:r>
          </w:p>
        </w:tc>
        <w:tc>
          <w:tcPr>
            <w:tcW w:w="2008" w:type="dxa"/>
            <w:shd w:val="clear" w:color="auto" w:fill="DBE5F1"/>
            <w:vAlign w:val="center"/>
          </w:tcPr>
          <w:p w14:paraId="45DFA1AF" w14:textId="77777777" w:rsidR="00C01A50" w:rsidRPr="004C0978" w:rsidRDefault="00C01A50" w:rsidP="00593A9A">
            <w:pPr>
              <w:tabs>
                <w:tab w:val="center" w:pos="4513"/>
                <w:tab w:val="right" w:pos="9026"/>
              </w:tabs>
              <w:spacing w:before="0" w:after="0"/>
              <w:jc w:val="center"/>
            </w:pPr>
            <w:r w:rsidRPr="004C0978">
              <w:t>$800.00</w:t>
            </w:r>
          </w:p>
        </w:tc>
        <w:tc>
          <w:tcPr>
            <w:tcW w:w="2009" w:type="dxa"/>
            <w:shd w:val="clear" w:color="auto" w:fill="DBE5F1"/>
            <w:vAlign w:val="center"/>
          </w:tcPr>
          <w:p w14:paraId="2F4A8147" w14:textId="77777777" w:rsidR="00C01A50" w:rsidRPr="00345C34" w:rsidRDefault="00C01A50" w:rsidP="00593A9A">
            <w:pPr>
              <w:tabs>
                <w:tab w:val="center" w:pos="4513"/>
                <w:tab w:val="right" w:pos="9026"/>
              </w:tabs>
              <w:spacing w:before="0" w:after="0"/>
              <w:jc w:val="center"/>
            </w:pPr>
            <w:r w:rsidRPr="00345C34">
              <w:t>2%</w:t>
            </w:r>
          </w:p>
        </w:tc>
      </w:tr>
      <w:tr w:rsidR="00C01A50" w14:paraId="4023A366" w14:textId="77777777">
        <w:tc>
          <w:tcPr>
            <w:tcW w:w="3369" w:type="dxa"/>
            <w:shd w:val="clear" w:color="auto" w:fill="DBE5F1"/>
          </w:tcPr>
          <w:p w14:paraId="5184A430" w14:textId="77777777" w:rsidR="00C01A50" w:rsidRPr="001E70DE" w:rsidRDefault="00C01A50" w:rsidP="00593A9A">
            <w:pPr>
              <w:tabs>
                <w:tab w:val="center" w:pos="4513"/>
                <w:tab w:val="right" w:pos="9026"/>
              </w:tabs>
              <w:spacing w:before="0" w:after="0"/>
            </w:pPr>
            <w:r w:rsidRPr="001E70DE">
              <w:t xml:space="preserve">Infrastructure Access </w:t>
            </w:r>
            <w:r>
              <w:br/>
            </w:r>
            <w:r w:rsidRPr="001E70DE">
              <w:t>($/D</w:t>
            </w:r>
            <w:r>
              <w:t xml:space="preserve">elivery </w:t>
            </w:r>
            <w:r w:rsidRPr="001E70DE">
              <w:t>S</w:t>
            </w:r>
            <w:r>
              <w:t>hare</w:t>
            </w:r>
            <w:r w:rsidRPr="001E70DE">
              <w:t>)</w:t>
            </w:r>
          </w:p>
        </w:tc>
        <w:tc>
          <w:tcPr>
            <w:tcW w:w="2008" w:type="dxa"/>
            <w:shd w:val="clear" w:color="auto" w:fill="DBE5F1"/>
            <w:vAlign w:val="center"/>
          </w:tcPr>
          <w:p w14:paraId="689B94B6" w14:textId="77777777" w:rsidR="00C01A50" w:rsidRPr="006B470B" w:rsidRDefault="00C01A50" w:rsidP="00593A9A">
            <w:pPr>
              <w:tabs>
                <w:tab w:val="center" w:pos="4513"/>
                <w:tab w:val="right" w:pos="9026"/>
              </w:tabs>
              <w:spacing w:before="0" w:after="0"/>
              <w:jc w:val="center"/>
            </w:pPr>
            <w:r w:rsidRPr="006B470B">
              <w:t>$4,454.00</w:t>
            </w:r>
          </w:p>
        </w:tc>
        <w:tc>
          <w:tcPr>
            <w:tcW w:w="2008" w:type="dxa"/>
            <w:shd w:val="clear" w:color="auto" w:fill="DBE5F1"/>
            <w:vAlign w:val="center"/>
          </w:tcPr>
          <w:p w14:paraId="33A4EAB3" w14:textId="77777777" w:rsidR="00C01A50" w:rsidRPr="004C0978" w:rsidRDefault="00C01A50" w:rsidP="00593A9A">
            <w:pPr>
              <w:tabs>
                <w:tab w:val="center" w:pos="4513"/>
                <w:tab w:val="right" w:pos="9026"/>
              </w:tabs>
              <w:spacing w:before="0" w:after="0"/>
              <w:jc w:val="center"/>
            </w:pPr>
            <w:r w:rsidRPr="004C0978">
              <w:t>$20,933.80</w:t>
            </w:r>
          </w:p>
        </w:tc>
        <w:tc>
          <w:tcPr>
            <w:tcW w:w="2009" w:type="dxa"/>
            <w:shd w:val="clear" w:color="auto" w:fill="DBE5F1"/>
            <w:vAlign w:val="center"/>
          </w:tcPr>
          <w:p w14:paraId="58CCB409" w14:textId="77777777" w:rsidR="00C01A50" w:rsidRPr="00345C34" w:rsidRDefault="00C01A50" w:rsidP="00593A9A">
            <w:pPr>
              <w:tabs>
                <w:tab w:val="center" w:pos="4513"/>
                <w:tab w:val="right" w:pos="9026"/>
              </w:tabs>
              <w:spacing w:before="0" w:after="0"/>
              <w:jc w:val="center"/>
            </w:pPr>
            <w:r w:rsidRPr="00345C34">
              <w:t>62%</w:t>
            </w:r>
          </w:p>
        </w:tc>
      </w:tr>
      <w:tr w:rsidR="00C01A50" w14:paraId="13D24696" w14:textId="77777777">
        <w:tc>
          <w:tcPr>
            <w:tcW w:w="3369" w:type="dxa"/>
            <w:shd w:val="clear" w:color="auto" w:fill="auto"/>
          </w:tcPr>
          <w:p w14:paraId="324049A3" w14:textId="77777777" w:rsidR="00C01A50" w:rsidRPr="001E70DE" w:rsidRDefault="00C01A50" w:rsidP="00593A9A">
            <w:pPr>
              <w:tabs>
                <w:tab w:val="center" w:pos="4513"/>
                <w:tab w:val="right" w:pos="9026"/>
              </w:tabs>
              <w:spacing w:before="0" w:after="0"/>
            </w:pPr>
            <w:r w:rsidRPr="001E70DE">
              <w:t>Infrastructure Use ($/ML)</w:t>
            </w:r>
          </w:p>
        </w:tc>
        <w:tc>
          <w:tcPr>
            <w:tcW w:w="2008" w:type="dxa"/>
            <w:shd w:val="clear" w:color="auto" w:fill="auto"/>
            <w:vAlign w:val="center"/>
          </w:tcPr>
          <w:p w14:paraId="6755B3ED" w14:textId="77777777" w:rsidR="00C01A50" w:rsidRPr="006B470B" w:rsidRDefault="00C01A50" w:rsidP="00593A9A">
            <w:pPr>
              <w:tabs>
                <w:tab w:val="center" w:pos="4513"/>
                <w:tab w:val="right" w:pos="9026"/>
              </w:tabs>
              <w:spacing w:before="0" w:after="0"/>
              <w:jc w:val="center"/>
            </w:pPr>
            <w:r w:rsidRPr="006B470B">
              <w:t>$9.34</w:t>
            </w:r>
          </w:p>
        </w:tc>
        <w:tc>
          <w:tcPr>
            <w:tcW w:w="2008" w:type="dxa"/>
            <w:shd w:val="clear" w:color="auto" w:fill="auto"/>
            <w:vAlign w:val="center"/>
          </w:tcPr>
          <w:p w14:paraId="5DE47066" w14:textId="77777777" w:rsidR="00C01A50" w:rsidRPr="004C0978" w:rsidRDefault="00C01A50" w:rsidP="00593A9A">
            <w:pPr>
              <w:tabs>
                <w:tab w:val="center" w:pos="4513"/>
                <w:tab w:val="right" w:pos="9026"/>
              </w:tabs>
              <w:spacing w:before="0" w:after="0"/>
              <w:jc w:val="center"/>
            </w:pPr>
            <w:r w:rsidRPr="004C0978">
              <w:t>$3,829.40</w:t>
            </w:r>
          </w:p>
        </w:tc>
        <w:tc>
          <w:tcPr>
            <w:tcW w:w="2009" w:type="dxa"/>
            <w:shd w:val="clear" w:color="auto" w:fill="auto"/>
            <w:vAlign w:val="center"/>
          </w:tcPr>
          <w:p w14:paraId="1FB8E913" w14:textId="77777777" w:rsidR="00C01A50" w:rsidRPr="00345C34" w:rsidRDefault="00C01A50" w:rsidP="00593A9A">
            <w:pPr>
              <w:tabs>
                <w:tab w:val="center" w:pos="4513"/>
                <w:tab w:val="right" w:pos="9026"/>
              </w:tabs>
              <w:spacing w:before="0" w:after="0"/>
              <w:jc w:val="center"/>
            </w:pPr>
            <w:r w:rsidRPr="00345C34">
              <w:t>11%</w:t>
            </w:r>
          </w:p>
        </w:tc>
      </w:tr>
      <w:tr w:rsidR="00C01A50" w14:paraId="4D30DE54" w14:textId="77777777">
        <w:tc>
          <w:tcPr>
            <w:tcW w:w="3369" w:type="dxa"/>
            <w:shd w:val="clear" w:color="auto" w:fill="DBE5F1"/>
          </w:tcPr>
          <w:p w14:paraId="04EAA351" w14:textId="77777777" w:rsidR="00C01A50" w:rsidRPr="001E70DE" w:rsidRDefault="00C01A50" w:rsidP="00593A9A">
            <w:pPr>
              <w:tabs>
                <w:tab w:val="center" w:pos="4513"/>
                <w:tab w:val="right" w:pos="9026"/>
              </w:tabs>
              <w:spacing w:before="0" w:after="0"/>
            </w:pPr>
            <w:r w:rsidRPr="001E70DE">
              <w:t>Surface drainage service ($)</w:t>
            </w:r>
          </w:p>
        </w:tc>
        <w:tc>
          <w:tcPr>
            <w:tcW w:w="2008" w:type="dxa"/>
            <w:shd w:val="clear" w:color="auto" w:fill="DBE5F1"/>
            <w:vAlign w:val="center"/>
          </w:tcPr>
          <w:p w14:paraId="3887FE18" w14:textId="77777777" w:rsidR="00C01A50" w:rsidRPr="006B470B" w:rsidRDefault="00C01A50" w:rsidP="00593A9A">
            <w:pPr>
              <w:tabs>
                <w:tab w:val="center" w:pos="4513"/>
                <w:tab w:val="right" w:pos="9026"/>
              </w:tabs>
              <w:spacing w:before="0" w:after="0"/>
              <w:jc w:val="center"/>
            </w:pPr>
            <w:r w:rsidRPr="006B470B">
              <w:t>$100.00</w:t>
            </w:r>
          </w:p>
        </w:tc>
        <w:tc>
          <w:tcPr>
            <w:tcW w:w="2008" w:type="dxa"/>
            <w:shd w:val="clear" w:color="auto" w:fill="DBE5F1"/>
            <w:vAlign w:val="center"/>
          </w:tcPr>
          <w:p w14:paraId="542BA3E0" w14:textId="77777777" w:rsidR="00C01A50" w:rsidRPr="004C0978" w:rsidRDefault="00C01A50" w:rsidP="00593A9A">
            <w:pPr>
              <w:tabs>
                <w:tab w:val="center" w:pos="4513"/>
                <w:tab w:val="right" w:pos="9026"/>
              </w:tabs>
              <w:spacing w:before="0" w:after="0"/>
              <w:jc w:val="center"/>
            </w:pPr>
            <w:r w:rsidRPr="004C0978">
              <w:t>$100.00</w:t>
            </w:r>
          </w:p>
        </w:tc>
        <w:tc>
          <w:tcPr>
            <w:tcW w:w="2009" w:type="dxa"/>
            <w:shd w:val="clear" w:color="auto" w:fill="DBE5F1"/>
            <w:vAlign w:val="center"/>
          </w:tcPr>
          <w:p w14:paraId="293ABB51" w14:textId="77777777" w:rsidR="00C01A50" w:rsidRPr="00345C34" w:rsidRDefault="00C01A50" w:rsidP="00593A9A">
            <w:pPr>
              <w:tabs>
                <w:tab w:val="center" w:pos="4513"/>
                <w:tab w:val="right" w:pos="9026"/>
              </w:tabs>
              <w:spacing w:before="0" w:after="0"/>
              <w:jc w:val="center"/>
            </w:pPr>
            <w:r w:rsidRPr="00345C34">
              <w:t>0%</w:t>
            </w:r>
          </w:p>
        </w:tc>
      </w:tr>
      <w:tr w:rsidR="00C01A50" w14:paraId="0114035D" w14:textId="77777777">
        <w:tc>
          <w:tcPr>
            <w:tcW w:w="3369" w:type="dxa"/>
            <w:shd w:val="clear" w:color="auto" w:fill="DBE5F1"/>
          </w:tcPr>
          <w:p w14:paraId="66CE166D" w14:textId="77777777" w:rsidR="00C01A50" w:rsidRPr="001E70DE" w:rsidRDefault="00C01A50" w:rsidP="00593A9A">
            <w:pPr>
              <w:tabs>
                <w:tab w:val="center" w:pos="4513"/>
                <w:tab w:val="right" w:pos="9026"/>
              </w:tabs>
              <w:spacing w:before="0" w:after="0"/>
            </w:pPr>
            <w:r w:rsidRPr="001E70DE">
              <w:t>Surface drainage area ($/ha)</w:t>
            </w:r>
          </w:p>
        </w:tc>
        <w:tc>
          <w:tcPr>
            <w:tcW w:w="2008" w:type="dxa"/>
            <w:shd w:val="clear" w:color="auto" w:fill="DBE5F1"/>
            <w:vAlign w:val="center"/>
          </w:tcPr>
          <w:p w14:paraId="0B3F529B" w14:textId="77777777" w:rsidR="00C01A50" w:rsidRPr="006B470B" w:rsidRDefault="00C01A50" w:rsidP="00593A9A">
            <w:pPr>
              <w:tabs>
                <w:tab w:val="center" w:pos="4513"/>
                <w:tab w:val="right" w:pos="9026"/>
              </w:tabs>
              <w:spacing w:before="0" w:after="0"/>
              <w:jc w:val="center"/>
            </w:pPr>
            <w:r w:rsidRPr="006B470B">
              <w:t>$11.73</w:t>
            </w:r>
          </w:p>
        </w:tc>
        <w:tc>
          <w:tcPr>
            <w:tcW w:w="2008" w:type="dxa"/>
            <w:shd w:val="clear" w:color="auto" w:fill="DBE5F1"/>
            <w:vAlign w:val="center"/>
          </w:tcPr>
          <w:p w14:paraId="1750B337" w14:textId="77777777" w:rsidR="00C01A50" w:rsidRPr="004C0978" w:rsidRDefault="00C01A50" w:rsidP="00593A9A">
            <w:pPr>
              <w:tabs>
                <w:tab w:val="center" w:pos="4513"/>
                <w:tab w:val="right" w:pos="9026"/>
              </w:tabs>
              <w:spacing w:before="0" w:after="0"/>
              <w:jc w:val="center"/>
            </w:pPr>
            <w:r w:rsidRPr="004C0978">
              <w:t>$1,524.90</w:t>
            </w:r>
          </w:p>
        </w:tc>
        <w:tc>
          <w:tcPr>
            <w:tcW w:w="2009" w:type="dxa"/>
            <w:shd w:val="clear" w:color="auto" w:fill="DBE5F1"/>
            <w:vAlign w:val="center"/>
          </w:tcPr>
          <w:p w14:paraId="0DF81395" w14:textId="77777777" w:rsidR="00C01A50" w:rsidRPr="00345C34" w:rsidRDefault="00C01A50" w:rsidP="00593A9A">
            <w:pPr>
              <w:tabs>
                <w:tab w:val="center" w:pos="4513"/>
                <w:tab w:val="right" w:pos="9026"/>
              </w:tabs>
              <w:spacing w:before="0" w:after="0"/>
              <w:jc w:val="center"/>
            </w:pPr>
            <w:r w:rsidRPr="00345C34">
              <w:t>5%</w:t>
            </w:r>
          </w:p>
        </w:tc>
      </w:tr>
      <w:tr w:rsidR="00C01A50" w14:paraId="3565C6E6" w14:textId="77777777">
        <w:tc>
          <w:tcPr>
            <w:tcW w:w="3369" w:type="dxa"/>
            <w:shd w:val="clear" w:color="auto" w:fill="auto"/>
          </w:tcPr>
          <w:p w14:paraId="77D1BE27" w14:textId="77777777" w:rsidR="00C01A50" w:rsidRDefault="00C01A50" w:rsidP="00593A9A">
            <w:pPr>
              <w:tabs>
                <w:tab w:val="center" w:pos="4513"/>
                <w:tab w:val="right" w:pos="9026"/>
              </w:tabs>
              <w:spacing w:before="0" w:after="0"/>
            </w:pPr>
            <w:r w:rsidRPr="001E70DE">
              <w:t>Surface drainage Water Use ($/ML)</w:t>
            </w:r>
          </w:p>
        </w:tc>
        <w:tc>
          <w:tcPr>
            <w:tcW w:w="2008" w:type="dxa"/>
            <w:shd w:val="clear" w:color="auto" w:fill="auto"/>
            <w:vAlign w:val="center"/>
          </w:tcPr>
          <w:p w14:paraId="4478E74A" w14:textId="77777777" w:rsidR="00C01A50" w:rsidRDefault="00C01A50" w:rsidP="00593A9A">
            <w:pPr>
              <w:tabs>
                <w:tab w:val="center" w:pos="4513"/>
                <w:tab w:val="right" w:pos="9026"/>
              </w:tabs>
              <w:spacing w:before="0" w:after="0"/>
              <w:jc w:val="center"/>
            </w:pPr>
            <w:r w:rsidRPr="006B470B">
              <w:t>$5.60</w:t>
            </w:r>
          </w:p>
        </w:tc>
        <w:tc>
          <w:tcPr>
            <w:tcW w:w="2008" w:type="dxa"/>
            <w:shd w:val="clear" w:color="auto" w:fill="auto"/>
            <w:vAlign w:val="center"/>
          </w:tcPr>
          <w:p w14:paraId="6D4DD055" w14:textId="77777777" w:rsidR="00C01A50" w:rsidRDefault="00C01A50" w:rsidP="00593A9A">
            <w:pPr>
              <w:tabs>
                <w:tab w:val="center" w:pos="4513"/>
                <w:tab w:val="right" w:pos="9026"/>
              </w:tabs>
              <w:spacing w:before="0" w:after="0"/>
              <w:jc w:val="center"/>
            </w:pPr>
            <w:r w:rsidRPr="004C0978">
              <w:t>$2,296.00</w:t>
            </w:r>
          </w:p>
        </w:tc>
        <w:tc>
          <w:tcPr>
            <w:tcW w:w="2009" w:type="dxa"/>
            <w:shd w:val="clear" w:color="auto" w:fill="auto"/>
            <w:vAlign w:val="center"/>
          </w:tcPr>
          <w:p w14:paraId="5D3E2D89" w14:textId="77777777" w:rsidR="00C01A50" w:rsidRDefault="00C01A50" w:rsidP="00593A9A">
            <w:pPr>
              <w:tabs>
                <w:tab w:val="center" w:pos="4513"/>
                <w:tab w:val="right" w:pos="9026"/>
              </w:tabs>
              <w:spacing w:before="0" w:after="0"/>
              <w:jc w:val="center"/>
            </w:pPr>
            <w:r w:rsidRPr="00345C34">
              <w:t>7%</w:t>
            </w:r>
          </w:p>
        </w:tc>
      </w:tr>
      <w:tr w:rsidR="00C01A50" w14:paraId="551F2415" w14:textId="77777777">
        <w:tc>
          <w:tcPr>
            <w:tcW w:w="3369" w:type="dxa"/>
            <w:shd w:val="clear" w:color="auto" w:fill="auto"/>
          </w:tcPr>
          <w:p w14:paraId="1C8C2F23" w14:textId="77777777" w:rsidR="00C01A50" w:rsidRPr="001E70DE" w:rsidRDefault="00C01A50" w:rsidP="00593A9A">
            <w:pPr>
              <w:tabs>
                <w:tab w:val="center" w:pos="4513"/>
                <w:tab w:val="right" w:pos="9026"/>
              </w:tabs>
              <w:spacing w:before="0" w:after="0"/>
            </w:pPr>
            <w:r w:rsidRPr="00641795">
              <w:rPr>
                <w:b/>
              </w:rPr>
              <w:t xml:space="preserve">TOTAL </w:t>
            </w:r>
          </w:p>
        </w:tc>
        <w:tc>
          <w:tcPr>
            <w:tcW w:w="2008" w:type="dxa"/>
            <w:shd w:val="clear" w:color="auto" w:fill="auto"/>
          </w:tcPr>
          <w:p w14:paraId="48F9136D" w14:textId="77777777" w:rsidR="00C01A50" w:rsidRPr="00641795" w:rsidRDefault="00C01A50" w:rsidP="00593A9A">
            <w:pPr>
              <w:tabs>
                <w:tab w:val="center" w:pos="4513"/>
                <w:tab w:val="right" w:pos="9026"/>
              </w:tabs>
              <w:spacing w:before="0" w:after="0"/>
              <w:jc w:val="right"/>
              <w:rPr>
                <w:b/>
              </w:rPr>
            </w:pPr>
          </w:p>
        </w:tc>
        <w:tc>
          <w:tcPr>
            <w:tcW w:w="2008" w:type="dxa"/>
            <w:shd w:val="clear" w:color="auto" w:fill="auto"/>
            <w:vAlign w:val="center"/>
          </w:tcPr>
          <w:p w14:paraId="166B21E7" w14:textId="77777777" w:rsidR="00C01A50" w:rsidRPr="00EA1443" w:rsidRDefault="00C01A50" w:rsidP="00593A9A">
            <w:pPr>
              <w:tabs>
                <w:tab w:val="center" w:pos="4513"/>
                <w:tab w:val="right" w:pos="9026"/>
              </w:tabs>
              <w:spacing w:before="0" w:after="0"/>
              <w:jc w:val="center"/>
            </w:pPr>
            <w:r w:rsidRPr="00EA1443">
              <w:t>$33,817.80</w:t>
            </w:r>
          </w:p>
        </w:tc>
        <w:tc>
          <w:tcPr>
            <w:tcW w:w="2009" w:type="dxa"/>
            <w:shd w:val="clear" w:color="auto" w:fill="auto"/>
            <w:vAlign w:val="center"/>
          </w:tcPr>
          <w:p w14:paraId="27006493" w14:textId="77777777" w:rsidR="00C01A50" w:rsidRDefault="00C01A50" w:rsidP="00593A9A">
            <w:pPr>
              <w:tabs>
                <w:tab w:val="center" w:pos="4513"/>
                <w:tab w:val="right" w:pos="9026"/>
              </w:tabs>
              <w:spacing w:before="0" w:after="0"/>
              <w:jc w:val="center"/>
            </w:pPr>
            <w:r w:rsidRPr="00EA1443">
              <w:t>100%</w:t>
            </w:r>
          </w:p>
        </w:tc>
      </w:tr>
    </w:tbl>
    <w:p w14:paraId="26B81AD0" w14:textId="77777777" w:rsidR="00C01A50" w:rsidRPr="00C54071" w:rsidRDefault="00C01A50" w:rsidP="00593A9A">
      <w:pPr>
        <w:rPr>
          <w:rFonts w:eastAsia="Calibri"/>
          <w:color w:val="000000"/>
          <w:sz w:val="18"/>
          <w:szCs w:val="22"/>
          <w:lang w:val="en-AU"/>
        </w:rPr>
      </w:pPr>
      <w:r w:rsidRPr="00C54071">
        <w:rPr>
          <w:rFonts w:eastAsia="Calibri"/>
          <w:color w:val="000000"/>
          <w:sz w:val="18"/>
          <w:szCs w:val="22"/>
          <w:lang w:val="en-AU"/>
        </w:rPr>
        <w:t>Source: Fees from GMW Pricelist 2015/16</w:t>
      </w:r>
    </w:p>
    <w:p w14:paraId="7FE96797" w14:textId="77777777" w:rsidR="00C01A50" w:rsidRDefault="00C01A50" w:rsidP="00593A9A">
      <w:r>
        <w:lastRenderedPageBreak/>
        <w:t>When Delivery Shares and the Infrastructure Access Fee were introduced there was some expectation that as irrigators sold entitlement they would trade or retire delivery share. As will be discussed further below, this has not turned out to be the case. As a proportion of 2008</w:t>
      </w:r>
      <w:r w:rsidR="002A2EB4">
        <w:t>/</w:t>
      </w:r>
      <w:r>
        <w:t xml:space="preserve">09 levels, High Reliability Water Shares have decreased </w:t>
      </w:r>
      <w:r w:rsidRPr="001E7ECB">
        <w:t>by 37% and</w:t>
      </w:r>
      <w:r>
        <w:t xml:space="preserve"> delivery share by 4% (</w:t>
      </w:r>
      <w:r>
        <w:fldChar w:fldCharType="begin"/>
      </w:r>
      <w:r>
        <w:instrText xml:space="preserve"> REF _Ref346030152 \h </w:instrText>
      </w:r>
      <w:r>
        <w:fldChar w:fldCharType="separate"/>
      </w:r>
      <w:r w:rsidR="008E5D7A">
        <w:t xml:space="preserve">Figure </w:t>
      </w:r>
      <w:r w:rsidR="008E5D7A">
        <w:rPr>
          <w:noProof/>
        </w:rPr>
        <w:t>49</w:t>
      </w:r>
      <w:r>
        <w:fldChar w:fldCharType="end"/>
      </w:r>
      <w:r>
        <w:t xml:space="preserve">). Changes in water deliveries are more complex to analyse as seasonal conditions affect both allocation and use levels, as does the use of carryover and allocation trade. But over the long-term average water use is expected to decline in similar proportions to High Reliability Water Shares, unless there are allocations against Low Reliability Water Shares or allocations can be traded from NSW, LMW or South Australia. </w:t>
      </w:r>
    </w:p>
    <w:p w14:paraId="3837F761" w14:textId="77777777" w:rsidR="00C01A50" w:rsidRDefault="00C01A50" w:rsidP="00593A9A">
      <w:r>
        <w:t>The ratio of High Reliability Water Shares to Delivery Shares in the GMID has decreased from close to 90:1 in 2009 to 60:1 in 2016 (</w:t>
      </w:r>
      <w:r>
        <w:fldChar w:fldCharType="begin"/>
      </w:r>
      <w:r>
        <w:instrText xml:space="preserve"> REF _Ref342547527 \h </w:instrText>
      </w:r>
      <w:r>
        <w:fldChar w:fldCharType="separate"/>
      </w:r>
      <w:r w:rsidR="008E5D7A">
        <w:t xml:space="preserve">Figure </w:t>
      </w:r>
      <w:r w:rsidR="008E5D7A">
        <w:rPr>
          <w:noProof/>
        </w:rPr>
        <w:t>50</w:t>
      </w:r>
      <w:r>
        <w:fldChar w:fldCharType="end"/>
      </w:r>
      <w:r>
        <w:t>). Large customers with similar changes in their own ratios would see their effective charges per ML of HRWS increase (</w:t>
      </w:r>
      <w:r>
        <w:fldChar w:fldCharType="begin"/>
      </w:r>
      <w:r>
        <w:instrText xml:space="preserve"> REF _Ref342547527 \h </w:instrText>
      </w:r>
      <w:r>
        <w:fldChar w:fldCharType="separate"/>
      </w:r>
      <w:r w:rsidR="008E5D7A">
        <w:t xml:space="preserve">Figure </w:t>
      </w:r>
      <w:r w:rsidR="008E5D7A">
        <w:rPr>
          <w:noProof/>
        </w:rPr>
        <w:t>50</w:t>
      </w:r>
      <w:r>
        <w:fldChar w:fldCharType="end"/>
      </w:r>
      <w:r>
        <w:t>).</w:t>
      </w:r>
    </w:p>
    <w:p w14:paraId="561A10E4" w14:textId="77777777" w:rsidR="00C01A50" w:rsidRDefault="00C01A50" w:rsidP="003E068F">
      <w:pPr>
        <w:keepNext/>
        <w:jc w:val="center"/>
      </w:pPr>
      <w:r>
        <w:rPr>
          <w:noProof/>
          <w:lang w:val="en-AU" w:eastAsia="en-AU" w:bidi="ar-SA"/>
        </w:rPr>
        <w:drawing>
          <wp:inline distT="0" distB="0" distL="0" distR="0" wp14:anchorId="61AEAB91" wp14:editId="04F8D563">
            <wp:extent cx="5150586" cy="3133725"/>
            <wp:effectExtent l="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l="1032" t="949" r="922" b="7730"/>
                    <a:stretch/>
                  </pic:blipFill>
                  <pic:spPr bwMode="auto">
                    <a:xfrm>
                      <a:off x="0" y="0"/>
                      <a:ext cx="5153714" cy="3135628"/>
                    </a:xfrm>
                    <a:prstGeom prst="rect">
                      <a:avLst/>
                    </a:prstGeom>
                    <a:noFill/>
                    <a:ln>
                      <a:noFill/>
                    </a:ln>
                    <a:extLst>
                      <a:ext uri="{53640926-AAD7-44D8-BBD7-CCE9431645EC}">
                        <a14:shadowObscured xmlns:a14="http://schemas.microsoft.com/office/drawing/2010/main"/>
                      </a:ext>
                    </a:extLst>
                  </pic:spPr>
                </pic:pic>
              </a:graphicData>
            </a:graphic>
          </wp:inline>
        </w:drawing>
      </w:r>
    </w:p>
    <w:p w14:paraId="4106CDB3" w14:textId="77777777" w:rsidR="00C01A50" w:rsidRDefault="00C01A50" w:rsidP="00A433B0">
      <w:pPr>
        <w:pStyle w:val="Caption"/>
      </w:pPr>
      <w:bookmarkStart w:id="198" w:name="_Ref342547527"/>
      <w:r>
        <w:t xml:space="preserve">Figure </w:t>
      </w:r>
      <w:r>
        <w:fldChar w:fldCharType="begin"/>
      </w:r>
      <w:r>
        <w:instrText xml:space="preserve"> SEQ Figure \* ARABIC </w:instrText>
      </w:r>
      <w:r>
        <w:fldChar w:fldCharType="separate"/>
      </w:r>
      <w:r w:rsidR="008E5D7A">
        <w:rPr>
          <w:noProof/>
        </w:rPr>
        <w:t>50</w:t>
      </w:r>
      <w:r>
        <w:fldChar w:fldCharType="end"/>
      </w:r>
      <w:bookmarkEnd w:id="198"/>
      <w:r>
        <w:t xml:space="preserve">: </w:t>
      </w:r>
      <w:r w:rsidRPr="00A433B0">
        <w:t xml:space="preserve">Ratio of High Reliability Water Shares to Delivery Shares and the percentage increase in Large Customer charges </w:t>
      </w:r>
      <w:r>
        <w:t>per ML of HRWS as HRWS is sold</w:t>
      </w:r>
    </w:p>
    <w:p w14:paraId="3D0E21D2" w14:textId="77777777" w:rsidR="00C01A50" w:rsidRPr="00C54071" w:rsidRDefault="00C01A50" w:rsidP="00C54071">
      <w:pPr>
        <w:rPr>
          <w:rFonts w:eastAsia="Calibri"/>
          <w:color w:val="000000"/>
          <w:sz w:val="18"/>
          <w:szCs w:val="22"/>
          <w:lang w:val="en-AU"/>
        </w:rPr>
      </w:pPr>
      <w:r w:rsidRPr="00C54071">
        <w:rPr>
          <w:rFonts w:eastAsia="Calibri"/>
          <w:color w:val="000000"/>
          <w:sz w:val="18"/>
          <w:szCs w:val="22"/>
          <w:lang w:val="en-AU"/>
        </w:rPr>
        <w:t>Source: Delivery Share data provided by GMW.</w:t>
      </w:r>
    </w:p>
    <w:p w14:paraId="62344E4D" w14:textId="77777777" w:rsidR="00C01A50" w:rsidRDefault="00C01A50" w:rsidP="00E1182E">
      <w:pPr>
        <w:pStyle w:val="Heading2"/>
      </w:pPr>
      <w:bookmarkStart w:id="199" w:name="_Toc347747849"/>
      <w:r>
        <w:t>The delivery share conundrum</w:t>
      </w:r>
      <w:bookmarkEnd w:id="199"/>
    </w:p>
    <w:p w14:paraId="0BACD816" w14:textId="77777777" w:rsidR="00C01A50" w:rsidRDefault="00C01A50" w:rsidP="00593A9A">
      <w:r>
        <w:t xml:space="preserve">Because Delivery Share charges are tied to land, landholders must keep paying charges even after they sell their water entitlements – unless they pay to terminate their Delivery Shares. Under the Minister’s </w:t>
      </w:r>
      <w:r w:rsidRPr="00356419">
        <w:rPr>
          <w:i/>
        </w:rPr>
        <w:t>Water Charge (Termination Fees) Rules 2009</w:t>
      </w:r>
      <w:r>
        <w:t>,</w:t>
      </w:r>
      <w:r w:rsidRPr="00E53693">
        <w:t xml:space="preserve"> </w:t>
      </w:r>
      <w:r>
        <w:t xml:space="preserve">the termination charge is capped at 10 times the annual infrastructure access fee. </w:t>
      </w:r>
    </w:p>
    <w:p w14:paraId="00EA7DFE" w14:textId="77777777" w:rsidR="00C01A50" w:rsidRDefault="00C01A50" w:rsidP="00593A9A">
      <w:r>
        <w:t>During recent consultations on the ‘reset’ of the GMW Connection</w:t>
      </w:r>
      <w:r w:rsidR="00322BE9">
        <w:t>s</w:t>
      </w:r>
      <w:r>
        <w:t xml:space="preserve"> Project, many of GMW’s customers complained that they did no</w:t>
      </w:r>
      <w:r w:rsidRPr="009C60B3">
        <w:t xml:space="preserve">t need or want all </w:t>
      </w:r>
      <w:r>
        <w:t xml:space="preserve">of </w:t>
      </w:r>
      <w:r w:rsidRPr="009C60B3">
        <w:t>their delivery shares</w:t>
      </w:r>
      <w:r>
        <w:t>. They also said that they</w:t>
      </w:r>
      <w:r w:rsidRPr="009C60B3">
        <w:t xml:space="preserve"> either </w:t>
      </w:r>
      <w:r>
        <w:t>could not</w:t>
      </w:r>
      <w:r w:rsidRPr="009C60B3">
        <w:t xml:space="preserve"> afford to </w:t>
      </w:r>
      <w:r>
        <w:t>terminate</w:t>
      </w:r>
      <w:r w:rsidRPr="009C60B3">
        <w:t xml:space="preserve"> them, or </w:t>
      </w:r>
      <w:r>
        <w:t>they did not</w:t>
      </w:r>
      <w:r w:rsidRPr="009C60B3">
        <w:t xml:space="preserve"> believe </w:t>
      </w:r>
      <w:r>
        <w:t xml:space="preserve">that </w:t>
      </w:r>
      <w:r w:rsidRPr="009C60B3">
        <w:t xml:space="preserve">they should have to pay to </w:t>
      </w:r>
      <w:r>
        <w:t xml:space="preserve">terminate </w:t>
      </w:r>
      <w:r>
        <w:lastRenderedPageBreak/>
        <w:t>them.</w:t>
      </w:r>
      <w:r w:rsidRPr="009C60B3">
        <w:t xml:space="preserve"> Balanced against </w:t>
      </w:r>
      <w:r>
        <w:t>this however</w:t>
      </w:r>
      <w:r w:rsidR="00460AEB">
        <w:t>,</w:t>
      </w:r>
      <w:r>
        <w:t xml:space="preserve"> was</w:t>
      </w:r>
      <w:r w:rsidRPr="009C60B3">
        <w:t xml:space="preserve"> </w:t>
      </w:r>
      <w:r w:rsidR="00460AEB">
        <w:t xml:space="preserve">a </w:t>
      </w:r>
      <w:r w:rsidRPr="009C60B3">
        <w:t>general desire to remain connected to the system in an</w:t>
      </w:r>
      <w:r>
        <w:t xml:space="preserve"> effort to maintain land values (TC&amp;A, 2016).</w:t>
      </w:r>
    </w:p>
    <w:p w14:paraId="3EF01D04" w14:textId="77777777" w:rsidR="00686120" w:rsidRDefault="00C01A50" w:rsidP="006F6CED">
      <w:r>
        <w:t>This argument demonstrates a degree of cognitive dissonance</w:t>
      </w:r>
      <w:r w:rsidR="00AA2246">
        <w:t>, that is, it demonstrates</w:t>
      </w:r>
      <w:r w:rsidR="006F6CED">
        <w:t xml:space="preserve"> </w:t>
      </w:r>
      <w:r w:rsidR="00B87F8A">
        <w:t>a degree of</w:t>
      </w:r>
      <w:r w:rsidR="006F6CED">
        <w:t xml:space="preserve"> </w:t>
      </w:r>
      <w:r w:rsidR="00B87F8A">
        <w:t xml:space="preserve">the </w:t>
      </w:r>
      <w:r w:rsidR="006F6CED">
        <w:t>uncomfortable tension that comes from holding two conflicting thoughts at the same time.</w:t>
      </w:r>
      <w:r w:rsidR="00AA2246">
        <w:t xml:space="preserve"> </w:t>
      </w:r>
      <w:r w:rsidR="006F6CED">
        <w:t xml:space="preserve">The theory of cognitive dissonance sees those contradictory thoughts serving as a driving force </w:t>
      </w:r>
      <w:r w:rsidR="00B87F8A">
        <w:t>compelling</w:t>
      </w:r>
      <w:r w:rsidR="006F6CED">
        <w:t xml:space="preserve"> the mind to acquire or invent new thoughts or beliefs</w:t>
      </w:r>
      <w:r w:rsidR="00B87F8A">
        <w:t>,</w:t>
      </w:r>
      <w:r w:rsidR="006F6CED">
        <w:t xml:space="preserve"> or to modify existing beliefs, so as to reduce the amount of dissonance (conflict) between attitudes, emotions, beliefs or behaviours. In the extreme, people’s mental health can depend on </w:t>
      </w:r>
      <w:r w:rsidR="00B87F8A">
        <w:t>them</w:t>
      </w:r>
      <w:r w:rsidR="006F6CED">
        <w:t xml:space="preserve"> being able to reduce the conflict between those different thoughts.</w:t>
      </w:r>
    </w:p>
    <w:p w14:paraId="1C95EE95" w14:textId="77777777" w:rsidR="00C01A50" w:rsidRDefault="00686120" w:rsidP="00593A9A">
      <w:r>
        <w:t xml:space="preserve">The dissonance here is that </w:t>
      </w:r>
      <w:r w:rsidR="006F6CED">
        <w:t xml:space="preserve">on </w:t>
      </w:r>
      <w:r w:rsidR="00C01A50">
        <w:t>one hand many of the people consulted expressed a desire to reduce their delivery shares without having to pay the termination fees; on the other hand many were fearful of being disconnected from the delivery system, or giving up their delivery shares, for fear of a reduction in their property values. In part at least, this helps to account for some of the difficulties involved in delivering the Connections Project without the reset. In theory, the present value of the ongoing stream of delivery share charges should be discounted from property values in any case, but in practice people appear to be more willing to absorb smaller on-going annual liabilities rather than accepting a larger ‘once-off’ loss (TC&amp;A, 2016).</w:t>
      </w:r>
    </w:p>
    <w:p w14:paraId="3EEE9E0D" w14:textId="77777777" w:rsidR="00C01A50" w:rsidRDefault="00C01A50" w:rsidP="00593A9A">
      <w:r>
        <w:t>The Victorian Government through its Water Plan: Water for Victoria has committed to a review of Delivery Shares.</w:t>
      </w:r>
    </w:p>
    <w:p w14:paraId="63321CFB" w14:textId="77777777" w:rsidR="00C01A50" w:rsidRDefault="00C01A50" w:rsidP="00E1182E">
      <w:pPr>
        <w:pStyle w:val="Heading2"/>
      </w:pPr>
      <w:bookmarkStart w:id="200" w:name="_Toc347747850"/>
      <w:r>
        <w:t>Transforming the GMID</w:t>
      </w:r>
      <w:bookmarkEnd w:id="200"/>
    </w:p>
    <w:p w14:paraId="148EB53C" w14:textId="77777777" w:rsidR="00C01A50" w:rsidRDefault="00C01A50" w:rsidP="00593A9A">
      <w:r>
        <w:t>There are two main aspects to modernisation, renewal and rationalisation. Renewal replaces old distribution infrastructure with modern equipment and technology that improves water efficiency. Rationalisation removes some infrastructure or channels or modifies them to provide different levels of service (DSE 2009).</w:t>
      </w:r>
    </w:p>
    <w:p w14:paraId="41CB6F6D" w14:textId="77777777" w:rsidR="00C01A50" w:rsidRDefault="00C01A50" w:rsidP="00593A9A">
      <w:r>
        <w:t>Modernisation of the GMID began in the late 1990s through projects such as Central Goulburn 1234 and reconfiguration planning and implementation. The early programs set the basis for the Connections Project Stages 1 and 2. The Connections Project Stage 2 is due for completion on 31 October 2020. Irrigators, the Victorian</w:t>
      </w:r>
      <w:r w:rsidRPr="00CD6496">
        <w:t xml:space="preserve"> </w:t>
      </w:r>
      <w:r>
        <w:t xml:space="preserve">Government, and Commonwealth Government and Melbourne water retailers have all invested heavily in the modernisation programs. </w:t>
      </w:r>
    </w:p>
    <w:p w14:paraId="347E7E04" w14:textId="77777777" w:rsidR="00C01A50" w:rsidRDefault="00C01A50" w:rsidP="00593A9A">
      <w:r>
        <w:t>The modernisation programs are a key part of the Victorian Government’s and GMW’s approach to pursue the multiple objectives of recovering water for the environment without decreasing the volume of water entitlements available to consumptive users. It has also generated significant economic activity throughout the region.</w:t>
      </w:r>
    </w:p>
    <w:p w14:paraId="73B53BFD" w14:textId="77777777" w:rsidR="00C01A50" w:rsidRDefault="00C01A50" w:rsidP="00593A9A">
      <w:r>
        <w:t>In 2013 GMW released its Blueprin</w:t>
      </w:r>
      <w:r w:rsidR="0086229A">
        <w:t>t (GMW, 2013</w:t>
      </w:r>
      <w:r w:rsidR="007F2EBC">
        <w:t>b</w:t>
      </w:r>
      <w:r w:rsidR="0086229A">
        <w:t xml:space="preserve">), </w:t>
      </w:r>
      <w:r>
        <w:t>which contained a strategic framework to deliver three i</w:t>
      </w:r>
      <w:r w:rsidR="0086229A">
        <w:t>nitiatives over five years. These</w:t>
      </w:r>
      <w:r>
        <w:t xml:space="preserve"> were designed to bring together a number of the response measures discussed above. It was specifically designed to address the challenge that approximately 30% of the water within the GMID has been sold. It sought to: </w:t>
      </w:r>
    </w:p>
    <w:p w14:paraId="0ACB3F44" w14:textId="77777777" w:rsidR="00C01A50" w:rsidRDefault="00C01A50" w:rsidP="00AB082F">
      <w:pPr>
        <w:pStyle w:val="ColorfulList-Accent11"/>
        <w:numPr>
          <w:ilvl w:val="0"/>
          <w:numId w:val="5"/>
        </w:numPr>
      </w:pPr>
      <w:r>
        <w:t xml:space="preserve">Transform the business of GMW to make it lean and more customer focused </w:t>
      </w:r>
    </w:p>
    <w:p w14:paraId="3246CBFA" w14:textId="77777777" w:rsidR="00C01A50" w:rsidRDefault="00C01A50" w:rsidP="00AB082F">
      <w:pPr>
        <w:pStyle w:val="ColorfulList-Accent11"/>
        <w:numPr>
          <w:ilvl w:val="0"/>
          <w:numId w:val="5"/>
        </w:numPr>
      </w:pPr>
      <w:r>
        <w:t>Redesign tariffs so they are simple and better reflect infrastructure costs in the future</w:t>
      </w:r>
    </w:p>
    <w:p w14:paraId="610BF91B" w14:textId="77777777" w:rsidR="00C01A50" w:rsidRDefault="00C01A50" w:rsidP="00AB082F">
      <w:pPr>
        <w:pStyle w:val="ColorfulList-Accent11"/>
        <w:numPr>
          <w:ilvl w:val="0"/>
          <w:numId w:val="5"/>
        </w:numPr>
      </w:pPr>
      <w:r>
        <w:lastRenderedPageBreak/>
        <w:t>Deliver the Connections Project and realise improvements in customer-service levels.</w:t>
      </w:r>
    </w:p>
    <w:p w14:paraId="23605EFF" w14:textId="77777777" w:rsidR="00C01A50" w:rsidRDefault="00C01A50" w:rsidP="00593A9A">
      <w:r>
        <w:t xml:space="preserve">A core component of the Business Transformation Program was to deliver a reduction in total operating expenditure of $20 million per year by 2018. </w:t>
      </w:r>
      <w:r w:rsidRPr="000A0A02">
        <w:t>By the end of 2015/16</w:t>
      </w:r>
      <w:r>
        <w:t xml:space="preserve"> $8.4 million</w:t>
      </w:r>
      <w:r w:rsidRPr="000A0A02">
        <w:t xml:space="preserve"> of annual savings </w:t>
      </w:r>
      <w:r>
        <w:t>were</w:t>
      </w:r>
      <w:r w:rsidRPr="000A0A02">
        <w:t xml:space="preserve"> expected across the business</w:t>
      </w:r>
      <w:r>
        <w:t xml:space="preserve"> (GMW 2013).</w:t>
      </w:r>
    </w:p>
    <w:p w14:paraId="43291C7A" w14:textId="77777777" w:rsidR="00C01A50" w:rsidRDefault="00C01A50" w:rsidP="000E0856">
      <w:pPr>
        <w:pStyle w:val="Heading2"/>
      </w:pPr>
      <w:bookmarkStart w:id="201" w:name="_Toc347747851"/>
      <w:r>
        <w:t>Summing up</w:t>
      </w:r>
      <w:bookmarkEnd w:id="201"/>
    </w:p>
    <w:p w14:paraId="1B3644DF" w14:textId="6D11DCA3" w:rsidR="00C01A50" w:rsidRDefault="00C01A50" w:rsidP="000E0856">
      <w:r>
        <w:t xml:space="preserve">The dairy industry is the mainstay of the GMID. Less water delivered to dairy farms means irrigation customers’ tariffs will increase significantly unless up to </w:t>
      </w:r>
      <w:r w:rsidR="00A44B56">
        <w:t>4</w:t>
      </w:r>
      <w:r>
        <w:t xml:space="preserve">0% of delivery system infrastructure </w:t>
      </w:r>
      <w:r w:rsidR="00A44B56">
        <w:t xml:space="preserve">in place before the GMW Connections Project began </w:t>
      </w:r>
      <w:r>
        <w:t>can be rationalised</w:t>
      </w:r>
      <w:r w:rsidR="007F2EBC">
        <w:t xml:space="preserve"> (</w:t>
      </w:r>
      <w:r w:rsidR="00A44B56">
        <w:t>GMW 2009)</w:t>
      </w:r>
      <w:r>
        <w:t xml:space="preserve">. </w:t>
      </w:r>
      <w:r w:rsidR="00DB2DB1">
        <w:t xml:space="preserve">The random nature of </w:t>
      </w:r>
      <w:r>
        <w:t xml:space="preserve">Commonwealth water purchases across the region contribute to the difficulty of rationalising infrastructure. </w:t>
      </w:r>
    </w:p>
    <w:p w14:paraId="0BFCDC9B" w14:textId="77777777" w:rsidR="00C01A50" w:rsidRDefault="00C01A50" w:rsidP="000E0856">
      <w:r>
        <w:t xml:space="preserve">The effect of lower deliveries on GMW’s bottom line should be minimal </w:t>
      </w:r>
      <w:r w:rsidR="00DB2DB1">
        <w:t>while</w:t>
      </w:r>
      <w:r>
        <w:t xml:space="preserve"> the business is protected by largely fixed tariffs. But more and more</w:t>
      </w:r>
      <w:r w:rsidR="00DB2DB1">
        <w:t>,</w:t>
      </w:r>
      <w:r>
        <w:t xml:space="preserve"> irrigators are paying for delivery share they do not use. They are either unable or unwilling to pay for termination of delivery share. The Victorian Government has committed to reviewing this issue</w:t>
      </w:r>
      <w:r w:rsidR="00DB2DB1">
        <w:t xml:space="preserve"> since GMW cannot be protected indefinitely</w:t>
      </w:r>
      <w:r>
        <w:t xml:space="preserve">.  </w:t>
      </w:r>
    </w:p>
    <w:p w14:paraId="7EA7E59F" w14:textId="77777777" w:rsidR="00C01A50" w:rsidRDefault="00C01A50" w:rsidP="00593A9A">
      <w:pPr>
        <w:spacing w:before="0" w:after="0" w:line="240" w:lineRule="auto"/>
        <w:rPr>
          <w:caps/>
          <w:spacing w:val="15"/>
          <w:szCs w:val="22"/>
          <w:lang w:val="en-AU"/>
        </w:rPr>
      </w:pPr>
      <w:r>
        <w:rPr>
          <w:lang w:val="en-AU"/>
        </w:rPr>
        <w:br w:type="page"/>
      </w:r>
    </w:p>
    <w:p w14:paraId="0A20F143" w14:textId="77777777" w:rsidR="00C01A50" w:rsidRDefault="00C01A50" w:rsidP="00302BD9">
      <w:pPr>
        <w:pStyle w:val="Heading1"/>
        <w:numPr>
          <w:ilvl w:val="0"/>
          <w:numId w:val="31"/>
        </w:numPr>
        <w:rPr>
          <w:lang w:val="en-AU"/>
        </w:rPr>
      </w:pPr>
      <w:bookmarkStart w:id="202" w:name="_Toc342552550"/>
      <w:bookmarkStart w:id="203" w:name="_Toc347747852"/>
      <w:bookmarkEnd w:id="136"/>
      <w:r>
        <w:rPr>
          <w:lang w:val="en-AU"/>
        </w:rPr>
        <w:lastRenderedPageBreak/>
        <w:t>The i</w:t>
      </w:r>
      <w:r w:rsidRPr="003B1DA3">
        <w:rPr>
          <w:lang w:val="en-AU"/>
        </w:rPr>
        <w:t>mpacts</w:t>
      </w:r>
      <w:r>
        <w:rPr>
          <w:lang w:val="en-AU"/>
        </w:rPr>
        <w:t xml:space="preserve"> of the Basin Plan</w:t>
      </w:r>
      <w:r w:rsidRPr="003B1DA3">
        <w:rPr>
          <w:lang w:val="en-AU"/>
        </w:rPr>
        <w:t xml:space="preserve"> at the system scale</w:t>
      </w:r>
      <w:bookmarkEnd w:id="202"/>
      <w:bookmarkEnd w:id="203"/>
    </w:p>
    <w:p w14:paraId="2CD44B6B" w14:textId="77777777" w:rsidR="00C0520D" w:rsidRDefault="00C0520D" w:rsidP="00EF1C19">
      <w:r w:rsidRPr="00C0520D">
        <w:t xml:space="preserve">The comparison between observed water use and the counterfactual </w:t>
      </w:r>
      <w:r>
        <w:t xml:space="preserve">outlined in Chapter </w:t>
      </w:r>
      <w:r>
        <w:fldChar w:fldCharType="begin"/>
      </w:r>
      <w:r>
        <w:instrText xml:space="preserve"> REF _Ref342400627 \r \h </w:instrText>
      </w:r>
      <w:r>
        <w:fldChar w:fldCharType="separate"/>
      </w:r>
      <w:r w:rsidR="008E5D7A">
        <w:t>3</w:t>
      </w:r>
      <w:r>
        <w:fldChar w:fldCharType="end"/>
      </w:r>
      <w:r>
        <w:t xml:space="preserve"> </w:t>
      </w:r>
      <w:r w:rsidRPr="00C0520D">
        <w:t>suggests that, at the system scale, there has been a 23–25% reduction in Victorian water use in recent years; at the same time irrigated horticulture has continued to expand. Before the Basin Plan and water recovery, mature horticultural irrigation requirements in the southern-connected Basin would have accounted for approximately 42% of the consumptive pool of high reliability entitlements. At current levels of water recovery the full maturity of the recently planted orchards are likely to account for 51% of the consumptive pool of high reliability entitlements (assuming that there is no further growth in horticultural production).</w:t>
      </w:r>
    </w:p>
    <w:p w14:paraId="675E0490" w14:textId="77777777" w:rsidR="00C01A50" w:rsidRDefault="00C01A50" w:rsidP="00EF1C19">
      <w:r w:rsidRPr="00D76502">
        <w:t xml:space="preserve">In fact, there is reason to believe that horticultural production will continue to expand. </w:t>
      </w:r>
      <w:r w:rsidR="00D76502" w:rsidRPr="00D76502">
        <w:t xml:space="preserve">As outlined in Appendix </w:t>
      </w:r>
      <w:r w:rsidR="00D76502" w:rsidRPr="00D76502">
        <w:fldChar w:fldCharType="begin"/>
      </w:r>
      <w:r w:rsidR="00D76502" w:rsidRPr="00D76502">
        <w:instrText xml:space="preserve"> REF _Ref342404337 \r \h </w:instrText>
      </w:r>
      <w:r w:rsidR="00D76502" w:rsidRPr="00D76502">
        <w:fldChar w:fldCharType="separate"/>
      </w:r>
      <w:r w:rsidR="008E5D7A">
        <w:t>5</w:t>
      </w:r>
      <w:r w:rsidR="00D76502" w:rsidRPr="00D76502">
        <w:fldChar w:fldCharType="end"/>
      </w:r>
      <w:r w:rsidR="00D76502" w:rsidRPr="00D76502">
        <w:t xml:space="preserve">, the </w:t>
      </w:r>
      <w:r w:rsidRPr="00D76502">
        <w:t xml:space="preserve">approvals process for new irrigation developments in the Victorian Mallee is currently dealing with proposals that, at maturity, will require a further </w:t>
      </w:r>
      <w:r w:rsidR="00D76502" w:rsidRPr="00D76502">
        <w:t>25</w:t>
      </w:r>
      <w:r w:rsidRPr="00D76502">
        <w:t xml:space="preserve"> GL, and Lower Murray Water staff have been approached by potential investors doing due diligence on proposals that might account for further </w:t>
      </w:r>
      <w:r w:rsidR="00D76502" w:rsidRPr="00D76502">
        <w:t>91</w:t>
      </w:r>
      <w:r w:rsidRPr="00D76502">
        <w:t xml:space="preserve"> GL</w:t>
      </w:r>
      <w:r w:rsidR="00895960" w:rsidRPr="00D76502">
        <w:rPr>
          <w:rStyle w:val="CommentReference"/>
        </w:rPr>
        <w:t xml:space="preserve"> </w:t>
      </w:r>
      <w:r w:rsidR="00895960" w:rsidRPr="00D76502">
        <w:t>in the next three to five years</w:t>
      </w:r>
      <w:r w:rsidRPr="00D76502">
        <w:t>. Not all of these proposals will proceed, but at this stage the trend is for continued horticultural expansion.</w:t>
      </w:r>
      <w:r>
        <w:t xml:space="preserve"> </w:t>
      </w:r>
    </w:p>
    <w:p w14:paraId="1CE1E719" w14:textId="77777777" w:rsidR="00C01A50" w:rsidRDefault="00C01A50" w:rsidP="00EF1C19">
      <w:r>
        <w:t>In the context of the continued expansion of non-interruptible irrigation enterprises in the southern-connected Murray-Darling Basin, the Basin Plan has reduced the heterogeneity of irrigation demands. It is putting pressure on the semi-interruptible enterprises like dairying because in times of drought both horticulture and dairying ultimately rely on a combination of the allocations against Victoria’s high reliability water shares and allocations against the smaller pool of South Australian entitlements and NSW high security entitlements.</w:t>
      </w:r>
    </w:p>
    <w:p w14:paraId="216B7B4E" w14:textId="77777777" w:rsidR="00C01A50" w:rsidRDefault="00C01A50" w:rsidP="00EF1C19">
      <w:r>
        <w:t>It is the quantum of the allocations against Victoria’s High Reliability Water Shares in excess of horticultural irrigation demands, which will determine long-term average annual milk production in northern Victoria. In medium-wet years, the trade of allocations into Victoria from NSW will boost that baseline production. However, there is a limit to the allocation volumes that can be traded into Victoria,</w:t>
      </w:r>
      <w:r w:rsidRPr="00154F29">
        <w:rPr>
          <w:lang w:val="en-AU"/>
        </w:rPr>
        <w:t xml:space="preserve"> </w:t>
      </w:r>
      <w:r>
        <w:rPr>
          <w:lang w:val="en-AU"/>
        </w:rPr>
        <w:t xml:space="preserve">in order to ensure that the resource set aside for the traded commitment can be preserved in storage without spilling. </w:t>
      </w:r>
    </w:p>
    <w:p w14:paraId="33663548" w14:textId="77777777" w:rsidR="00C01A50" w:rsidRDefault="00C01A50" w:rsidP="00EF1C19">
      <w:r>
        <w:t>By contrast there are no limits on trade into the NSW Murray Valley from Victoria or South Australia.</w:t>
      </w:r>
      <w:r w:rsidRPr="008D5C51">
        <w:t xml:space="preserve"> </w:t>
      </w:r>
      <w:r>
        <w:t>Similarly there is no volumetric limit on trade from the Murrumbidgee to Victoria or South Australia, but no more than 100 GL of traded water can be stored in the Murrumbidgee storages at any one time; traded water must be physically called out of the storages before additional trade can occur. More sophisticated IVT rules for the Victorian and NSW Murray could perhaps provide more advantages to Victorian dairy farmers in dry years and NSW rice growers in wet years.</w:t>
      </w:r>
    </w:p>
    <w:p w14:paraId="7316CBBE" w14:textId="77777777" w:rsidR="00C01A50" w:rsidRDefault="00C01A50" w:rsidP="00EF1C19">
      <w:r>
        <w:t xml:space="preserve">By contrast, the rice industry is poised on the verge of possibly two plant-breeding breakthroughs that may enable it to adjust to the impacts of the Basin Plan.  </w:t>
      </w:r>
      <w:r w:rsidRPr="00F27F91">
        <w:t xml:space="preserve">Water trade between regions and between industries will </w:t>
      </w:r>
      <w:r>
        <w:t xml:space="preserve">continue to </w:t>
      </w:r>
      <w:r w:rsidRPr="00F27F91">
        <w:t xml:space="preserve">be driven by relative returns as users become more familiar with their global water environment. If NSW is successful in its endeavours to increase returns per ML, either from rice (which currently uses 35-40% of available water) </w:t>
      </w:r>
      <w:r>
        <w:t>or from adopting</w:t>
      </w:r>
      <w:r w:rsidRPr="00F27F91">
        <w:t xml:space="preserve"> better management strategies for its annual crops </w:t>
      </w:r>
      <w:r>
        <w:t>or increasing the scale</w:t>
      </w:r>
      <w:r w:rsidRPr="00F27F91">
        <w:t xml:space="preserve"> </w:t>
      </w:r>
      <w:r>
        <w:t>of</w:t>
      </w:r>
      <w:r w:rsidRPr="00F27F91">
        <w:t xml:space="preserve"> higher </w:t>
      </w:r>
      <w:r>
        <w:t xml:space="preserve">returning crops like </w:t>
      </w:r>
      <w:r w:rsidRPr="00F27F91">
        <w:t xml:space="preserve">cotton and horticulture, </w:t>
      </w:r>
      <w:r>
        <w:t>that</w:t>
      </w:r>
      <w:r w:rsidRPr="00F27F91">
        <w:t xml:space="preserve"> may </w:t>
      </w:r>
      <w:r>
        <w:t>affect</w:t>
      </w:r>
      <w:r w:rsidRPr="00F27F91">
        <w:t xml:space="preserve"> the size of the consumptive pool </w:t>
      </w:r>
      <w:r>
        <w:t>available to dairy farmers</w:t>
      </w:r>
      <w:r w:rsidRPr="00F27F91">
        <w:t xml:space="preserve">. </w:t>
      </w:r>
    </w:p>
    <w:p w14:paraId="4C9327E4" w14:textId="77777777" w:rsidR="00C01A50" w:rsidRDefault="00C01A50" w:rsidP="00593A9A">
      <w:pPr>
        <w:pStyle w:val="Heading1"/>
        <w:rPr>
          <w:lang w:val="en-AU"/>
        </w:rPr>
      </w:pPr>
      <w:bookmarkStart w:id="204" w:name="_Ref346107943"/>
      <w:bookmarkStart w:id="205" w:name="_Ref346123887"/>
      <w:bookmarkStart w:id="206" w:name="_Ref347075952"/>
      <w:bookmarkStart w:id="207" w:name="_Toc347747853"/>
      <w:r>
        <w:rPr>
          <w:lang w:val="en-AU"/>
        </w:rPr>
        <w:lastRenderedPageBreak/>
        <w:t>Socio-economic impacts</w:t>
      </w:r>
      <w:bookmarkEnd w:id="204"/>
      <w:bookmarkEnd w:id="205"/>
      <w:r w:rsidR="00422C2C">
        <w:rPr>
          <w:lang w:val="en-AU"/>
        </w:rPr>
        <w:t xml:space="preserve"> of the Basin Plan</w:t>
      </w:r>
      <w:bookmarkEnd w:id="206"/>
      <w:bookmarkEnd w:id="207"/>
    </w:p>
    <w:p w14:paraId="446E3703" w14:textId="6FB1EB1C" w:rsidR="009D7391" w:rsidRDefault="00670657" w:rsidP="00EC0C5E">
      <w:r>
        <w:t xml:space="preserve">In broad terms, </w:t>
      </w:r>
      <w:r w:rsidR="00422C2C">
        <w:t xml:space="preserve">Neil Barr’s treatise, </w:t>
      </w:r>
      <w:r w:rsidR="00422C2C">
        <w:rPr>
          <w:i/>
        </w:rPr>
        <w:t>The House on the Hill</w:t>
      </w:r>
      <w:r w:rsidR="007531C8">
        <w:rPr>
          <w:i/>
        </w:rPr>
        <w:t xml:space="preserve"> </w:t>
      </w:r>
      <w:r w:rsidR="007531C8" w:rsidRPr="00D30EFA">
        <w:t>(Barr</w:t>
      </w:r>
      <w:r w:rsidR="00422C2C">
        <w:t xml:space="preserve"> </w:t>
      </w:r>
      <w:r w:rsidR="00321703">
        <w:t xml:space="preserve">2009) </w:t>
      </w:r>
      <w:r w:rsidR="00B94A75">
        <w:t>sets out the basis for establishing</w:t>
      </w:r>
      <w:r w:rsidR="007531C8">
        <w:t xml:space="preserve"> </w:t>
      </w:r>
      <w:r w:rsidR="00422C2C">
        <w:t xml:space="preserve">the counterfactual </w:t>
      </w:r>
      <w:r w:rsidR="00C01DBC">
        <w:t xml:space="preserve">to </w:t>
      </w:r>
      <w:r w:rsidR="00B94A75">
        <w:t>be compared with</w:t>
      </w:r>
      <w:r w:rsidR="007531C8">
        <w:t xml:space="preserve"> observed changes</w:t>
      </w:r>
      <w:r w:rsidR="00321703">
        <w:t xml:space="preserve"> in the socio-economic</w:t>
      </w:r>
      <w:r w:rsidR="00CB00DD">
        <w:t xml:space="preserve"> statu</w:t>
      </w:r>
      <w:r w:rsidR="00321703">
        <w:t xml:space="preserve">s of Victorian communities </w:t>
      </w:r>
      <w:r w:rsidR="00CB00DD">
        <w:t>exposed to the impacts of</w:t>
      </w:r>
      <w:r w:rsidR="00D50234">
        <w:t xml:space="preserve"> the Basin Plan</w:t>
      </w:r>
      <w:r w:rsidR="00CB00DD">
        <w:t>.</w:t>
      </w:r>
      <w:r w:rsidR="00D50234">
        <w:t xml:space="preserve"> </w:t>
      </w:r>
      <w:r w:rsidR="00846758">
        <w:t xml:space="preserve">Put simply, Barr (2009) explains the </w:t>
      </w:r>
      <w:r w:rsidR="00853627">
        <w:t xml:space="preserve">story of </w:t>
      </w:r>
      <w:r w:rsidR="00853627" w:rsidRPr="00853627">
        <w:t>people leaving the land, the decline of football clubs</w:t>
      </w:r>
      <w:r w:rsidR="00853627">
        <w:t xml:space="preserve">, the </w:t>
      </w:r>
      <w:r w:rsidR="00CB00DD">
        <w:t>disruptions in</w:t>
      </w:r>
      <w:r w:rsidR="00853627">
        <w:t xml:space="preserve"> family </w:t>
      </w:r>
      <w:r w:rsidR="00180B0D">
        <w:t xml:space="preserve">farming </w:t>
      </w:r>
      <w:r w:rsidR="00853627">
        <w:t>dynasties</w:t>
      </w:r>
      <w:r w:rsidR="009D7391">
        <w:t xml:space="preserve"> and the rise of corporate agriculture</w:t>
      </w:r>
      <w:r w:rsidR="00853627">
        <w:t>.</w:t>
      </w:r>
      <w:r w:rsidR="00CB00DD">
        <w:t xml:space="preserve"> </w:t>
      </w:r>
      <w:r w:rsidR="00B55EA1">
        <w:t>He further explains the ongoing decline of most small towns</w:t>
      </w:r>
      <w:r w:rsidR="009D7391">
        <w:t xml:space="preserve"> </w:t>
      </w:r>
      <w:r w:rsidR="00703912">
        <w:t xml:space="preserve">in Victoria as well as the continued, consolidated growth, for </w:t>
      </w:r>
      <w:r w:rsidR="0014445C">
        <w:t>various well-explained</w:t>
      </w:r>
      <w:r w:rsidR="00703912">
        <w:t xml:space="preserve"> reasons, in several key centres in regional Victoria. </w:t>
      </w:r>
      <w:r w:rsidR="009D7391">
        <w:t xml:space="preserve">The Basin </w:t>
      </w:r>
      <w:r w:rsidR="00180B0D">
        <w:t xml:space="preserve">Plan </w:t>
      </w:r>
      <w:r w:rsidR="009D7391">
        <w:t xml:space="preserve">may accelerate some of these </w:t>
      </w:r>
      <w:r w:rsidR="0014445C">
        <w:t>trends, and slow others</w:t>
      </w:r>
      <w:r w:rsidR="009D7391">
        <w:t xml:space="preserve">, but it </w:t>
      </w:r>
      <w:r w:rsidR="00600E9E">
        <w:t>did</w:t>
      </w:r>
      <w:r w:rsidR="009D7391">
        <w:t xml:space="preserve"> not cause them.</w:t>
      </w:r>
    </w:p>
    <w:p w14:paraId="5341381E" w14:textId="77777777" w:rsidR="00180B0D" w:rsidRDefault="00180B0D" w:rsidP="00EC0C5E">
      <w:r>
        <w:t xml:space="preserve">The specific counterfactual </w:t>
      </w:r>
      <w:r w:rsidR="00690974">
        <w:t>cannot yet be</w:t>
      </w:r>
      <w:r>
        <w:t xml:space="preserve"> </w:t>
      </w:r>
      <w:r w:rsidR="0014445C">
        <w:t>described however</w:t>
      </w:r>
      <w:r w:rsidR="00690974">
        <w:t>,</w:t>
      </w:r>
      <w:r>
        <w:t xml:space="preserve"> because</w:t>
      </w:r>
      <w:r w:rsidR="00690974">
        <w:t xml:space="preserve"> follow</w:t>
      </w:r>
      <w:r w:rsidR="00C626FF">
        <w:t>ing</w:t>
      </w:r>
      <w:r w:rsidR="00690974">
        <w:t xml:space="preserve"> in Barr’s footsteps </w:t>
      </w:r>
      <w:r w:rsidR="001109C5">
        <w:t>relies</w:t>
      </w:r>
      <w:r>
        <w:t xml:space="preserve"> on</w:t>
      </w:r>
      <w:r w:rsidR="00904892">
        <w:t xml:space="preserve"> </w:t>
      </w:r>
      <w:r w:rsidR="0014445C">
        <w:t>observed changes</w:t>
      </w:r>
      <w:r w:rsidR="00421831">
        <w:t xml:space="preserve"> in five-yearly</w:t>
      </w:r>
      <w:r>
        <w:t xml:space="preserve"> census data. The most relevant available </w:t>
      </w:r>
      <w:r w:rsidR="00690974">
        <w:t xml:space="preserve">census </w:t>
      </w:r>
      <w:r>
        <w:t xml:space="preserve">data was collected in 2011, </w:t>
      </w:r>
      <w:r w:rsidR="00BC520E">
        <w:t xml:space="preserve">the year before buyback peaked. The previous census in 2005, </w:t>
      </w:r>
      <w:r w:rsidR="004952F7">
        <w:t>in</w:t>
      </w:r>
      <w:r w:rsidR="00BC520E">
        <w:t xml:space="preserve"> the midst of the millennium dr</w:t>
      </w:r>
      <w:r w:rsidR="001D5A21">
        <w:t xml:space="preserve">ought, predated the Basin Plan, and the </w:t>
      </w:r>
      <w:r w:rsidR="00904892">
        <w:t xml:space="preserve">data from </w:t>
      </w:r>
      <w:r w:rsidR="001109C5">
        <w:t xml:space="preserve">the </w:t>
      </w:r>
      <w:r w:rsidR="00904892">
        <w:t>most recent census</w:t>
      </w:r>
      <w:r w:rsidR="001D5A21">
        <w:t>,</w:t>
      </w:r>
      <w:r w:rsidR="00904892">
        <w:t xml:space="preserve"> i</w:t>
      </w:r>
      <w:r w:rsidR="00BC520E">
        <w:t>n 2016</w:t>
      </w:r>
      <w:r w:rsidR="001D5A21">
        <w:t>,</w:t>
      </w:r>
      <w:r w:rsidR="00904892">
        <w:t xml:space="preserve"> was not available</w:t>
      </w:r>
      <w:r w:rsidR="001D5A21">
        <w:t xml:space="preserve"> at the time of writing.</w:t>
      </w:r>
      <w:r w:rsidR="001109C5">
        <w:t xml:space="preserve"> </w:t>
      </w:r>
    </w:p>
    <w:p w14:paraId="0812C26D" w14:textId="77777777" w:rsidR="007246EB" w:rsidRDefault="004538E4" w:rsidP="00EC0C5E">
      <w:r>
        <w:t xml:space="preserve">As discussed in more detail below, for </w:t>
      </w:r>
      <w:r w:rsidR="007246EB">
        <w:t xml:space="preserve">the sake of completeness, Appendix </w:t>
      </w:r>
      <w:r w:rsidR="007246EB">
        <w:fldChar w:fldCharType="begin"/>
      </w:r>
      <w:r w:rsidR="007246EB">
        <w:instrText xml:space="preserve"> REF _Ref342040812 \r \h </w:instrText>
      </w:r>
      <w:r w:rsidR="007246EB">
        <w:fldChar w:fldCharType="separate"/>
      </w:r>
      <w:r w:rsidR="008E5D7A">
        <w:t>1</w:t>
      </w:r>
      <w:r w:rsidR="007246EB">
        <w:fldChar w:fldCharType="end"/>
      </w:r>
      <w:r w:rsidR="00235718">
        <w:t xml:space="preserve"> records trends in population, employment, unemployment and median weekly income for several</w:t>
      </w:r>
      <w:r w:rsidR="00F05671">
        <w:t xml:space="preserve"> northern Victorian</w:t>
      </w:r>
      <w:r w:rsidR="00235718">
        <w:t xml:space="preserve"> </w:t>
      </w:r>
      <w:r w:rsidR="00F05671">
        <w:t xml:space="preserve">towns and centres where irrigation is important to the regional economy. The data there is drawn from the five censuses between 1991 and 2011. It will be for future writers, however, to observe any changes in these trends in the census data of </w:t>
      </w:r>
      <w:r w:rsidR="000E3CE0">
        <w:t>2016 and 2021. It will be for them also to establish the arguments about what might reasonably have been expected to have happened without the Basin Plan and make the necessary comparisons. We expect</w:t>
      </w:r>
      <w:r w:rsidR="009609A1">
        <w:t xml:space="preserve"> however that</w:t>
      </w:r>
      <w:r w:rsidR="000E3CE0">
        <w:t xml:space="preserve"> the first-principle arguments we have outlined in the earlier chapters will help them in that regard.</w:t>
      </w:r>
    </w:p>
    <w:p w14:paraId="52B975CF" w14:textId="77777777" w:rsidR="00EC0C5E" w:rsidRDefault="00EC0C5E" w:rsidP="00EC0C5E">
      <w:r>
        <w:t>Changes to water use and irrigated production bring with them the potential for significant community and social change.</w:t>
      </w:r>
      <w:r w:rsidR="00DE714B">
        <w:t xml:space="preserve"> Previous </w:t>
      </w:r>
      <w:r>
        <w:t>sections of this report have identified that water recovery under the Basin Plan has</w:t>
      </w:r>
      <w:r w:rsidR="009609A1">
        <w:t xml:space="preserve"> brought about change.</w:t>
      </w:r>
    </w:p>
    <w:p w14:paraId="2FE97877" w14:textId="77777777" w:rsidR="00EC0C5E" w:rsidRDefault="000D5AE9" w:rsidP="000D5AE9">
      <w:r>
        <w:t xml:space="preserve">The data presented in Chapter </w:t>
      </w:r>
      <w:r>
        <w:fldChar w:fldCharType="begin"/>
      </w:r>
      <w:r>
        <w:instrText xml:space="preserve"> REF _Ref342400627 \r \h </w:instrText>
      </w:r>
      <w:r>
        <w:fldChar w:fldCharType="separate"/>
      </w:r>
      <w:r w:rsidR="008E5D7A">
        <w:t>3</w:t>
      </w:r>
      <w:r>
        <w:fldChar w:fldCharType="end"/>
      </w:r>
      <w:r>
        <w:t xml:space="preserve"> shows that the Basin Plan has </w:t>
      </w:r>
      <w:r w:rsidR="00EC0C5E">
        <w:t>decreased irrigation water use, especially on farms in communities in and around GMW districts.</w:t>
      </w:r>
      <w:r>
        <w:t xml:space="preserve"> </w:t>
      </w:r>
      <w:r w:rsidR="00366961">
        <w:t xml:space="preserve">As explained in Chapter </w:t>
      </w:r>
      <w:r w:rsidR="006A005D">
        <w:fldChar w:fldCharType="begin"/>
      </w:r>
      <w:r w:rsidR="006A005D">
        <w:instrText xml:space="preserve"> REF _Ref342381415 \r \h </w:instrText>
      </w:r>
      <w:r w:rsidR="006A005D">
        <w:fldChar w:fldCharType="separate"/>
      </w:r>
      <w:r w:rsidR="008E5D7A">
        <w:t>6</w:t>
      </w:r>
      <w:r w:rsidR="006A005D">
        <w:fldChar w:fldCharType="end"/>
      </w:r>
      <w:r w:rsidR="006A005D">
        <w:t xml:space="preserve">, it </w:t>
      </w:r>
      <w:r w:rsidR="007F1AFC">
        <w:t xml:space="preserve">has also </w:t>
      </w:r>
      <w:r w:rsidR="00EC0C5E">
        <w:t>decreased irrigated production, especially on farms in communities in and around dairy regions.</w:t>
      </w:r>
      <w:r w:rsidR="006A005D">
        <w:t xml:space="preserve"> This can be expected to have flow on effects that will show up in future census data.</w:t>
      </w:r>
      <w:r w:rsidR="004538E4">
        <w:t xml:space="preserve"> </w:t>
      </w:r>
      <w:r w:rsidR="00B25BDF">
        <w:t xml:space="preserve">As discussed in Chapter </w:t>
      </w:r>
      <w:r w:rsidR="00B25BDF">
        <w:fldChar w:fldCharType="begin"/>
      </w:r>
      <w:r w:rsidR="00B25BDF">
        <w:instrText xml:space="preserve"> REF _Ref342381415 \r \h </w:instrText>
      </w:r>
      <w:r w:rsidR="00B25BDF">
        <w:fldChar w:fldCharType="separate"/>
      </w:r>
      <w:r w:rsidR="008E5D7A">
        <w:t>6</w:t>
      </w:r>
      <w:r w:rsidR="00B25BDF">
        <w:fldChar w:fldCharType="end"/>
      </w:r>
      <w:r w:rsidR="00B25BDF">
        <w:t xml:space="preserve">, the </w:t>
      </w:r>
      <w:r w:rsidR="004538E4">
        <w:t xml:space="preserve">MDBA foresaw these impacts in </w:t>
      </w:r>
      <w:r w:rsidR="00B25BDF">
        <w:t>the Socioeconomic Analysis that accompanied the Regulatory Impact Statement for the Basin Plan (MDBA, 2011</w:t>
      </w:r>
      <w:r w:rsidR="00CE09C2">
        <w:t>c</w:t>
      </w:r>
      <w:r w:rsidR="00B25BDF">
        <w:t>). It warned that the gross value of irrigated agricultural production there would be reduced by 12.9 per cent ($88.2 million).</w:t>
      </w:r>
    </w:p>
    <w:p w14:paraId="2ABF4725" w14:textId="77777777" w:rsidR="003D69DA" w:rsidRDefault="006A005D" w:rsidP="000D5AE9">
      <w:r>
        <w:t xml:space="preserve">As outlined in Chapter </w:t>
      </w:r>
      <w:r>
        <w:fldChar w:fldCharType="begin"/>
      </w:r>
      <w:r>
        <w:instrText xml:space="preserve"> REF _Ref342482626 \r \h </w:instrText>
      </w:r>
      <w:r>
        <w:fldChar w:fldCharType="separate"/>
      </w:r>
      <w:r w:rsidR="008E5D7A">
        <w:t>4</w:t>
      </w:r>
      <w:r>
        <w:fldChar w:fldCharType="end"/>
      </w:r>
      <w:r>
        <w:t xml:space="preserve">, the Basin Plan </w:t>
      </w:r>
      <w:r w:rsidR="005653D8">
        <w:t xml:space="preserve">provided benefits, at the farm scale, for those irrigators who participated in either the buyback, the on-farm efficiency measures or both. </w:t>
      </w:r>
      <w:r w:rsidR="00FB4108">
        <w:t>Data from the Victorian</w:t>
      </w:r>
      <w:r w:rsidR="00600E9E">
        <w:t xml:space="preserve"> Water Register</w:t>
      </w:r>
      <w:r w:rsidR="005653D8">
        <w:t xml:space="preserve"> also </w:t>
      </w:r>
      <w:r w:rsidR="00600E9E">
        <w:t>indicates</w:t>
      </w:r>
      <w:r w:rsidR="005653D8">
        <w:t xml:space="preserve"> however that </w:t>
      </w:r>
      <w:r w:rsidR="00366B4E">
        <w:t xml:space="preserve">the majority of </w:t>
      </w:r>
      <w:r w:rsidR="00FD61D5">
        <w:t>Victorian irrigators who participated in the buyback</w:t>
      </w:r>
      <w:r w:rsidR="00366B4E">
        <w:t>,</w:t>
      </w:r>
      <w:r w:rsidR="00FD61D5">
        <w:t xml:space="preserve"> but </w:t>
      </w:r>
      <w:r w:rsidR="00366B4E">
        <w:t>remained in irrigated farming, were more reliant on allocation purchases after the buyback than they were before.</w:t>
      </w:r>
      <w:r w:rsidR="005653D8">
        <w:t xml:space="preserve"> </w:t>
      </w:r>
      <w:r w:rsidR="00FB4108">
        <w:t>Water recovery under the Basin Plan has</w:t>
      </w:r>
      <w:r w:rsidR="005653D8">
        <w:t xml:space="preserve"> </w:t>
      </w:r>
      <w:r w:rsidR="00EC0C5E">
        <w:t>increased water allocation prices (for given seasonal conditions)</w:t>
      </w:r>
      <w:r w:rsidR="003D69DA">
        <w:t>,</w:t>
      </w:r>
      <w:r w:rsidR="00EC0C5E">
        <w:t xml:space="preserve"> and there are now a large number of farmers (especially dairy farmers) highly exposed to water allocation markets given their reductions in held water entitlement.</w:t>
      </w:r>
      <w:r w:rsidR="003D69DA">
        <w:t xml:space="preserve"> </w:t>
      </w:r>
    </w:p>
    <w:p w14:paraId="07192F16" w14:textId="77777777" w:rsidR="004952F7" w:rsidRDefault="003D69DA" w:rsidP="004952F7">
      <w:r>
        <w:lastRenderedPageBreak/>
        <w:t xml:space="preserve">A key finding in Chapter </w:t>
      </w:r>
      <w:r>
        <w:fldChar w:fldCharType="begin"/>
      </w:r>
      <w:r>
        <w:instrText xml:space="preserve"> REF _Ref342381415 \r \h </w:instrText>
      </w:r>
      <w:r>
        <w:fldChar w:fldCharType="separate"/>
      </w:r>
      <w:r w:rsidR="008E5D7A">
        <w:t>6</w:t>
      </w:r>
      <w:r>
        <w:fldChar w:fldCharType="end"/>
      </w:r>
      <w:r>
        <w:t xml:space="preserve"> is that </w:t>
      </w:r>
      <w:r>
        <w:rPr>
          <w:lang w:val="en-AU"/>
        </w:rPr>
        <w:t xml:space="preserve">dairy farmers whose business models depend on allocation purchases are now confronting decisions about their willingness and ability to adopt more complex feeding strategies. </w:t>
      </w:r>
      <w:r>
        <w:t>Their farming risk has increased, but the nature of this risk was masked for four years by the high level of carryover resulting from the extraordinarily high rainfall years of 2010/11 and 2011/12.</w:t>
      </w:r>
      <w:r w:rsidR="006A18CB">
        <w:t xml:space="preserve"> </w:t>
      </w:r>
    </w:p>
    <w:p w14:paraId="6C300DE5" w14:textId="19BEBF1E" w:rsidR="00EC0C5E" w:rsidRPr="002A4BC2" w:rsidRDefault="006A18CB" w:rsidP="000D5AE9">
      <w:r>
        <w:t xml:space="preserve">As shown in Chapter </w:t>
      </w:r>
      <w:r>
        <w:fldChar w:fldCharType="begin"/>
      </w:r>
      <w:r>
        <w:instrText xml:space="preserve"> REF _Ref342400627 \r \h </w:instrText>
      </w:r>
      <w:r>
        <w:fldChar w:fldCharType="separate"/>
      </w:r>
      <w:r w:rsidR="008E5D7A">
        <w:t>3</w:t>
      </w:r>
      <w:r>
        <w:fldChar w:fldCharType="end"/>
      </w:r>
      <w:r>
        <w:t xml:space="preserve"> (</w:t>
      </w:r>
      <w:r>
        <w:fldChar w:fldCharType="begin"/>
      </w:r>
      <w:r>
        <w:instrText xml:space="preserve"> REF _Ref315006786 \h </w:instrText>
      </w:r>
      <w:r>
        <w:fldChar w:fldCharType="separate"/>
      </w:r>
      <w:r w:rsidR="008E5D7A">
        <w:t xml:space="preserve">Figure </w:t>
      </w:r>
      <w:r w:rsidR="008E5D7A">
        <w:rPr>
          <w:noProof/>
        </w:rPr>
        <w:t>13</w:t>
      </w:r>
      <w:r>
        <w:fldChar w:fldCharType="end"/>
      </w:r>
      <w:r>
        <w:t>) allocation prices rose sharply in 2015/16, and as reported by DELWP (2016</w:t>
      </w:r>
      <w:r w:rsidR="001D2D0D">
        <w:t>a</w:t>
      </w:r>
      <w:r>
        <w:t xml:space="preserve">) </w:t>
      </w:r>
      <w:r w:rsidR="002A4BC2" w:rsidRPr="00D30EFA">
        <w:rPr>
          <w:i/>
        </w:rPr>
        <w:t>“</w:t>
      </w:r>
      <w:r w:rsidR="004952F7" w:rsidRPr="00D30EFA">
        <w:rPr>
          <w:i/>
          <w:lang w:val="en-US"/>
        </w:rPr>
        <w:t>Uneasiness about the water market became apparent going into the spring of 2015, after many months of renewed rainfall deficiency.</w:t>
      </w:r>
      <w:r w:rsidR="004952F7">
        <w:rPr>
          <w:i/>
          <w:lang w:val="en-US"/>
        </w:rPr>
        <w:t xml:space="preserve"> … </w:t>
      </w:r>
      <w:r w:rsidR="004952F7" w:rsidRPr="00D30EFA">
        <w:rPr>
          <w:lang w:val="en-US"/>
        </w:rPr>
        <w:t>[And]</w:t>
      </w:r>
      <w:r w:rsidR="004952F7">
        <w:rPr>
          <w:i/>
          <w:lang w:val="en-US"/>
        </w:rPr>
        <w:t xml:space="preserve"> </w:t>
      </w:r>
      <w:r w:rsidR="002A4BC2" w:rsidRPr="00D30EFA">
        <w:rPr>
          <w:i/>
        </w:rPr>
        <w:t xml:space="preserve">Media outlets reported assertions about speculators </w:t>
      </w:r>
      <w:r w:rsidR="002A4BC2">
        <w:rPr>
          <w:i/>
        </w:rPr>
        <w:t>‘</w:t>
      </w:r>
      <w:r w:rsidR="002A4BC2" w:rsidRPr="002A4BC2">
        <w:rPr>
          <w:i/>
        </w:rPr>
        <w:t>corrupting</w:t>
      </w:r>
      <w:r w:rsidR="002A4BC2">
        <w:rPr>
          <w:i/>
        </w:rPr>
        <w:t>’</w:t>
      </w:r>
      <w:r w:rsidR="002A4BC2" w:rsidRPr="00D30EFA">
        <w:rPr>
          <w:i/>
        </w:rPr>
        <w:t xml:space="preserve"> the market, and calls for such participants to be excluded</w:t>
      </w:r>
      <w:r w:rsidR="002A4BC2">
        <w:rPr>
          <w:i/>
        </w:rPr>
        <w:t>”</w:t>
      </w:r>
      <w:r w:rsidR="002A4BC2">
        <w:t xml:space="preserve"> (DELWP, 2016</w:t>
      </w:r>
      <w:r w:rsidR="001D2D0D">
        <w:t>a</w:t>
      </w:r>
      <w:r w:rsidR="002A4BC2">
        <w:t xml:space="preserve">). That report demonstrated that there had been no increase in trade by speculators, </w:t>
      </w:r>
      <w:r w:rsidR="00075B7B">
        <w:t xml:space="preserve">and it concluded that </w:t>
      </w:r>
      <w:r w:rsidR="004952F7" w:rsidRPr="004952F7">
        <w:rPr>
          <w:lang w:val="en-US"/>
        </w:rPr>
        <w:t xml:space="preserve">irrigators in </w:t>
      </w:r>
      <w:r w:rsidR="004952F7">
        <w:rPr>
          <w:lang w:val="en-US"/>
        </w:rPr>
        <w:t>the GMID</w:t>
      </w:r>
      <w:r w:rsidR="004952F7" w:rsidRPr="004952F7">
        <w:rPr>
          <w:lang w:val="en-US"/>
        </w:rPr>
        <w:t xml:space="preserve"> whose business model include reliance on allocation trade </w:t>
      </w:r>
      <w:r w:rsidR="004952F7">
        <w:rPr>
          <w:lang w:val="en-US"/>
        </w:rPr>
        <w:t>would be</w:t>
      </w:r>
      <w:r w:rsidR="004952F7" w:rsidRPr="004952F7">
        <w:rPr>
          <w:lang w:val="en-US"/>
        </w:rPr>
        <w:t xml:space="preserve"> competing with LMW diverters</w:t>
      </w:r>
      <w:r w:rsidR="004952F7">
        <w:rPr>
          <w:lang w:val="en-US"/>
        </w:rPr>
        <w:t xml:space="preserve"> when NSW allocations were low. Put differently, the financial stress associated with running a dairy farm reliant on allocation purchases is a socio-economic impact of water recovery under the Basin Plan.</w:t>
      </w:r>
      <w:r w:rsidR="002A4BC2">
        <w:t xml:space="preserve"> </w:t>
      </w:r>
    </w:p>
    <w:p w14:paraId="0A91FF28" w14:textId="77777777" w:rsidR="00EC0C5E" w:rsidRDefault="004952F7" w:rsidP="000D5AE9">
      <w:r>
        <w:t xml:space="preserve">Water recovery under the Basin Plan has also </w:t>
      </w:r>
      <w:r w:rsidR="00EC0C5E">
        <w:t xml:space="preserve">been a significant contributing factor (in combination with continued horticultural development) to the change in expected water use by interruptible and semi-interruptible </w:t>
      </w:r>
      <w:r w:rsidR="00EC0C5E" w:rsidRPr="00CD7513">
        <w:t>Victorian irrigation industries</w:t>
      </w:r>
      <w:r w:rsidR="00EC0C5E">
        <w:t>. Water use by farms in these industries (such as dairy and cropping) are expected to be more variable in the future and more significantly curtailed in the event of drought as a result of the water recovery undertaken to date</w:t>
      </w:r>
      <w:r w:rsidR="00A02B20">
        <w:t xml:space="preserve"> (Chapter </w:t>
      </w:r>
      <w:r w:rsidR="00A02B20">
        <w:fldChar w:fldCharType="begin"/>
      </w:r>
      <w:r w:rsidR="00A02B20">
        <w:instrText xml:space="preserve"> REF _Ref342381415 \r \h </w:instrText>
      </w:r>
      <w:r w:rsidR="00A02B20">
        <w:fldChar w:fldCharType="separate"/>
      </w:r>
      <w:r w:rsidR="008E5D7A">
        <w:t>6</w:t>
      </w:r>
      <w:r w:rsidR="00A02B20">
        <w:fldChar w:fldCharType="end"/>
      </w:r>
      <w:r w:rsidR="00A02B20">
        <w:t>)</w:t>
      </w:r>
      <w:r w:rsidR="00EC0C5E">
        <w:t>.</w:t>
      </w:r>
      <w:r w:rsidR="00CB619A">
        <w:t xml:space="preserve"> This in turn is making the modernised off-farm infrastructure in the GMID less cost-effective, and it is therefore driving up the marginal fixed costs associated with each ML of annual average use in the GMID (Chapter </w:t>
      </w:r>
      <w:r w:rsidR="00CB619A">
        <w:fldChar w:fldCharType="begin"/>
      </w:r>
      <w:r w:rsidR="00CB619A">
        <w:instrText xml:space="preserve"> REF _Ref342381195 \r \h </w:instrText>
      </w:r>
      <w:r w:rsidR="00CB619A">
        <w:fldChar w:fldCharType="separate"/>
      </w:r>
      <w:r w:rsidR="008E5D7A">
        <w:t>8</w:t>
      </w:r>
      <w:r w:rsidR="00CB619A">
        <w:fldChar w:fldCharType="end"/>
      </w:r>
      <w:r w:rsidR="00CB619A">
        <w:t>).</w:t>
      </w:r>
    </w:p>
    <w:p w14:paraId="1DF669D7" w14:textId="77777777" w:rsidR="00CB619A" w:rsidRDefault="00CB619A" w:rsidP="000D5AE9">
      <w:r>
        <w:t xml:space="preserve">In combination with the continued horticultural expansion outlined in Chapter </w:t>
      </w:r>
      <w:r>
        <w:fldChar w:fldCharType="begin"/>
      </w:r>
      <w:r>
        <w:instrText xml:space="preserve"> REF _Ref346108198 \r \h </w:instrText>
      </w:r>
      <w:r>
        <w:fldChar w:fldCharType="separate"/>
      </w:r>
      <w:r w:rsidR="008E5D7A">
        <w:t>5</w:t>
      </w:r>
      <w:r>
        <w:fldChar w:fldCharType="end"/>
      </w:r>
      <w:r>
        <w:t>, water recovery under the Basin Plan has resulted in</w:t>
      </w:r>
      <w:r w:rsidR="008360A0">
        <w:t xml:space="preserve"> Victorian horticultural crops requiring </w:t>
      </w:r>
      <w:r w:rsidR="008360A0" w:rsidRPr="008360A0">
        <w:rPr>
          <w:lang w:val="en-US"/>
        </w:rPr>
        <w:t xml:space="preserve">40% of </w:t>
      </w:r>
      <w:r w:rsidR="008360A0">
        <w:rPr>
          <w:lang w:val="en-US"/>
        </w:rPr>
        <w:t xml:space="preserve">the total available water when allocations against Victorian </w:t>
      </w:r>
      <w:r w:rsidR="008360A0" w:rsidRPr="008360A0">
        <w:rPr>
          <w:lang w:val="en-US"/>
        </w:rPr>
        <w:t>H</w:t>
      </w:r>
      <w:r w:rsidR="008360A0">
        <w:rPr>
          <w:lang w:val="en-US"/>
        </w:rPr>
        <w:t xml:space="preserve">igh </w:t>
      </w:r>
      <w:r w:rsidR="008360A0" w:rsidRPr="008360A0">
        <w:rPr>
          <w:lang w:val="en-US"/>
        </w:rPr>
        <w:t>R</w:t>
      </w:r>
      <w:r w:rsidR="008360A0">
        <w:rPr>
          <w:lang w:val="en-US"/>
        </w:rPr>
        <w:t xml:space="preserve">eliability </w:t>
      </w:r>
      <w:r w:rsidR="008360A0" w:rsidRPr="008360A0">
        <w:rPr>
          <w:lang w:val="en-US"/>
        </w:rPr>
        <w:t>W</w:t>
      </w:r>
      <w:r w:rsidR="008360A0">
        <w:rPr>
          <w:lang w:val="en-US"/>
        </w:rPr>
        <w:t xml:space="preserve">ater </w:t>
      </w:r>
      <w:r w:rsidR="008360A0" w:rsidRPr="008360A0">
        <w:rPr>
          <w:lang w:val="en-US"/>
        </w:rPr>
        <w:t>S</w:t>
      </w:r>
      <w:r w:rsidR="008360A0">
        <w:rPr>
          <w:lang w:val="en-US"/>
        </w:rPr>
        <w:t xml:space="preserve">hares are 100%. This compares with </w:t>
      </w:r>
      <w:r w:rsidR="001A17B3">
        <w:rPr>
          <w:lang w:val="en-US"/>
        </w:rPr>
        <w:t>32% in the counterfactual</w:t>
      </w:r>
      <w:r w:rsidR="008360A0" w:rsidRPr="008360A0">
        <w:rPr>
          <w:lang w:val="en-US"/>
        </w:rPr>
        <w:t>,</w:t>
      </w:r>
      <w:r w:rsidR="001A17B3">
        <w:rPr>
          <w:lang w:val="en-US"/>
        </w:rPr>
        <w:t xml:space="preserve"> and as will be explained in Chapter </w:t>
      </w:r>
      <w:r w:rsidR="001A17B3">
        <w:rPr>
          <w:lang w:val="en-US"/>
        </w:rPr>
        <w:fldChar w:fldCharType="begin"/>
      </w:r>
      <w:r w:rsidR="001A17B3">
        <w:rPr>
          <w:lang w:val="en-US"/>
        </w:rPr>
        <w:instrText xml:space="preserve"> REF _Ref342457448 \r \h </w:instrText>
      </w:r>
      <w:r w:rsidR="001A17B3">
        <w:rPr>
          <w:lang w:val="en-US"/>
        </w:rPr>
      </w:r>
      <w:r w:rsidR="001A17B3">
        <w:rPr>
          <w:lang w:val="en-US"/>
        </w:rPr>
        <w:fldChar w:fldCharType="separate"/>
      </w:r>
      <w:r w:rsidR="008E5D7A">
        <w:rPr>
          <w:lang w:val="en-US"/>
        </w:rPr>
        <w:t>11</w:t>
      </w:r>
      <w:r w:rsidR="001A17B3">
        <w:rPr>
          <w:lang w:val="en-US"/>
        </w:rPr>
        <w:fldChar w:fldCharType="end"/>
      </w:r>
      <w:r w:rsidR="001A17B3">
        <w:rPr>
          <w:lang w:val="en-US"/>
        </w:rPr>
        <w:t>, if there is further water recovery, this would rise to 46% in the 2750 GL and 51% in the 3200 GL water recovery scenarios.</w:t>
      </w:r>
      <w:r w:rsidR="008360A0" w:rsidRPr="008360A0">
        <w:rPr>
          <w:lang w:val="en-US"/>
        </w:rPr>
        <w:t xml:space="preserve"> </w:t>
      </w:r>
      <w:r w:rsidR="001A17B3">
        <w:rPr>
          <w:lang w:val="en-US"/>
        </w:rPr>
        <w:t>In a repeat of 2008/09 allocation levels</w:t>
      </w:r>
      <w:r w:rsidR="00F220FF">
        <w:rPr>
          <w:lang w:val="en-US"/>
        </w:rPr>
        <w:t xml:space="preserve"> (35% on the Murray and 33% on the Goulburn) more horticultural land would be</w:t>
      </w:r>
      <w:r w:rsidR="004538E4">
        <w:rPr>
          <w:lang w:val="en-US"/>
        </w:rPr>
        <w:t xml:space="preserve"> at risk of being</w:t>
      </w:r>
      <w:r w:rsidR="00F220FF">
        <w:rPr>
          <w:lang w:val="en-US"/>
        </w:rPr>
        <w:t xml:space="preserve"> dried off as a direct result of water recovery under the Basin Plan. This increased risk to Victorian horticulturalists is a socio-economic impact of the Basin Plan.</w:t>
      </w:r>
    </w:p>
    <w:p w14:paraId="11471B73" w14:textId="77777777" w:rsidR="00EC0C5E" w:rsidRDefault="00EC0C5E" w:rsidP="00EC0C5E">
      <w:pPr>
        <w:rPr>
          <w:lang w:val="en-AU"/>
        </w:rPr>
      </w:pPr>
      <w:r>
        <w:t>Translatin</w:t>
      </w:r>
      <w:r w:rsidR="004538E4">
        <w:t>g</w:t>
      </w:r>
      <w:r>
        <w:t xml:space="preserve"> these impacts into socioeconomic impacts is complicated by the wide range of other factors that affect individuals and communities and contribute to social wellbeing — </w:t>
      </w:r>
      <w:r w:rsidR="00B25BDF">
        <w:t xml:space="preserve">which in the absence of the 2016 and 2021 census data currently </w:t>
      </w:r>
      <w:r>
        <w:t xml:space="preserve">prevents the establishment of a defensible detailed counterfactual. However, a robust counterfactual must include </w:t>
      </w:r>
      <w:r w:rsidR="004538E4">
        <w:t>long-term</w:t>
      </w:r>
      <w:r>
        <w:t xml:space="preserve"> trends that have been observed such as </w:t>
      </w:r>
      <w:r>
        <w:rPr>
          <w:lang w:val="en-AU"/>
        </w:rPr>
        <w:t>the declining role of agricultural jobs in total employment (discussed later and observed in available census data, 1991 to 2011).</w:t>
      </w:r>
    </w:p>
    <w:p w14:paraId="6FF4C30C" w14:textId="77777777" w:rsidR="00EC0C5E" w:rsidRDefault="00EC0C5E" w:rsidP="00EC0C5E">
      <w:r>
        <w:t>There is a range of social metrics available that provide insights into the social and community impacts of water recovery under the Basin Plan. These include:</w:t>
      </w:r>
    </w:p>
    <w:p w14:paraId="1BEB8D03" w14:textId="77777777" w:rsidR="00C01A50" w:rsidRDefault="00C01A50" w:rsidP="00302BD9">
      <w:pPr>
        <w:pStyle w:val="ListParagraph"/>
        <w:numPr>
          <w:ilvl w:val="0"/>
          <w:numId w:val="45"/>
        </w:numPr>
      </w:pPr>
      <w:r>
        <w:t>Population and demographics</w:t>
      </w:r>
    </w:p>
    <w:p w14:paraId="368D6410" w14:textId="77777777" w:rsidR="00C01A50" w:rsidRDefault="00C01A50" w:rsidP="00302BD9">
      <w:pPr>
        <w:pStyle w:val="ListParagraph"/>
        <w:numPr>
          <w:ilvl w:val="0"/>
          <w:numId w:val="45"/>
        </w:numPr>
      </w:pPr>
      <w:r>
        <w:t>Employment, and the composition between different industries</w:t>
      </w:r>
    </w:p>
    <w:p w14:paraId="69448796" w14:textId="77777777" w:rsidR="00C01A50" w:rsidRDefault="00C01A50" w:rsidP="00302BD9">
      <w:pPr>
        <w:pStyle w:val="ListParagraph"/>
        <w:numPr>
          <w:ilvl w:val="0"/>
          <w:numId w:val="45"/>
        </w:numPr>
      </w:pPr>
      <w:r>
        <w:t>Income</w:t>
      </w:r>
    </w:p>
    <w:p w14:paraId="0512742A" w14:textId="77777777" w:rsidR="00C01A50" w:rsidRDefault="00C01A50" w:rsidP="00302BD9">
      <w:pPr>
        <w:pStyle w:val="ListParagraph"/>
        <w:numPr>
          <w:ilvl w:val="0"/>
          <w:numId w:val="45"/>
        </w:numPr>
      </w:pPr>
      <w:r>
        <w:t>Wellbeing</w:t>
      </w:r>
    </w:p>
    <w:p w14:paraId="2FFF2D99" w14:textId="77777777" w:rsidR="00C01A50" w:rsidRDefault="00C01A50" w:rsidP="00593A9A">
      <w:r>
        <w:lastRenderedPageBreak/>
        <w:t>This class of information has been used previously by the EBC consortium (2011) to consider the potential community impacts of the Basin Plan. The map below includes different categories of relative vulnerability:</w:t>
      </w:r>
    </w:p>
    <w:p w14:paraId="6B852537" w14:textId="77777777" w:rsidR="00C01A50" w:rsidRPr="00167E07" w:rsidRDefault="00C01A50" w:rsidP="00302BD9">
      <w:pPr>
        <w:pStyle w:val="ListParagraph"/>
        <w:numPr>
          <w:ilvl w:val="0"/>
          <w:numId w:val="46"/>
        </w:numPr>
      </w:pPr>
      <w:r w:rsidRPr="00167E07">
        <w:t xml:space="preserve">Category 1 (purple): Small towns that are highly dependent on irrigated agriculture </w:t>
      </w:r>
      <w:r>
        <w:t xml:space="preserve">— </w:t>
      </w:r>
      <w:r w:rsidRPr="00167E07">
        <w:t xml:space="preserve">Reductions in water availability could increase the speed and extent of these changes for those communities </w:t>
      </w:r>
    </w:p>
    <w:p w14:paraId="6DF198A0" w14:textId="77777777" w:rsidR="00C01A50" w:rsidRPr="00167E07" w:rsidRDefault="00C01A50" w:rsidP="00302BD9">
      <w:pPr>
        <w:pStyle w:val="ListParagraph"/>
        <w:numPr>
          <w:ilvl w:val="0"/>
          <w:numId w:val="46"/>
        </w:numPr>
      </w:pPr>
      <w:r w:rsidRPr="00167E07">
        <w:t xml:space="preserve">Category 2 (blue): Small diverse towns with high-value irrigation, tourism and other sectors </w:t>
      </w:r>
      <w:r>
        <w:t xml:space="preserve">— </w:t>
      </w:r>
      <w:r w:rsidRPr="00167E07">
        <w:t xml:space="preserve">They are insulated to some extent from the impacts of reduced water availability </w:t>
      </w:r>
    </w:p>
    <w:p w14:paraId="687936D2" w14:textId="77777777" w:rsidR="00C01A50" w:rsidRPr="00167E07" w:rsidRDefault="00C01A50" w:rsidP="00302BD9">
      <w:pPr>
        <w:pStyle w:val="ListParagraph"/>
        <w:numPr>
          <w:ilvl w:val="0"/>
          <w:numId w:val="46"/>
        </w:numPr>
      </w:pPr>
      <w:r w:rsidRPr="00167E07">
        <w:t xml:space="preserve">Category 3 (orange): Larger towns that are highly dependent on irrigated agriculture </w:t>
      </w:r>
      <w:r>
        <w:t xml:space="preserve">— </w:t>
      </w:r>
      <w:r w:rsidRPr="00167E07">
        <w:t xml:space="preserve">These centres are robust with current diversion limits but would be highly exposed to proposed reductions in water availability </w:t>
      </w:r>
    </w:p>
    <w:p w14:paraId="0D390A82" w14:textId="77777777" w:rsidR="00C01A50" w:rsidRDefault="00C01A50" w:rsidP="00302BD9">
      <w:pPr>
        <w:pStyle w:val="ListParagraph"/>
        <w:numPr>
          <w:ilvl w:val="0"/>
          <w:numId w:val="46"/>
        </w:numPr>
      </w:pPr>
      <w:r w:rsidRPr="00167E07">
        <w:t xml:space="preserve">Category 4 (brown): Large, diverse growing regional centres </w:t>
      </w:r>
      <w:r>
        <w:t xml:space="preserve">— </w:t>
      </w:r>
      <w:r w:rsidRPr="00167E07">
        <w:t>These are relatively insulated from reductions in water availability in the region</w:t>
      </w:r>
    </w:p>
    <w:p w14:paraId="6054C623" w14:textId="77777777" w:rsidR="00C01A50" w:rsidRDefault="00C01A50" w:rsidP="00593A9A">
      <w:r>
        <w:t xml:space="preserve">EBC (2011) note that it is very important to recognise that relative vulnerability does not necessarily mean that towns will be more negatively </w:t>
      </w:r>
      <w:r w:rsidR="004538E4">
        <w:t xml:space="preserve">affected </w:t>
      </w:r>
      <w:r>
        <w:t>by the Basin Plan. Other factors are also important; in particular, the relative exposure of towns to the proposed changes is critical. Not all vulnerable towns will necessarily face significant reductions in irrigation activity under the Basin Plan.</w:t>
      </w:r>
    </w:p>
    <w:p w14:paraId="2F420D4C" w14:textId="77777777" w:rsidR="00C01A50" w:rsidRDefault="00C01A50" w:rsidP="00C108B5">
      <w:pPr>
        <w:keepNext/>
        <w:jc w:val="center"/>
      </w:pPr>
      <w:r>
        <w:rPr>
          <w:noProof/>
          <w:sz w:val="16"/>
          <w:szCs w:val="16"/>
          <w:lang w:val="en-AU" w:eastAsia="en-AU" w:bidi="ar-SA"/>
        </w:rPr>
        <w:drawing>
          <wp:inline distT="0" distB="0" distL="0" distR="0" wp14:anchorId="591EE62B" wp14:editId="1170EA19">
            <wp:extent cx="6063049" cy="3155587"/>
            <wp:effectExtent l="0" t="0" r="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Capture911.JPG"/>
                    <pic:cNvPicPr/>
                  </pic:nvPicPr>
                  <pic:blipFill rotWithShape="1">
                    <a:blip r:embed="rId78"/>
                    <a:srcRect l="523" r="436"/>
                    <a:stretch/>
                  </pic:blipFill>
                  <pic:spPr bwMode="auto">
                    <a:xfrm>
                      <a:off x="0" y="0"/>
                      <a:ext cx="6071840" cy="3160162"/>
                    </a:xfrm>
                    <a:prstGeom prst="rect">
                      <a:avLst/>
                    </a:prstGeom>
                    <a:ln>
                      <a:noFill/>
                    </a:ln>
                    <a:extLst>
                      <a:ext uri="{53640926-AAD7-44D8-BBD7-CCE9431645EC}">
                        <a14:shadowObscured xmlns:a14="http://schemas.microsoft.com/office/drawing/2010/main"/>
                      </a:ext>
                    </a:extLst>
                  </pic:spPr>
                </pic:pic>
              </a:graphicData>
            </a:graphic>
          </wp:inline>
        </w:drawing>
      </w:r>
    </w:p>
    <w:p w14:paraId="1404FB9F" w14:textId="77777777" w:rsidR="00C01A50" w:rsidRDefault="00C01A50" w:rsidP="00C108B5">
      <w:pPr>
        <w:pStyle w:val="Caption"/>
        <w:keepNext/>
      </w:pPr>
      <w:r>
        <w:t xml:space="preserve">Figure </w:t>
      </w:r>
      <w:r>
        <w:fldChar w:fldCharType="begin"/>
      </w:r>
      <w:r>
        <w:instrText xml:space="preserve"> SEQ Figure \* ARABIC </w:instrText>
      </w:r>
      <w:r>
        <w:fldChar w:fldCharType="separate"/>
      </w:r>
      <w:r w:rsidR="008E5D7A">
        <w:rPr>
          <w:noProof/>
        </w:rPr>
        <w:t>51</w:t>
      </w:r>
      <w:r>
        <w:fldChar w:fldCharType="end"/>
      </w:r>
      <w:r>
        <w:t>: Social catchments in the southern Murray-Darling Basin (and Lachlan), showing relative vulnerability of towns to reduced irrigation</w:t>
      </w:r>
    </w:p>
    <w:p w14:paraId="1E35C287" w14:textId="77777777" w:rsidR="00C01A50" w:rsidRDefault="00C01A50" w:rsidP="0068562F">
      <w:r>
        <w:rPr>
          <w:rFonts w:eastAsia="Calibri"/>
          <w:color w:val="000000"/>
          <w:sz w:val="18"/>
          <w:szCs w:val="22"/>
          <w:lang w:val="en-AU"/>
        </w:rPr>
        <w:t>Source: EBC 2011</w:t>
      </w:r>
    </w:p>
    <w:p w14:paraId="0F747EA0" w14:textId="77777777" w:rsidR="00C01A50" w:rsidRDefault="00C01A50" w:rsidP="008A42AF">
      <w:pPr>
        <w:pStyle w:val="Caption"/>
        <w:keepNext/>
      </w:pPr>
      <w:r>
        <w:t xml:space="preserve">Table </w:t>
      </w:r>
      <w:r>
        <w:fldChar w:fldCharType="begin"/>
      </w:r>
      <w:r>
        <w:instrText xml:space="preserve"> SEQ Table \* ARABIC </w:instrText>
      </w:r>
      <w:r>
        <w:fldChar w:fldCharType="separate"/>
      </w:r>
      <w:r w:rsidR="008E5D7A">
        <w:rPr>
          <w:noProof/>
        </w:rPr>
        <w:t>13</w:t>
      </w:r>
      <w:r>
        <w:fldChar w:fldCharType="end"/>
      </w:r>
      <w:r>
        <w:t>: Category 1 towns in Victoria by CMA region</w:t>
      </w:r>
    </w:p>
    <w:tbl>
      <w:tblPr>
        <w:tblStyle w:val="TableGrid"/>
        <w:tblW w:w="5000" w:type="pct"/>
        <w:tblLook w:val="04A0" w:firstRow="1" w:lastRow="0" w:firstColumn="1" w:lastColumn="0" w:noHBand="0" w:noVBand="1"/>
      </w:tblPr>
      <w:tblGrid>
        <w:gridCol w:w="2292"/>
        <w:gridCol w:w="2292"/>
        <w:gridCol w:w="2292"/>
        <w:gridCol w:w="2292"/>
      </w:tblGrid>
      <w:tr w:rsidR="00C01A50" w:rsidRPr="00DE714B" w14:paraId="6991F5D4" w14:textId="77777777">
        <w:tc>
          <w:tcPr>
            <w:tcW w:w="1250" w:type="pct"/>
          </w:tcPr>
          <w:p w14:paraId="032A81D7" w14:textId="77777777" w:rsidR="00C01A50" w:rsidRPr="00DE714B" w:rsidRDefault="00C01A50" w:rsidP="00DE714B">
            <w:pPr>
              <w:spacing w:before="40" w:after="40" w:line="240" w:lineRule="auto"/>
              <w:jc w:val="center"/>
              <w:rPr>
                <w:b/>
                <w:sz w:val="18"/>
                <w:szCs w:val="18"/>
              </w:rPr>
            </w:pPr>
            <w:r w:rsidRPr="00DE714B">
              <w:rPr>
                <w:b/>
                <w:sz w:val="18"/>
                <w:szCs w:val="18"/>
              </w:rPr>
              <w:t>Mallee</w:t>
            </w:r>
          </w:p>
        </w:tc>
        <w:tc>
          <w:tcPr>
            <w:tcW w:w="1250" w:type="pct"/>
          </w:tcPr>
          <w:p w14:paraId="10C3D40C" w14:textId="77777777" w:rsidR="00C01A50" w:rsidRPr="00DE714B" w:rsidRDefault="00C01A50" w:rsidP="00DE714B">
            <w:pPr>
              <w:spacing w:before="40" w:after="40" w:line="240" w:lineRule="auto"/>
              <w:jc w:val="center"/>
              <w:rPr>
                <w:b/>
                <w:sz w:val="18"/>
                <w:szCs w:val="18"/>
              </w:rPr>
            </w:pPr>
            <w:r w:rsidRPr="00DE714B">
              <w:rPr>
                <w:b/>
                <w:sz w:val="18"/>
                <w:szCs w:val="18"/>
              </w:rPr>
              <w:t>North Central</w:t>
            </w:r>
          </w:p>
        </w:tc>
        <w:tc>
          <w:tcPr>
            <w:tcW w:w="1250" w:type="pct"/>
          </w:tcPr>
          <w:p w14:paraId="43AA9A04" w14:textId="77777777" w:rsidR="00C01A50" w:rsidRPr="00DE714B" w:rsidRDefault="00A34F27" w:rsidP="00DE714B">
            <w:pPr>
              <w:spacing w:before="40" w:after="40" w:line="240" w:lineRule="auto"/>
              <w:jc w:val="center"/>
              <w:rPr>
                <w:b/>
                <w:sz w:val="18"/>
                <w:szCs w:val="18"/>
              </w:rPr>
            </w:pPr>
            <w:r w:rsidRPr="00DE714B">
              <w:rPr>
                <w:b/>
                <w:sz w:val="18"/>
                <w:szCs w:val="18"/>
              </w:rPr>
              <w:t>Goulburn Broken</w:t>
            </w:r>
          </w:p>
        </w:tc>
        <w:tc>
          <w:tcPr>
            <w:tcW w:w="1250" w:type="pct"/>
          </w:tcPr>
          <w:p w14:paraId="02E36B24" w14:textId="77777777" w:rsidR="00C01A50" w:rsidRPr="00DE714B" w:rsidRDefault="00C01A50" w:rsidP="00DE714B">
            <w:pPr>
              <w:spacing w:before="40" w:after="40" w:line="240" w:lineRule="auto"/>
              <w:jc w:val="center"/>
              <w:rPr>
                <w:b/>
                <w:sz w:val="18"/>
                <w:szCs w:val="18"/>
              </w:rPr>
            </w:pPr>
            <w:r w:rsidRPr="00DE714B">
              <w:rPr>
                <w:b/>
                <w:sz w:val="18"/>
                <w:szCs w:val="18"/>
              </w:rPr>
              <w:t>North East</w:t>
            </w:r>
          </w:p>
        </w:tc>
      </w:tr>
      <w:tr w:rsidR="00C01A50" w:rsidRPr="00DE714B" w14:paraId="0F2296DF" w14:textId="77777777">
        <w:tc>
          <w:tcPr>
            <w:tcW w:w="1250" w:type="pct"/>
          </w:tcPr>
          <w:p w14:paraId="1F90B73D" w14:textId="77777777" w:rsidR="00C01A50" w:rsidRPr="00DE714B" w:rsidRDefault="00C01A50" w:rsidP="00DE714B">
            <w:pPr>
              <w:spacing w:before="40" w:after="40" w:line="240" w:lineRule="auto"/>
              <w:jc w:val="left"/>
              <w:rPr>
                <w:sz w:val="18"/>
                <w:szCs w:val="18"/>
              </w:rPr>
            </w:pPr>
            <w:r w:rsidRPr="00DE714B">
              <w:rPr>
                <w:sz w:val="18"/>
                <w:szCs w:val="18"/>
              </w:rPr>
              <w:t>Merbein</w:t>
            </w:r>
          </w:p>
        </w:tc>
        <w:tc>
          <w:tcPr>
            <w:tcW w:w="1250" w:type="pct"/>
          </w:tcPr>
          <w:p w14:paraId="0DD254E3" w14:textId="77777777" w:rsidR="00C01A50" w:rsidRPr="00DE714B" w:rsidRDefault="00C01A50" w:rsidP="00DE714B">
            <w:pPr>
              <w:spacing w:before="40" w:after="40" w:line="240" w:lineRule="auto"/>
              <w:jc w:val="left"/>
              <w:rPr>
                <w:sz w:val="18"/>
                <w:szCs w:val="18"/>
              </w:rPr>
            </w:pPr>
            <w:r w:rsidRPr="00DE714B">
              <w:rPr>
                <w:sz w:val="18"/>
                <w:szCs w:val="18"/>
              </w:rPr>
              <w:t>Boort</w:t>
            </w:r>
          </w:p>
        </w:tc>
        <w:tc>
          <w:tcPr>
            <w:tcW w:w="1250" w:type="pct"/>
          </w:tcPr>
          <w:p w14:paraId="590F4501" w14:textId="77777777" w:rsidR="00C01A50" w:rsidRPr="00DE714B" w:rsidRDefault="00C01A50" w:rsidP="00DE714B">
            <w:pPr>
              <w:spacing w:before="40" w:after="40" w:line="240" w:lineRule="auto"/>
              <w:jc w:val="left"/>
              <w:rPr>
                <w:sz w:val="18"/>
                <w:szCs w:val="18"/>
              </w:rPr>
            </w:pPr>
            <w:r w:rsidRPr="00DE714B">
              <w:rPr>
                <w:sz w:val="18"/>
                <w:szCs w:val="18"/>
              </w:rPr>
              <w:t>Tatura</w:t>
            </w:r>
          </w:p>
        </w:tc>
        <w:tc>
          <w:tcPr>
            <w:tcW w:w="1250" w:type="pct"/>
          </w:tcPr>
          <w:p w14:paraId="39D72E93" w14:textId="77777777" w:rsidR="00C01A50" w:rsidRPr="00DE714B" w:rsidRDefault="00C01A50" w:rsidP="00DE714B">
            <w:pPr>
              <w:spacing w:before="40" w:after="40" w:line="240" w:lineRule="auto"/>
              <w:jc w:val="left"/>
              <w:rPr>
                <w:sz w:val="18"/>
                <w:szCs w:val="18"/>
              </w:rPr>
            </w:pPr>
            <w:r w:rsidRPr="00DE714B">
              <w:rPr>
                <w:sz w:val="18"/>
                <w:szCs w:val="18"/>
              </w:rPr>
              <w:t>Kiewa *</w:t>
            </w:r>
          </w:p>
        </w:tc>
      </w:tr>
      <w:tr w:rsidR="00C01A50" w:rsidRPr="00DE714B" w14:paraId="679832DE" w14:textId="77777777">
        <w:tc>
          <w:tcPr>
            <w:tcW w:w="1250" w:type="pct"/>
          </w:tcPr>
          <w:p w14:paraId="3D0297D8" w14:textId="77777777" w:rsidR="00C01A50" w:rsidRPr="00DE714B" w:rsidRDefault="00C01A50" w:rsidP="00DE714B">
            <w:pPr>
              <w:spacing w:before="40" w:after="40" w:line="240" w:lineRule="auto"/>
              <w:jc w:val="left"/>
              <w:rPr>
                <w:sz w:val="18"/>
                <w:szCs w:val="18"/>
              </w:rPr>
            </w:pPr>
            <w:r w:rsidRPr="00DE714B">
              <w:rPr>
                <w:sz w:val="18"/>
                <w:szCs w:val="18"/>
              </w:rPr>
              <w:lastRenderedPageBreak/>
              <w:t>Red Cliffs</w:t>
            </w:r>
          </w:p>
        </w:tc>
        <w:tc>
          <w:tcPr>
            <w:tcW w:w="1250" w:type="pct"/>
          </w:tcPr>
          <w:p w14:paraId="2788011A" w14:textId="77777777" w:rsidR="00C01A50" w:rsidRPr="00DE714B" w:rsidRDefault="00C01A50" w:rsidP="00DE714B">
            <w:pPr>
              <w:spacing w:before="40" w:after="40" w:line="240" w:lineRule="auto"/>
              <w:jc w:val="left"/>
              <w:rPr>
                <w:sz w:val="18"/>
                <w:szCs w:val="18"/>
              </w:rPr>
            </w:pPr>
            <w:r w:rsidRPr="00DE714B">
              <w:rPr>
                <w:sz w:val="18"/>
                <w:szCs w:val="18"/>
              </w:rPr>
              <w:t xml:space="preserve">Bridgewater* </w:t>
            </w:r>
          </w:p>
        </w:tc>
        <w:tc>
          <w:tcPr>
            <w:tcW w:w="1250" w:type="pct"/>
          </w:tcPr>
          <w:p w14:paraId="279F0ECD" w14:textId="77777777" w:rsidR="00C01A50" w:rsidRPr="00DE714B" w:rsidRDefault="00C01A50" w:rsidP="00DE714B">
            <w:pPr>
              <w:spacing w:before="40" w:after="40" w:line="240" w:lineRule="auto"/>
              <w:jc w:val="left"/>
              <w:rPr>
                <w:sz w:val="18"/>
                <w:szCs w:val="18"/>
              </w:rPr>
            </w:pPr>
            <w:r w:rsidRPr="00DE714B">
              <w:rPr>
                <w:sz w:val="18"/>
                <w:szCs w:val="18"/>
              </w:rPr>
              <w:t>Nathalia</w:t>
            </w:r>
          </w:p>
        </w:tc>
        <w:tc>
          <w:tcPr>
            <w:tcW w:w="1250" w:type="pct"/>
          </w:tcPr>
          <w:p w14:paraId="1C078579" w14:textId="77777777" w:rsidR="00C01A50" w:rsidRPr="00DE714B" w:rsidRDefault="00C01A50" w:rsidP="00DE714B">
            <w:pPr>
              <w:spacing w:before="40" w:after="40" w:line="240" w:lineRule="auto"/>
              <w:jc w:val="left"/>
              <w:rPr>
                <w:sz w:val="18"/>
                <w:szCs w:val="18"/>
              </w:rPr>
            </w:pPr>
            <w:r w:rsidRPr="00DE714B">
              <w:rPr>
                <w:sz w:val="18"/>
                <w:szCs w:val="18"/>
              </w:rPr>
              <w:t>Myrtleford</w:t>
            </w:r>
          </w:p>
        </w:tc>
      </w:tr>
      <w:tr w:rsidR="00C01A50" w:rsidRPr="00DE714B" w14:paraId="4232703C" w14:textId="77777777">
        <w:tc>
          <w:tcPr>
            <w:tcW w:w="1250" w:type="pct"/>
          </w:tcPr>
          <w:p w14:paraId="54E46C87" w14:textId="77777777" w:rsidR="00C01A50" w:rsidRPr="00DE714B" w:rsidRDefault="00C01A50" w:rsidP="00DE714B">
            <w:pPr>
              <w:spacing w:before="40" w:after="40" w:line="240" w:lineRule="auto"/>
              <w:jc w:val="left"/>
              <w:rPr>
                <w:sz w:val="18"/>
                <w:szCs w:val="18"/>
              </w:rPr>
            </w:pPr>
            <w:r w:rsidRPr="00DE714B">
              <w:rPr>
                <w:sz w:val="18"/>
                <w:szCs w:val="18"/>
              </w:rPr>
              <w:t>Robinvale</w:t>
            </w:r>
          </w:p>
        </w:tc>
        <w:tc>
          <w:tcPr>
            <w:tcW w:w="1250" w:type="pct"/>
          </w:tcPr>
          <w:p w14:paraId="5A2456E0" w14:textId="77777777" w:rsidR="00C01A50" w:rsidRPr="00DE714B" w:rsidRDefault="00C01A50" w:rsidP="00DE714B">
            <w:pPr>
              <w:spacing w:before="40" w:after="40" w:line="240" w:lineRule="auto"/>
              <w:jc w:val="left"/>
              <w:rPr>
                <w:sz w:val="18"/>
                <w:szCs w:val="18"/>
              </w:rPr>
            </w:pPr>
            <w:r w:rsidRPr="00DE714B">
              <w:rPr>
                <w:sz w:val="18"/>
                <w:szCs w:val="18"/>
              </w:rPr>
              <w:t>Cohuna</w:t>
            </w:r>
          </w:p>
        </w:tc>
        <w:tc>
          <w:tcPr>
            <w:tcW w:w="1250" w:type="pct"/>
          </w:tcPr>
          <w:p w14:paraId="3F25B56D" w14:textId="77777777" w:rsidR="00C01A50" w:rsidRPr="00DE714B" w:rsidRDefault="00C01A50" w:rsidP="00DE714B">
            <w:pPr>
              <w:spacing w:before="40" w:after="40" w:line="240" w:lineRule="auto"/>
              <w:jc w:val="left"/>
              <w:rPr>
                <w:sz w:val="18"/>
                <w:szCs w:val="18"/>
              </w:rPr>
            </w:pPr>
            <w:r w:rsidRPr="00DE714B">
              <w:rPr>
                <w:sz w:val="18"/>
                <w:szCs w:val="18"/>
              </w:rPr>
              <w:t>Numurkah</w:t>
            </w:r>
          </w:p>
        </w:tc>
        <w:tc>
          <w:tcPr>
            <w:tcW w:w="1250" w:type="pct"/>
          </w:tcPr>
          <w:p w14:paraId="24ADFF93" w14:textId="77777777" w:rsidR="00C01A50" w:rsidRPr="00DE714B" w:rsidRDefault="00C01A50" w:rsidP="00DE714B">
            <w:pPr>
              <w:spacing w:before="40" w:after="40" w:line="240" w:lineRule="auto"/>
              <w:jc w:val="left"/>
              <w:rPr>
                <w:sz w:val="18"/>
                <w:szCs w:val="18"/>
              </w:rPr>
            </w:pPr>
          </w:p>
        </w:tc>
      </w:tr>
      <w:tr w:rsidR="00C01A50" w:rsidRPr="00DE714B" w14:paraId="5CBD0241" w14:textId="77777777">
        <w:tc>
          <w:tcPr>
            <w:tcW w:w="1250" w:type="pct"/>
          </w:tcPr>
          <w:p w14:paraId="240892BA" w14:textId="77777777" w:rsidR="00C01A50" w:rsidRPr="00DE714B" w:rsidRDefault="00C01A50" w:rsidP="00DE714B">
            <w:pPr>
              <w:spacing w:before="40" w:after="40" w:line="240" w:lineRule="auto"/>
              <w:jc w:val="left"/>
              <w:rPr>
                <w:sz w:val="18"/>
                <w:szCs w:val="18"/>
              </w:rPr>
            </w:pPr>
          </w:p>
        </w:tc>
        <w:tc>
          <w:tcPr>
            <w:tcW w:w="1250" w:type="pct"/>
          </w:tcPr>
          <w:p w14:paraId="77F1B6BE" w14:textId="77777777" w:rsidR="00C01A50" w:rsidRPr="00DE714B" w:rsidRDefault="00C01A50" w:rsidP="00DE714B">
            <w:pPr>
              <w:spacing w:before="40" w:after="40" w:line="240" w:lineRule="auto"/>
              <w:jc w:val="left"/>
              <w:rPr>
                <w:sz w:val="18"/>
                <w:szCs w:val="18"/>
              </w:rPr>
            </w:pPr>
            <w:r w:rsidRPr="00DE714B">
              <w:rPr>
                <w:sz w:val="18"/>
                <w:szCs w:val="18"/>
              </w:rPr>
              <w:t>Elmore</w:t>
            </w:r>
          </w:p>
        </w:tc>
        <w:tc>
          <w:tcPr>
            <w:tcW w:w="1250" w:type="pct"/>
          </w:tcPr>
          <w:p w14:paraId="0EFC9AAD" w14:textId="77777777" w:rsidR="00C01A50" w:rsidRPr="00DE714B" w:rsidRDefault="00C01A50" w:rsidP="00DE714B">
            <w:pPr>
              <w:spacing w:before="40" w:after="40" w:line="240" w:lineRule="auto"/>
              <w:jc w:val="left"/>
              <w:rPr>
                <w:sz w:val="18"/>
                <w:szCs w:val="18"/>
              </w:rPr>
            </w:pPr>
            <w:r w:rsidRPr="00DE714B">
              <w:rPr>
                <w:sz w:val="18"/>
                <w:szCs w:val="18"/>
              </w:rPr>
              <w:t>Cobram/Barooga</w:t>
            </w:r>
          </w:p>
        </w:tc>
        <w:tc>
          <w:tcPr>
            <w:tcW w:w="1250" w:type="pct"/>
          </w:tcPr>
          <w:p w14:paraId="0BC697DF" w14:textId="77777777" w:rsidR="00C01A50" w:rsidRPr="00DE714B" w:rsidRDefault="00C01A50" w:rsidP="00DE714B">
            <w:pPr>
              <w:spacing w:before="40" w:after="40" w:line="240" w:lineRule="auto"/>
              <w:jc w:val="left"/>
              <w:rPr>
                <w:sz w:val="18"/>
                <w:szCs w:val="18"/>
              </w:rPr>
            </w:pPr>
          </w:p>
        </w:tc>
      </w:tr>
      <w:tr w:rsidR="00C01A50" w:rsidRPr="00DE714B" w14:paraId="66394DC7" w14:textId="77777777">
        <w:tc>
          <w:tcPr>
            <w:tcW w:w="1250" w:type="pct"/>
          </w:tcPr>
          <w:p w14:paraId="5A0C52F3" w14:textId="77777777" w:rsidR="00C01A50" w:rsidRPr="00DE714B" w:rsidRDefault="00C01A50" w:rsidP="00DE714B">
            <w:pPr>
              <w:spacing w:before="40" w:after="40" w:line="240" w:lineRule="auto"/>
              <w:jc w:val="left"/>
              <w:rPr>
                <w:sz w:val="18"/>
                <w:szCs w:val="18"/>
              </w:rPr>
            </w:pPr>
          </w:p>
        </w:tc>
        <w:tc>
          <w:tcPr>
            <w:tcW w:w="1250" w:type="pct"/>
          </w:tcPr>
          <w:p w14:paraId="25D71E3A" w14:textId="77777777" w:rsidR="00C01A50" w:rsidRPr="00DE714B" w:rsidRDefault="00C01A50" w:rsidP="00DE714B">
            <w:pPr>
              <w:spacing w:before="40" w:after="40" w:line="240" w:lineRule="auto"/>
              <w:jc w:val="left"/>
              <w:rPr>
                <w:sz w:val="18"/>
                <w:szCs w:val="18"/>
              </w:rPr>
            </w:pPr>
            <w:r w:rsidRPr="00DE714B">
              <w:rPr>
                <w:sz w:val="18"/>
                <w:szCs w:val="18"/>
              </w:rPr>
              <w:t>Kerang</w:t>
            </w:r>
          </w:p>
        </w:tc>
        <w:tc>
          <w:tcPr>
            <w:tcW w:w="1250" w:type="pct"/>
          </w:tcPr>
          <w:p w14:paraId="48AF6AC4" w14:textId="77777777" w:rsidR="00C01A50" w:rsidRPr="00DE714B" w:rsidRDefault="00C01A50" w:rsidP="00DE714B">
            <w:pPr>
              <w:spacing w:before="40" w:after="40" w:line="240" w:lineRule="auto"/>
              <w:jc w:val="left"/>
              <w:rPr>
                <w:sz w:val="18"/>
                <w:szCs w:val="18"/>
              </w:rPr>
            </w:pPr>
            <w:r w:rsidRPr="00DE714B">
              <w:rPr>
                <w:sz w:val="18"/>
                <w:szCs w:val="18"/>
              </w:rPr>
              <w:t>Kyabram</w:t>
            </w:r>
          </w:p>
        </w:tc>
        <w:tc>
          <w:tcPr>
            <w:tcW w:w="1250" w:type="pct"/>
          </w:tcPr>
          <w:p w14:paraId="0C9FB6ED" w14:textId="77777777" w:rsidR="00C01A50" w:rsidRPr="00DE714B" w:rsidRDefault="00C01A50" w:rsidP="00DE714B">
            <w:pPr>
              <w:spacing w:before="40" w:after="40" w:line="240" w:lineRule="auto"/>
              <w:jc w:val="left"/>
              <w:rPr>
                <w:sz w:val="18"/>
                <w:szCs w:val="18"/>
              </w:rPr>
            </w:pPr>
          </w:p>
        </w:tc>
      </w:tr>
      <w:tr w:rsidR="00C01A50" w:rsidRPr="00DE714B" w14:paraId="2EA6F3D3" w14:textId="77777777">
        <w:tc>
          <w:tcPr>
            <w:tcW w:w="1250" w:type="pct"/>
          </w:tcPr>
          <w:p w14:paraId="3F69C786" w14:textId="77777777" w:rsidR="00C01A50" w:rsidRPr="00DE714B" w:rsidRDefault="00C01A50" w:rsidP="00DE714B">
            <w:pPr>
              <w:spacing w:before="40" w:after="40" w:line="240" w:lineRule="auto"/>
              <w:jc w:val="left"/>
              <w:rPr>
                <w:sz w:val="18"/>
                <w:szCs w:val="18"/>
              </w:rPr>
            </w:pPr>
          </w:p>
        </w:tc>
        <w:tc>
          <w:tcPr>
            <w:tcW w:w="1250" w:type="pct"/>
          </w:tcPr>
          <w:p w14:paraId="58183FA9" w14:textId="77777777" w:rsidR="00C01A50" w:rsidRPr="00DE714B" w:rsidRDefault="00C01A50" w:rsidP="00DE714B">
            <w:pPr>
              <w:spacing w:before="40" w:after="40" w:line="240" w:lineRule="auto"/>
              <w:jc w:val="left"/>
              <w:rPr>
                <w:sz w:val="18"/>
                <w:szCs w:val="18"/>
              </w:rPr>
            </w:pPr>
            <w:r w:rsidRPr="00DE714B">
              <w:rPr>
                <w:sz w:val="18"/>
                <w:szCs w:val="18"/>
              </w:rPr>
              <w:t xml:space="preserve">Newbridge* </w:t>
            </w:r>
          </w:p>
        </w:tc>
        <w:tc>
          <w:tcPr>
            <w:tcW w:w="1250" w:type="pct"/>
          </w:tcPr>
          <w:p w14:paraId="354F2A62" w14:textId="77777777" w:rsidR="00C01A50" w:rsidRPr="00DE714B" w:rsidRDefault="00C01A50" w:rsidP="00DE714B">
            <w:pPr>
              <w:spacing w:before="40" w:after="40" w:line="240" w:lineRule="auto"/>
              <w:jc w:val="left"/>
              <w:rPr>
                <w:sz w:val="18"/>
                <w:szCs w:val="18"/>
              </w:rPr>
            </w:pPr>
            <w:r w:rsidRPr="00DE714B">
              <w:rPr>
                <w:sz w:val="18"/>
                <w:szCs w:val="18"/>
              </w:rPr>
              <w:t>Rochester</w:t>
            </w:r>
          </w:p>
        </w:tc>
        <w:tc>
          <w:tcPr>
            <w:tcW w:w="1250" w:type="pct"/>
          </w:tcPr>
          <w:p w14:paraId="3919D256" w14:textId="77777777" w:rsidR="00C01A50" w:rsidRPr="00DE714B" w:rsidRDefault="00C01A50" w:rsidP="00DE714B">
            <w:pPr>
              <w:spacing w:before="40" w:after="40" w:line="240" w:lineRule="auto"/>
              <w:jc w:val="left"/>
              <w:rPr>
                <w:sz w:val="18"/>
                <w:szCs w:val="18"/>
              </w:rPr>
            </w:pPr>
          </w:p>
        </w:tc>
      </w:tr>
      <w:tr w:rsidR="00C01A50" w:rsidRPr="00DE714B" w14:paraId="2DCDC47E" w14:textId="77777777">
        <w:tc>
          <w:tcPr>
            <w:tcW w:w="1250" w:type="pct"/>
          </w:tcPr>
          <w:p w14:paraId="55E4C389" w14:textId="77777777" w:rsidR="00C01A50" w:rsidRPr="00DE714B" w:rsidRDefault="00C01A50" w:rsidP="00DE714B">
            <w:pPr>
              <w:spacing w:before="40" w:after="40" w:line="240" w:lineRule="auto"/>
              <w:jc w:val="left"/>
              <w:rPr>
                <w:sz w:val="18"/>
                <w:szCs w:val="18"/>
              </w:rPr>
            </w:pPr>
          </w:p>
        </w:tc>
        <w:tc>
          <w:tcPr>
            <w:tcW w:w="1250" w:type="pct"/>
          </w:tcPr>
          <w:p w14:paraId="442E4F76" w14:textId="77777777" w:rsidR="00C01A50" w:rsidRPr="00DE714B" w:rsidRDefault="00C01A50" w:rsidP="00DE714B">
            <w:pPr>
              <w:spacing w:before="40" w:after="40" w:line="240" w:lineRule="auto"/>
              <w:jc w:val="left"/>
              <w:rPr>
                <w:sz w:val="18"/>
                <w:szCs w:val="18"/>
              </w:rPr>
            </w:pPr>
            <w:r w:rsidRPr="00DE714B">
              <w:rPr>
                <w:sz w:val="18"/>
                <w:szCs w:val="18"/>
              </w:rPr>
              <w:t>Pyramid Hill</w:t>
            </w:r>
          </w:p>
        </w:tc>
        <w:tc>
          <w:tcPr>
            <w:tcW w:w="1250" w:type="pct"/>
          </w:tcPr>
          <w:p w14:paraId="3FAB42E6" w14:textId="77777777" w:rsidR="00C01A50" w:rsidRPr="00DE714B" w:rsidRDefault="00C01A50" w:rsidP="00DE714B">
            <w:pPr>
              <w:spacing w:before="40" w:after="40" w:line="240" w:lineRule="auto"/>
              <w:jc w:val="left"/>
              <w:rPr>
                <w:sz w:val="18"/>
                <w:szCs w:val="18"/>
              </w:rPr>
            </w:pPr>
            <w:r w:rsidRPr="00DE714B">
              <w:rPr>
                <w:sz w:val="18"/>
                <w:szCs w:val="18"/>
              </w:rPr>
              <w:t>Stanhope</w:t>
            </w:r>
          </w:p>
        </w:tc>
        <w:tc>
          <w:tcPr>
            <w:tcW w:w="1250" w:type="pct"/>
          </w:tcPr>
          <w:p w14:paraId="28325403" w14:textId="77777777" w:rsidR="00C01A50" w:rsidRPr="00DE714B" w:rsidRDefault="00C01A50" w:rsidP="00DE714B">
            <w:pPr>
              <w:spacing w:before="40" w:after="40" w:line="240" w:lineRule="auto"/>
              <w:jc w:val="left"/>
              <w:rPr>
                <w:sz w:val="18"/>
                <w:szCs w:val="18"/>
              </w:rPr>
            </w:pPr>
          </w:p>
        </w:tc>
      </w:tr>
      <w:tr w:rsidR="00C01A50" w:rsidRPr="00DE714B" w14:paraId="67C9C6DF" w14:textId="77777777">
        <w:tc>
          <w:tcPr>
            <w:tcW w:w="1250" w:type="pct"/>
          </w:tcPr>
          <w:p w14:paraId="49F7E19A" w14:textId="77777777" w:rsidR="00C01A50" w:rsidRPr="00DE714B" w:rsidRDefault="00C01A50" w:rsidP="00DE714B">
            <w:pPr>
              <w:spacing w:before="40" w:after="40" w:line="240" w:lineRule="auto"/>
              <w:jc w:val="left"/>
              <w:rPr>
                <w:sz w:val="18"/>
                <w:szCs w:val="18"/>
              </w:rPr>
            </w:pPr>
          </w:p>
        </w:tc>
        <w:tc>
          <w:tcPr>
            <w:tcW w:w="1250" w:type="pct"/>
          </w:tcPr>
          <w:p w14:paraId="4596A3E4" w14:textId="77777777" w:rsidR="00C01A50" w:rsidRPr="00DE714B" w:rsidRDefault="00C01A50" w:rsidP="00DE714B">
            <w:pPr>
              <w:spacing w:before="40" w:after="40" w:line="240" w:lineRule="auto"/>
              <w:jc w:val="left"/>
              <w:rPr>
                <w:sz w:val="18"/>
                <w:szCs w:val="18"/>
              </w:rPr>
            </w:pPr>
          </w:p>
        </w:tc>
        <w:tc>
          <w:tcPr>
            <w:tcW w:w="1250" w:type="pct"/>
          </w:tcPr>
          <w:p w14:paraId="3F1A3E97" w14:textId="77777777" w:rsidR="00C01A50" w:rsidRPr="00DE714B" w:rsidRDefault="00C01A50" w:rsidP="00DE714B">
            <w:pPr>
              <w:spacing w:before="40" w:after="40" w:line="240" w:lineRule="auto"/>
              <w:jc w:val="left"/>
              <w:rPr>
                <w:sz w:val="18"/>
                <w:szCs w:val="18"/>
              </w:rPr>
            </w:pPr>
            <w:r w:rsidRPr="00DE714B">
              <w:rPr>
                <w:sz w:val="18"/>
                <w:szCs w:val="18"/>
              </w:rPr>
              <w:t>Lockington</w:t>
            </w:r>
          </w:p>
        </w:tc>
        <w:tc>
          <w:tcPr>
            <w:tcW w:w="1250" w:type="pct"/>
          </w:tcPr>
          <w:p w14:paraId="6CDFFBBF" w14:textId="77777777" w:rsidR="00C01A50" w:rsidRPr="00DE714B" w:rsidRDefault="00C01A50" w:rsidP="00DE714B">
            <w:pPr>
              <w:spacing w:before="40" w:after="40" w:line="240" w:lineRule="auto"/>
              <w:jc w:val="left"/>
              <w:rPr>
                <w:sz w:val="18"/>
                <w:szCs w:val="18"/>
              </w:rPr>
            </w:pPr>
          </w:p>
        </w:tc>
      </w:tr>
    </w:tbl>
    <w:p w14:paraId="42DF35D9" w14:textId="77777777" w:rsidR="00C01A50" w:rsidRDefault="00C01A50" w:rsidP="00593A9A">
      <w:r>
        <w:rPr>
          <w:szCs w:val="22"/>
        </w:rPr>
        <w:t>*</w:t>
      </w:r>
      <w:r w:rsidRPr="008A42AF">
        <w:rPr>
          <w:szCs w:val="22"/>
        </w:rPr>
        <w:t>Category 1 or 2</w:t>
      </w:r>
    </w:p>
    <w:p w14:paraId="0821A1B3" w14:textId="77777777" w:rsidR="00C01A50" w:rsidRDefault="00C01A50" w:rsidP="00593A9A">
      <w:r>
        <w:t xml:space="preserve">The only Category 3 town identified in Victoria was </w:t>
      </w:r>
      <w:r w:rsidRPr="00B00D35">
        <w:t>Echuca/Moama (category 3 or 4)</w:t>
      </w:r>
      <w:r>
        <w:t>.</w:t>
      </w:r>
    </w:p>
    <w:p w14:paraId="0D44F7AB" w14:textId="77777777" w:rsidR="00C01A50" w:rsidRDefault="00DE714B" w:rsidP="00593A9A">
      <w:r>
        <w:t xml:space="preserve">Social </w:t>
      </w:r>
      <w:r w:rsidR="00C01A50">
        <w:t xml:space="preserve">evidence is </w:t>
      </w:r>
      <w:r>
        <w:t xml:space="preserve">primarily </w:t>
      </w:r>
      <w:r w:rsidR="00C01A50">
        <w:t>obtained from the ABS Population Census. Although a census was conducted in 2016, the latest available census data is from the 2011 census. This means that much of the available social data is useful for understanding the context of potential social change, rather than providing evidence that the water recovery under the Basin Plan has resulted in particular types of change in particular localities.</w:t>
      </w:r>
    </w:p>
    <w:p w14:paraId="29DE11F8" w14:textId="77777777" w:rsidR="00C01A50" w:rsidRDefault="00C01A50" w:rsidP="008A712A">
      <w:r>
        <w:t>One source of more recent data is the University of Canberra Regional Wellbeing Survey that was conducted in 2013, 2014 and 2015. The 2014 data has been used to prepare “People and communities” and “</w:t>
      </w:r>
      <w:r w:rsidRPr="00804A79">
        <w:t>Farmers and agriculture</w:t>
      </w:r>
      <w:r>
        <w:t>” reports (plus an additional release on dairy farmer wellbeing) — discussed below. The forthcoming “E</w:t>
      </w:r>
      <w:r w:rsidRPr="00804A79">
        <w:t>nvironment and natural resource management</w:t>
      </w:r>
      <w:r>
        <w:t>”</w:t>
      </w:r>
      <w:r w:rsidRPr="00804A79">
        <w:t xml:space="preserve"> report</w:t>
      </w:r>
      <w:r>
        <w:t xml:space="preserve"> analyses the </w:t>
      </w:r>
      <w:r w:rsidRPr="00615121">
        <w:t>Murray-Darling Basin Plan</w:t>
      </w:r>
      <w:r>
        <w:t xml:space="preserve"> — p</w:t>
      </w:r>
      <w:r w:rsidRPr="00615121">
        <w:t>articipants were asked if they had views about the Basin Plan</w:t>
      </w:r>
      <w:r>
        <w:t>, and i</w:t>
      </w:r>
      <w:r w:rsidRPr="00615121">
        <w:t>f they did, they were asked their views about the process and impacts of the Plan</w:t>
      </w:r>
      <w:r>
        <w:t xml:space="preserve">. </w:t>
      </w:r>
    </w:p>
    <w:p w14:paraId="47642F6F" w14:textId="77777777" w:rsidR="00C01A50" w:rsidRDefault="00C01A50" w:rsidP="00593A9A">
      <w:r>
        <w:t xml:space="preserve">The DEDJTR team working with the data from the Regional Wellbeing Surveys was able to provide the data relating to the Basin Plan for this project. They had only recently received access to the 2015 data, so it is graphed for the first time in Appendix </w:t>
      </w:r>
      <w:r>
        <w:fldChar w:fldCharType="begin"/>
      </w:r>
      <w:r>
        <w:instrText xml:space="preserve"> REF _Ref342040812 \r \h </w:instrText>
      </w:r>
      <w:r>
        <w:fldChar w:fldCharType="separate"/>
      </w:r>
      <w:r w:rsidR="008E5D7A">
        <w:t>1</w:t>
      </w:r>
      <w:r>
        <w:fldChar w:fldCharType="end"/>
      </w:r>
      <w:r>
        <w:t>.</w:t>
      </w:r>
    </w:p>
    <w:p w14:paraId="697C9515" w14:textId="77777777" w:rsidR="00C01A50" w:rsidRDefault="00C01A50" w:rsidP="00593A9A">
      <w:pPr>
        <w:pStyle w:val="Heading2"/>
      </w:pPr>
      <w:bookmarkStart w:id="208" w:name="_Toc347747854"/>
      <w:r>
        <w:t>ABS data</w:t>
      </w:r>
      <w:bookmarkEnd w:id="208"/>
      <w:r>
        <w:t xml:space="preserve"> </w:t>
      </w:r>
    </w:p>
    <w:p w14:paraId="6B7025B6" w14:textId="77777777" w:rsidR="00C01A50" w:rsidRDefault="00C01A50" w:rsidP="00593A9A">
      <w:r>
        <w:t xml:space="preserve">Each census, employment data is collected down to the level of subgroups of industries as defined by the </w:t>
      </w:r>
      <w:r w:rsidRPr="00C71C86">
        <w:t>Australian and New Zealand Standard Ind</w:t>
      </w:r>
      <w:r>
        <w:t>ustrial Classification (ANZSIC). In line with the ABS production data, the employment information is used at the NRM level.</w:t>
      </w:r>
    </w:p>
    <w:p w14:paraId="4863A436" w14:textId="77777777" w:rsidR="00C01A50" w:rsidRDefault="00C01A50" w:rsidP="00593A9A">
      <w:r>
        <w:t xml:space="preserve">The table below demonstrates the significance of dairy farming to employment in Goulburn Broken, North Central and </w:t>
      </w:r>
      <w:r w:rsidRPr="00211EE7">
        <w:t>North East</w:t>
      </w:r>
      <w:r>
        <w:t>. Employment in dairy product manufacturing is nearly as great, with a greater concentration in the Goulburn Broken region. Fruit and tree nut growing is similarly important to employment, with the greatest employment in the Mallee. The distribution of fruit and vegetable processing employment is focused in the Goulburn Broken for this 2011 census data and this may have changed for the forthcoming 2016 census data due to changes in the fruit industry moving from canning to fresh fruit.</w:t>
      </w:r>
    </w:p>
    <w:p w14:paraId="319F9771" w14:textId="77777777" w:rsidR="00C01A50" w:rsidRPr="00C108B5" w:rsidRDefault="00C01A50" w:rsidP="00593A9A">
      <w:pPr>
        <w:rPr>
          <w:b/>
        </w:rPr>
      </w:pPr>
      <w:r w:rsidRPr="00C108B5">
        <w:rPr>
          <w:b/>
        </w:rPr>
        <w:t xml:space="preserve">Table </w:t>
      </w:r>
      <w:r w:rsidRPr="00C108B5">
        <w:rPr>
          <w:b/>
        </w:rPr>
        <w:fldChar w:fldCharType="begin"/>
      </w:r>
      <w:r w:rsidRPr="00C108B5">
        <w:rPr>
          <w:b/>
        </w:rPr>
        <w:instrText xml:space="preserve"> SEQ Table \* ARABIC </w:instrText>
      </w:r>
      <w:r w:rsidRPr="00C108B5">
        <w:rPr>
          <w:b/>
        </w:rPr>
        <w:fldChar w:fldCharType="separate"/>
      </w:r>
      <w:r w:rsidR="008E5D7A">
        <w:rPr>
          <w:b/>
          <w:noProof/>
        </w:rPr>
        <w:t>14</w:t>
      </w:r>
      <w:r w:rsidRPr="00C108B5">
        <w:rPr>
          <w:b/>
        </w:rPr>
        <w:fldChar w:fldCharType="end"/>
      </w:r>
      <w:r w:rsidRPr="00C108B5">
        <w:rPr>
          <w:b/>
        </w:rPr>
        <w:t>: Regional employment data by industry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9"/>
        <w:gridCol w:w="1420"/>
        <w:gridCol w:w="1417"/>
        <w:gridCol w:w="1418"/>
        <w:gridCol w:w="1416"/>
        <w:gridCol w:w="1418"/>
      </w:tblGrid>
      <w:tr w:rsidR="00C01A50" w14:paraId="7E1F24C2" w14:textId="77777777">
        <w:tc>
          <w:tcPr>
            <w:tcW w:w="2093" w:type="dxa"/>
            <w:shd w:val="clear" w:color="auto" w:fill="auto"/>
          </w:tcPr>
          <w:p w14:paraId="52818C23" w14:textId="77777777" w:rsidR="00C01A50" w:rsidRPr="00B736A9" w:rsidRDefault="00C01A50" w:rsidP="00593A9A">
            <w:pPr>
              <w:rPr>
                <w:rFonts w:ascii="Arial" w:hAnsi="Arial" w:cs="Arial"/>
                <w:sz w:val="18"/>
                <w:szCs w:val="18"/>
              </w:rPr>
            </w:pPr>
          </w:p>
        </w:tc>
        <w:tc>
          <w:tcPr>
            <w:tcW w:w="1429" w:type="dxa"/>
            <w:shd w:val="clear" w:color="auto" w:fill="auto"/>
            <w:vAlign w:val="center"/>
          </w:tcPr>
          <w:p w14:paraId="4EE9FC7F"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Goulburn Broken</w:t>
            </w:r>
          </w:p>
        </w:tc>
        <w:tc>
          <w:tcPr>
            <w:tcW w:w="1430" w:type="dxa"/>
            <w:shd w:val="clear" w:color="auto" w:fill="auto"/>
            <w:vAlign w:val="center"/>
          </w:tcPr>
          <w:p w14:paraId="01886F8E"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Mallee</w:t>
            </w:r>
          </w:p>
        </w:tc>
        <w:tc>
          <w:tcPr>
            <w:tcW w:w="1430" w:type="dxa"/>
            <w:shd w:val="clear" w:color="auto" w:fill="auto"/>
            <w:vAlign w:val="center"/>
          </w:tcPr>
          <w:p w14:paraId="6A2C3EC6"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North Central</w:t>
            </w:r>
          </w:p>
        </w:tc>
        <w:tc>
          <w:tcPr>
            <w:tcW w:w="1430" w:type="dxa"/>
            <w:shd w:val="clear" w:color="auto" w:fill="auto"/>
            <w:vAlign w:val="center"/>
          </w:tcPr>
          <w:p w14:paraId="3E7127DE"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North East</w:t>
            </w:r>
          </w:p>
        </w:tc>
        <w:tc>
          <w:tcPr>
            <w:tcW w:w="1430" w:type="dxa"/>
            <w:shd w:val="clear" w:color="auto" w:fill="auto"/>
            <w:vAlign w:val="center"/>
          </w:tcPr>
          <w:p w14:paraId="16135135"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Total</w:t>
            </w:r>
          </w:p>
        </w:tc>
      </w:tr>
      <w:tr w:rsidR="00C01A50" w14:paraId="1302E938" w14:textId="77777777">
        <w:tc>
          <w:tcPr>
            <w:tcW w:w="2093" w:type="dxa"/>
            <w:shd w:val="clear" w:color="auto" w:fill="auto"/>
            <w:vAlign w:val="center"/>
          </w:tcPr>
          <w:p w14:paraId="0BD223C3" w14:textId="77777777" w:rsidR="00C01A50" w:rsidRPr="00F46B35" w:rsidRDefault="00C01A50" w:rsidP="00593A9A">
            <w:pPr>
              <w:spacing w:before="0" w:after="0" w:line="240" w:lineRule="auto"/>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lastRenderedPageBreak/>
              <w:t>Dairy Cattle Farming</w:t>
            </w:r>
          </w:p>
        </w:tc>
        <w:tc>
          <w:tcPr>
            <w:tcW w:w="1429" w:type="dxa"/>
            <w:shd w:val="clear" w:color="auto" w:fill="auto"/>
            <w:vAlign w:val="bottom"/>
          </w:tcPr>
          <w:p w14:paraId="17B297EE"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1,872</w:t>
            </w:r>
          </w:p>
        </w:tc>
        <w:tc>
          <w:tcPr>
            <w:tcW w:w="1430" w:type="dxa"/>
            <w:shd w:val="clear" w:color="auto" w:fill="auto"/>
            <w:vAlign w:val="bottom"/>
          </w:tcPr>
          <w:p w14:paraId="397B3FC2"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0</w:t>
            </w:r>
          </w:p>
        </w:tc>
        <w:tc>
          <w:tcPr>
            <w:tcW w:w="1430" w:type="dxa"/>
            <w:shd w:val="clear" w:color="auto" w:fill="auto"/>
            <w:vAlign w:val="bottom"/>
          </w:tcPr>
          <w:p w14:paraId="4849B517"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1,128</w:t>
            </w:r>
          </w:p>
        </w:tc>
        <w:tc>
          <w:tcPr>
            <w:tcW w:w="1430" w:type="dxa"/>
            <w:shd w:val="clear" w:color="auto" w:fill="auto"/>
            <w:vAlign w:val="bottom"/>
          </w:tcPr>
          <w:p w14:paraId="4EB5155C"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480</w:t>
            </w:r>
          </w:p>
        </w:tc>
        <w:tc>
          <w:tcPr>
            <w:tcW w:w="1430" w:type="dxa"/>
            <w:shd w:val="clear" w:color="auto" w:fill="auto"/>
            <w:vAlign w:val="bottom"/>
          </w:tcPr>
          <w:p w14:paraId="14015ABE"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3,480</w:t>
            </w:r>
          </w:p>
        </w:tc>
      </w:tr>
      <w:tr w:rsidR="00C01A50" w14:paraId="7CE3D61C" w14:textId="77777777">
        <w:tc>
          <w:tcPr>
            <w:tcW w:w="2093" w:type="dxa"/>
            <w:shd w:val="clear" w:color="auto" w:fill="auto"/>
            <w:vAlign w:val="center"/>
          </w:tcPr>
          <w:p w14:paraId="71B9B3AD" w14:textId="77777777" w:rsidR="00C01A50" w:rsidRPr="00F46B35" w:rsidRDefault="00C01A50" w:rsidP="00593A9A">
            <w:pPr>
              <w:spacing w:before="0" w:after="0" w:line="240" w:lineRule="auto"/>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Dairy Product Manufacturing</w:t>
            </w:r>
          </w:p>
        </w:tc>
        <w:tc>
          <w:tcPr>
            <w:tcW w:w="1429" w:type="dxa"/>
            <w:shd w:val="clear" w:color="auto" w:fill="auto"/>
            <w:vAlign w:val="bottom"/>
          </w:tcPr>
          <w:p w14:paraId="7C2EE5BC"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1,233</w:t>
            </w:r>
          </w:p>
        </w:tc>
        <w:tc>
          <w:tcPr>
            <w:tcW w:w="1430" w:type="dxa"/>
            <w:shd w:val="clear" w:color="auto" w:fill="auto"/>
            <w:vAlign w:val="bottom"/>
          </w:tcPr>
          <w:p w14:paraId="2E306119"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7</w:t>
            </w:r>
          </w:p>
        </w:tc>
        <w:tc>
          <w:tcPr>
            <w:tcW w:w="1430" w:type="dxa"/>
            <w:shd w:val="clear" w:color="auto" w:fill="auto"/>
            <w:vAlign w:val="bottom"/>
          </w:tcPr>
          <w:p w14:paraId="1109C30B"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551</w:t>
            </w:r>
          </w:p>
        </w:tc>
        <w:tc>
          <w:tcPr>
            <w:tcW w:w="1430" w:type="dxa"/>
            <w:shd w:val="clear" w:color="auto" w:fill="auto"/>
            <w:vAlign w:val="bottom"/>
          </w:tcPr>
          <w:p w14:paraId="3E8C30FF"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275</w:t>
            </w:r>
          </w:p>
        </w:tc>
        <w:tc>
          <w:tcPr>
            <w:tcW w:w="1430" w:type="dxa"/>
            <w:shd w:val="clear" w:color="auto" w:fill="auto"/>
            <w:vAlign w:val="bottom"/>
          </w:tcPr>
          <w:p w14:paraId="234082BA"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2,066</w:t>
            </w:r>
          </w:p>
        </w:tc>
      </w:tr>
      <w:tr w:rsidR="00C01A50" w14:paraId="19B5B212" w14:textId="77777777">
        <w:tc>
          <w:tcPr>
            <w:tcW w:w="2093" w:type="dxa"/>
            <w:shd w:val="clear" w:color="auto" w:fill="auto"/>
            <w:vAlign w:val="center"/>
          </w:tcPr>
          <w:p w14:paraId="4B99E762" w14:textId="77777777" w:rsidR="00C01A50" w:rsidRPr="00F46B35" w:rsidRDefault="00C01A50" w:rsidP="00593A9A">
            <w:pPr>
              <w:spacing w:before="0" w:after="0" w:line="240" w:lineRule="auto"/>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Fruit and Tree Nut Growing</w:t>
            </w:r>
          </w:p>
        </w:tc>
        <w:tc>
          <w:tcPr>
            <w:tcW w:w="1429" w:type="dxa"/>
            <w:shd w:val="clear" w:color="auto" w:fill="auto"/>
            <w:vAlign w:val="bottom"/>
          </w:tcPr>
          <w:p w14:paraId="6A4E7423"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1,246</w:t>
            </w:r>
          </w:p>
        </w:tc>
        <w:tc>
          <w:tcPr>
            <w:tcW w:w="1430" w:type="dxa"/>
            <w:shd w:val="clear" w:color="auto" w:fill="auto"/>
            <w:vAlign w:val="bottom"/>
          </w:tcPr>
          <w:p w14:paraId="5ECA653D"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1,882</w:t>
            </w:r>
          </w:p>
        </w:tc>
        <w:tc>
          <w:tcPr>
            <w:tcW w:w="1430" w:type="dxa"/>
            <w:shd w:val="clear" w:color="auto" w:fill="auto"/>
            <w:vAlign w:val="bottom"/>
          </w:tcPr>
          <w:p w14:paraId="159ABF09"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549</w:t>
            </w:r>
          </w:p>
        </w:tc>
        <w:tc>
          <w:tcPr>
            <w:tcW w:w="1430" w:type="dxa"/>
            <w:shd w:val="clear" w:color="auto" w:fill="auto"/>
            <w:vAlign w:val="bottom"/>
          </w:tcPr>
          <w:p w14:paraId="6C9F88FE"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277</w:t>
            </w:r>
          </w:p>
        </w:tc>
        <w:tc>
          <w:tcPr>
            <w:tcW w:w="1430" w:type="dxa"/>
            <w:shd w:val="clear" w:color="auto" w:fill="auto"/>
            <w:vAlign w:val="bottom"/>
          </w:tcPr>
          <w:p w14:paraId="3F57787A"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3,954</w:t>
            </w:r>
          </w:p>
        </w:tc>
      </w:tr>
      <w:tr w:rsidR="00C01A50" w14:paraId="052E2614" w14:textId="77777777">
        <w:tc>
          <w:tcPr>
            <w:tcW w:w="2093" w:type="dxa"/>
            <w:shd w:val="clear" w:color="auto" w:fill="auto"/>
            <w:vAlign w:val="center"/>
          </w:tcPr>
          <w:p w14:paraId="6A7D1688" w14:textId="77777777" w:rsidR="00C01A50" w:rsidRPr="00F46B35" w:rsidRDefault="00C01A50" w:rsidP="00593A9A">
            <w:pPr>
              <w:spacing w:before="0" w:after="0" w:line="240" w:lineRule="auto"/>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Fruit and Vegetable Processing</w:t>
            </w:r>
          </w:p>
        </w:tc>
        <w:tc>
          <w:tcPr>
            <w:tcW w:w="1429" w:type="dxa"/>
            <w:shd w:val="clear" w:color="auto" w:fill="auto"/>
            <w:vAlign w:val="bottom"/>
          </w:tcPr>
          <w:p w14:paraId="5BD64FDF"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1,140</w:t>
            </w:r>
          </w:p>
        </w:tc>
        <w:tc>
          <w:tcPr>
            <w:tcW w:w="1430" w:type="dxa"/>
            <w:shd w:val="clear" w:color="auto" w:fill="auto"/>
            <w:vAlign w:val="bottom"/>
          </w:tcPr>
          <w:p w14:paraId="47C31081"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271</w:t>
            </w:r>
          </w:p>
        </w:tc>
        <w:tc>
          <w:tcPr>
            <w:tcW w:w="1430" w:type="dxa"/>
            <w:shd w:val="clear" w:color="auto" w:fill="auto"/>
            <w:vAlign w:val="bottom"/>
          </w:tcPr>
          <w:p w14:paraId="215CED52"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283</w:t>
            </w:r>
          </w:p>
        </w:tc>
        <w:tc>
          <w:tcPr>
            <w:tcW w:w="1430" w:type="dxa"/>
            <w:shd w:val="clear" w:color="auto" w:fill="auto"/>
            <w:vAlign w:val="bottom"/>
          </w:tcPr>
          <w:p w14:paraId="05092F12"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39</w:t>
            </w:r>
          </w:p>
        </w:tc>
        <w:tc>
          <w:tcPr>
            <w:tcW w:w="1430" w:type="dxa"/>
            <w:shd w:val="clear" w:color="auto" w:fill="auto"/>
            <w:vAlign w:val="bottom"/>
          </w:tcPr>
          <w:p w14:paraId="4C5F7591"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1,733</w:t>
            </w:r>
          </w:p>
        </w:tc>
      </w:tr>
      <w:tr w:rsidR="00C01A50" w14:paraId="31E6D51D" w14:textId="77777777">
        <w:tc>
          <w:tcPr>
            <w:tcW w:w="2093" w:type="dxa"/>
            <w:shd w:val="clear" w:color="auto" w:fill="auto"/>
            <w:vAlign w:val="center"/>
          </w:tcPr>
          <w:p w14:paraId="56777E0B" w14:textId="77777777" w:rsidR="00C01A50" w:rsidRPr="00F46B35" w:rsidRDefault="00C01A50" w:rsidP="00593A9A">
            <w:pPr>
              <w:spacing w:before="0" w:after="0" w:line="240" w:lineRule="auto"/>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Total</w:t>
            </w:r>
          </w:p>
        </w:tc>
        <w:tc>
          <w:tcPr>
            <w:tcW w:w="1429" w:type="dxa"/>
            <w:shd w:val="clear" w:color="auto" w:fill="auto"/>
            <w:vAlign w:val="bottom"/>
          </w:tcPr>
          <w:p w14:paraId="412B4F5A"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5,491</w:t>
            </w:r>
          </w:p>
        </w:tc>
        <w:tc>
          <w:tcPr>
            <w:tcW w:w="1430" w:type="dxa"/>
            <w:shd w:val="clear" w:color="auto" w:fill="auto"/>
            <w:vAlign w:val="bottom"/>
          </w:tcPr>
          <w:p w14:paraId="359003FE"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2,160</w:t>
            </w:r>
          </w:p>
        </w:tc>
        <w:tc>
          <w:tcPr>
            <w:tcW w:w="1430" w:type="dxa"/>
            <w:shd w:val="clear" w:color="auto" w:fill="auto"/>
            <w:vAlign w:val="bottom"/>
          </w:tcPr>
          <w:p w14:paraId="70F5E802"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2,511</w:t>
            </w:r>
          </w:p>
        </w:tc>
        <w:tc>
          <w:tcPr>
            <w:tcW w:w="1430" w:type="dxa"/>
            <w:shd w:val="clear" w:color="auto" w:fill="auto"/>
            <w:vAlign w:val="bottom"/>
          </w:tcPr>
          <w:p w14:paraId="24D29288"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1,071</w:t>
            </w:r>
          </w:p>
        </w:tc>
        <w:tc>
          <w:tcPr>
            <w:tcW w:w="1430" w:type="dxa"/>
            <w:shd w:val="clear" w:color="auto" w:fill="auto"/>
            <w:vAlign w:val="bottom"/>
          </w:tcPr>
          <w:p w14:paraId="3D4C4459" w14:textId="77777777" w:rsidR="00C01A50" w:rsidRPr="00F46B35" w:rsidRDefault="00C01A50" w:rsidP="00593A9A">
            <w:pPr>
              <w:spacing w:before="0" w:after="0" w:line="240" w:lineRule="auto"/>
              <w:jc w:val="right"/>
              <w:rPr>
                <w:rFonts w:ascii="Arial" w:eastAsia="Arial Unicode MS" w:hAnsi="Arial" w:cs="Arial"/>
                <w:color w:val="000000"/>
                <w:sz w:val="18"/>
                <w:szCs w:val="18"/>
                <w:lang w:val="en-AU" w:eastAsia="en-AU" w:bidi="ar-SA"/>
              </w:rPr>
            </w:pPr>
            <w:r w:rsidRPr="00B736A9">
              <w:rPr>
                <w:rFonts w:ascii="Arial" w:eastAsia="Arial Unicode MS" w:hAnsi="Arial" w:cs="Arial"/>
                <w:color w:val="000000"/>
                <w:sz w:val="18"/>
                <w:szCs w:val="18"/>
                <w:lang w:val="en-AU" w:eastAsia="en-AU" w:bidi="ar-SA"/>
              </w:rPr>
              <w:t>11,233</w:t>
            </w:r>
          </w:p>
        </w:tc>
      </w:tr>
    </w:tbl>
    <w:p w14:paraId="7F8A77A6" w14:textId="77777777" w:rsidR="00C01A50" w:rsidRPr="00C108B5" w:rsidRDefault="00C01A50" w:rsidP="00593A9A">
      <w:pPr>
        <w:rPr>
          <w:rFonts w:eastAsia="Calibri"/>
          <w:color w:val="000000"/>
          <w:sz w:val="18"/>
          <w:szCs w:val="22"/>
          <w:lang w:val="en-AU"/>
        </w:rPr>
      </w:pPr>
      <w:r w:rsidRPr="00C108B5">
        <w:rPr>
          <w:rFonts w:eastAsia="Calibri"/>
          <w:color w:val="000000"/>
          <w:sz w:val="18"/>
          <w:szCs w:val="22"/>
          <w:lang w:val="en-AU"/>
        </w:rPr>
        <w:t>Source: ABS census data</w:t>
      </w:r>
    </w:p>
    <w:p w14:paraId="7E1D0B65" w14:textId="77777777" w:rsidR="00C01A50" w:rsidRDefault="00C01A50" w:rsidP="00587778">
      <w:r>
        <w:t>Additional detail is available as these industry types are disaggregated to the lowest level collected (the 4-digit ANZSIC categorisation) as in the table below.</w:t>
      </w:r>
      <w:r w:rsidR="005E7966">
        <w:t xml:space="preserve"> </w:t>
      </w:r>
    </w:p>
    <w:p w14:paraId="3B4B17B4" w14:textId="77777777" w:rsidR="00C01A50" w:rsidRPr="00C108B5" w:rsidRDefault="00C01A50" w:rsidP="00593A9A">
      <w:pPr>
        <w:rPr>
          <w:b/>
        </w:rPr>
      </w:pPr>
      <w:r w:rsidRPr="00C108B5">
        <w:rPr>
          <w:b/>
        </w:rPr>
        <w:t xml:space="preserve">Table </w:t>
      </w:r>
      <w:r w:rsidRPr="00C108B5">
        <w:rPr>
          <w:b/>
        </w:rPr>
        <w:fldChar w:fldCharType="begin"/>
      </w:r>
      <w:r w:rsidRPr="00C108B5">
        <w:rPr>
          <w:b/>
        </w:rPr>
        <w:instrText xml:space="preserve"> SEQ Table \* ARABIC </w:instrText>
      </w:r>
      <w:r w:rsidRPr="00C108B5">
        <w:rPr>
          <w:b/>
        </w:rPr>
        <w:fldChar w:fldCharType="separate"/>
      </w:r>
      <w:r w:rsidR="008E5D7A">
        <w:rPr>
          <w:b/>
          <w:noProof/>
        </w:rPr>
        <w:t>15</w:t>
      </w:r>
      <w:r w:rsidRPr="00C108B5">
        <w:rPr>
          <w:b/>
        </w:rPr>
        <w:fldChar w:fldCharType="end"/>
      </w:r>
      <w:r w:rsidRPr="00C108B5">
        <w:rPr>
          <w:b/>
        </w:rPr>
        <w:t>: Regional employment data by 4-digit ANZSIC categorisation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1420"/>
        <w:gridCol w:w="1417"/>
        <w:gridCol w:w="1418"/>
        <w:gridCol w:w="1416"/>
        <w:gridCol w:w="1417"/>
      </w:tblGrid>
      <w:tr w:rsidR="00C01A50" w14:paraId="20D082CE" w14:textId="77777777">
        <w:tc>
          <w:tcPr>
            <w:tcW w:w="2093" w:type="dxa"/>
            <w:shd w:val="clear" w:color="auto" w:fill="auto"/>
          </w:tcPr>
          <w:p w14:paraId="4AD93187"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p>
        </w:tc>
        <w:tc>
          <w:tcPr>
            <w:tcW w:w="1429" w:type="dxa"/>
            <w:shd w:val="clear" w:color="auto" w:fill="auto"/>
            <w:vAlign w:val="center"/>
          </w:tcPr>
          <w:p w14:paraId="094DD96B"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Goulburn Broken</w:t>
            </w:r>
          </w:p>
        </w:tc>
        <w:tc>
          <w:tcPr>
            <w:tcW w:w="1430" w:type="dxa"/>
            <w:shd w:val="clear" w:color="auto" w:fill="auto"/>
            <w:vAlign w:val="center"/>
          </w:tcPr>
          <w:p w14:paraId="0A9A9B64"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Mallee</w:t>
            </w:r>
          </w:p>
        </w:tc>
        <w:tc>
          <w:tcPr>
            <w:tcW w:w="1430" w:type="dxa"/>
            <w:shd w:val="clear" w:color="auto" w:fill="auto"/>
            <w:vAlign w:val="center"/>
          </w:tcPr>
          <w:p w14:paraId="684803AC"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North Central</w:t>
            </w:r>
          </w:p>
        </w:tc>
        <w:tc>
          <w:tcPr>
            <w:tcW w:w="1430" w:type="dxa"/>
            <w:shd w:val="clear" w:color="auto" w:fill="auto"/>
            <w:vAlign w:val="center"/>
          </w:tcPr>
          <w:p w14:paraId="2DC1CE1A"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North East</w:t>
            </w:r>
          </w:p>
        </w:tc>
        <w:tc>
          <w:tcPr>
            <w:tcW w:w="1430" w:type="dxa"/>
            <w:shd w:val="clear" w:color="auto" w:fill="auto"/>
            <w:vAlign w:val="center"/>
          </w:tcPr>
          <w:p w14:paraId="7F0C9581" w14:textId="77777777" w:rsidR="00C01A50" w:rsidRPr="00F46B35" w:rsidRDefault="00C01A50" w:rsidP="00593A9A">
            <w:pPr>
              <w:spacing w:before="0" w:after="0" w:line="240" w:lineRule="auto"/>
              <w:jc w:val="center"/>
              <w:rPr>
                <w:rFonts w:ascii="Arial" w:hAnsi="Arial" w:cs="Arial"/>
                <w:color w:val="000000"/>
                <w:sz w:val="18"/>
                <w:szCs w:val="18"/>
                <w:lang w:val="en-AU" w:eastAsia="en-AU" w:bidi="ar-SA"/>
              </w:rPr>
            </w:pPr>
            <w:r w:rsidRPr="00F46B35">
              <w:rPr>
                <w:rFonts w:ascii="Arial" w:hAnsi="Arial" w:cs="Arial"/>
                <w:color w:val="000000"/>
                <w:sz w:val="18"/>
                <w:szCs w:val="18"/>
                <w:lang w:val="en-AU" w:eastAsia="en-AU" w:bidi="ar-SA"/>
              </w:rPr>
              <w:t>Total</w:t>
            </w:r>
          </w:p>
        </w:tc>
      </w:tr>
      <w:tr w:rsidR="00C01A50" w14:paraId="271FFE82" w14:textId="77777777">
        <w:tc>
          <w:tcPr>
            <w:tcW w:w="9242" w:type="dxa"/>
            <w:gridSpan w:val="6"/>
            <w:shd w:val="clear" w:color="auto" w:fill="BFBFBF"/>
          </w:tcPr>
          <w:p w14:paraId="7A36E5EF" w14:textId="77777777" w:rsidR="00C01A50" w:rsidRPr="00B736A9" w:rsidRDefault="00C01A50" w:rsidP="00593A9A">
            <w:pPr>
              <w:spacing w:before="0" w:after="0" w:line="240" w:lineRule="auto"/>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Manufacturing</w:t>
            </w:r>
          </w:p>
        </w:tc>
      </w:tr>
      <w:tr w:rsidR="00C01A50" w14:paraId="4CF7A8EA" w14:textId="77777777">
        <w:tc>
          <w:tcPr>
            <w:tcW w:w="2093" w:type="dxa"/>
            <w:shd w:val="clear" w:color="auto" w:fill="auto"/>
          </w:tcPr>
          <w:p w14:paraId="11737E4C"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Fruit and Vegetable Processing</w:t>
            </w:r>
          </w:p>
        </w:tc>
        <w:tc>
          <w:tcPr>
            <w:tcW w:w="1429" w:type="dxa"/>
            <w:shd w:val="clear" w:color="auto" w:fill="auto"/>
          </w:tcPr>
          <w:p w14:paraId="16C0DE83"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1,139</w:t>
            </w:r>
          </w:p>
        </w:tc>
        <w:tc>
          <w:tcPr>
            <w:tcW w:w="1430" w:type="dxa"/>
            <w:shd w:val="clear" w:color="auto" w:fill="auto"/>
          </w:tcPr>
          <w:p w14:paraId="00250436"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271</w:t>
            </w:r>
          </w:p>
        </w:tc>
        <w:tc>
          <w:tcPr>
            <w:tcW w:w="1430" w:type="dxa"/>
            <w:shd w:val="clear" w:color="auto" w:fill="auto"/>
          </w:tcPr>
          <w:p w14:paraId="271F3D12"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283</w:t>
            </w:r>
          </w:p>
        </w:tc>
        <w:tc>
          <w:tcPr>
            <w:tcW w:w="1430" w:type="dxa"/>
            <w:shd w:val="clear" w:color="auto" w:fill="auto"/>
          </w:tcPr>
          <w:p w14:paraId="7476B0E2"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40</w:t>
            </w:r>
          </w:p>
        </w:tc>
        <w:tc>
          <w:tcPr>
            <w:tcW w:w="1430" w:type="dxa"/>
            <w:shd w:val="clear" w:color="auto" w:fill="auto"/>
          </w:tcPr>
          <w:p w14:paraId="086CB20F"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1,733</w:t>
            </w:r>
          </w:p>
        </w:tc>
      </w:tr>
      <w:tr w:rsidR="00C01A50" w14:paraId="68F9438B" w14:textId="77777777">
        <w:tc>
          <w:tcPr>
            <w:tcW w:w="2093" w:type="dxa"/>
            <w:shd w:val="clear" w:color="auto" w:fill="auto"/>
          </w:tcPr>
          <w:p w14:paraId="5417ED14"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Dairy Product Manufacturing, nfd</w:t>
            </w:r>
          </w:p>
        </w:tc>
        <w:tc>
          <w:tcPr>
            <w:tcW w:w="1429" w:type="dxa"/>
            <w:shd w:val="clear" w:color="auto" w:fill="auto"/>
          </w:tcPr>
          <w:p w14:paraId="34EEEA77"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38</w:t>
            </w:r>
          </w:p>
        </w:tc>
        <w:tc>
          <w:tcPr>
            <w:tcW w:w="1430" w:type="dxa"/>
            <w:shd w:val="clear" w:color="auto" w:fill="auto"/>
          </w:tcPr>
          <w:p w14:paraId="4CA594AC"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0</w:t>
            </w:r>
          </w:p>
        </w:tc>
        <w:tc>
          <w:tcPr>
            <w:tcW w:w="1430" w:type="dxa"/>
            <w:shd w:val="clear" w:color="auto" w:fill="auto"/>
          </w:tcPr>
          <w:p w14:paraId="0745623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16</w:t>
            </w:r>
          </w:p>
        </w:tc>
        <w:tc>
          <w:tcPr>
            <w:tcW w:w="1430" w:type="dxa"/>
            <w:shd w:val="clear" w:color="auto" w:fill="auto"/>
          </w:tcPr>
          <w:p w14:paraId="0BD61973"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18</w:t>
            </w:r>
          </w:p>
        </w:tc>
        <w:tc>
          <w:tcPr>
            <w:tcW w:w="1430" w:type="dxa"/>
            <w:shd w:val="clear" w:color="auto" w:fill="auto"/>
          </w:tcPr>
          <w:p w14:paraId="2F9B041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72</w:t>
            </w:r>
          </w:p>
        </w:tc>
      </w:tr>
      <w:tr w:rsidR="00C01A50" w14:paraId="52FE7DB5" w14:textId="77777777">
        <w:tc>
          <w:tcPr>
            <w:tcW w:w="2093" w:type="dxa"/>
            <w:shd w:val="clear" w:color="auto" w:fill="auto"/>
          </w:tcPr>
          <w:p w14:paraId="3DA10D21"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Milk and Cream Processing</w:t>
            </w:r>
          </w:p>
        </w:tc>
        <w:tc>
          <w:tcPr>
            <w:tcW w:w="1429" w:type="dxa"/>
            <w:shd w:val="clear" w:color="auto" w:fill="auto"/>
          </w:tcPr>
          <w:p w14:paraId="66817876"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125</w:t>
            </w:r>
          </w:p>
        </w:tc>
        <w:tc>
          <w:tcPr>
            <w:tcW w:w="1430" w:type="dxa"/>
            <w:shd w:val="clear" w:color="auto" w:fill="auto"/>
          </w:tcPr>
          <w:p w14:paraId="0FF74008"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0</w:t>
            </w:r>
          </w:p>
        </w:tc>
        <w:tc>
          <w:tcPr>
            <w:tcW w:w="1430" w:type="dxa"/>
            <w:shd w:val="clear" w:color="auto" w:fill="auto"/>
          </w:tcPr>
          <w:p w14:paraId="1B601B5F"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193</w:t>
            </w:r>
          </w:p>
        </w:tc>
        <w:tc>
          <w:tcPr>
            <w:tcW w:w="1430" w:type="dxa"/>
            <w:shd w:val="clear" w:color="auto" w:fill="auto"/>
          </w:tcPr>
          <w:p w14:paraId="5106C24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64</w:t>
            </w:r>
          </w:p>
        </w:tc>
        <w:tc>
          <w:tcPr>
            <w:tcW w:w="1430" w:type="dxa"/>
            <w:shd w:val="clear" w:color="auto" w:fill="auto"/>
          </w:tcPr>
          <w:p w14:paraId="0B583BE5"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382</w:t>
            </w:r>
          </w:p>
        </w:tc>
      </w:tr>
      <w:tr w:rsidR="00C01A50" w14:paraId="3135F335" w14:textId="77777777">
        <w:tc>
          <w:tcPr>
            <w:tcW w:w="2093" w:type="dxa"/>
            <w:shd w:val="clear" w:color="auto" w:fill="auto"/>
          </w:tcPr>
          <w:p w14:paraId="08296778"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Ice Cream Manufacturing</w:t>
            </w:r>
          </w:p>
        </w:tc>
        <w:tc>
          <w:tcPr>
            <w:tcW w:w="1429" w:type="dxa"/>
            <w:shd w:val="clear" w:color="auto" w:fill="auto"/>
          </w:tcPr>
          <w:p w14:paraId="37730A7C"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8</w:t>
            </w:r>
          </w:p>
        </w:tc>
        <w:tc>
          <w:tcPr>
            <w:tcW w:w="1430" w:type="dxa"/>
            <w:shd w:val="clear" w:color="auto" w:fill="auto"/>
          </w:tcPr>
          <w:p w14:paraId="5366111C"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0</w:t>
            </w:r>
          </w:p>
        </w:tc>
        <w:tc>
          <w:tcPr>
            <w:tcW w:w="1430" w:type="dxa"/>
            <w:shd w:val="clear" w:color="auto" w:fill="auto"/>
          </w:tcPr>
          <w:p w14:paraId="0DAB45C1"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0</w:t>
            </w:r>
          </w:p>
        </w:tc>
        <w:tc>
          <w:tcPr>
            <w:tcW w:w="1430" w:type="dxa"/>
            <w:shd w:val="clear" w:color="auto" w:fill="auto"/>
          </w:tcPr>
          <w:p w14:paraId="7E9FA3C6"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8</w:t>
            </w:r>
          </w:p>
        </w:tc>
        <w:tc>
          <w:tcPr>
            <w:tcW w:w="1430" w:type="dxa"/>
            <w:shd w:val="clear" w:color="auto" w:fill="auto"/>
          </w:tcPr>
          <w:p w14:paraId="4D5AD8A4"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16</w:t>
            </w:r>
          </w:p>
        </w:tc>
      </w:tr>
      <w:tr w:rsidR="00C01A50" w14:paraId="578D2567" w14:textId="77777777">
        <w:tc>
          <w:tcPr>
            <w:tcW w:w="2093" w:type="dxa"/>
            <w:shd w:val="clear" w:color="auto" w:fill="auto"/>
          </w:tcPr>
          <w:p w14:paraId="7DBFF3BE"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Cheese and Other Dairy Product Manufacturing</w:t>
            </w:r>
          </w:p>
        </w:tc>
        <w:tc>
          <w:tcPr>
            <w:tcW w:w="1429" w:type="dxa"/>
            <w:shd w:val="clear" w:color="auto" w:fill="auto"/>
          </w:tcPr>
          <w:p w14:paraId="47F6C8C4"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1,065</w:t>
            </w:r>
          </w:p>
        </w:tc>
        <w:tc>
          <w:tcPr>
            <w:tcW w:w="1430" w:type="dxa"/>
            <w:shd w:val="clear" w:color="auto" w:fill="auto"/>
          </w:tcPr>
          <w:p w14:paraId="6180F412"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4</w:t>
            </w:r>
          </w:p>
        </w:tc>
        <w:tc>
          <w:tcPr>
            <w:tcW w:w="1430" w:type="dxa"/>
            <w:shd w:val="clear" w:color="auto" w:fill="auto"/>
          </w:tcPr>
          <w:p w14:paraId="2B2053D2"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338</w:t>
            </w:r>
          </w:p>
        </w:tc>
        <w:tc>
          <w:tcPr>
            <w:tcW w:w="1430" w:type="dxa"/>
            <w:shd w:val="clear" w:color="auto" w:fill="auto"/>
          </w:tcPr>
          <w:p w14:paraId="123C6DBE"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191</w:t>
            </w:r>
          </w:p>
        </w:tc>
        <w:tc>
          <w:tcPr>
            <w:tcW w:w="1430" w:type="dxa"/>
            <w:shd w:val="clear" w:color="auto" w:fill="auto"/>
          </w:tcPr>
          <w:p w14:paraId="334ACC52"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1,598</w:t>
            </w:r>
          </w:p>
        </w:tc>
      </w:tr>
      <w:tr w:rsidR="00C01A50" w14:paraId="358F998E" w14:textId="77777777">
        <w:tc>
          <w:tcPr>
            <w:tcW w:w="9242" w:type="dxa"/>
            <w:gridSpan w:val="6"/>
            <w:shd w:val="clear" w:color="auto" w:fill="BFBFBF"/>
          </w:tcPr>
          <w:p w14:paraId="5CE0C26C" w14:textId="77777777" w:rsidR="00C01A50" w:rsidRPr="00B736A9" w:rsidRDefault="00C01A50" w:rsidP="00593A9A">
            <w:pPr>
              <w:spacing w:before="0" w:after="0" w:line="240" w:lineRule="auto"/>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Agriculture</w:t>
            </w:r>
          </w:p>
        </w:tc>
      </w:tr>
      <w:tr w:rsidR="00C01A50" w14:paraId="13076FE6" w14:textId="77777777">
        <w:tc>
          <w:tcPr>
            <w:tcW w:w="2093" w:type="dxa"/>
            <w:shd w:val="clear" w:color="auto" w:fill="auto"/>
          </w:tcPr>
          <w:p w14:paraId="61029AC6"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Dairy Cattle Farming</w:t>
            </w:r>
          </w:p>
        </w:tc>
        <w:tc>
          <w:tcPr>
            <w:tcW w:w="1429" w:type="dxa"/>
            <w:shd w:val="clear" w:color="auto" w:fill="auto"/>
          </w:tcPr>
          <w:p w14:paraId="3BF894FE"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1,871</w:t>
            </w:r>
          </w:p>
        </w:tc>
        <w:tc>
          <w:tcPr>
            <w:tcW w:w="1430" w:type="dxa"/>
            <w:shd w:val="clear" w:color="auto" w:fill="auto"/>
          </w:tcPr>
          <w:p w14:paraId="4A789FCD"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0</w:t>
            </w:r>
          </w:p>
        </w:tc>
        <w:tc>
          <w:tcPr>
            <w:tcW w:w="1430" w:type="dxa"/>
            <w:shd w:val="clear" w:color="auto" w:fill="auto"/>
          </w:tcPr>
          <w:p w14:paraId="109758E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1,128</w:t>
            </w:r>
          </w:p>
        </w:tc>
        <w:tc>
          <w:tcPr>
            <w:tcW w:w="1430" w:type="dxa"/>
            <w:shd w:val="clear" w:color="auto" w:fill="auto"/>
          </w:tcPr>
          <w:p w14:paraId="193AA988"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480</w:t>
            </w:r>
          </w:p>
        </w:tc>
        <w:tc>
          <w:tcPr>
            <w:tcW w:w="1430" w:type="dxa"/>
            <w:shd w:val="clear" w:color="auto" w:fill="auto"/>
          </w:tcPr>
          <w:p w14:paraId="7A86736F"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3,479</w:t>
            </w:r>
          </w:p>
        </w:tc>
      </w:tr>
      <w:tr w:rsidR="00C01A50" w14:paraId="01D3C8E5" w14:textId="77777777">
        <w:tc>
          <w:tcPr>
            <w:tcW w:w="2093" w:type="dxa"/>
            <w:shd w:val="clear" w:color="auto" w:fill="auto"/>
          </w:tcPr>
          <w:p w14:paraId="1F5C86B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Fruit and Tree Nut Growing, nfd</w:t>
            </w:r>
          </w:p>
        </w:tc>
        <w:tc>
          <w:tcPr>
            <w:tcW w:w="1429" w:type="dxa"/>
            <w:shd w:val="clear" w:color="auto" w:fill="auto"/>
          </w:tcPr>
          <w:p w14:paraId="3BA93B94"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690</w:t>
            </w:r>
          </w:p>
        </w:tc>
        <w:tc>
          <w:tcPr>
            <w:tcW w:w="1430" w:type="dxa"/>
            <w:shd w:val="clear" w:color="auto" w:fill="auto"/>
          </w:tcPr>
          <w:p w14:paraId="665F6478"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102</w:t>
            </w:r>
          </w:p>
        </w:tc>
        <w:tc>
          <w:tcPr>
            <w:tcW w:w="1430" w:type="dxa"/>
            <w:shd w:val="clear" w:color="auto" w:fill="auto"/>
          </w:tcPr>
          <w:p w14:paraId="749E4946"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98</w:t>
            </w:r>
          </w:p>
        </w:tc>
        <w:tc>
          <w:tcPr>
            <w:tcW w:w="1430" w:type="dxa"/>
            <w:shd w:val="clear" w:color="auto" w:fill="auto"/>
          </w:tcPr>
          <w:p w14:paraId="776E0208"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22</w:t>
            </w:r>
          </w:p>
        </w:tc>
        <w:tc>
          <w:tcPr>
            <w:tcW w:w="1430" w:type="dxa"/>
            <w:shd w:val="clear" w:color="auto" w:fill="auto"/>
          </w:tcPr>
          <w:p w14:paraId="5250D3A2"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912</w:t>
            </w:r>
          </w:p>
        </w:tc>
      </w:tr>
      <w:tr w:rsidR="00C01A50" w14:paraId="21DEFD13" w14:textId="77777777">
        <w:tc>
          <w:tcPr>
            <w:tcW w:w="2093" w:type="dxa"/>
            <w:shd w:val="clear" w:color="auto" w:fill="auto"/>
          </w:tcPr>
          <w:p w14:paraId="34CEA0E8"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Grape Growing</w:t>
            </w:r>
          </w:p>
        </w:tc>
        <w:tc>
          <w:tcPr>
            <w:tcW w:w="1429" w:type="dxa"/>
            <w:shd w:val="clear" w:color="auto" w:fill="auto"/>
          </w:tcPr>
          <w:p w14:paraId="75FFA21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123</w:t>
            </w:r>
          </w:p>
        </w:tc>
        <w:tc>
          <w:tcPr>
            <w:tcW w:w="1430" w:type="dxa"/>
            <w:shd w:val="clear" w:color="auto" w:fill="auto"/>
          </w:tcPr>
          <w:p w14:paraId="6AFA844D"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1,230</w:t>
            </w:r>
          </w:p>
        </w:tc>
        <w:tc>
          <w:tcPr>
            <w:tcW w:w="1430" w:type="dxa"/>
            <w:shd w:val="clear" w:color="auto" w:fill="auto"/>
          </w:tcPr>
          <w:p w14:paraId="27B27B7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153</w:t>
            </w:r>
          </w:p>
        </w:tc>
        <w:tc>
          <w:tcPr>
            <w:tcW w:w="1430" w:type="dxa"/>
            <w:shd w:val="clear" w:color="auto" w:fill="auto"/>
          </w:tcPr>
          <w:p w14:paraId="0537DAC1"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130</w:t>
            </w:r>
          </w:p>
        </w:tc>
        <w:tc>
          <w:tcPr>
            <w:tcW w:w="1430" w:type="dxa"/>
            <w:shd w:val="clear" w:color="auto" w:fill="auto"/>
          </w:tcPr>
          <w:p w14:paraId="4ACFD303"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1,636</w:t>
            </w:r>
          </w:p>
        </w:tc>
      </w:tr>
      <w:tr w:rsidR="00C01A50" w14:paraId="3D7D38CC" w14:textId="77777777">
        <w:tc>
          <w:tcPr>
            <w:tcW w:w="2093" w:type="dxa"/>
            <w:shd w:val="clear" w:color="auto" w:fill="auto"/>
          </w:tcPr>
          <w:p w14:paraId="029F735C"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Kiwifruit Growing</w:t>
            </w:r>
          </w:p>
        </w:tc>
        <w:tc>
          <w:tcPr>
            <w:tcW w:w="1429" w:type="dxa"/>
            <w:shd w:val="clear" w:color="auto" w:fill="auto"/>
          </w:tcPr>
          <w:p w14:paraId="3A193F67"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26</w:t>
            </w:r>
          </w:p>
        </w:tc>
        <w:tc>
          <w:tcPr>
            <w:tcW w:w="1430" w:type="dxa"/>
            <w:shd w:val="clear" w:color="auto" w:fill="auto"/>
          </w:tcPr>
          <w:p w14:paraId="75A227FC"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0</w:t>
            </w:r>
          </w:p>
        </w:tc>
        <w:tc>
          <w:tcPr>
            <w:tcW w:w="1430" w:type="dxa"/>
            <w:shd w:val="clear" w:color="auto" w:fill="auto"/>
          </w:tcPr>
          <w:p w14:paraId="68E4F005"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0</w:t>
            </w:r>
          </w:p>
        </w:tc>
        <w:tc>
          <w:tcPr>
            <w:tcW w:w="1430" w:type="dxa"/>
            <w:shd w:val="clear" w:color="auto" w:fill="auto"/>
          </w:tcPr>
          <w:p w14:paraId="31D8EB3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21</w:t>
            </w:r>
          </w:p>
        </w:tc>
        <w:tc>
          <w:tcPr>
            <w:tcW w:w="1430" w:type="dxa"/>
            <w:shd w:val="clear" w:color="auto" w:fill="auto"/>
          </w:tcPr>
          <w:p w14:paraId="69C4C9C3"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47</w:t>
            </w:r>
          </w:p>
        </w:tc>
      </w:tr>
      <w:tr w:rsidR="00C01A50" w14:paraId="542B012C" w14:textId="77777777">
        <w:tc>
          <w:tcPr>
            <w:tcW w:w="2093" w:type="dxa"/>
            <w:shd w:val="clear" w:color="auto" w:fill="auto"/>
          </w:tcPr>
          <w:p w14:paraId="07F8C6B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Berry Fruit Growing</w:t>
            </w:r>
          </w:p>
        </w:tc>
        <w:tc>
          <w:tcPr>
            <w:tcW w:w="1429" w:type="dxa"/>
            <w:shd w:val="clear" w:color="auto" w:fill="auto"/>
          </w:tcPr>
          <w:p w14:paraId="6DEC6E2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35</w:t>
            </w:r>
          </w:p>
        </w:tc>
        <w:tc>
          <w:tcPr>
            <w:tcW w:w="1430" w:type="dxa"/>
            <w:shd w:val="clear" w:color="auto" w:fill="auto"/>
          </w:tcPr>
          <w:p w14:paraId="224B1BA0"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4</w:t>
            </w:r>
          </w:p>
        </w:tc>
        <w:tc>
          <w:tcPr>
            <w:tcW w:w="1430" w:type="dxa"/>
            <w:shd w:val="clear" w:color="auto" w:fill="auto"/>
          </w:tcPr>
          <w:p w14:paraId="366F7F00"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7</w:t>
            </w:r>
          </w:p>
        </w:tc>
        <w:tc>
          <w:tcPr>
            <w:tcW w:w="1430" w:type="dxa"/>
            <w:shd w:val="clear" w:color="auto" w:fill="auto"/>
          </w:tcPr>
          <w:p w14:paraId="6E67ED7A"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12</w:t>
            </w:r>
          </w:p>
        </w:tc>
        <w:tc>
          <w:tcPr>
            <w:tcW w:w="1430" w:type="dxa"/>
            <w:shd w:val="clear" w:color="auto" w:fill="auto"/>
          </w:tcPr>
          <w:p w14:paraId="240E504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58</w:t>
            </w:r>
          </w:p>
        </w:tc>
      </w:tr>
      <w:tr w:rsidR="00C01A50" w14:paraId="34D4CB03" w14:textId="77777777">
        <w:tc>
          <w:tcPr>
            <w:tcW w:w="2093" w:type="dxa"/>
            <w:shd w:val="clear" w:color="auto" w:fill="auto"/>
          </w:tcPr>
          <w:p w14:paraId="10D8CA1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Apple and Pear Growing</w:t>
            </w:r>
          </w:p>
        </w:tc>
        <w:tc>
          <w:tcPr>
            <w:tcW w:w="1429" w:type="dxa"/>
            <w:shd w:val="clear" w:color="auto" w:fill="auto"/>
          </w:tcPr>
          <w:p w14:paraId="67CE2E78"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184</w:t>
            </w:r>
          </w:p>
        </w:tc>
        <w:tc>
          <w:tcPr>
            <w:tcW w:w="1430" w:type="dxa"/>
            <w:shd w:val="clear" w:color="auto" w:fill="auto"/>
          </w:tcPr>
          <w:p w14:paraId="6BD9A86D"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0</w:t>
            </w:r>
          </w:p>
        </w:tc>
        <w:tc>
          <w:tcPr>
            <w:tcW w:w="1430" w:type="dxa"/>
            <w:shd w:val="clear" w:color="auto" w:fill="auto"/>
          </w:tcPr>
          <w:p w14:paraId="181F60F3"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57</w:t>
            </w:r>
          </w:p>
        </w:tc>
        <w:tc>
          <w:tcPr>
            <w:tcW w:w="1430" w:type="dxa"/>
            <w:shd w:val="clear" w:color="auto" w:fill="auto"/>
          </w:tcPr>
          <w:p w14:paraId="06D70DC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36</w:t>
            </w:r>
          </w:p>
        </w:tc>
        <w:tc>
          <w:tcPr>
            <w:tcW w:w="1430" w:type="dxa"/>
            <w:shd w:val="clear" w:color="auto" w:fill="auto"/>
          </w:tcPr>
          <w:p w14:paraId="0338CB1D"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277</w:t>
            </w:r>
          </w:p>
        </w:tc>
      </w:tr>
      <w:tr w:rsidR="00C01A50" w14:paraId="2C794E22" w14:textId="77777777">
        <w:tc>
          <w:tcPr>
            <w:tcW w:w="2093" w:type="dxa"/>
            <w:shd w:val="clear" w:color="auto" w:fill="auto"/>
          </w:tcPr>
          <w:p w14:paraId="627D03C3"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Stone Fruit Growing</w:t>
            </w:r>
          </w:p>
        </w:tc>
        <w:tc>
          <w:tcPr>
            <w:tcW w:w="1429" w:type="dxa"/>
            <w:shd w:val="clear" w:color="auto" w:fill="auto"/>
          </w:tcPr>
          <w:p w14:paraId="7106403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134</w:t>
            </w:r>
          </w:p>
        </w:tc>
        <w:tc>
          <w:tcPr>
            <w:tcW w:w="1430" w:type="dxa"/>
            <w:shd w:val="clear" w:color="auto" w:fill="auto"/>
          </w:tcPr>
          <w:p w14:paraId="17DB02F5"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26</w:t>
            </w:r>
          </w:p>
        </w:tc>
        <w:tc>
          <w:tcPr>
            <w:tcW w:w="1430" w:type="dxa"/>
            <w:shd w:val="clear" w:color="auto" w:fill="auto"/>
          </w:tcPr>
          <w:p w14:paraId="480D3DA8"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161</w:t>
            </w:r>
          </w:p>
        </w:tc>
        <w:tc>
          <w:tcPr>
            <w:tcW w:w="1430" w:type="dxa"/>
            <w:shd w:val="clear" w:color="auto" w:fill="auto"/>
          </w:tcPr>
          <w:p w14:paraId="3F0328E7"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14</w:t>
            </w:r>
          </w:p>
        </w:tc>
        <w:tc>
          <w:tcPr>
            <w:tcW w:w="1430" w:type="dxa"/>
            <w:shd w:val="clear" w:color="auto" w:fill="auto"/>
          </w:tcPr>
          <w:p w14:paraId="7744FBB5"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335</w:t>
            </w:r>
          </w:p>
        </w:tc>
      </w:tr>
      <w:tr w:rsidR="00C01A50" w14:paraId="6D14D459" w14:textId="77777777">
        <w:tc>
          <w:tcPr>
            <w:tcW w:w="2093" w:type="dxa"/>
            <w:shd w:val="clear" w:color="auto" w:fill="auto"/>
          </w:tcPr>
          <w:p w14:paraId="44B7401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Citrus Fruit Growing</w:t>
            </w:r>
          </w:p>
        </w:tc>
        <w:tc>
          <w:tcPr>
            <w:tcW w:w="1429" w:type="dxa"/>
            <w:shd w:val="clear" w:color="auto" w:fill="auto"/>
          </w:tcPr>
          <w:p w14:paraId="4522DF71"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17</w:t>
            </w:r>
          </w:p>
        </w:tc>
        <w:tc>
          <w:tcPr>
            <w:tcW w:w="1430" w:type="dxa"/>
            <w:shd w:val="clear" w:color="auto" w:fill="auto"/>
          </w:tcPr>
          <w:p w14:paraId="65E2BC27"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314</w:t>
            </w:r>
          </w:p>
        </w:tc>
        <w:tc>
          <w:tcPr>
            <w:tcW w:w="1430" w:type="dxa"/>
            <w:shd w:val="clear" w:color="auto" w:fill="auto"/>
          </w:tcPr>
          <w:p w14:paraId="465916A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20</w:t>
            </w:r>
          </w:p>
        </w:tc>
        <w:tc>
          <w:tcPr>
            <w:tcW w:w="1430" w:type="dxa"/>
            <w:shd w:val="clear" w:color="auto" w:fill="auto"/>
          </w:tcPr>
          <w:p w14:paraId="62C719D9"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0</w:t>
            </w:r>
          </w:p>
        </w:tc>
        <w:tc>
          <w:tcPr>
            <w:tcW w:w="1430" w:type="dxa"/>
            <w:shd w:val="clear" w:color="auto" w:fill="auto"/>
          </w:tcPr>
          <w:p w14:paraId="0B378C7A"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351</w:t>
            </w:r>
          </w:p>
        </w:tc>
      </w:tr>
      <w:tr w:rsidR="00C01A50" w14:paraId="506CC2AD" w14:textId="77777777">
        <w:tc>
          <w:tcPr>
            <w:tcW w:w="2093" w:type="dxa"/>
            <w:shd w:val="clear" w:color="auto" w:fill="auto"/>
          </w:tcPr>
          <w:p w14:paraId="532344B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Olive Growing</w:t>
            </w:r>
          </w:p>
        </w:tc>
        <w:tc>
          <w:tcPr>
            <w:tcW w:w="1429" w:type="dxa"/>
            <w:shd w:val="clear" w:color="auto" w:fill="auto"/>
          </w:tcPr>
          <w:p w14:paraId="0B109114"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20</w:t>
            </w:r>
          </w:p>
        </w:tc>
        <w:tc>
          <w:tcPr>
            <w:tcW w:w="1430" w:type="dxa"/>
            <w:shd w:val="clear" w:color="auto" w:fill="auto"/>
          </w:tcPr>
          <w:p w14:paraId="159A6943"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21</w:t>
            </w:r>
          </w:p>
        </w:tc>
        <w:tc>
          <w:tcPr>
            <w:tcW w:w="1430" w:type="dxa"/>
            <w:shd w:val="clear" w:color="auto" w:fill="auto"/>
          </w:tcPr>
          <w:p w14:paraId="5FC4DD45"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41</w:t>
            </w:r>
          </w:p>
        </w:tc>
        <w:tc>
          <w:tcPr>
            <w:tcW w:w="1430" w:type="dxa"/>
            <w:shd w:val="clear" w:color="auto" w:fill="auto"/>
          </w:tcPr>
          <w:p w14:paraId="1E69872C"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19</w:t>
            </w:r>
          </w:p>
        </w:tc>
        <w:tc>
          <w:tcPr>
            <w:tcW w:w="1430" w:type="dxa"/>
            <w:shd w:val="clear" w:color="auto" w:fill="auto"/>
          </w:tcPr>
          <w:p w14:paraId="51735410"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101</w:t>
            </w:r>
          </w:p>
        </w:tc>
      </w:tr>
      <w:tr w:rsidR="00C01A50" w14:paraId="45F0FB1B" w14:textId="77777777">
        <w:tc>
          <w:tcPr>
            <w:tcW w:w="2093" w:type="dxa"/>
            <w:shd w:val="clear" w:color="auto" w:fill="auto"/>
          </w:tcPr>
          <w:p w14:paraId="77755105"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Other Fruit and Tree Nut Growing</w:t>
            </w:r>
          </w:p>
        </w:tc>
        <w:tc>
          <w:tcPr>
            <w:tcW w:w="1429" w:type="dxa"/>
            <w:shd w:val="clear" w:color="auto" w:fill="auto"/>
          </w:tcPr>
          <w:p w14:paraId="6AB2156A"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15</w:t>
            </w:r>
          </w:p>
        </w:tc>
        <w:tc>
          <w:tcPr>
            <w:tcW w:w="1430" w:type="dxa"/>
            <w:shd w:val="clear" w:color="auto" w:fill="auto"/>
          </w:tcPr>
          <w:p w14:paraId="4CEC733A"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189</w:t>
            </w:r>
          </w:p>
        </w:tc>
        <w:tc>
          <w:tcPr>
            <w:tcW w:w="1430" w:type="dxa"/>
            <w:shd w:val="clear" w:color="auto" w:fill="auto"/>
          </w:tcPr>
          <w:p w14:paraId="260D4B3E"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16</w:t>
            </w:r>
          </w:p>
        </w:tc>
        <w:tc>
          <w:tcPr>
            <w:tcW w:w="1430" w:type="dxa"/>
            <w:shd w:val="clear" w:color="auto" w:fill="auto"/>
          </w:tcPr>
          <w:p w14:paraId="670C54D3"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16</w:t>
            </w:r>
          </w:p>
        </w:tc>
        <w:tc>
          <w:tcPr>
            <w:tcW w:w="1430" w:type="dxa"/>
            <w:shd w:val="clear" w:color="auto" w:fill="auto"/>
          </w:tcPr>
          <w:p w14:paraId="5F1F118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236</w:t>
            </w:r>
          </w:p>
        </w:tc>
      </w:tr>
      <w:tr w:rsidR="00C01A50" w14:paraId="2D581CDC" w14:textId="77777777">
        <w:tc>
          <w:tcPr>
            <w:tcW w:w="2093" w:type="dxa"/>
            <w:shd w:val="clear" w:color="auto" w:fill="auto"/>
          </w:tcPr>
          <w:p w14:paraId="48DE0D14"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Total</w:t>
            </w:r>
          </w:p>
        </w:tc>
        <w:tc>
          <w:tcPr>
            <w:tcW w:w="1429" w:type="dxa"/>
            <w:shd w:val="clear" w:color="auto" w:fill="auto"/>
          </w:tcPr>
          <w:p w14:paraId="09A8A30B"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5,490</w:t>
            </w:r>
          </w:p>
        </w:tc>
        <w:tc>
          <w:tcPr>
            <w:tcW w:w="1430" w:type="dxa"/>
            <w:shd w:val="clear" w:color="auto" w:fill="auto"/>
          </w:tcPr>
          <w:p w14:paraId="25838A41"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2,161</w:t>
            </w:r>
          </w:p>
        </w:tc>
        <w:tc>
          <w:tcPr>
            <w:tcW w:w="1430" w:type="dxa"/>
            <w:shd w:val="clear" w:color="auto" w:fill="auto"/>
          </w:tcPr>
          <w:p w14:paraId="425BAE5D"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2,511</w:t>
            </w:r>
          </w:p>
        </w:tc>
        <w:tc>
          <w:tcPr>
            <w:tcW w:w="1430" w:type="dxa"/>
            <w:shd w:val="clear" w:color="auto" w:fill="auto"/>
          </w:tcPr>
          <w:p w14:paraId="523CFBF4"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1,071</w:t>
            </w:r>
          </w:p>
        </w:tc>
        <w:tc>
          <w:tcPr>
            <w:tcW w:w="1430" w:type="dxa"/>
            <w:shd w:val="clear" w:color="auto" w:fill="auto"/>
          </w:tcPr>
          <w:p w14:paraId="089A9523" w14:textId="77777777" w:rsidR="00C01A50" w:rsidRPr="00B736A9" w:rsidRDefault="00C01A50" w:rsidP="00593A9A">
            <w:pPr>
              <w:spacing w:before="0" w:after="0" w:line="240" w:lineRule="auto"/>
              <w:jc w:val="center"/>
              <w:rPr>
                <w:rFonts w:ascii="Arial" w:hAnsi="Arial" w:cs="Arial"/>
                <w:color w:val="000000"/>
                <w:sz w:val="18"/>
                <w:szCs w:val="18"/>
                <w:lang w:val="en-AU" w:eastAsia="en-AU" w:bidi="ar-SA"/>
              </w:rPr>
            </w:pPr>
            <w:r w:rsidRPr="00B736A9">
              <w:rPr>
                <w:rFonts w:ascii="Arial" w:hAnsi="Arial" w:cs="Arial"/>
                <w:color w:val="000000"/>
                <w:sz w:val="18"/>
                <w:szCs w:val="18"/>
                <w:lang w:val="en-AU" w:eastAsia="en-AU" w:bidi="ar-SA"/>
              </w:rPr>
              <w:t>11,233</w:t>
            </w:r>
          </w:p>
        </w:tc>
      </w:tr>
    </w:tbl>
    <w:p w14:paraId="2857DFCB" w14:textId="77777777" w:rsidR="00C01A50" w:rsidRPr="00C108B5" w:rsidRDefault="00C01A50" w:rsidP="00C108B5">
      <w:pPr>
        <w:rPr>
          <w:rFonts w:eastAsia="Calibri"/>
          <w:color w:val="000000"/>
          <w:sz w:val="18"/>
          <w:szCs w:val="22"/>
          <w:lang w:val="en-AU"/>
        </w:rPr>
      </w:pPr>
      <w:r w:rsidRPr="00C108B5">
        <w:rPr>
          <w:rFonts w:eastAsia="Calibri"/>
          <w:color w:val="000000"/>
          <w:sz w:val="18"/>
          <w:szCs w:val="22"/>
          <w:lang w:val="en-AU"/>
        </w:rPr>
        <w:t>Source: ABS census data</w:t>
      </w:r>
    </w:p>
    <w:p w14:paraId="4E31273E" w14:textId="77777777" w:rsidR="00C01A50" w:rsidRDefault="00C01A50" w:rsidP="00593A9A">
      <w:r>
        <w:t xml:space="preserve">To provide additional socio-economic context for the regions on northern Victoria, summary charts are provided in Appendix </w:t>
      </w:r>
      <w:r>
        <w:fldChar w:fldCharType="begin"/>
      </w:r>
      <w:r>
        <w:instrText xml:space="preserve"> REF _Ref342040812 \r \h </w:instrText>
      </w:r>
      <w:r>
        <w:fldChar w:fldCharType="separate"/>
      </w:r>
      <w:r w:rsidR="008E5D7A">
        <w:t>1</w:t>
      </w:r>
      <w:r>
        <w:fldChar w:fldCharType="end"/>
      </w:r>
      <w:r>
        <w:t xml:space="preserve">. </w:t>
      </w:r>
      <w:r>
        <w:rPr>
          <w:lang w:val="en-AU"/>
        </w:rPr>
        <w:t>A common trend is the declining role of agricultural jobs in total employment, over the period to 1991 to 2011.</w:t>
      </w:r>
    </w:p>
    <w:p w14:paraId="4EBB4DB7" w14:textId="77777777" w:rsidR="00C01A50" w:rsidRDefault="00C01A50" w:rsidP="00593A9A">
      <w:pPr>
        <w:pStyle w:val="Heading2"/>
      </w:pPr>
      <w:bookmarkStart w:id="209" w:name="_Toc347747855"/>
      <w:r>
        <w:t>Regional Wellbeing data</w:t>
      </w:r>
      <w:bookmarkEnd w:id="209"/>
    </w:p>
    <w:p w14:paraId="02A1374E" w14:textId="77777777" w:rsidR="00C01A50" w:rsidRDefault="00C01A50" w:rsidP="00EB1B60">
      <w:pPr>
        <w:rPr>
          <w:lang w:val="en-AU"/>
        </w:rPr>
      </w:pPr>
      <w:r>
        <w:rPr>
          <w:lang w:val="en-AU"/>
        </w:rPr>
        <w:t>The 2015 Regional Wellbeing Survey included a number of questions asking survey respondents about their expectations of how the Basin Plan would impact:</w:t>
      </w:r>
    </w:p>
    <w:p w14:paraId="7DD36C4C" w14:textId="77777777" w:rsidR="00C01A50" w:rsidRPr="000024C2" w:rsidRDefault="00C01A50" w:rsidP="00302BD9">
      <w:pPr>
        <w:pStyle w:val="ListParagraph"/>
        <w:numPr>
          <w:ilvl w:val="0"/>
          <w:numId w:val="35"/>
        </w:numPr>
        <w:rPr>
          <w:lang w:val="en-AU"/>
        </w:rPr>
      </w:pPr>
      <w:r>
        <w:rPr>
          <w:lang w:val="en-AU"/>
        </w:rPr>
        <w:t>t</w:t>
      </w:r>
      <w:r w:rsidRPr="000024C2">
        <w:rPr>
          <w:lang w:val="en-AU"/>
        </w:rPr>
        <w:t>he health of the environment in the Murray- Darling Basin</w:t>
      </w:r>
    </w:p>
    <w:p w14:paraId="32EE8BF6" w14:textId="77777777" w:rsidR="00C01A50" w:rsidRPr="000024C2" w:rsidRDefault="00C01A50" w:rsidP="00302BD9">
      <w:pPr>
        <w:pStyle w:val="ListParagraph"/>
        <w:numPr>
          <w:ilvl w:val="0"/>
          <w:numId w:val="35"/>
        </w:numPr>
        <w:rPr>
          <w:lang w:val="en-AU"/>
        </w:rPr>
      </w:pPr>
      <w:r>
        <w:rPr>
          <w:lang w:val="en-AU"/>
        </w:rPr>
        <w:lastRenderedPageBreak/>
        <w:t>t</w:t>
      </w:r>
      <w:r w:rsidRPr="000024C2">
        <w:rPr>
          <w:lang w:val="en-AU"/>
        </w:rPr>
        <w:t>he economy in the Murray- Darling Basin</w:t>
      </w:r>
    </w:p>
    <w:p w14:paraId="047C1996" w14:textId="77777777" w:rsidR="00C01A50" w:rsidRPr="000024C2" w:rsidRDefault="00C01A50" w:rsidP="00302BD9">
      <w:pPr>
        <w:pStyle w:val="ListParagraph"/>
        <w:numPr>
          <w:ilvl w:val="0"/>
          <w:numId w:val="35"/>
        </w:numPr>
        <w:rPr>
          <w:lang w:val="en-AU"/>
        </w:rPr>
      </w:pPr>
      <w:r>
        <w:rPr>
          <w:lang w:val="en-AU"/>
        </w:rPr>
        <w:t>c</w:t>
      </w:r>
      <w:r w:rsidRPr="000024C2">
        <w:rPr>
          <w:lang w:val="en-AU"/>
        </w:rPr>
        <w:t>ommunities in the Murray- Darling Basin</w:t>
      </w:r>
    </w:p>
    <w:p w14:paraId="27EE5254" w14:textId="77777777" w:rsidR="00C01A50" w:rsidRPr="000024C2" w:rsidRDefault="00C01A50" w:rsidP="00302BD9">
      <w:pPr>
        <w:pStyle w:val="ListParagraph"/>
        <w:numPr>
          <w:ilvl w:val="0"/>
          <w:numId w:val="35"/>
        </w:numPr>
        <w:rPr>
          <w:lang w:val="en-AU"/>
        </w:rPr>
      </w:pPr>
      <w:r>
        <w:rPr>
          <w:lang w:val="en-AU"/>
        </w:rPr>
        <w:t>t</w:t>
      </w:r>
      <w:r w:rsidRPr="000024C2">
        <w:rPr>
          <w:lang w:val="en-AU"/>
        </w:rPr>
        <w:t>he Murray-Darling Basin as a whole</w:t>
      </w:r>
    </w:p>
    <w:p w14:paraId="7CD93B40" w14:textId="77777777" w:rsidR="00C01A50" w:rsidRPr="000024C2" w:rsidRDefault="00C01A50" w:rsidP="00302BD9">
      <w:pPr>
        <w:pStyle w:val="ListParagraph"/>
        <w:numPr>
          <w:ilvl w:val="0"/>
          <w:numId w:val="35"/>
        </w:numPr>
        <w:rPr>
          <w:lang w:val="en-AU"/>
        </w:rPr>
      </w:pPr>
      <w:r>
        <w:rPr>
          <w:lang w:val="en-AU"/>
        </w:rPr>
        <w:t>the respondent’s</w:t>
      </w:r>
      <w:r w:rsidRPr="000024C2">
        <w:rPr>
          <w:lang w:val="en-AU"/>
        </w:rPr>
        <w:t xml:space="preserve"> household</w:t>
      </w:r>
    </w:p>
    <w:p w14:paraId="34C3052E" w14:textId="77777777" w:rsidR="00C01A50" w:rsidRPr="000024C2" w:rsidRDefault="00C01A50" w:rsidP="00302BD9">
      <w:pPr>
        <w:pStyle w:val="ListParagraph"/>
        <w:numPr>
          <w:ilvl w:val="0"/>
          <w:numId w:val="35"/>
        </w:numPr>
        <w:rPr>
          <w:lang w:val="en-AU"/>
        </w:rPr>
      </w:pPr>
      <w:r>
        <w:rPr>
          <w:lang w:val="en-AU"/>
        </w:rPr>
        <w:t>the business the respondent</w:t>
      </w:r>
      <w:r w:rsidRPr="000024C2">
        <w:rPr>
          <w:lang w:val="en-AU"/>
        </w:rPr>
        <w:t xml:space="preserve"> work</w:t>
      </w:r>
      <w:r>
        <w:rPr>
          <w:lang w:val="en-AU"/>
        </w:rPr>
        <w:t>s in</w:t>
      </w:r>
    </w:p>
    <w:p w14:paraId="38AA8429" w14:textId="77777777" w:rsidR="00C01A50" w:rsidRPr="000024C2" w:rsidRDefault="00C01A50" w:rsidP="00302BD9">
      <w:pPr>
        <w:pStyle w:val="ListParagraph"/>
        <w:numPr>
          <w:ilvl w:val="0"/>
          <w:numId w:val="35"/>
        </w:numPr>
        <w:rPr>
          <w:lang w:val="en-AU"/>
        </w:rPr>
      </w:pPr>
      <w:r>
        <w:rPr>
          <w:lang w:val="en-AU"/>
        </w:rPr>
        <w:t>the respondent’s</w:t>
      </w:r>
      <w:r w:rsidRPr="000024C2">
        <w:rPr>
          <w:lang w:val="en-AU"/>
        </w:rPr>
        <w:t xml:space="preserve"> local community</w:t>
      </w:r>
    </w:p>
    <w:p w14:paraId="009CF98E" w14:textId="77777777" w:rsidR="00C01A50" w:rsidRPr="000024C2" w:rsidRDefault="00C01A50" w:rsidP="00302BD9">
      <w:pPr>
        <w:pStyle w:val="ListParagraph"/>
        <w:numPr>
          <w:ilvl w:val="0"/>
          <w:numId w:val="35"/>
        </w:numPr>
        <w:rPr>
          <w:lang w:val="en-AU"/>
        </w:rPr>
      </w:pPr>
      <w:r>
        <w:rPr>
          <w:lang w:val="en-AU"/>
        </w:rPr>
        <w:t>the health of the respondent’s</w:t>
      </w:r>
      <w:r w:rsidRPr="000024C2">
        <w:rPr>
          <w:lang w:val="en-AU"/>
        </w:rPr>
        <w:t xml:space="preserve"> local environment</w:t>
      </w:r>
    </w:p>
    <w:p w14:paraId="211E7C34" w14:textId="77777777" w:rsidR="00C01A50" w:rsidRDefault="00C01A50" w:rsidP="00593A9A">
      <w:r>
        <w:t xml:space="preserve">Appendix </w:t>
      </w:r>
      <w:r>
        <w:fldChar w:fldCharType="begin"/>
      </w:r>
      <w:r>
        <w:instrText xml:space="preserve"> REF _Ref342040812 \r \h </w:instrText>
      </w:r>
      <w:r>
        <w:fldChar w:fldCharType="separate"/>
      </w:r>
      <w:r w:rsidR="008E5D7A">
        <w:t>1</w:t>
      </w:r>
      <w:r>
        <w:fldChar w:fldCharType="end"/>
      </w:r>
      <w:r>
        <w:t xml:space="preserve"> reports </w:t>
      </w:r>
      <w:r>
        <w:rPr>
          <w:lang w:val="en-AU"/>
        </w:rPr>
        <w:t>the responses provided by 285 Victorian irrigators in north-west and north central Victoria (the Loddon-Mallee and Hume RDAs). A high proportion of responses considered that the Basin Plan would have a ‘very negative’ impact on the economy and communities of the MDB and the household/business/community that the respondent worked in.</w:t>
      </w:r>
    </w:p>
    <w:p w14:paraId="298F9289" w14:textId="77777777" w:rsidR="00C01A50" w:rsidRDefault="00C01A50" w:rsidP="00593A9A">
      <w:r>
        <w:t xml:space="preserve">The “Farmers and agriculture” report (UC 2015) looked at </w:t>
      </w:r>
      <w:r w:rsidRPr="00EA7A6A">
        <w:t>irrigators who have invested in improving on-farm irrigation infrastructure in the last five years</w:t>
      </w:r>
      <w:r>
        <w:t>.</w:t>
      </w:r>
      <w:r>
        <w:rPr>
          <w:rStyle w:val="FootnoteReference"/>
        </w:rPr>
        <w:footnoteReference w:id="18"/>
      </w:r>
      <w:r>
        <w:t xml:space="preserve"> Victoria had the lowest proportion of irrigators who had made such investments (55%), compared to the Australian average of 61%. Of all irrigators surveyed, 23% responded that a Government grant was a source</w:t>
      </w:r>
      <w:r w:rsidRPr="0018675B">
        <w:t xml:space="preserve"> of funding used to invest in on-farm irrigation infrastructure</w:t>
      </w:r>
      <w:r>
        <w:t xml:space="preserve"> (however, this is not reported by State). </w:t>
      </w:r>
      <w:r w:rsidRPr="0018675B">
        <w:t>Farmers who had invested in upgrading infrastructure reported, on average, very similar life satisfaction to those who</w:t>
      </w:r>
      <w:r>
        <w:t xml:space="preserve"> </w:t>
      </w:r>
      <w:r w:rsidRPr="0018675B">
        <w:t>had not</w:t>
      </w:r>
      <w:r>
        <w:t>.</w:t>
      </w:r>
    </w:p>
    <w:p w14:paraId="03F5673B" w14:textId="77777777" w:rsidR="00C01A50" w:rsidRDefault="00C01A50" w:rsidP="00593A9A">
      <w:r>
        <w:t>The survey also asked questions about water trade. 7% of Victorian irrigators responded that they had sold water shares to the government i</w:t>
      </w:r>
      <w:r w:rsidRPr="00863408">
        <w:t>n 12 months to October 2014</w:t>
      </w:r>
      <w:r>
        <w:t>. Over the same period, 7% bought water shares, 11% planned to buy water shares but did not), 6% sold water shares to a private buyer, and 6% planned to sell water shares but did not.</w:t>
      </w:r>
    </w:p>
    <w:p w14:paraId="7885E8E8" w14:textId="77777777" w:rsidR="00C01A50" w:rsidRDefault="00C01A50" w:rsidP="00593A9A">
      <w:r w:rsidRPr="00863408">
        <w:t>Irrigators who had sold</w:t>
      </w:r>
      <w:r>
        <w:t xml:space="preserve"> </w:t>
      </w:r>
      <w:r w:rsidRPr="00863408">
        <w:t>or transferred</w:t>
      </w:r>
      <w:r>
        <w:t xml:space="preserve"> </w:t>
      </w:r>
      <w:r w:rsidRPr="00863408">
        <w:t xml:space="preserve">entitlements, or who had wanted to sell but </w:t>
      </w:r>
      <w:r>
        <w:t xml:space="preserve">had </w:t>
      </w:r>
      <w:r w:rsidRPr="00863408">
        <w:t xml:space="preserve">not done so, were asked why they wanted to sell entitlements (Figure 11.15). They could select more than one reason for wanting to sell. </w:t>
      </w:r>
      <w:r>
        <w:t>At the Australian aggregate level, t</w:t>
      </w:r>
      <w:r w:rsidRPr="00863408">
        <w:t>he most common reasons were financial: high</w:t>
      </w:r>
      <w:r>
        <w:t xml:space="preserve"> </w:t>
      </w:r>
      <w:r w:rsidRPr="00863408">
        <w:t>fixed entitlement charges (41%), and a higher relative return being achieved by selling water versus using water on their own property (35%). This was followed by having opportunity in the form of surplus water (31%). Financial necessity was a driver of many sales, particularly low return from the farm business (27.5%), and needing to reduce debt (27%). Others were selling entitlements to fund other farm investments (27%). Less commonly, irrigators transferred</w:t>
      </w:r>
      <w:r>
        <w:t xml:space="preserve"> </w:t>
      </w:r>
      <w:r w:rsidRPr="00863408">
        <w:t>entitlements as part of requirements to access infrastructure upgrade programs (20%). Least common was selling as part of downsizing the farm enterprise (14%) or planning to exit farming (9%), although this sample does not include those irrigators w</w:t>
      </w:r>
      <w:r>
        <w:t>ho sold and subsequently exited</w:t>
      </w:r>
      <w:r w:rsidRPr="00863408">
        <w:t>.</w:t>
      </w:r>
    </w:p>
    <w:p w14:paraId="444503C1" w14:textId="77777777" w:rsidR="00C01A50" w:rsidRDefault="00C01A50" w:rsidP="00593A9A">
      <w:r w:rsidRPr="00FC18F6">
        <w:t>The most common reasons for buying allocation were needing additional water to</w:t>
      </w:r>
      <w:r>
        <w:t xml:space="preserve"> </w:t>
      </w:r>
      <w:r w:rsidRPr="00FC18F6">
        <w:t>meet farm business</w:t>
      </w:r>
      <w:r>
        <w:t xml:space="preserve"> </w:t>
      </w:r>
      <w:r w:rsidR="00D76502">
        <w:t xml:space="preserve">needs </w:t>
      </w:r>
      <w:r w:rsidRPr="00FC18F6">
        <w:t>(72%), and low rainfall (71%). Just over a quarter of those who reported buying allocation did so because they were using a business model in which they had sold all entitlements and instead obtained water by buying it on the temporary market (26%). As</w:t>
      </w:r>
      <w:r>
        <w:t xml:space="preserve"> </w:t>
      </w:r>
      <w:r w:rsidRPr="00FC18F6">
        <w:t>the representativeness of respondents to these questions is not known</w:t>
      </w:r>
      <w:r>
        <w:t xml:space="preserve"> </w:t>
      </w:r>
      <w:r w:rsidRPr="00FC18F6">
        <w:t>there is</w:t>
      </w:r>
      <w:r>
        <w:t xml:space="preserve"> </w:t>
      </w:r>
      <w:r w:rsidRPr="00FC18F6">
        <w:t>a large potential margin of error for these findings.</w:t>
      </w:r>
      <w:r>
        <w:t xml:space="preserve"> </w:t>
      </w:r>
    </w:p>
    <w:p w14:paraId="26ADE1E6" w14:textId="77777777" w:rsidR="005A21C9" w:rsidRDefault="00C01A50" w:rsidP="00593A9A">
      <w:r>
        <w:lastRenderedPageBreak/>
        <w:t>The dairy farmers surveyed were dominated by Victorian dairy farmers (87% of the sample)</w:t>
      </w:r>
      <w:r>
        <w:rPr>
          <w:rStyle w:val="FootnoteReference"/>
        </w:rPr>
        <w:footnoteReference w:id="19"/>
      </w:r>
      <w:r>
        <w:t xml:space="preserve">. However, this would have included dairy farmers outside northern Victoria, such as in Gippsland. </w:t>
      </w:r>
      <w:r w:rsidRPr="00EC5EE6">
        <w:t>In 2014, dairy farmers on</w:t>
      </w:r>
      <w:r>
        <w:t xml:space="preserve"> </w:t>
      </w:r>
      <w:r w:rsidRPr="00EC5EE6">
        <w:t>average reported higher ‘global</w:t>
      </w:r>
      <w:r>
        <w:t xml:space="preserve"> </w:t>
      </w:r>
      <w:r w:rsidRPr="00EC5EE6">
        <w:t>life satisfaction’ compared to other</w:t>
      </w:r>
      <w:r>
        <w:t xml:space="preserve"> </w:t>
      </w:r>
      <w:r w:rsidRPr="00EC5EE6">
        <w:t>farmers.</w:t>
      </w:r>
      <w:r>
        <w:t xml:space="preserve"> Dairy farmers also were much more likely to be engaged in water allocation purchases than the ‘all farmers’ average.</w:t>
      </w:r>
    </w:p>
    <w:p w14:paraId="77C005C6" w14:textId="77777777" w:rsidR="005A21C9" w:rsidRDefault="005A21C9">
      <w:pPr>
        <w:spacing w:before="0" w:after="0" w:line="240" w:lineRule="auto"/>
        <w:jc w:val="left"/>
      </w:pPr>
      <w:r>
        <w:br w:type="page"/>
      </w:r>
    </w:p>
    <w:p w14:paraId="1CAA793D" w14:textId="77777777" w:rsidR="00C01A50" w:rsidRPr="004B79A9" w:rsidRDefault="00C01A50" w:rsidP="00766877">
      <w:pPr>
        <w:pStyle w:val="Heading1"/>
        <w:rPr>
          <w:lang w:val="en-AU"/>
        </w:rPr>
      </w:pPr>
      <w:bookmarkStart w:id="210" w:name="_Ref342457448"/>
      <w:bookmarkStart w:id="211" w:name="_Ref342458542"/>
      <w:bookmarkStart w:id="212" w:name="_Toc347747856"/>
      <w:r w:rsidRPr="004B79A9">
        <w:rPr>
          <w:lang w:val="en-AU"/>
        </w:rPr>
        <w:lastRenderedPageBreak/>
        <w:t>The impacts of the Basin Plan for three future SDL scenarios</w:t>
      </w:r>
      <w:bookmarkEnd w:id="210"/>
      <w:bookmarkEnd w:id="211"/>
      <w:bookmarkEnd w:id="212"/>
    </w:p>
    <w:p w14:paraId="52F9D9D3" w14:textId="77777777" w:rsidR="00C01A50" w:rsidRPr="004B79A9" w:rsidRDefault="00C01A50" w:rsidP="00AA3BA7">
      <w:pPr>
        <w:rPr>
          <w:lang w:val="en-AU"/>
        </w:rPr>
      </w:pPr>
      <w:r w:rsidRPr="004B79A9">
        <w:rPr>
          <w:lang w:val="en-AU"/>
        </w:rPr>
        <w:t>This section considers the impacts of three future SDL scenarios. The scenarios are:</w:t>
      </w:r>
    </w:p>
    <w:p w14:paraId="56264420" w14:textId="77777777" w:rsidR="00C01A50" w:rsidRPr="004B79A9" w:rsidRDefault="008762FC" w:rsidP="00302BD9">
      <w:pPr>
        <w:pStyle w:val="ListParagraph"/>
        <w:numPr>
          <w:ilvl w:val="0"/>
          <w:numId w:val="19"/>
        </w:numPr>
        <w:rPr>
          <w:lang w:val="en-AU"/>
        </w:rPr>
      </w:pPr>
      <w:r w:rsidRPr="004B79A9">
        <w:rPr>
          <w:lang w:val="en-AU"/>
        </w:rPr>
        <w:t xml:space="preserve">The recovery of </w:t>
      </w:r>
      <w:r w:rsidR="00C01A50" w:rsidRPr="004B79A9">
        <w:rPr>
          <w:lang w:val="en-AU"/>
        </w:rPr>
        <w:t>2,100</w:t>
      </w:r>
      <w:r w:rsidRPr="004B79A9">
        <w:rPr>
          <w:lang w:val="en-AU"/>
        </w:rPr>
        <w:t xml:space="preserve"> </w:t>
      </w:r>
      <w:r w:rsidR="00C01A50" w:rsidRPr="004B79A9">
        <w:rPr>
          <w:lang w:val="en-AU"/>
        </w:rPr>
        <w:t>GL (</w:t>
      </w:r>
      <w:r w:rsidRPr="004B79A9">
        <w:rPr>
          <w:lang w:val="en-AU"/>
        </w:rPr>
        <w:t xml:space="preserve">i.e., with </w:t>
      </w:r>
      <w:r w:rsidR="00C01A50" w:rsidRPr="004B79A9">
        <w:rPr>
          <w:lang w:val="en-AU"/>
        </w:rPr>
        <w:t>650</w:t>
      </w:r>
      <w:r w:rsidRPr="004B79A9">
        <w:rPr>
          <w:lang w:val="en-AU"/>
        </w:rPr>
        <w:t xml:space="preserve"> G</w:t>
      </w:r>
      <w:r w:rsidR="00C01A50" w:rsidRPr="004B79A9">
        <w:rPr>
          <w:lang w:val="en-AU"/>
        </w:rPr>
        <w:t xml:space="preserve">L of offsets </w:t>
      </w:r>
      <w:r w:rsidRPr="004B79A9">
        <w:rPr>
          <w:lang w:val="en-AU"/>
        </w:rPr>
        <w:t>being subtracted from</w:t>
      </w:r>
      <w:r w:rsidR="00C01A50" w:rsidRPr="004B79A9">
        <w:rPr>
          <w:lang w:val="en-AU"/>
        </w:rPr>
        <w:t xml:space="preserve"> the</w:t>
      </w:r>
      <w:r w:rsidRPr="004B79A9">
        <w:rPr>
          <w:lang w:val="en-AU"/>
        </w:rPr>
        <w:t xml:space="preserve"> Basin Plan target recovery of</w:t>
      </w:r>
      <w:r w:rsidR="00C01A50" w:rsidRPr="004B79A9">
        <w:rPr>
          <w:lang w:val="en-AU"/>
        </w:rPr>
        <w:t xml:space="preserve"> 2750</w:t>
      </w:r>
      <w:r w:rsidRPr="004B79A9">
        <w:rPr>
          <w:lang w:val="en-AU"/>
        </w:rPr>
        <w:t xml:space="preserve"> GL</w:t>
      </w:r>
      <w:r w:rsidR="00C01A50" w:rsidRPr="004B79A9">
        <w:rPr>
          <w:lang w:val="en-AU"/>
        </w:rPr>
        <w:t xml:space="preserve">). </w:t>
      </w:r>
    </w:p>
    <w:p w14:paraId="15105C9D" w14:textId="77777777" w:rsidR="00C01A50" w:rsidRPr="004B79A9" w:rsidRDefault="008762FC" w:rsidP="00302BD9">
      <w:pPr>
        <w:pStyle w:val="ListParagraph"/>
        <w:numPr>
          <w:ilvl w:val="0"/>
          <w:numId w:val="19"/>
        </w:numPr>
        <w:rPr>
          <w:lang w:val="en-AU"/>
        </w:rPr>
      </w:pPr>
      <w:r w:rsidRPr="004B79A9">
        <w:rPr>
          <w:lang w:val="en-AU"/>
        </w:rPr>
        <w:t>The recovery</w:t>
      </w:r>
      <w:r w:rsidR="00C01A50" w:rsidRPr="004B79A9">
        <w:rPr>
          <w:lang w:val="en-AU"/>
        </w:rPr>
        <w:t xml:space="preserve"> of 2,750GL</w:t>
      </w:r>
      <w:r w:rsidR="0023431D" w:rsidRPr="004B79A9">
        <w:rPr>
          <w:lang w:val="en-AU"/>
        </w:rPr>
        <w:t xml:space="preserve">, which is what is targeted in the Basin Plan – without any offsets being achieved. </w:t>
      </w:r>
    </w:p>
    <w:p w14:paraId="2FBDB679" w14:textId="77777777" w:rsidR="00C01A50" w:rsidRPr="004B79A9" w:rsidRDefault="0092723B" w:rsidP="00302BD9">
      <w:pPr>
        <w:pStyle w:val="ListParagraph"/>
        <w:numPr>
          <w:ilvl w:val="0"/>
          <w:numId w:val="19"/>
        </w:numPr>
        <w:rPr>
          <w:lang w:val="en-AU"/>
        </w:rPr>
      </w:pPr>
      <w:r w:rsidRPr="004B79A9">
        <w:rPr>
          <w:lang w:val="en-AU"/>
        </w:rPr>
        <w:t>The</w:t>
      </w:r>
      <w:r w:rsidR="00C01A50" w:rsidRPr="004B79A9">
        <w:rPr>
          <w:lang w:val="en-AU"/>
        </w:rPr>
        <w:t xml:space="preserve"> recovery of 3,200GL</w:t>
      </w:r>
      <w:r w:rsidRPr="004B79A9">
        <w:rPr>
          <w:lang w:val="en-AU"/>
        </w:rPr>
        <w:t>, which includes the Basin Plan target of 2750 GL plus an additional</w:t>
      </w:r>
      <w:r w:rsidR="00C01A50" w:rsidRPr="004B79A9">
        <w:t xml:space="preserve"> 450 GL </w:t>
      </w:r>
      <w:r w:rsidRPr="004B79A9">
        <w:t>recovered through on-farm efficiency m</w:t>
      </w:r>
      <w:r w:rsidR="00C01A50" w:rsidRPr="004B79A9">
        <w:t>easures</w:t>
      </w:r>
      <w:r w:rsidRPr="004B79A9">
        <w:t xml:space="preserve"> achieved with neutral or positive socio-economic impacts</w:t>
      </w:r>
      <w:r w:rsidR="00C01A50" w:rsidRPr="004B79A9">
        <w:t>.</w:t>
      </w:r>
    </w:p>
    <w:p w14:paraId="1C0E05B8" w14:textId="77777777" w:rsidR="00C01A50" w:rsidRPr="004B79A9" w:rsidRDefault="00C01A50" w:rsidP="00AA3BA7">
      <w:pPr>
        <w:rPr>
          <w:lang w:val="en-AU"/>
        </w:rPr>
      </w:pPr>
      <w:r w:rsidRPr="004B79A9">
        <w:rPr>
          <w:lang w:val="en-AU"/>
        </w:rPr>
        <w:t xml:space="preserve">The composition of the </w:t>
      </w:r>
      <w:r w:rsidR="00170483" w:rsidRPr="004B79A9">
        <w:rPr>
          <w:lang w:val="en-AU"/>
        </w:rPr>
        <w:t xml:space="preserve">required </w:t>
      </w:r>
      <w:r w:rsidRPr="004B79A9">
        <w:rPr>
          <w:lang w:val="en-AU"/>
        </w:rPr>
        <w:t xml:space="preserve">water recovery </w:t>
      </w:r>
      <w:r w:rsidR="00170483" w:rsidRPr="004B79A9">
        <w:rPr>
          <w:lang w:val="en-AU"/>
        </w:rPr>
        <w:t>for each scenario</w:t>
      </w:r>
      <w:r w:rsidRPr="004B79A9">
        <w:rPr>
          <w:lang w:val="en-AU"/>
        </w:rPr>
        <w:t xml:space="preserve"> is set out in Appendix </w:t>
      </w:r>
      <w:r w:rsidRPr="004B79A9">
        <w:rPr>
          <w:lang w:val="en-AU"/>
        </w:rPr>
        <w:fldChar w:fldCharType="begin"/>
      </w:r>
      <w:r w:rsidRPr="004B79A9">
        <w:rPr>
          <w:lang w:val="en-AU"/>
        </w:rPr>
        <w:instrText xml:space="preserve"> REF _Ref342037179 \r \h </w:instrText>
      </w:r>
      <w:r w:rsidRPr="004B79A9">
        <w:rPr>
          <w:lang w:val="en-AU"/>
        </w:rPr>
      </w:r>
      <w:r w:rsidRPr="004B79A9">
        <w:rPr>
          <w:lang w:val="en-AU"/>
        </w:rPr>
        <w:fldChar w:fldCharType="separate"/>
      </w:r>
      <w:r w:rsidR="008E5D7A">
        <w:rPr>
          <w:lang w:val="en-AU"/>
        </w:rPr>
        <w:t>2</w:t>
      </w:r>
      <w:r w:rsidRPr="004B79A9">
        <w:rPr>
          <w:lang w:val="en-AU"/>
        </w:rPr>
        <w:fldChar w:fldCharType="end"/>
      </w:r>
      <w:r w:rsidRPr="004B79A9">
        <w:rPr>
          <w:lang w:val="en-AU"/>
        </w:rPr>
        <w:t>.</w:t>
      </w:r>
    </w:p>
    <w:p w14:paraId="60FE1B70" w14:textId="77777777" w:rsidR="00C01A50" w:rsidRPr="004B79A9" w:rsidRDefault="00C01A50" w:rsidP="00AA3BA7">
      <w:pPr>
        <w:pStyle w:val="Heading2"/>
        <w:rPr>
          <w:lang w:val="en-AU"/>
        </w:rPr>
      </w:pPr>
      <w:bookmarkStart w:id="213" w:name="_Toc338405076"/>
      <w:bookmarkStart w:id="214" w:name="_Toc347747857"/>
      <w:r w:rsidRPr="004B79A9">
        <w:rPr>
          <w:lang w:val="en-AU"/>
        </w:rPr>
        <w:t>A broad comparison with the counterfactual</w:t>
      </w:r>
      <w:bookmarkEnd w:id="213"/>
      <w:bookmarkEnd w:id="214"/>
      <w:r w:rsidRPr="004B79A9">
        <w:rPr>
          <w:lang w:val="en-AU"/>
        </w:rPr>
        <w:t xml:space="preserve"> </w:t>
      </w:r>
    </w:p>
    <w:p w14:paraId="0F6F8F5A" w14:textId="77777777" w:rsidR="00C01A50" w:rsidRPr="004B79A9" w:rsidRDefault="00C01A50" w:rsidP="00AA3BA7">
      <w:pPr>
        <w:rPr>
          <w:lang w:val="en-AU"/>
        </w:rPr>
      </w:pPr>
      <w:r w:rsidRPr="004B79A9">
        <w:rPr>
          <w:lang w:val="en-AU"/>
        </w:rPr>
        <w:t xml:space="preserve">The scenarios for future water recovery all involve constraints on water availability (as compared to the counterfactual of no Basin Plan water recoveries). </w:t>
      </w:r>
    </w:p>
    <w:p w14:paraId="45DB263E" w14:textId="77777777" w:rsidR="00C01A50" w:rsidRPr="004B79A9" w:rsidRDefault="00C01A50" w:rsidP="00AA3BA7">
      <w:pPr>
        <w:rPr>
          <w:lang w:val="en-AU"/>
        </w:rPr>
      </w:pPr>
      <w:r w:rsidRPr="004B79A9">
        <w:rPr>
          <w:lang w:val="en-AU"/>
        </w:rPr>
        <w:t>In terms of additional water recovery:</w:t>
      </w:r>
    </w:p>
    <w:p w14:paraId="0356FB5C" w14:textId="77777777" w:rsidR="00C01A50" w:rsidRPr="004B79A9" w:rsidRDefault="00C01A50" w:rsidP="00302BD9">
      <w:pPr>
        <w:pStyle w:val="ListParagraph"/>
        <w:numPr>
          <w:ilvl w:val="0"/>
          <w:numId w:val="18"/>
        </w:numPr>
        <w:rPr>
          <w:lang w:val="en-AU"/>
        </w:rPr>
      </w:pPr>
      <w:r w:rsidRPr="004B79A9">
        <w:rPr>
          <w:lang w:val="en-AU"/>
        </w:rPr>
        <w:t xml:space="preserve">The low water recovery scenario </w:t>
      </w:r>
      <w:r w:rsidRPr="004B79A9">
        <w:t>— the additional water recovery required (beyond that already contracted in 2015</w:t>
      </w:r>
      <w:r w:rsidR="002A2EB4" w:rsidRPr="004B79A9">
        <w:t>/</w:t>
      </w:r>
      <w:r w:rsidRPr="004B79A9">
        <w:t>16) is negligible.</w:t>
      </w:r>
    </w:p>
    <w:p w14:paraId="3AF59BF0" w14:textId="77777777" w:rsidR="00C01A50" w:rsidRPr="004B79A9" w:rsidRDefault="00C01A50" w:rsidP="00302BD9">
      <w:pPr>
        <w:pStyle w:val="ListParagraph"/>
        <w:numPr>
          <w:ilvl w:val="0"/>
          <w:numId w:val="18"/>
        </w:numPr>
        <w:rPr>
          <w:lang w:val="en-AU"/>
        </w:rPr>
      </w:pPr>
      <w:r w:rsidRPr="004B79A9">
        <w:rPr>
          <w:lang w:val="en-AU"/>
        </w:rPr>
        <w:t>The medium water recovery scenario — the additional water recovery required from 2015</w:t>
      </w:r>
      <w:r w:rsidR="002A2EB4" w:rsidRPr="004B79A9">
        <w:rPr>
          <w:lang w:val="en-AU"/>
        </w:rPr>
        <w:t>/</w:t>
      </w:r>
      <w:r w:rsidRPr="004B79A9">
        <w:rPr>
          <w:lang w:val="en-AU"/>
        </w:rPr>
        <w:t>16 is in the order of 650GL LTAAY.</w:t>
      </w:r>
    </w:p>
    <w:p w14:paraId="7B6C23C5" w14:textId="77777777" w:rsidR="00C01A50" w:rsidRPr="004B79A9" w:rsidRDefault="00C01A50" w:rsidP="00302BD9">
      <w:pPr>
        <w:pStyle w:val="ListParagraph"/>
        <w:numPr>
          <w:ilvl w:val="0"/>
          <w:numId w:val="18"/>
        </w:numPr>
        <w:rPr>
          <w:lang w:val="en-AU"/>
        </w:rPr>
      </w:pPr>
      <w:r w:rsidRPr="004B79A9">
        <w:rPr>
          <w:lang w:val="en-AU"/>
        </w:rPr>
        <w:t>The high water recovery scenario — the additional water recovery required from 2015</w:t>
      </w:r>
      <w:r w:rsidR="002A2EB4" w:rsidRPr="004B79A9">
        <w:rPr>
          <w:lang w:val="en-AU"/>
        </w:rPr>
        <w:t>/</w:t>
      </w:r>
      <w:r w:rsidRPr="004B79A9">
        <w:rPr>
          <w:lang w:val="en-AU"/>
        </w:rPr>
        <w:t>16 is in the order of 650GL LTAAY as above plus an additional 450GL from on-</w:t>
      </w:r>
      <w:r w:rsidRPr="004B79A9">
        <w:t>farm efficiency investment</w:t>
      </w:r>
      <w:r w:rsidRPr="004B79A9">
        <w:rPr>
          <w:lang w:val="en-AU"/>
        </w:rPr>
        <w:t>, totalling 1,100GL LTAAY.</w:t>
      </w:r>
    </w:p>
    <w:p w14:paraId="7EA537BF" w14:textId="77777777" w:rsidR="00C01A50" w:rsidRPr="004B79A9" w:rsidRDefault="00C01A50" w:rsidP="00AA3BA7">
      <w:pPr>
        <w:rPr>
          <w:lang w:val="en-AU"/>
        </w:rPr>
      </w:pPr>
      <w:r w:rsidRPr="004B79A9">
        <w:rPr>
          <w:lang w:val="en-AU"/>
        </w:rPr>
        <w:t>Even though the low water recovery scenario would not require significant additional water recovery, the future impacts would include the impact of current water recovery when drought conditions return as well as the interaction between industry changes and the reduced consumptive pool of water available for irrigation and urban use (as compared to the counterfactual of no water recovery) under future climate variability and potential climate change.</w:t>
      </w:r>
    </w:p>
    <w:p w14:paraId="23588BE8" w14:textId="77777777" w:rsidR="00C01A50" w:rsidRPr="004B79A9" w:rsidRDefault="00C01A50" w:rsidP="00AA3BA7">
      <w:pPr>
        <w:rPr>
          <w:lang w:val="en-AU"/>
        </w:rPr>
      </w:pPr>
      <w:r w:rsidRPr="004B79A9">
        <w:rPr>
          <w:lang w:val="en-AU"/>
        </w:rPr>
        <w:t xml:space="preserve">In the absence of Basin Plan water recovery, the growth of horticulture in the north-west of Victoria is still expected to occur. This in itself changes the structure of water demand between relatively fixed horticultural demands and the interruptible and semi-interruptible water demands that coexist in the southern MDB. </w:t>
      </w:r>
    </w:p>
    <w:p w14:paraId="16FBFDF4" w14:textId="77777777" w:rsidR="00C01A50" w:rsidRPr="004B79A9" w:rsidRDefault="00C01A50" w:rsidP="00AA3BA7">
      <w:pPr>
        <w:rPr>
          <w:lang w:val="en-AU"/>
        </w:rPr>
      </w:pPr>
      <w:r w:rsidRPr="004B79A9">
        <w:rPr>
          <w:lang w:val="en-AU"/>
        </w:rPr>
        <w:t xml:space="preserve">The water recovery activities will also change the structure of water demand, directly and indirectly. On-farm water recovery projects will directly change the way in which water is used on the farm invested in: this may be new investment that would not have otherwise occurred; or may bring forward investment that would have occurred in the future; or it may subsidise investment that was already going to occur. There will also be indirect effects on the way farmers intend to use water as they adapt </w:t>
      </w:r>
      <w:r w:rsidRPr="004B79A9">
        <w:rPr>
          <w:lang w:val="en-AU"/>
        </w:rPr>
        <w:lastRenderedPageBreak/>
        <w:t>to the higher opportunity cost of water (i.e. water allocation prices) and the increasingly variable water available for use by interruptible and semi-interruptible water demands.</w:t>
      </w:r>
    </w:p>
    <w:p w14:paraId="5C4A35BB" w14:textId="77777777" w:rsidR="00C01A50" w:rsidRPr="004B79A9" w:rsidRDefault="00C01A50" w:rsidP="00AA3BA7">
      <w:pPr>
        <w:pStyle w:val="Heading2"/>
        <w:rPr>
          <w:lang w:val="en-AU"/>
        </w:rPr>
      </w:pPr>
      <w:bookmarkStart w:id="215" w:name="_Toc338405077"/>
      <w:bookmarkStart w:id="216" w:name="_Toc347747858"/>
      <w:r w:rsidRPr="004B79A9">
        <w:rPr>
          <w:lang w:val="en-AU"/>
        </w:rPr>
        <w:t>Impacts at the farm scale</w:t>
      </w:r>
      <w:bookmarkEnd w:id="215"/>
      <w:bookmarkEnd w:id="216"/>
    </w:p>
    <w:p w14:paraId="25FC3AB3" w14:textId="77777777" w:rsidR="00C01A50" w:rsidRPr="004B79A9" w:rsidRDefault="00C01A50" w:rsidP="00AA3BA7">
      <w:pPr>
        <w:rPr>
          <w:lang w:val="en-AU"/>
        </w:rPr>
      </w:pPr>
      <w:r w:rsidRPr="004B79A9">
        <w:rPr>
          <w:lang w:val="en-AU"/>
        </w:rPr>
        <w:t>The combination of water recovery and industry change into the future is expected to increase water allocation prices (for given seasonal conditions), as it has already done over the period of Basin Plan implementation to date.</w:t>
      </w:r>
    </w:p>
    <w:p w14:paraId="5864B0DB" w14:textId="77777777" w:rsidR="00C01A50" w:rsidRPr="004B79A9" w:rsidRDefault="00C01A50" w:rsidP="00AA3BA7">
      <w:r w:rsidRPr="004B79A9">
        <w:rPr>
          <w:lang w:val="en-AU"/>
        </w:rPr>
        <w:t xml:space="preserve">Price impacts in water allocation markets would be expected to be greater for higher scenarios of water recovery. Importantly, the effect of on-farm investments to secure water recovery (such as the </w:t>
      </w:r>
      <w:r w:rsidRPr="004B79A9">
        <w:t xml:space="preserve">450 GL of up-water from Efficiency Measures) are less well understood than the effects of water recovery through buyback or delivery system upgrades. </w:t>
      </w:r>
    </w:p>
    <w:p w14:paraId="29E19482" w14:textId="77777777" w:rsidR="00C01A50" w:rsidRPr="004B79A9" w:rsidRDefault="00C01A50" w:rsidP="00E05A84">
      <w:pPr>
        <w:rPr>
          <w:lang w:val="en-AU"/>
        </w:rPr>
      </w:pPr>
      <w:r w:rsidRPr="004B79A9">
        <w:rPr>
          <w:lang w:val="en-AU"/>
        </w:rPr>
        <w:t xml:space="preserve">Analysis presented in Appendix </w:t>
      </w:r>
      <w:r w:rsidRPr="004B79A9">
        <w:fldChar w:fldCharType="begin"/>
      </w:r>
      <w:r w:rsidRPr="004B79A9">
        <w:instrText xml:space="preserve"> REF _Ref342403938 \r \h  \* MERGEFORMAT </w:instrText>
      </w:r>
      <w:r w:rsidRPr="004B79A9">
        <w:fldChar w:fldCharType="separate"/>
      </w:r>
      <w:r w:rsidR="008E5D7A">
        <w:t>4</w:t>
      </w:r>
      <w:r w:rsidRPr="004B79A9">
        <w:fldChar w:fldCharType="end"/>
      </w:r>
      <w:r w:rsidRPr="004B79A9">
        <w:rPr>
          <w:lang w:val="en-AU"/>
        </w:rPr>
        <w:t xml:space="preserve"> finds that on-farm water savings are expected to have price effects similar to delivery system water savings in wet-to-average years, but the price effects of on-farm water savings projects are closer to that of buyback when conditions are drier. In aggregate, these price effects influence the outcomes for those farm enterprises that did not participate in on-farm program, or may temper the direct benefits enjoyed by program participants.</w:t>
      </w:r>
    </w:p>
    <w:p w14:paraId="4E0AF5A0" w14:textId="77777777" w:rsidR="00C01A50" w:rsidRPr="004B79A9" w:rsidRDefault="00C01A50" w:rsidP="00AA3BA7">
      <w:pPr>
        <w:rPr>
          <w:lang w:val="en-AU"/>
        </w:rPr>
      </w:pPr>
      <w:r w:rsidRPr="004B79A9">
        <w:rPr>
          <w:lang w:val="en-AU"/>
        </w:rPr>
        <w:t xml:space="preserve">These changes to the price of water allocations would encourage changes to water use given that water allocation prices represent the opportunity cost of using water. The effect of this would be expected to be negative on those farmers that are reliant on water allocation purchases (i.e. their holdings of water entitlements are not sufficient to provide for water demands that must be met). The effect would be expected to be positive for those farms that are highly flexible in their water use and can sell allocations for higher prices. </w:t>
      </w:r>
    </w:p>
    <w:p w14:paraId="157DD006" w14:textId="77777777" w:rsidR="00612246" w:rsidRPr="004B79A9" w:rsidRDefault="00612246" w:rsidP="00612246">
      <w:pPr>
        <w:pStyle w:val="Heading2"/>
        <w:numPr>
          <w:ilvl w:val="1"/>
          <w:numId w:val="31"/>
        </w:numPr>
        <w:rPr>
          <w:lang w:val="en-AU"/>
        </w:rPr>
      </w:pPr>
      <w:bookmarkStart w:id="217" w:name="_Toc338405078"/>
      <w:bookmarkStart w:id="218" w:name="_Toc347747859"/>
      <w:bookmarkStart w:id="219" w:name="_Toc338405079"/>
      <w:r w:rsidRPr="004B79A9">
        <w:rPr>
          <w:lang w:val="en-AU"/>
        </w:rPr>
        <w:t>Impacts at the system scale</w:t>
      </w:r>
      <w:bookmarkEnd w:id="217"/>
      <w:bookmarkEnd w:id="218"/>
    </w:p>
    <w:p w14:paraId="16A221F1" w14:textId="77777777" w:rsidR="00612246" w:rsidRPr="004B79A9" w:rsidRDefault="00612246" w:rsidP="00612246">
      <w:pPr>
        <w:rPr>
          <w:lang w:val="en-AU"/>
        </w:rPr>
      </w:pPr>
      <w:r w:rsidRPr="004B79A9">
        <w:rPr>
          <w:lang w:val="en-AU"/>
        </w:rPr>
        <w:t>At the system scale, the impacts of water recovery scenario would occur in the context of future impacts, including:</w:t>
      </w:r>
    </w:p>
    <w:p w14:paraId="64FCD106" w14:textId="77777777" w:rsidR="00612246" w:rsidRPr="004B79A9" w:rsidRDefault="00612246" w:rsidP="00612246">
      <w:pPr>
        <w:pStyle w:val="ListParagraph"/>
        <w:numPr>
          <w:ilvl w:val="0"/>
          <w:numId w:val="17"/>
        </w:numPr>
        <w:rPr>
          <w:lang w:val="en-AU"/>
        </w:rPr>
      </w:pPr>
      <w:r w:rsidRPr="004B79A9">
        <w:rPr>
          <w:lang w:val="en-AU"/>
        </w:rPr>
        <w:t>Maturation of current horticultural investments</w:t>
      </w:r>
    </w:p>
    <w:p w14:paraId="51EBAF0A" w14:textId="77777777" w:rsidR="00612246" w:rsidRPr="004B79A9" w:rsidRDefault="00612246" w:rsidP="00612246">
      <w:pPr>
        <w:pStyle w:val="ListParagraph"/>
        <w:numPr>
          <w:ilvl w:val="0"/>
          <w:numId w:val="17"/>
        </w:numPr>
        <w:rPr>
          <w:lang w:val="en-AU"/>
        </w:rPr>
      </w:pPr>
      <w:r w:rsidRPr="004B79A9">
        <w:rPr>
          <w:lang w:val="en-AU"/>
        </w:rPr>
        <w:t xml:space="preserve">Continued expansion of </w:t>
      </w:r>
      <w:r w:rsidR="00102332" w:rsidRPr="004B79A9">
        <w:rPr>
          <w:lang w:val="en-AU"/>
        </w:rPr>
        <w:t>horticulture</w:t>
      </w:r>
    </w:p>
    <w:p w14:paraId="59A706FF" w14:textId="77777777" w:rsidR="00612246" w:rsidRPr="004B79A9" w:rsidRDefault="00612246" w:rsidP="00612246">
      <w:pPr>
        <w:pStyle w:val="ListParagraph"/>
        <w:numPr>
          <w:ilvl w:val="0"/>
          <w:numId w:val="17"/>
        </w:numPr>
        <w:rPr>
          <w:lang w:val="en-AU"/>
        </w:rPr>
      </w:pPr>
      <w:r w:rsidRPr="004B79A9">
        <w:rPr>
          <w:lang w:val="en-AU"/>
        </w:rPr>
        <w:t>Climate variability and climate change</w:t>
      </w:r>
    </w:p>
    <w:p w14:paraId="77C441D8" w14:textId="77777777" w:rsidR="00612246" w:rsidRPr="004B79A9" w:rsidRDefault="00612246" w:rsidP="00612246">
      <w:pPr>
        <w:rPr>
          <w:lang w:val="en-AU"/>
        </w:rPr>
      </w:pPr>
      <w:r w:rsidRPr="004B79A9">
        <w:rPr>
          <w:lang w:val="en-AU"/>
        </w:rPr>
        <w:t>As discussed throughout this report, water recovery to date has changed consumptive water availability. The increase in horticultural demand has compounded this effect to reduce the water that might be expected to be used by Victorian dairy and cropping (see figure below). The charts below represent the expected distribution of water availability to consumptive use in northern Victoria. The horizontal axis aligns the outcomes from the seasonal conditions observed in the past 20 years. The blue bars are the total volume allocated to Murray and Goulburn entitlements. The orange bars are the (relatively) fixed water demands of horticulture in the Victorian Mallee and GMID. The volumes are not observations, but rather the estimated consumptive pool and horticultural demands pre-Basin Plan and at current levels of water recovery and horticultural development.</w:t>
      </w:r>
      <w:r w:rsidR="004B79A9">
        <w:rPr>
          <w:lang w:val="en-AU"/>
        </w:rPr>
        <w:t xml:space="preserve"> (The calculations are explained in Appendix </w:t>
      </w:r>
      <w:r w:rsidR="004B79A9">
        <w:rPr>
          <w:lang w:val="en-AU"/>
        </w:rPr>
        <w:fldChar w:fldCharType="begin"/>
      </w:r>
      <w:r w:rsidR="004B79A9">
        <w:rPr>
          <w:lang w:val="en-AU"/>
        </w:rPr>
        <w:instrText xml:space="preserve"> REF _Ref342404337 \r \h </w:instrText>
      </w:r>
      <w:r w:rsidR="004B79A9">
        <w:rPr>
          <w:lang w:val="en-AU"/>
        </w:rPr>
      </w:r>
      <w:r w:rsidR="004B79A9">
        <w:rPr>
          <w:lang w:val="en-AU"/>
        </w:rPr>
        <w:fldChar w:fldCharType="separate"/>
      </w:r>
      <w:r w:rsidR="008E5D7A">
        <w:rPr>
          <w:lang w:val="en-AU"/>
        </w:rPr>
        <w:t>5</w:t>
      </w:r>
      <w:r w:rsidR="004B79A9">
        <w:rPr>
          <w:lang w:val="en-AU"/>
        </w:rPr>
        <w:fldChar w:fldCharType="end"/>
      </w:r>
      <w:r w:rsidR="004B79A9">
        <w:rPr>
          <w:lang w:val="en-AU"/>
        </w:rPr>
        <w:t>.)</w:t>
      </w:r>
    </w:p>
    <w:tbl>
      <w:tblPr>
        <w:tblStyle w:val="TableGrid"/>
        <w:tblW w:w="9031" w:type="dxa"/>
        <w:tblInd w:w="-5" w:type="dxa"/>
        <w:tblLayout w:type="fixed"/>
        <w:tblLook w:val="04A0" w:firstRow="1" w:lastRow="0" w:firstColumn="1" w:lastColumn="0" w:noHBand="0" w:noVBand="1"/>
      </w:tblPr>
      <w:tblGrid>
        <w:gridCol w:w="1418"/>
        <w:gridCol w:w="7613"/>
      </w:tblGrid>
      <w:tr w:rsidR="00612246" w:rsidRPr="004B79A9" w14:paraId="717AABCB" w14:textId="77777777" w:rsidTr="009D16E5">
        <w:tc>
          <w:tcPr>
            <w:tcW w:w="1418" w:type="dxa"/>
          </w:tcPr>
          <w:p w14:paraId="3F1EFA2C" w14:textId="77777777" w:rsidR="00612246" w:rsidRPr="004B79A9" w:rsidRDefault="00612246" w:rsidP="009D16E5">
            <w:pPr>
              <w:jc w:val="center"/>
            </w:pPr>
          </w:p>
          <w:p w14:paraId="227049D2" w14:textId="77777777" w:rsidR="00612246" w:rsidRPr="004B79A9" w:rsidRDefault="00612246" w:rsidP="009D16E5">
            <w:pPr>
              <w:jc w:val="center"/>
            </w:pPr>
            <w:r w:rsidRPr="004B79A9">
              <w:t>Pre-Basin Plan water recovery</w:t>
            </w:r>
          </w:p>
        </w:tc>
        <w:tc>
          <w:tcPr>
            <w:tcW w:w="7613" w:type="dxa"/>
          </w:tcPr>
          <w:p w14:paraId="48CCBCFA" w14:textId="77777777" w:rsidR="00612246" w:rsidRPr="004B79A9" w:rsidRDefault="00612246" w:rsidP="009D16E5">
            <w:r w:rsidRPr="004B79A9">
              <w:rPr>
                <w:noProof/>
                <w:lang w:val="en-AU" w:eastAsia="en-AU" w:bidi="ar-SA"/>
              </w:rPr>
              <w:drawing>
                <wp:inline distT="0" distB="0" distL="0" distR="0" wp14:anchorId="33D178D4" wp14:editId="06153C41">
                  <wp:extent cx="4572635"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tc>
      </w:tr>
      <w:tr w:rsidR="00612246" w:rsidRPr="004B79A9" w14:paraId="17002436" w14:textId="77777777" w:rsidTr="009D16E5">
        <w:tc>
          <w:tcPr>
            <w:tcW w:w="1418" w:type="dxa"/>
          </w:tcPr>
          <w:p w14:paraId="0A1D76F2" w14:textId="77777777" w:rsidR="00612246" w:rsidRPr="004B79A9" w:rsidRDefault="00612246" w:rsidP="009D16E5">
            <w:pPr>
              <w:jc w:val="center"/>
            </w:pPr>
          </w:p>
          <w:p w14:paraId="2768E07B" w14:textId="77777777" w:rsidR="00612246" w:rsidRPr="004B79A9" w:rsidRDefault="00612246" w:rsidP="009D16E5">
            <w:pPr>
              <w:jc w:val="center"/>
            </w:pPr>
            <w:r w:rsidRPr="004B79A9">
              <w:t>With Basin Plan water recovery to date and current levels of horticulture</w:t>
            </w:r>
          </w:p>
        </w:tc>
        <w:tc>
          <w:tcPr>
            <w:tcW w:w="7613" w:type="dxa"/>
          </w:tcPr>
          <w:p w14:paraId="7D789BDB" w14:textId="77777777" w:rsidR="00612246" w:rsidRPr="004B79A9" w:rsidRDefault="00612246" w:rsidP="009D16E5">
            <w:r w:rsidRPr="004B79A9">
              <w:rPr>
                <w:noProof/>
                <w:lang w:val="en-AU" w:eastAsia="en-AU" w:bidi="ar-SA"/>
              </w:rPr>
              <w:drawing>
                <wp:inline distT="0" distB="0" distL="0" distR="0" wp14:anchorId="77B537EA" wp14:editId="7E2F15F3">
                  <wp:extent cx="4566285" cy="27432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66285" cy="2743200"/>
                          </a:xfrm>
                          <a:prstGeom prst="rect">
                            <a:avLst/>
                          </a:prstGeom>
                          <a:noFill/>
                        </pic:spPr>
                      </pic:pic>
                    </a:graphicData>
                  </a:graphic>
                </wp:inline>
              </w:drawing>
            </w:r>
          </w:p>
        </w:tc>
      </w:tr>
    </w:tbl>
    <w:p w14:paraId="7B79E4A2" w14:textId="77777777" w:rsidR="00612246" w:rsidRPr="004B79A9" w:rsidRDefault="00612246" w:rsidP="00612246">
      <w:pPr>
        <w:rPr>
          <w:b/>
        </w:rPr>
      </w:pPr>
      <w:r w:rsidRPr="004B79A9">
        <w:rPr>
          <w:b/>
        </w:rPr>
        <w:t xml:space="preserve">Figure </w:t>
      </w:r>
      <w:r w:rsidRPr="004B79A9">
        <w:rPr>
          <w:b/>
        </w:rPr>
        <w:fldChar w:fldCharType="begin"/>
      </w:r>
      <w:r w:rsidRPr="004B79A9">
        <w:rPr>
          <w:b/>
        </w:rPr>
        <w:instrText xml:space="preserve"> SEQ Figure \* ARABIC </w:instrText>
      </w:r>
      <w:r w:rsidRPr="004B79A9">
        <w:rPr>
          <w:b/>
        </w:rPr>
        <w:fldChar w:fldCharType="separate"/>
      </w:r>
      <w:r w:rsidR="008E5D7A">
        <w:rPr>
          <w:b/>
          <w:noProof/>
        </w:rPr>
        <w:t>52</w:t>
      </w:r>
      <w:r w:rsidRPr="004B79A9">
        <w:rPr>
          <w:b/>
        </w:rPr>
        <w:fldChar w:fldCharType="end"/>
      </w:r>
      <w:r w:rsidRPr="004B79A9">
        <w:rPr>
          <w:b/>
        </w:rPr>
        <w:t xml:space="preserve"> Distribution of water availability (pre-Basin Plan and current) (ML)</w:t>
      </w:r>
    </w:p>
    <w:p w14:paraId="0E4523D3" w14:textId="77777777" w:rsidR="00612246" w:rsidRPr="004B79A9" w:rsidRDefault="00612246" w:rsidP="00612246">
      <w:pPr>
        <w:rPr>
          <w:b/>
          <w:lang w:val="en-AU"/>
        </w:rPr>
      </w:pPr>
      <w:r w:rsidRPr="004B79A9">
        <w:rPr>
          <w:rFonts w:eastAsia="Calibri"/>
          <w:color w:val="000000"/>
          <w:sz w:val="18"/>
          <w:szCs w:val="22"/>
          <w:lang w:val="en-AU"/>
        </w:rPr>
        <w:t>Note: Horticultural demand is charted as 423GL pre-Basin Plan (326GL Mallee plus 97GL GMID) and 623GL current (526GL Mallee plus 97GL GMID)</w:t>
      </w:r>
      <w:r w:rsidR="00387C3F" w:rsidRPr="004B79A9">
        <w:rPr>
          <w:rFonts w:eastAsia="Calibri"/>
          <w:color w:val="000000"/>
          <w:sz w:val="18"/>
          <w:szCs w:val="22"/>
          <w:lang w:val="en-AU"/>
        </w:rPr>
        <w:t xml:space="preserve"> based on the data in Appendix </w:t>
      </w:r>
      <w:r w:rsidR="00387C3F" w:rsidRPr="004B79A9">
        <w:rPr>
          <w:rFonts w:eastAsia="Calibri"/>
          <w:color w:val="000000"/>
          <w:sz w:val="18"/>
          <w:szCs w:val="22"/>
          <w:lang w:val="en-AU"/>
        </w:rPr>
        <w:fldChar w:fldCharType="begin"/>
      </w:r>
      <w:r w:rsidR="00387C3F" w:rsidRPr="004B79A9">
        <w:rPr>
          <w:rFonts w:eastAsia="Calibri"/>
          <w:color w:val="000000"/>
          <w:sz w:val="18"/>
          <w:szCs w:val="22"/>
          <w:lang w:val="en-AU"/>
        </w:rPr>
        <w:instrText xml:space="preserve"> REF _Ref342404337 \r \h </w:instrText>
      </w:r>
      <w:r w:rsidR="00387C3F" w:rsidRPr="004B79A9">
        <w:rPr>
          <w:rFonts w:eastAsia="Calibri"/>
          <w:color w:val="000000"/>
          <w:sz w:val="18"/>
          <w:szCs w:val="22"/>
          <w:lang w:val="en-AU"/>
        </w:rPr>
      </w:r>
      <w:r w:rsidR="00387C3F" w:rsidRPr="004B79A9">
        <w:rPr>
          <w:rFonts w:eastAsia="Calibri"/>
          <w:color w:val="000000"/>
          <w:sz w:val="18"/>
          <w:szCs w:val="22"/>
          <w:lang w:val="en-AU"/>
        </w:rPr>
        <w:fldChar w:fldCharType="separate"/>
      </w:r>
      <w:r w:rsidR="008E5D7A">
        <w:rPr>
          <w:rFonts w:eastAsia="Calibri"/>
          <w:color w:val="000000"/>
          <w:sz w:val="18"/>
          <w:szCs w:val="22"/>
          <w:lang w:val="en-AU"/>
        </w:rPr>
        <w:t>5</w:t>
      </w:r>
      <w:r w:rsidR="00387C3F" w:rsidRPr="004B79A9">
        <w:rPr>
          <w:rFonts w:eastAsia="Calibri"/>
          <w:color w:val="000000"/>
          <w:sz w:val="18"/>
          <w:szCs w:val="22"/>
          <w:lang w:val="en-AU"/>
        </w:rPr>
        <w:fldChar w:fldCharType="end"/>
      </w:r>
      <w:r w:rsidRPr="004B79A9">
        <w:rPr>
          <w:rFonts w:eastAsia="Calibri"/>
          <w:color w:val="000000"/>
          <w:sz w:val="18"/>
          <w:szCs w:val="22"/>
          <w:lang w:val="en-AU"/>
        </w:rPr>
        <w:t>. Current water recovery is in line with achieving 2100GL.</w:t>
      </w:r>
    </w:p>
    <w:p w14:paraId="0D7C0AA1" w14:textId="77777777" w:rsidR="00612246" w:rsidRPr="004B79A9" w:rsidRDefault="00612246" w:rsidP="00612246">
      <w:pPr>
        <w:rPr>
          <w:lang w:val="en-AU"/>
        </w:rPr>
      </w:pPr>
      <w:r w:rsidRPr="004B79A9">
        <w:rPr>
          <w:lang w:val="en-AU"/>
        </w:rPr>
        <w:t>Overall, a decrease in the water that might be expected to be used by Victorian dairy and cropping (the blue bars above the orange bars) has been observed. In order to interpret the figure, the table below presents a number of metrics. The metrics are also presented for the counterfactual, where industry change has occurred to current levels but water recovery has not occurred.</w:t>
      </w:r>
    </w:p>
    <w:p w14:paraId="6AB08612" w14:textId="77777777" w:rsidR="00612246" w:rsidRPr="004B79A9" w:rsidRDefault="00612246" w:rsidP="00612246">
      <w:pPr>
        <w:spacing w:before="0" w:after="0" w:line="240" w:lineRule="auto"/>
        <w:jc w:val="left"/>
        <w:rPr>
          <w:lang w:val="en-AU"/>
        </w:rPr>
      </w:pPr>
      <w:r w:rsidRPr="004B79A9">
        <w:rPr>
          <w:lang w:val="en-AU"/>
        </w:rPr>
        <w:br w:type="page"/>
      </w:r>
    </w:p>
    <w:p w14:paraId="11145A9A" w14:textId="77777777" w:rsidR="00612246" w:rsidRPr="004B79A9" w:rsidRDefault="00612246" w:rsidP="00612246">
      <w:pPr>
        <w:rPr>
          <w:lang w:val="en-AU"/>
        </w:rPr>
      </w:pPr>
    </w:p>
    <w:p w14:paraId="54E4754D" w14:textId="77777777" w:rsidR="00612246" w:rsidRPr="004B79A9" w:rsidRDefault="00612246" w:rsidP="00612246">
      <w:pPr>
        <w:pStyle w:val="Caption"/>
        <w:keepNext/>
      </w:pPr>
      <w:r w:rsidRPr="004B79A9">
        <w:t xml:space="preserve">Table </w:t>
      </w:r>
      <w:r w:rsidRPr="004B79A9">
        <w:fldChar w:fldCharType="begin"/>
      </w:r>
      <w:r w:rsidRPr="004B79A9">
        <w:instrText xml:space="preserve"> SEQ Table \* ARABIC </w:instrText>
      </w:r>
      <w:r w:rsidRPr="004B79A9">
        <w:fldChar w:fldCharType="separate"/>
      </w:r>
      <w:r w:rsidR="008E5D7A">
        <w:rPr>
          <w:noProof/>
        </w:rPr>
        <w:t>16</w:t>
      </w:r>
      <w:r w:rsidRPr="004B79A9">
        <w:fldChar w:fldCharType="end"/>
      </w:r>
      <w:r w:rsidRPr="004B79A9">
        <w:t>: Metrics comparing the distribution of water availability (current)</w:t>
      </w:r>
    </w:p>
    <w:tbl>
      <w:tblPr>
        <w:tblStyle w:val="TableGrid"/>
        <w:tblW w:w="0" w:type="auto"/>
        <w:tblLook w:val="04A0" w:firstRow="1" w:lastRow="0" w:firstColumn="1" w:lastColumn="0" w:noHBand="0" w:noVBand="1"/>
      </w:tblPr>
      <w:tblGrid>
        <w:gridCol w:w="3068"/>
        <w:gridCol w:w="1679"/>
        <w:gridCol w:w="2109"/>
        <w:gridCol w:w="2312"/>
      </w:tblGrid>
      <w:tr w:rsidR="00612246" w:rsidRPr="004B79A9" w14:paraId="237B4E23" w14:textId="77777777" w:rsidTr="009D16E5">
        <w:tc>
          <w:tcPr>
            <w:tcW w:w="3085" w:type="dxa"/>
          </w:tcPr>
          <w:p w14:paraId="5B74DD05" w14:textId="77777777" w:rsidR="00612246" w:rsidRPr="004B79A9" w:rsidRDefault="00612246" w:rsidP="009D16E5">
            <w:pPr>
              <w:spacing w:before="100" w:after="100"/>
              <w:rPr>
                <w:rFonts w:ascii="Arial" w:hAnsi="Arial" w:cs="Arial"/>
                <w:sz w:val="20"/>
                <w:lang w:val="en-AU"/>
              </w:rPr>
            </w:pPr>
          </w:p>
        </w:tc>
        <w:tc>
          <w:tcPr>
            <w:tcW w:w="1701" w:type="dxa"/>
          </w:tcPr>
          <w:p w14:paraId="2D4FDEB0" w14:textId="77777777" w:rsidR="00612246" w:rsidRPr="004B79A9" w:rsidRDefault="00612246" w:rsidP="009D16E5">
            <w:pPr>
              <w:spacing w:before="100" w:after="100"/>
              <w:rPr>
                <w:rFonts w:ascii="Arial" w:hAnsi="Arial" w:cs="Arial"/>
                <w:sz w:val="20"/>
                <w:lang w:val="en-AU"/>
              </w:rPr>
            </w:pPr>
            <w:r w:rsidRPr="004B79A9">
              <w:rPr>
                <w:rFonts w:ascii="Arial" w:hAnsi="Arial" w:cs="Arial"/>
                <w:sz w:val="20"/>
                <w:lang w:val="en-AU"/>
              </w:rPr>
              <w:t>Pre Basin Plan</w:t>
            </w:r>
          </w:p>
        </w:tc>
        <w:tc>
          <w:tcPr>
            <w:tcW w:w="2126" w:type="dxa"/>
          </w:tcPr>
          <w:p w14:paraId="6C1EBF8E" w14:textId="77777777" w:rsidR="00612246" w:rsidRPr="004B79A9" w:rsidRDefault="00612246" w:rsidP="009D16E5">
            <w:pPr>
              <w:spacing w:before="100" w:after="100"/>
              <w:rPr>
                <w:rFonts w:ascii="Arial" w:hAnsi="Arial" w:cs="Arial"/>
                <w:sz w:val="20"/>
                <w:lang w:val="en-AU"/>
              </w:rPr>
            </w:pPr>
            <w:r w:rsidRPr="004B79A9">
              <w:rPr>
                <w:rFonts w:ascii="Arial" w:hAnsi="Arial" w:cs="Arial"/>
                <w:sz w:val="20"/>
                <w:lang w:val="en-AU"/>
              </w:rPr>
              <w:t xml:space="preserve">Current observations with water recovery </w:t>
            </w:r>
          </w:p>
        </w:tc>
        <w:tc>
          <w:tcPr>
            <w:tcW w:w="2330" w:type="dxa"/>
          </w:tcPr>
          <w:p w14:paraId="72A79E92" w14:textId="77777777" w:rsidR="00612246" w:rsidRPr="004B79A9" w:rsidRDefault="00612246" w:rsidP="009D16E5">
            <w:pPr>
              <w:spacing w:before="100" w:after="100"/>
              <w:rPr>
                <w:rFonts w:ascii="Arial" w:hAnsi="Arial" w:cs="Arial"/>
                <w:sz w:val="20"/>
                <w:lang w:val="en-AU"/>
              </w:rPr>
            </w:pPr>
            <w:r w:rsidRPr="004B79A9">
              <w:rPr>
                <w:rFonts w:ascii="Arial" w:hAnsi="Arial" w:cs="Arial"/>
                <w:sz w:val="20"/>
                <w:lang w:val="en-AU"/>
              </w:rPr>
              <w:t>Current counterfactual: without water recovery</w:t>
            </w:r>
          </w:p>
        </w:tc>
      </w:tr>
      <w:tr w:rsidR="00612246" w:rsidRPr="004B79A9" w14:paraId="74535429" w14:textId="77777777" w:rsidTr="009D16E5">
        <w:tc>
          <w:tcPr>
            <w:tcW w:w="3085" w:type="dxa"/>
          </w:tcPr>
          <w:p w14:paraId="4C715B5F" w14:textId="77777777" w:rsidR="00612246" w:rsidRPr="004B79A9" w:rsidRDefault="00612246" w:rsidP="009D16E5">
            <w:pPr>
              <w:spacing w:before="100" w:after="100"/>
              <w:jc w:val="left"/>
              <w:rPr>
                <w:rFonts w:ascii="Arial" w:hAnsi="Arial" w:cs="Arial"/>
                <w:sz w:val="20"/>
                <w:lang w:val="en-AU"/>
              </w:rPr>
            </w:pPr>
            <w:r w:rsidRPr="004B79A9">
              <w:rPr>
                <w:rFonts w:ascii="Arial" w:hAnsi="Arial" w:cs="Arial"/>
                <w:sz w:val="20"/>
                <w:lang w:val="en-AU"/>
              </w:rPr>
              <w:t>Average volume in excess of horticultural requirements (GL)</w:t>
            </w:r>
          </w:p>
        </w:tc>
        <w:tc>
          <w:tcPr>
            <w:tcW w:w="1701" w:type="dxa"/>
            <w:vAlign w:val="bottom"/>
          </w:tcPr>
          <w:p w14:paraId="33CB305E" w14:textId="77777777" w:rsidR="00612246" w:rsidRPr="004B79A9" w:rsidRDefault="00612246" w:rsidP="009D16E5">
            <w:pPr>
              <w:spacing w:before="100" w:after="100"/>
              <w:jc w:val="center"/>
              <w:rPr>
                <w:rFonts w:ascii="Arial" w:hAnsi="Arial" w:cs="Arial"/>
                <w:sz w:val="20"/>
                <w:lang w:val="en-AU"/>
              </w:rPr>
            </w:pPr>
            <w:r w:rsidRPr="004B79A9">
              <w:rPr>
                <w:color w:val="000000"/>
                <w:szCs w:val="22"/>
              </w:rPr>
              <w:t>1665</w:t>
            </w:r>
          </w:p>
        </w:tc>
        <w:tc>
          <w:tcPr>
            <w:tcW w:w="2126" w:type="dxa"/>
            <w:vAlign w:val="bottom"/>
          </w:tcPr>
          <w:p w14:paraId="150B4C5C" w14:textId="77777777" w:rsidR="00612246" w:rsidRPr="004B79A9" w:rsidRDefault="00612246" w:rsidP="009D16E5">
            <w:pPr>
              <w:spacing w:before="100" w:after="100"/>
              <w:jc w:val="center"/>
              <w:rPr>
                <w:rFonts w:ascii="Arial" w:hAnsi="Arial" w:cs="Arial"/>
                <w:b/>
                <w:sz w:val="20"/>
                <w:lang w:val="en-AU"/>
              </w:rPr>
            </w:pPr>
            <w:r w:rsidRPr="004B79A9">
              <w:rPr>
                <w:b/>
                <w:color w:val="000000"/>
                <w:szCs w:val="22"/>
              </w:rPr>
              <w:t>1150</w:t>
            </w:r>
          </w:p>
        </w:tc>
        <w:tc>
          <w:tcPr>
            <w:tcW w:w="2330" w:type="dxa"/>
            <w:vAlign w:val="bottom"/>
          </w:tcPr>
          <w:p w14:paraId="6D7D2077" w14:textId="77777777" w:rsidR="00612246" w:rsidRPr="004B79A9" w:rsidRDefault="00612246" w:rsidP="009D16E5">
            <w:pPr>
              <w:spacing w:before="100" w:after="100"/>
              <w:jc w:val="center"/>
              <w:rPr>
                <w:rFonts w:ascii="Arial" w:hAnsi="Arial" w:cs="Arial"/>
                <w:sz w:val="20"/>
                <w:lang w:val="en-AU"/>
              </w:rPr>
            </w:pPr>
            <w:r w:rsidRPr="004B79A9">
              <w:rPr>
                <w:color w:val="000000"/>
                <w:szCs w:val="22"/>
              </w:rPr>
              <w:t>1465</w:t>
            </w:r>
          </w:p>
        </w:tc>
      </w:tr>
      <w:tr w:rsidR="00612246" w:rsidRPr="004B79A9" w14:paraId="51E04DE1" w14:textId="77777777" w:rsidTr="009D16E5">
        <w:tc>
          <w:tcPr>
            <w:tcW w:w="3085" w:type="dxa"/>
          </w:tcPr>
          <w:p w14:paraId="3BD0AE7E" w14:textId="77777777" w:rsidR="00612246" w:rsidRPr="004B79A9" w:rsidRDefault="00612246" w:rsidP="009D16E5">
            <w:pPr>
              <w:spacing w:before="100" w:after="100"/>
              <w:jc w:val="left"/>
              <w:rPr>
                <w:rFonts w:ascii="Arial" w:hAnsi="Arial" w:cs="Arial"/>
                <w:sz w:val="20"/>
                <w:lang w:val="en-AU"/>
              </w:rPr>
            </w:pPr>
            <w:r w:rsidRPr="004B79A9">
              <w:rPr>
                <w:rFonts w:ascii="Arial" w:hAnsi="Arial" w:cs="Arial"/>
                <w:sz w:val="20"/>
                <w:lang w:val="en-AU"/>
              </w:rPr>
              <w:t>Coefficient of variation of volume in excess of horticultural requirements</w:t>
            </w:r>
          </w:p>
        </w:tc>
        <w:tc>
          <w:tcPr>
            <w:tcW w:w="1701" w:type="dxa"/>
            <w:vAlign w:val="bottom"/>
          </w:tcPr>
          <w:p w14:paraId="4FC2EC84" w14:textId="77777777" w:rsidR="00612246" w:rsidRPr="004B79A9" w:rsidRDefault="00612246" w:rsidP="009D16E5">
            <w:pPr>
              <w:spacing w:before="100" w:after="100"/>
              <w:jc w:val="center"/>
              <w:rPr>
                <w:rFonts w:ascii="Arial" w:hAnsi="Arial" w:cs="Arial"/>
                <w:sz w:val="20"/>
                <w:lang w:val="en-AU"/>
              </w:rPr>
            </w:pPr>
            <w:r w:rsidRPr="004B79A9">
              <w:rPr>
                <w:color w:val="000000"/>
                <w:szCs w:val="22"/>
              </w:rPr>
              <w:t xml:space="preserve">0.29 </w:t>
            </w:r>
          </w:p>
        </w:tc>
        <w:tc>
          <w:tcPr>
            <w:tcW w:w="2126" w:type="dxa"/>
            <w:vAlign w:val="bottom"/>
          </w:tcPr>
          <w:p w14:paraId="03F86E81" w14:textId="77777777" w:rsidR="00612246" w:rsidRPr="004B79A9" w:rsidRDefault="00612246" w:rsidP="009D16E5">
            <w:pPr>
              <w:spacing w:before="100" w:after="100"/>
              <w:jc w:val="center"/>
              <w:rPr>
                <w:rFonts w:ascii="Arial" w:hAnsi="Arial" w:cs="Arial"/>
                <w:b/>
                <w:sz w:val="20"/>
                <w:lang w:val="en-AU"/>
              </w:rPr>
            </w:pPr>
            <w:r w:rsidRPr="004B79A9">
              <w:rPr>
                <w:b/>
                <w:color w:val="000000"/>
                <w:szCs w:val="22"/>
              </w:rPr>
              <w:t xml:space="preserve">0.35 </w:t>
            </w:r>
          </w:p>
        </w:tc>
        <w:tc>
          <w:tcPr>
            <w:tcW w:w="2330" w:type="dxa"/>
            <w:vAlign w:val="bottom"/>
          </w:tcPr>
          <w:p w14:paraId="6CB40993" w14:textId="77777777" w:rsidR="00612246" w:rsidRPr="004B79A9" w:rsidRDefault="00612246" w:rsidP="009D16E5">
            <w:pPr>
              <w:spacing w:before="100" w:after="100"/>
              <w:jc w:val="center"/>
              <w:rPr>
                <w:rFonts w:ascii="Arial" w:hAnsi="Arial" w:cs="Arial"/>
                <w:sz w:val="20"/>
                <w:lang w:val="en-AU"/>
              </w:rPr>
            </w:pPr>
            <w:r w:rsidRPr="004B79A9">
              <w:rPr>
                <w:color w:val="000000"/>
                <w:szCs w:val="22"/>
              </w:rPr>
              <w:t xml:space="preserve">0.33 </w:t>
            </w:r>
          </w:p>
        </w:tc>
      </w:tr>
      <w:tr w:rsidR="00612246" w:rsidRPr="004B79A9" w14:paraId="1D6925EA" w14:textId="77777777" w:rsidTr="009D16E5">
        <w:tc>
          <w:tcPr>
            <w:tcW w:w="3085" w:type="dxa"/>
          </w:tcPr>
          <w:p w14:paraId="251885C9" w14:textId="77777777" w:rsidR="00612246" w:rsidRPr="004B79A9" w:rsidRDefault="00612246" w:rsidP="009D16E5">
            <w:pPr>
              <w:spacing w:before="100" w:after="100"/>
              <w:jc w:val="left"/>
              <w:rPr>
                <w:rFonts w:ascii="Arial" w:hAnsi="Arial" w:cs="Arial"/>
                <w:sz w:val="20"/>
                <w:lang w:val="en-AU"/>
              </w:rPr>
            </w:pPr>
            <w:r w:rsidRPr="004B79A9">
              <w:rPr>
                <w:rFonts w:ascii="Arial" w:hAnsi="Arial" w:cs="Arial"/>
                <w:sz w:val="20"/>
                <w:lang w:val="en-AU"/>
              </w:rPr>
              <w:t>Allocations/Entitlements in excess of horticultural requirements in repeat of 2008-09 drought</w:t>
            </w:r>
          </w:p>
        </w:tc>
        <w:tc>
          <w:tcPr>
            <w:tcW w:w="1701" w:type="dxa"/>
          </w:tcPr>
          <w:p w14:paraId="38D129B7" w14:textId="77777777" w:rsidR="00612246" w:rsidRPr="004B79A9" w:rsidRDefault="00612246" w:rsidP="009D16E5">
            <w:pPr>
              <w:spacing w:before="100" w:after="100"/>
              <w:jc w:val="center"/>
              <w:rPr>
                <w:rFonts w:ascii="Arial" w:hAnsi="Arial" w:cs="Arial"/>
                <w:sz w:val="20"/>
                <w:lang w:val="en-AU"/>
              </w:rPr>
            </w:pPr>
            <w:r w:rsidRPr="004B79A9">
              <w:rPr>
                <w:rFonts w:ascii="Arial" w:hAnsi="Arial" w:cs="Arial"/>
                <w:sz w:val="20"/>
                <w:lang w:val="en-AU"/>
              </w:rPr>
              <w:br/>
            </w:r>
            <w:r w:rsidRPr="004B79A9">
              <w:rPr>
                <w:rFonts w:ascii="Arial" w:hAnsi="Arial" w:cs="Arial"/>
                <w:sz w:val="20"/>
                <w:lang w:val="en-AU"/>
              </w:rPr>
              <w:br/>
              <w:t>18%</w:t>
            </w:r>
          </w:p>
        </w:tc>
        <w:tc>
          <w:tcPr>
            <w:tcW w:w="2126" w:type="dxa"/>
          </w:tcPr>
          <w:p w14:paraId="4B3A2613" w14:textId="77777777" w:rsidR="00612246" w:rsidRPr="004B79A9" w:rsidRDefault="00612246" w:rsidP="009D16E5">
            <w:pPr>
              <w:spacing w:before="100" w:after="100"/>
              <w:jc w:val="center"/>
              <w:rPr>
                <w:rFonts w:ascii="Arial" w:hAnsi="Arial" w:cs="Arial"/>
                <w:b/>
                <w:sz w:val="20"/>
                <w:lang w:val="en-AU"/>
              </w:rPr>
            </w:pPr>
            <w:r w:rsidRPr="004B79A9">
              <w:rPr>
                <w:rFonts w:ascii="Arial" w:hAnsi="Arial" w:cs="Arial"/>
                <w:b/>
                <w:sz w:val="20"/>
                <w:lang w:val="en-AU"/>
              </w:rPr>
              <w:br/>
            </w:r>
            <w:r w:rsidRPr="004B79A9">
              <w:rPr>
                <w:rFonts w:ascii="Arial" w:hAnsi="Arial" w:cs="Arial"/>
                <w:b/>
                <w:sz w:val="20"/>
                <w:lang w:val="en-AU"/>
              </w:rPr>
              <w:br/>
              <w:t>1%</w:t>
            </w:r>
          </w:p>
        </w:tc>
        <w:tc>
          <w:tcPr>
            <w:tcW w:w="2330" w:type="dxa"/>
          </w:tcPr>
          <w:p w14:paraId="10D38384" w14:textId="77777777" w:rsidR="00612246" w:rsidRPr="004B79A9" w:rsidRDefault="00612246" w:rsidP="009D16E5">
            <w:pPr>
              <w:spacing w:before="100" w:after="100"/>
              <w:jc w:val="center"/>
              <w:rPr>
                <w:rFonts w:ascii="Arial" w:hAnsi="Arial" w:cs="Arial"/>
                <w:sz w:val="20"/>
                <w:lang w:val="en-AU"/>
              </w:rPr>
            </w:pPr>
            <w:r w:rsidRPr="004B79A9">
              <w:rPr>
                <w:rFonts w:ascii="Arial" w:hAnsi="Arial" w:cs="Arial"/>
                <w:sz w:val="20"/>
                <w:lang w:val="en-AU"/>
              </w:rPr>
              <w:br/>
            </w:r>
            <w:r w:rsidRPr="004B79A9">
              <w:rPr>
                <w:rFonts w:ascii="Arial" w:hAnsi="Arial" w:cs="Arial"/>
                <w:sz w:val="20"/>
                <w:lang w:val="en-AU"/>
              </w:rPr>
              <w:br/>
              <w:t>8%</w:t>
            </w:r>
          </w:p>
        </w:tc>
      </w:tr>
    </w:tbl>
    <w:p w14:paraId="65E03602" w14:textId="77777777" w:rsidR="00612246" w:rsidRPr="004B79A9" w:rsidRDefault="00612246" w:rsidP="00612246">
      <w:pPr>
        <w:rPr>
          <w:lang w:val="en-AU"/>
        </w:rPr>
      </w:pPr>
    </w:p>
    <w:p w14:paraId="6584C6D0" w14:textId="77777777" w:rsidR="00612246" w:rsidRPr="004B79A9" w:rsidRDefault="00612246" w:rsidP="00612246">
      <w:pPr>
        <w:rPr>
          <w:lang w:val="en-AU"/>
        </w:rPr>
      </w:pPr>
      <w:r w:rsidRPr="004B79A9">
        <w:rPr>
          <w:lang w:val="en-AU"/>
        </w:rPr>
        <w:t>Into the future, the horticultural water demands are expected to increase (Aither 2016a). At a minimum, this is from the maturation of current planting (estimated to be 652.2 GL in the Mallee</w:t>
      </w:r>
      <w:r w:rsidR="00387C3F" w:rsidRPr="004B79A9">
        <w:rPr>
          <w:lang w:val="en-AU"/>
        </w:rPr>
        <w:t xml:space="preserve"> – see Appendix </w:t>
      </w:r>
      <w:r w:rsidR="00387C3F" w:rsidRPr="004B79A9">
        <w:rPr>
          <w:lang w:val="en-AU"/>
        </w:rPr>
        <w:fldChar w:fldCharType="begin"/>
      </w:r>
      <w:r w:rsidR="00387C3F" w:rsidRPr="004B79A9">
        <w:rPr>
          <w:lang w:val="en-AU"/>
        </w:rPr>
        <w:instrText xml:space="preserve"> REF _Ref342404337 \r \h </w:instrText>
      </w:r>
      <w:r w:rsidR="00387C3F" w:rsidRPr="004B79A9">
        <w:rPr>
          <w:lang w:val="en-AU"/>
        </w:rPr>
      </w:r>
      <w:r w:rsidR="00387C3F" w:rsidRPr="004B79A9">
        <w:rPr>
          <w:lang w:val="en-AU"/>
        </w:rPr>
        <w:fldChar w:fldCharType="separate"/>
      </w:r>
      <w:r w:rsidR="008E5D7A">
        <w:rPr>
          <w:lang w:val="en-AU"/>
        </w:rPr>
        <w:t>5</w:t>
      </w:r>
      <w:r w:rsidR="00387C3F" w:rsidRPr="004B79A9">
        <w:rPr>
          <w:lang w:val="en-AU"/>
        </w:rPr>
        <w:fldChar w:fldCharType="end"/>
      </w:r>
      <w:r w:rsidRPr="004B79A9">
        <w:rPr>
          <w:lang w:val="en-AU"/>
        </w:rPr>
        <w:t xml:space="preserve">) plus existing horticulture totalling about 97GL </w:t>
      </w:r>
      <w:r w:rsidR="00211924" w:rsidRPr="004B79A9">
        <w:rPr>
          <w:lang w:val="en-AU"/>
        </w:rPr>
        <w:t>(RMCG,</w:t>
      </w:r>
      <w:r w:rsidR="00387C3F" w:rsidRPr="004B79A9">
        <w:rPr>
          <w:lang w:val="en-AU"/>
        </w:rPr>
        <w:t xml:space="preserve"> </w:t>
      </w:r>
      <w:r w:rsidR="00211924" w:rsidRPr="004B79A9">
        <w:rPr>
          <w:lang w:val="en-AU"/>
        </w:rPr>
        <w:t xml:space="preserve">2016) </w:t>
      </w:r>
      <w:r w:rsidRPr="004B79A9">
        <w:rPr>
          <w:lang w:val="en-AU"/>
        </w:rPr>
        <w:t>in the GMID. Using this, the charts below present the water availability distribution information for the low, medium and high scenarios of water recovery.</w:t>
      </w:r>
    </w:p>
    <w:tbl>
      <w:tblPr>
        <w:tblStyle w:val="TableGrid"/>
        <w:tblW w:w="9242" w:type="dxa"/>
        <w:tblLayout w:type="fixed"/>
        <w:tblLook w:val="04A0" w:firstRow="1" w:lastRow="0" w:firstColumn="1" w:lastColumn="0" w:noHBand="0" w:noVBand="1"/>
      </w:tblPr>
      <w:tblGrid>
        <w:gridCol w:w="1384"/>
        <w:gridCol w:w="7858"/>
      </w:tblGrid>
      <w:tr w:rsidR="00612246" w:rsidRPr="004B79A9" w14:paraId="4130022E" w14:textId="77777777" w:rsidTr="009D16E5">
        <w:tc>
          <w:tcPr>
            <w:tcW w:w="1384" w:type="dxa"/>
          </w:tcPr>
          <w:p w14:paraId="31CBFC78" w14:textId="77777777" w:rsidR="00612246" w:rsidRPr="004B79A9" w:rsidRDefault="00612246" w:rsidP="009D16E5">
            <w:pPr>
              <w:jc w:val="center"/>
              <w:rPr>
                <w:lang w:val="en-AU"/>
              </w:rPr>
            </w:pPr>
            <w:r w:rsidRPr="004B79A9">
              <w:rPr>
                <w:lang w:val="en-AU"/>
              </w:rPr>
              <w:t>Low water recovery</w:t>
            </w:r>
          </w:p>
          <w:p w14:paraId="79A15870" w14:textId="77777777" w:rsidR="00612246" w:rsidRPr="004B79A9" w:rsidRDefault="00612246" w:rsidP="009D16E5">
            <w:pPr>
              <w:jc w:val="center"/>
              <w:rPr>
                <w:lang w:val="en-AU"/>
              </w:rPr>
            </w:pPr>
            <w:r w:rsidRPr="004B79A9">
              <w:rPr>
                <w:lang w:val="en-AU"/>
              </w:rPr>
              <w:t xml:space="preserve"> 2100 GL</w:t>
            </w:r>
          </w:p>
          <w:p w14:paraId="3DCAC084" w14:textId="77777777" w:rsidR="00612246" w:rsidRPr="004B79A9" w:rsidRDefault="00612246" w:rsidP="009D16E5">
            <w:pPr>
              <w:jc w:val="center"/>
              <w:rPr>
                <w:lang w:val="en-AU"/>
              </w:rPr>
            </w:pPr>
          </w:p>
        </w:tc>
        <w:tc>
          <w:tcPr>
            <w:tcW w:w="7858" w:type="dxa"/>
          </w:tcPr>
          <w:p w14:paraId="26485D4C" w14:textId="77777777" w:rsidR="00612246" w:rsidRPr="004B79A9" w:rsidRDefault="00612246" w:rsidP="009D16E5">
            <w:pPr>
              <w:rPr>
                <w:lang w:val="en-AU"/>
              </w:rPr>
            </w:pPr>
            <w:r w:rsidRPr="004B79A9">
              <w:rPr>
                <w:noProof/>
                <w:lang w:val="en-AU" w:eastAsia="en-AU" w:bidi="ar-SA"/>
              </w:rPr>
              <w:drawing>
                <wp:inline distT="0" distB="0" distL="0" distR="0" wp14:anchorId="6F69F48D" wp14:editId="4ED7A701">
                  <wp:extent cx="453580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35805" cy="2743200"/>
                          </a:xfrm>
                          <a:prstGeom prst="rect">
                            <a:avLst/>
                          </a:prstGeom>
                          <a:noFill/>
                        </pic:spPr>
                      </pic:pic>
                    </a:graphicData>
                  </a:graphic>
                </wp:inline>
              </w:drawing>
            </w:r>
          </w:p>
        </w:tc>
      </w:tr>
      <w:tr w:rsidR="00612246" w:rsidRPr="004B79A9" w14:paraId="71F65BAC" w14:textId="77777777" w:rsidTr="009D16E5">
        <w:tc>
          <w:tcPr>
            <w:tcW w:w="1384" w:type="dxa"/>
          </w:tcPr>
          <w:p w14:paraId="69D062D2" w14:textId="77777777" w:rsidR="00612246" w:rsidRPr="004B79A9" w:rsidRDefault="00612246" w:rsidP="009D16E5">
            <w:pPr>
              <w:jc w:val="center"/>
              <w:rPr>
                <w:lang w:val="en-AU"/>
              </w:rPr>
            </w:pPr>
            <w:r w:rsidRPr="004B79A9">
              <w:rPr>
                <w:lang w:val="en-AU"/>
              </w:rPr>
              <w:lastRenderedPageBreak/>
              <w:t>Medium water recovery</w:t>
            </w:r>
          </w:p>
          <w:p w14:paraId="7A6BF065" w14:textId="77777777" w:rsidR="00612246" w:rsidRPr="004B79A9" w:rsidRDefault="00612246" w:rsidP="009D16E5">
            <w:pPr>
              <w:jc w:val="center"/>
              <w:rPr>
                <w:lang w:val="en-AU"/>
              </w:rPr>
            </w:pPr>
            <w:r w:rsidRPr="004B79A9">
              <w:rPr>
                <w:lang w:val="en-AU"/>
              </w:rPr>
              <w:t>2750 GL</w:t>
            </w:r>
          </w:p>
          <w:p w14:paraId="19F2584B" w14:textId="77777777" w:rsidR="00612246" w:rsidRPr="004B79A9" w:rsidRDefault="00612246" w:rsidP="009D16E5">
            <w:pPr>
              <w:jc w:val="center"/>
              <w:rPr>
                <w:lang w:val="en-AU"/>
              </w:rPr>
            </w:pPr>
          </w:p>
        </w:tc>
        <w:tc>
          <w:tcPr>
            <w:tcW w:w="7858" w:type="dxa"/>
          </w:tcPr>
          <w:p w14:paraId="0131E3A2" w14:textId="77777777" w:rsidR="00612246" w:rsidRPr="004B79A9" w:rsidRDefault="00612246" w:rsidP="009D16E5">
            <w:pPr>
              <w:rPr>
                <w:lang w:val="en-AU"/>
              </w:rPr>
            </w:pPr>
            <w:r w:rsidRPr="004B79A9">
              <w:rPr>
                <w:noProof/>
                <w:lang w:val="en-AU" w:eastAsia="en-AU" w:bidi="ar-SA"/>
              </w:rPr>
              <w:drawing>
                <wp:inline distT="0" distB="0" distL="0" distR="0" wp14:anchorId="422EACDA" wp14:editId="13A9F8B8">
                  <wp:extent cx="4535805" cy="2743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35805" cy="2743200"/>
                          </a:xfrm>
                          <a:prstGeom prst="rect">
                            <a:avLst/>
                          </a:prstGeom>
                          <a:noFill/>
                        </pic:spPr>
                      </pic:pic>
                    </a:graphicData>
                  </a:graphic>
                </wp:inline>
              </w:drawing>
            </w:r>
          </w:p>
        </w:tc>
      </w:tr>
      <w:tr w:rsidR="00612246" w:rsidRPr="004B79A9" w14:paraId="789D56FA" w14:textId="77777777" w:rsidTr="009D16E5">
        <w:tc>
          <w:tcPr>
            <w:tcW w:w="1384" w:type="dxa"/>
          </w:tcPr>
          <w:p w14:paraId="1327BA91" w14:textId="77777777" w:rsidR="00612246" w:rsidRPr="004B79A9" w:rsidRDefault="00612246" w:rsidP="009D16E5">
            <w:pPr>
              <w:jc w:val="center"/>
              <w:rPr>
                <w:lang w:val="en-AU"/>
              </w:rPr>
            </w:pPr>
            <w:r w:rsidRPr="004B79A9">
              <w:rPr>
                <w:lang w:val="en-AU"/>
              </w:rPr>
              <w:t xml:space="preserve">High water recovery </w:t>
            </w:r>
          </w:p>
          <w:p w14:paraId="762D0D09" w14:textId="77777777" w:rsidR="00612246" w:rsidRPr="004B79A9" w:rsidRDefault="00612246" w:rsidP="009D16E5">
            <w:pPr>
              <w:jc w:val="center"/>
              <w:rPr>
                <w:lang w:val="en-AU"/>
              </w:rPr>
            </w:pPr>
            <w:r w:rsidRPr="004B79A9">
              <w:rPr>
                <w:lang w:val="en-AU"/>
              </w:rPr>
              <w:t>3200 GL</w:t>
            </w:r>
          </w:p>
          <w:p w14:paraId="395A1399" w14:textId="77777777" w:rsidR="00612246" w:rsidRPr="004B79A9" w:rsidRDefault="00612246" w:rsidP="009D16E5">
            <w:pPr>
              <w:jc w:val="center"/>
              <w:rPr>
                <w:lang w:val="en-AU"/>
              </w:rPr>
            </w:pPr>
          </w:p>
        </w:tc>
        <w:tc>
          <w:tcPr>
            <w:tcW w:w="7858" w:type="dxa"/>
          </w:tcPr>
          <w:p w14:paraId="4FAE9BD7" w14:textId="77777777" w:rsidR="00612246" w:rsidRPr="004B79A9" w:rsidRDefault="00612246" w:rsidP="009D16E5">
            <w:pPr>
              <w:rPr>
                <w:lang w:val="en-AU"/>
              </w:rPr>
            </w:pPr>
            <w:r w:rsidRPr="004B79A9">
              <w:rPr>
                <w:noProof/>
                <w:lang w:val="en-AU" w:eastAsia="en-AU" w:bidi="ar-SA"/>
              </w:rPr>
              <w:drawing>
                <wp:inline distT="0" distB="0" distL="0" distR="0" wp14:anchorId="7AB7764B" wp14:editId="6B421813">
                  <wp:extent cx="4535805" cy="2743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35805" cy="2743200"/>
                          </a:xfrm>
                          <a:prstGeom prst="rect">
                            <a:avLst/>
                          </a:prstGeom>
                          <a:noFill/>
                        </pic:spPr>
                      </pic:pic>
                    </a:graphicData>
                  </a:graphic>
                </wp:inline>
              </w:drawing>
            </w:r>
          </w:p>
        </w:tc>
      </w:tr>
      <w:tr w:rsidR="00612246" w:rsidRPr="004B79A9" w14:paraId="2DD0653B" w14:textId="77777777" w:rsidTr="009D16E5">
        <w:tc>
          <w:tcPr>
            <w:tcW w:w="1384" w:type="dxa"/>
          </w:tcPr>
          <w:p w14:paraId="471EA6C9" w14:textId="77777777" w:rsidR="00612246" w:rsidRPr="004B79A9" w:rsidRDefault="00612246" w:rsidP="009D16E5">
            <w:pPr>
              <w:jc w:val="center"/>
              <w:rPr>
                <w:lang w:val="en-AU"/>
              </w:rPr>
            </w:pPr>
            <w:r w:rsidRPr="004B79A9">
              <w:rPr>
                <w:lang w:val="en-AU"/>
              </w:rPr>
              <w:lastRenderedPageBreak/>
              <w:t>Future counter-factual</w:t>
            </w:r>
          </w:p>
        </w:tc>
        <w:tc>
          <w:tcPr>
            <w:tcW w:w="7858" w:type="dxa"/>
          </w:tcPr>
          <w:p w14:paraId="7DF1517F" w14:textId="77777777" w:rsidR="00612246" w:rsidRPr="004B79A9" w:rsidRDefault="00612246" w:rsidP="009D16E5">
            <w:pPr>
              <w:rPr>
                <w:noProof/>
                <w:lang w:val="en-AU" w:eastAsia="en-AU" w:bidi="ar-SA"/>
              </w:rPr>
            </w:pPr>
            <w:r w:rsidRPr="004B79A9">
              <w:rPr>
                <w:noProof/>
                <w:lang w:val="en-AU" w:eastAsia="en-AU" w:bidi="ar-SA"/>
              </w:rPr>
              <w:drawing>
                <wp:inline distT="0" distB="0" distL="0" distR="0" wp14:anchorId="61A2826B" wp14:editId="327223E8">
                  <wp:extent cx="4535805"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35805" cy="2743200"/>
                          </a:xfrm>
                          <a:prstGeom prst="rect">
                            <a:avLst/>
                          </a:prstGeom>
                          <a:noFill/>
                        </pic:spPr>
                      </pic:pic>
                    </a:graphicData>
                  </a:graphic>
                </wp:inline>
              </w:drawing>
            </w:r>
          </w:p>
        </w:tc>
      </w:tr>
    </w:tbl>
    <w:p w14:paraId="2EC85815" w14:textId="77777777" w:rsidR="00612246" w:rsidRPr="004B79A9" w:rsidRDefault="00612246" w:rsidP="00612246">
      <w:pPr>
        <w:rPr>
          <w:b/>
          <w:lang w:val="en-AU"/>
        </w:rPr>
      </w:pPr>
      <w:r w:rsidRPr="004B79A9">
        <w:rPr>
          <w:b/>
        </w:rPr>
        <w:t xml:space="preserve">Figure </w:t>
      </w:r>
      <w:r w:rsidRPr="004B79A9">
        <w:rPr>
          <w:b/>
        </w:rPr>
        <w:fldChar w:fldCharType="begin"/>
      </w:r>
      <w:r w:rsidRPr="004B79A9">
        <w:rPr>
          <w:b/>
        </w:rPr>
        <w:instrText xml:space="preserve"> SEQ Figure \* ARABIC </w:instrText>
      </w:r>
      <w:r w:rsidRPr="004B79A9">
        <w:rPr>
          <w:b/>
        </w:rPr>
        <w:fldChar w:fldCharType="separate"/>
      </w:r>
      <w:r w:rsidR="008E5D7A">
        <w:rPr>
          <w:b/>
          <w:noProof/>
        </w:rPr>
        <w:t>53</w:t>
      </w:r>
      <w:r w:rsidRPr="004B79A9">
        <w:rPr>
          <w:b/>
        </w:rPr>
        <w:fldChar w:fldCharType="end"/>
      </w:r>
      <w:r w:rsidRPr="004B79A9">
        <w:rPr>
          <w:b/>
        </w:rPr>
        <w:t xml:space="preserve"> Distribution of water availability (future scenarios)</w:t>
      </w:r>
    </w:p>
    <w:p w14:paraId="56E7FAB0" w14:textId="77777777" w:rsidR="00612246" w:rsidRPr="004B79A9" w:rsidRDefault="00612246" w:rsidP="00612246">
      <w:pPr>
        <w:rPr>
          <w:lang w:val="en-AU"/>
        </w:rPr>
      </w:pPr>
      <w:r w:rsidRPr="004B79A9">
        <w:rPr>
          <w:rFonts w:eastAsia="Calibri"/>
          <w:color w:val="000000"/>
          <w:sz w:val="18"/>
          <w:szCs w:val="22"/>
          <w:lang w:val="en-AU"/>
        </w:rPr>
        <w:t>Note: Future horticultural demand is charted as 749GL (652GL from the maturation of current plantings in the Mallee plus 97GL in the GMID). Low water recovery is in line with achieving 2100GL, medium water recovery 2750GL and high water recovery 3200GL.</w:t>
      </w:r>
    </w:p>
    <w:p w14:paraId="1C8922B5" w14:textId="2CFEA7F1" w:rsidR="00612246" w:rsidRDefault="00612246" w:rsidP="00F37652">
      <w:pPr>
        <w:spacing w:before="0" w:after="0" w:line="240" w:lineRule="auto"/>
        <w:jc w:val="left"/>
        <w:rPr>
          <w:lang w:val="en-AU"/>
        </w:rPr>
      </w:pPr>
      <w:r w:rsidRPr="004B79A9">
        <w:rPr>
          <w:lang w:val="en-AU"/>
        </w:rPr>
        <w:t>These scenarios can be compared using the previous metrics (as presented i</w:t>
      </w:r>
      <w:r w:rsidR="00F37652">
        <w:rPr>
          <w:lang w:val="en-AU"/>
        </w:rPr>
        <w:t>n (</w:t>
      </w:r>
      <w:r w:rsidR="00F37652">
        <w:rPr>
          <w:lang w:val="en-AU"/>
        </w:rPr>
        <w:fldChar w:fldCharType="begin"/>
      </w:r>
      <w:r w:rsidR="00F37652">
        <w:rPr>
          <w:lang w:val="en-AU"/>
        </w:rPr>
        <w:instrText xml:space="preserve"> REF _Ref347747399 \h </w:instrText>
      </w:r>
      <w:r w:rsidR="00F37652">
        <w:rPr>
          <w:lang w:val="en-AU"/>
        </w:rPr>
      </w:r>
      <w:r w:rsidR="00F37652">
        <w:rPr>
          <w:lang w:val="en-AU"/>
        </w:rPr>
        <w:fldChar w:fldCharType="separate"/>
      </w:r>
      <w:r w:rsidR="008E5D7A" w:rsidRPr="004B79A9">
        <w:t xml:space="preserve">Table </w:t>
      </w:r>
      <w:r w:rsidR="008E5D7A">
        <w:rPr>
          <w:noProof/>
        </w:rPr>
        <w:t>17</w:t>
      </w:r>
      <w:r w:rsidR="00F37652">
        <w:rPr>
          <w:lang w:val="en-AU"/>
        </w:rPr>
        <w:fldChar w:fldCharType="end"/>
      </w:r>
      <w:r w:rsidRPr="004B79A9">
        <w:rPr>
          <w:lang w:val="en-AU"/>
        </w:rPr>
        <w:t>). This suggests that, even at the current level of water recovery (the low water recovery scenario) there will not be enough (-10%) water allocated in northern Victoria to maintain Victorian Mallee and GMID horticulture in a severe drought, let alone any other water user.  Further, the growth of horticulture and the water recovery to date mean that the outcomes of a severe drought will be more acute than observed in 2008</w:t>
      </w:r>
      <w:r w:rsidR="002A2EB4" w:rsidRPr="004B79A9">
        <w:rPr>
          <w:lang w:val="en-AU"/>
        </w:rPr>
        <w:t>/</w:t>
      </w:r>
      <w:r w:rsidRPr="004B79A9">
        <w:rPr>
          <w:lang w:val="en-AU"/>
        </w:rPr>
        <w:t>09 (when Allocations/Entitlements in excess of horticultural requirements were 18% — see table above). Under the medium and high scenarios, this threshold is significantly breached.</w:t>
      </w:r>
    </w:p>
    <w:p w14:paraId="54053B64" w14:textId="77777777" w:rsidR="004513DF" w:rsidRDefault="004513DF">
      <w:pPr>
        <w:spacing w:before="0" w:after="0" w:line="240" w:lineRule="auto"/>
        <w:jc w:val="left"/>
        <w:rPr>
          <w:b/>
          <w:bCs/>
        </w:rPr>
      </w:pPr>
      <w:bookmarkStart w:id="220" w:name="_Ref347511780"/>
      <w:r>
        <w:br w:type="page"/>
      </w:r>
    </w:p>
    <w:p w14:paraId="67C449A9" w14:textId="77777777" w:rsidR="00612246" w:rsidRPr="004B79A9" w:rsidRDefault="00612246" w:rsidP="00612246">
      <w:pPr>
        <w:pStyle w:val="Caption"/>
        <w:keepNext/>
      </w:pPr>
      <w:bookmarkStart w:id="221" w:name="_Ref347747399"/>
      <w:r w:rsidRPr="004B79A9">
        <w:lastRenderedPageBreak/>
        <w:t xml:space="preserve">Table </w:t>
      </w:r>
      <w:r w:rsidRPr="004B79A9">
        <w:fldChar w:fldCharType="begin"/>
      </w:r>
      <w:r w:rsidRPr="004B79A9">
        <w:instrText xml:space="preserve"> SEQ Table \* ARABIC </w:instrText>
      </w:r>
      <w:r w:rsidRPr="004B79A9">
        <w:fldChar w:fldCharType="separate"/>
      </w:r>
      <w:r w:rsidR="008E5D7A">
        <w:rPr>
          <w:noProof/>
        </w:rPr>
        <w:t>17</w:t>
      </w:r>
      <w:r w:rsidRPr="004B79A9">
        <w:fldChar w:fldCharType="end"/>
      </w:r>
      <w:bookmarkEnd w:id="220"/>
      <w:bookmarkEnd w:id="221"/>
      <w:r w:rsidRPr="004B79A9">
        <w:t>: Metrics comparing the distribution of water availability (future scenarios)</w:t>
      </w:r>
    </w:p>
    <w:tbl>
      <w:tblPr>
        <w:tblStyle w:val="TableGrid"/>
        <w:tblW w:w="0" w:type="auto"/>
        <w:tblLook w:val="04A0" w:firstRow="1" w:lastRow="0" w:firstColumn="1" w:lastColumn="0" w:noHBand="0" w:noVBand="1"/>
      </w:tblPr>
      <w:tblGrid>
        <w:gridCol w:w="3063"/>
        <w:gridCol w:w="1267"/>
        <w:gridCol w:w="1267"/>
        <w:gridCol w:w="1266"/>
        <w:gridCol w:w="2305"/>
      </w:tblGrid>
      <w:tr w:rsidR="00612246" w:rsidRPr="004B79A9" w14:paraId="576BBEFF" w14:textId="77777777" w:rsidTr="009D16E5">
        <w:tc>
          <w:tcPr>
            <w:tcW w:w="3085" w:type="dxa"/>
          </w:tcPr>
          <w:p w14:paraId="704ACC88" w14:textId="77777777" w:rsidR="00612246" w:rsidRPr="004B79A9" w:rsidRDefault="00612246" w:rsidP="009D16E5">
            <w:pPr>
              <w:rPr>
                <w:rFonts w:ascii="Arial" w:hAnsi="Arial" w:cs="Arial"/>
                <w:sz w:val="20"/>
                <w:lang w:val="en-AU"/>
              </w:rPr>
            </w:pPr>
          </w:p>
        </w:tc>
        <w:tc>
          <w:tcPr>
            <w:tcW w:w="1276" w:type="dxa"/>
          </w:tcPr>
          <w:p w14:paraId="00956C14" w14:textId="77777777" w:rsidR="00612246" w:rsidRPr="004B79A9" w:rsidRDefault="00612246" w:rsidP="009D16E5">
            <w:pPr>
              <w:rPr>
                <w:rFonts w:ascii="Arial" w:hAnsi="Arial" w:cs="Arial"/>
                <w:sz w:val="20"/>
                <w:lang w:val="en-AU"/>
              </w:rPr>
            </w:pPr>
            <w:r w:rsidRPr="004B79A9">
              <w:rPr>
                <w:rFonts w:ascii="Arial" w:hAnsi="Arial" w:cs="Arial"/>
                <w:sz w:val="20"/>
                <w:lang w:val="en-AU"/>
              </w:rPr>
              <w:t xml:space="preserve">Low </w:t>
            </w:r>
            <w:r w:rsidRPr="004B79A9">
              <w:rPr>
                <w:lang w:val="en-AU"/>
              </w:rPr>
              <w:t>water recovery</w:t>
            </w:r>
            <w:r w:rsidRPr="004B79A9">
              <w:rPr>
                <w:rFonts w:ascii="Arial" w:hAnsi="Arial" w:cs="Arial"/>
                <w:sz w:val="20"/>
                <w:lang w:val="en-AU"/>
              </w:rPr>
              <w:t xml:space="preserve"> scenario</w:t>
            </w:r>
          </w:p>
        </w:tc>
        <w:tc>
          <w:tcPr>
            <w:tcW w:w="1276" w:type="dxa"/>
          </w:tcPr>
          <w:p w14:paraId="7F5FF9AD" w14:textId="77777777" w:rsidR="00612246" w:rsidRPr="004B79A9" w:rsidRDefault="00612246" w:rsidP="009D16E5">
            <w:pPr>
              <w:rPr>
                <w:rFonts w:ascii="Arial" w:hAnsi="Arial" w:cs="Arial"/>
                <w:sz w:val="20"/>
                <w:lang w:val="en-AU"/>
              </w:rPr>
            </w:pPr>
            <w:r w:rsidRPr="004B79A9">
              <w:rPr>
                <w:rFonts w:ascii="Arial" w:hAnsi="Arial" w:cs="Arial"/>
                <w:sz w:val="20"/>
                <w:lang w:val="en-AU"/>
              </w:rPr>
              <w:t xml:space="preserve">Medium </w:t>
            </w:r>
            <w:r w:rsidRPr="004B79A9">
              <w:rPr>
                <w:lang w:val="en-AU"/>
              </w:rPr>
              <w:t>water recovery</w:t>
            </w:r>
            <w:r w:rsidRPr="004B79A9">
              <w:rPr>
                <w:rFonts w:ascii="Arial" w:hAnsi="Arial" w:cs="Arial"/>
                <w:sz w:val="20"/>
                <w:lang w:val="en-AU"/>
              </w:rPr>
              <w:t xml:space="preserve"> scenario</w:t>
            </w:r>
          </w:p>
        </w:tc>
        <w:tc>
          <w:tcPr>
            <w:tcW w:w="1275" w:type="dxa"/>
          </w:tcPr>
          <w:p w14:paraId="1FFA6DD1" w14:textId="77777777" w:rsidR="00612246" w:rsidRPr="004B79A9" w:rsidRDefault="00612246" w:rsidP="009D16E5">
            <w:pPr>
              <w:rPr>
                <w:rFonts w:ascii="Arial" w:hAnsi="Arial" w:cs="Arial"/>
                <w:sz w:val="20"/>
                <w:lang w:val="en-AU"/>
              </w:rPr>
            </w:pPr>
            <w:r w:rsidRPr="004B79A9">
              <w:rPr>
                <w:rFonts w:ascii="Arial" w:hAnsi="Arial" w:cs="Arial"/>
                <w:sz w:val="20"/>
                <w:lang w:val="en-AU"/>
              </w:rPr>
              <w:t xml:space="preserve">High </w:t>
            </w:r>
            <w:r w:rsidRPr="004B79A9">
              <w:rPr>
                <w:lang w:val="en-AU"/>
              </w:rPr>
              <w:t>water recovery</w:t>
            </w:r>
            <w:r w:rsidRPr="004B79A9">
              <w:rPr>
                <w:rFonts w:ascii="Arial" w:hAnsi="Arial" w:cs="Arial"/>
                <w:sz w:val="20"/>
                <w:lang w:val="en-AU"/>
              </w:rPr>
              <w:t xml:space="preserve"> scenario</w:t>
            </w:r>
          </w:p>
        </w:tc>
        <w:tc>
          <w:tcPr>
            <w:tcW w:w="2330" w:type="dxa"/>
          </w:tcPr>
          <w:p w14:paraId="6553B5A1" w14:textId="77777777" w:rsidR="00612246" w:rsidRPr="004B79A9" w:rsidRDefault="00612246" w:rsidP="009D16E5">
            <w:pPr>
              <w:rPr>
                <w:rFonts w:ascii="Arial" w:hAnsi="Arial" w:cs="Arial"/>
                <w:sz w:val="20"/>
                <w:lang w:val="en-AU"/>
              </w:rPr>
            </w:pPr>
            <w:r w:rsidRPr="004B79A9">
              <w:rPr>
                <w:rFonts w:ascii="Arial" w:hAnsi="Arial" w:cs="Arial"/>
                <w:sz w:val="20"/>
                <w:lang w:val="en-AU"/>
              </w:rPr>
              <w:t>Future counterfactual: without water recovery</w:t>
            </w:r>
          </w:p>
        </w:tc>
      </w:tr>
      <w:tr w:rsidR="00612246" w:rsidRPr="004B79A9" w14:paraId="0F295B05" w14:textId="77777777" w:rsidTr="009D16E5">
        <w:tc>
          <w:tcPr>
            <w:tcW w:w="3085" w:type="dxa"/>
          </w:tcPr>
          <w:p w14:paraId="5B8B30D9" w14:textId="77777777" w:rsidR="00612246" w:rsidRPr="004B79A9" w:rsidRDefault="00612246" w:rsidP="009D16E5">
            <w:pPr>
              <w:jc w:val="left"/>
              <w:rPr>
                <w:rFonts w:ascii="Arial" w:hAnsi="Arial" w:cs="Arial"/>
                <w:sz w:val="20"/>
                <w:lang w:val="en-AU"/>
              </w:rPr>
            </w:pPr>
            <w:r w:rsidRPr="004B79A9">
              <w:rPr>
                <w:rFonts w:ascii="Arial" w:hAnsi="Arial" w:cs="Arial"/>
                <w:sz w:val="20"/>
                <w:lang w:val="en-AU"/>
              </w:rPr>
              <w:t>Average volume in excess of horticultural requirements (GL)</w:t>
            </w:r>
          </w:p>
        </w:tc>
        <w:tc>
          <w:tcPr>
            <w:tcW w:w="1276" w:type="dxa"/>
          </w:tcPr>
          <w:p w14:paraId="05DDEA79"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1024</w:t>
            </w:r>
          </w:p>
        </w:tc>
        <w:tc>
          <w:tcPr>
            <w:tcW w:w="1276" w:type="dxa"/>
          </w:tcPr>
          <w:p w14:paraId="2D78DE2E"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783</w:t>
            </w:r>
          </w:p>
        </w:tc>
        <w:tc>
          <w:tcPr>
            <w:tcW w:w="1275" w:type="dxa"/>
          </w:tcPr>
          <w:p w14:paraId="10F0435C"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655</w:t>
            </w:r>
          </w:p>
        </w:tc>
        <w:tc>
          <w:tcPr>
            <w:tcW w:w="2330" w:type="dxa"/>
          </w:tcPr>
          <w:p w14:paraId="6C54E02F"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1339</w:t>
            </w:r>
          </w:p>
        </w:tc>
      </w:tr>
      <w:tr w:rsidR="00612246" w:rsidRPr="004B79A9" w14:paraId="5A20D679" w14:textId="77777777" w:rsidTr="009D16E5">
        <w:tc>
          <w:tcPr>
            <w:tcW w:w="3085" w:type="dxa"/>
          </w:tcPr>
          <w:p w14:paraId="409590AE" w14:textId="77777777" w:rsidR="00612246" w:rsidRPr="004B79A9" w:rsidRDefault="00612246" w:rsidP="009D16E5">
            <w:pPr>
              <w:jc w:val="left"/>
              <w:rPr>
                <w:rFonts w:ascii="Arial" w:hAnsi="Arial" w:cs="Arial"/>
                <w:sz w:val="20"/>
                <w:lang w:val="en-AU"/>
              </w:rPr>
            </w:pPr>
            <w:r w:rsidRPr="004B79A9">
              <w:rPr>
                <w:rFonts w:ascii="Arial" w:hAnsi="Arial" w:cs="Arial"/>
                <w:sz w:val="20"/>
                <w:lang w:val="en-AU"/>
              </w:rPr>
              <w:t>Coefficient of variation of volume in excess of horticultural requirements</w:t>
            </w:r>
          </w:p>
        </w:tc>
        <w:tc>
          <w:tcPr>
            <w:tcW w:w="1276" w:type="dxa"/>
          </w:tcPr>
          <w:p w14:paraId="44DC3016"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 xml:space="preserve"> 0.39 </w:t>
            </w:r>
          </w:p>
        </w:tc>
        <w:tc>
          <w:tcPr>
            <w:tcW w:w="1276" w:type="dxa"/>
          </w:tcPr>
          <w:p w14:paraId="4E2DA3C4"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 xml:space="preserve"> 0.45 </w:t>
            </w:r>
          </w:p>
        </w:tc>
        <w:tc>
          <w:tcPr>
            <w:tcW w:w="1275" w:type="dxa"/>
          </w:tcPr>
          <w:p w14:paraId="47F085FF"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 xml:space="preserve"> 0.50 </w:t>
            </w:r>
          </w:p>
        </w:tc>
        <w:tc>
          <w:tcPr>
            <w:tcW w:w="2330" w:type="dxa"/>
          </w:tcPr>
          <w:p w14:paraId="715161C6"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 xml:space="preserve"> 0.36 </w:t>
            </w:r>
          </w:p>
        </w:tc>
      </w:tr>
      <w:tr w:rsidR="00612246" w:rsidRPr="004B79A9" w14:paraId="46BD0BFE" w14:textId="77777777" w:rsidTr="009D16E5">
        <w:tc>
          <w:tcPr>
            <w:tcW w:w="3085" w:type="dxa"/>
          </w:tcPr>
          <w:p w14:paraId="38D0CF60" w14:textId="77777777" w:rsidR="00612246" w:rsidRPr="004B79A9" w:rsidRDefault="00612246" w:rsidP="009D16E5">
            <w:pPr>
              <w:jc w:val="left"/>
              <w:rPr>
                <w:rFonts w:ascii="Arial" w:hAnsi="Arial" w:cs="Arial"/>
                <w:sz w:val="20"/>
                <w:lang w:val="en-AU"/>
              </w:rPr>
            </w:pPr>
            <w:r w:rsidRPr="004B79A9">
              <w:rPr>
                <w:rFonts w:ascii="Arial" w:hAnsi="Arial" w:cs="Arial"/>
                <w:sz w:val="20"/>
                <w:lang w:val="en-AU"/>
              </w:rPr>
              <w:t>Allocations/Entitlements in excess of horticultural requirements in repeat of 2008-09 drought</w:t>
            </w:r>
          </w:p>
        </w:tc>
        <w:tc>
          <w:tcPr>
            <w:tcW w:w="1276" w:type="dxa"/>
          </w:tcPr>
          <w:p w14:paraId="3DB07389"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-10%</w:t>
            </w:r>
          </w:p>
        </w:tc>
        <w:tc>
          <w:tcPr>
            <w:tcW w:w="1276" w:type="dxa"/>
          </w:tcPr>
          <w:p w14:paraId="354D2A8F"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-23%</w:t>
            </w:r>
          </w:p>
        </w:tc>
        <w:tc>
          <w:tcPr>
            <w:tcW w:w="1275" w:type="dxa"/>
          </w:tcPr>
          <w:p w14:paraId="6C6676FB"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-34%</w:t>
            </w:r>
          </w:p>
        </w:tc>
        <w:tc>
          <w:tcPr>
            <w:tcW w:w="2330" w:type="dxa"/>
          </w:tcPr>
          <w:p w14:paraId="31EF5C84" w14:textId="77777777" w:rsidR="00612246" w:rsidRPr="004B79A9" w:rsidRDefault="00612246" w:rsidP="009D16E5">
            <w:pPr>
              <w:jc w:val="center"/>
              <w:rPr>
                <w:rFonts w:ascii="Arial" w:hAnsi="Arial" w:cs="Arial"/>
                <w:sz w:val="20"/>
                <w:lang w:val="en-AU"/>
              </w:rPr>
            </w:pPr>
            <w:r w:rsidRPr="004B79A9">
              <w:rPr>
                <w:rFonts w:ascii="Arial" w:hAnsi="Arial" w:cs="Arial"/>
                <w:sz w:val="20"/>
                <w:lang w:val="en-AU"/>
              </w:rPr>
              <w:t>-1%</w:t>
            </w:r>
          </w:p>
        </w:tc>
      </w:tr>
    </w:tbl>
    <w:p w14:paraId="5D81F985" w14:textId="77777777" w:rsidR="00612246" w:rsidRPr="004B79A9" w:rsidRDefault="00612246" w:rsidP="00612246">
      <w:pPr>
        <w:rPr>
          <w:lang w:val="en-AU"/>
        </w:rPr>
      </w:pPr>
      <w:r w:rsidRPr="004B79A9">
        <w:rPr>
          <w:lang w:val="en-AU"/>
        </w:rPr>
        <w:t xml:space="preserve">The average volume that might be expected to be used by interruptible and semi-interruptible water demands reduces significantly as the future water recovery increases. Importantly, this volume is also increasingly variable (as measured by the increasing coefficient of variation). </w:t>
      </w:r>
    </w:p>
    <w:p w14:paraId="5E4E52E2" w14:textId="77777777" w:rsidR="00612246" w:rsidRPr="004B79A9" w:rsidRDefault="00612246" w:rsidP="00612246">
      <w:pPr>
        <w:rPr>
          <w:lang w:val="en-AU"/>
        </w:rPr>
      </w:pPr>
      <w:r w:rsidRPr="004B79A9">
        <w:rPr>
          <w:lang w:val="en-AU"/>
        </w:rPr>
        <w:t>An expected consequence of this would be a decrease in average year milk production. Although the exact change will depend on how dairy farms can adapt to these changes into the future, the magnitude would be expected to be significant. For example, the broad magnitude of the reduction in the 20-year average volume (in excess of horticultural requirements) of 1,665 GL to 1,150 GL (-31%) observed from pre Basin Plan implementation to current, aligns with the broad magnitude of the reduction in GMID milk production. The future scenarios observed a further reduction in the average volume (in excess of horticultural requirements) to 1,024 GL (-38%), 783 GL (-53%) and 655 GL (-61%), respectively for the low, medium and high water recovery scenarios. Offsetting the impact of these reductions on milk production would be the benefits of dairy farm adaptation strategies (including on-farm investments funded by the Commonwealth or otherwise). Productivity improvements and water use efficiency improvements would mean that the magnitude of any production impacts are not as great as the magnitude of the change in water available for use. This mitigating factor may be short-lived if many on-farm water recovery projects are bringing forward investment that would have occurred in the future.</w:t>
      </w:r>
    </w:p>
    <w:p w14:paraId="7DCE93B2" w14:textId="553A22A5" w:rsidR="00612246" w:rsidRPr="004B79A9" w:rsidRDefault="00612246" w:rsidP="00612246">
      <w:pPr>
        <w:rPr>
          <w:lang w:val="en-AU"/>
        </w:rPr>
      </w:pPr>
      <w:r w:rsidRPr="004B79A9">
        <w:rPr>
          <w:lang w:val="en-AU"/>
        </w:rPr>
        <w:t>The reduced water availability for the types of water use that occurs in GMID raises concerns that thresholds may be reached</w:t>
      </w:r>
      <w:r w:rsidR="006A0A6C">
        <w:rPr>
          <w:lang w:val="en-AU"/>
        </w:rPr>
        <w:t xml:space="preserve"> for dairy processing or GMW viability</w:t>
      </w:r>
      <w:r w:rsidRPr="004B79A9">
        <w:rPr>
          <w:lang w:val="en-AU"/>
        </w:rPr>
        <w:t>.</w:t>
      </w:r>
    </w:p>
    <w:p w14:paraId="79050D92" w14:textId="77777777" w:rsidR="00612246" w:rsidRPr="004B79A9" w:rsidRDefault="00612246" w:rsidP="00612246">
      <w:pPr>
        <w:pStyle w:val="ListParagraph"/>
        <w:numPr>
          <w:ilvl w:val="0"/>
          <w:numId w:val="16"/>
        </w:numPr>
        <w:rPr>
          <w:lang w:val="en-AU"/>
        </w:rPr>
      </w:pPr>
      <w:r w:rsidRPr="004B79A9">
        <w:rPr>
          <w:lang w:val="en-AU"/>
        </w:rPr>
        <w:t>Dairy processing sector (under capacity or factory closure)</w:t>
      </w:r>
    </w:p>
    <w:p w14:paraId="51E68842" w14:textId="77777777" w:rsidR="00612246" w:rsidRPr="004B79A9" w:rsidRDefault="00612246" w:rsidP="00612246">
      <w:pPr>
        <w:pStyle w:val="ListParagraph"/>
        <w:numPr>
          <w:ilvl w:val="0"/>
          <w:numId w:val="16"/>
        </w:numPr>
        <w:rPr>
          <w:lang w:val="en-AU"/>
        </w:rPr>
      </w:pPr>
      <w:r w:rsidRPr="004B79A9">
        <w:rPr>
          <w:lang w:val="en-AU"/>
        </w:rPr>
        <w:t>GMW viability (increasing likelihood of years when GMW delivery would cease or be significantly curtailed)</w:t>
      </w:r>
    </w:p>
    <w:p w14:paraId="14062D50" w14:textId="77777777" w:rsidR="00612246" w:rsidRPr="004B79A9" w:rsidRDefault="00612246" w:rsidP="00612246">
      <w:pPr>
        <w:rPr>
          <w:lang w:val="en-AU"/>
        </w:rPr>
      </w:pPr>
      <w:r w:rsidRPr="004B79A9">
        <w:rPr>
          <w:lang w:val="en-AU"/>
        </w:rPr>
        <w:lastRenderedPageBreak/>
        <w:t xml:space="preserve">The impacts would also be greater if recalculated for the expected additional horticultural investment (of varying certainty) that has been approved or proposed in the Mallee region and surrounds. The 652.2GL (based on mature water use of current plantings) could be defensibly revised upwards by the between 50GL and 200GL (see </w:t>
      </w:r>
      <w:r w:rsidR="004B79A9" w:rsidRPr="004B79A9">
        <w:rPr>
          <w:lang w:val="en-AU"/>
        </w:rPr>
        <w:t xml:space="preserve">Appendix </w:t>
      </w:r>
      <w:r w:rsidR="004B79A9" w:rsidRPr="004B79A9">
        <w:rPr>
          <w:lang w:val="en-AU"/>
        </w:rPr>
        <w:fldChar w:fldCharType="begin"/>
      </w:r>
      <w:r w:rsidR="004B79A9" w:rsidRPr="004B79A9">
        <w:rPr>
          <w:lang w:val="en-AU"/>
        </w:rPr>
        <w:instrText xml:space="preserve"> REF _Ref346108198 \r \h </w:instrText>
      </w:r>
      <w:r w:rsidR="004B79A9" w:rsidRPr="004B79A9">
        <w:rPr>
          <w:lang w:val="en-AU"/>
        </w:rPr>
      </w:r>
      <w:r w:rsidR="004B79A9" w:rsidRPr="004B79A9">
        <w:rPr>
          <w:lang w:val="en-AU"/>
        </w:rPr>
        <w:fldChar w:fldCharType="separate"/>
      </w:r>
      <w:r w:rsidR="008E5D7A">
        <w:rPr>
          <w:lang w:val="en-AU"/>
        </w:rPr>
        <w:t>5</w:t>
      </w:r>
      <w:r w:rsidR="004B79A9" w:rsidRPr="004B79A9">
        <w:rPr>
          <w:lang w:val="en-AU"/>
        </w:rPr>
        <w:fldChar w:fldCharType="end"/>
      </w:r>
      <w:r w:rsidRPr="004B79A9">
        <w:rPr>
          <w:lang w:val="en-AU"/>
        </w:rPr>
        <w:t>). The above calculations are based on only maturation of current plantings, rather than expected future investment, in order to provide a conservative estimate of expected water availability issues.</w:t>
      </w:r>
    </w:p>
    <w:p w14:paraId="4C0507AA" w14:textId="4E05855F" w:rsidR="00612246" w:rsidRPr="004B79A9" w:rsidRDefault="00612246" w:rsidP="00612246">
      <w:pPr>
        <w:rPr>
          <w:lang w:val="en-AU"/>
        </w:rPr>
      </w:pPr>
      <w:r w:rsidRPr="004B79A9">
        <w:rPr>
          <w:lang w:val="en-AU"/>
        </w:rPr>
        <w:t xml:space="preserve">The impacts would also be significantly greater </w:t>
      </w:r>
      <w:r w:rsidR="006A0A6C">
        <w:rPr>
          <w:lang w:val="en-AU"/>
        </w:rPr>
        <w:t>if</w:t>
      </w:r>
      <w:r w:rsidRPr="004B79A9">
        <w:rPr>
          <w:lang w:val="en-AU"/>
        </w:rPr>
        <w:t xml:space="preserve"> climate change shift</w:t>
      </w:r>
      <w:r w:rsidR="006A0A6C">
        <w:rPr>
          <w:lang w:val="en-AU"/>
        </w:rPr>
        <w:t>s</w:t>
      </w:r>
      <w:r w:rsidRPr="004B79A9">
        <w:rPr>
          <w:lang w:val="en-AU"/>
        </w:rPr>
        <w:t xml:space="preserve"> the hydrological variability from the historical record to lower levels of aggregate water availability.</w:t>
      </w:r>
    </w:p>
    <w:p w14:paraId="7803E809" w14:textId="77777777" w:rsidR="00612246" w:rsidRPr="004B79A9" w:rsidRDefault="00612246" w:rsidP="00612246">
      <w:pPr>
        <w:rPr>
          <w:lang w:val="en-AU"/>
        </w:rPr>
      </w:pPr>
      <w:r w:rsidRPr="004B79A9">
        <w:rPr>
          <w:lang w:val="en-AU"/>
        </w:rPr>
        <w:t>This analysis of the distribution of water availability focuses on Victoria, because of the extensive hydrological modelling that has been undertaken to inform the Northern Region Sustainable Water Strategy. Analysis was also undertaken on the 125-year historical record, and the two climate change scenarios that were presented in the Sustainable Water Strategy. In further assessing the socio-economic impacts of water recovery, the MDBA would be well placed to bring together compatible hydrological modelling results for all systems for the southern MDB, between which water can be readily traded.</w:t>
      </w:r>
    </w:p>
    <w:p w14:paraId="48E994F5" w14:textId="77777777" w:rsidR="00612246" w:rsidRPr="004B79A9" w:rsidRDefault="00612246" w:rsidP="00612246">
      <w:pPr>
        <w:rPr>
          <w:lang w:val="en-AU"/>
        </w:rPr>
      </w:pPr>
      <w:r w:rsidRPr="004B79A9">
        <w:rPr>
          <w:lang w:val="en-AU"/>
        </w:rPr>
        <w:t>An approach to broaden the above analysis to the southern MDB is to consider the consumptive water availability across the connected system, and the allocation levels that would be required to meet the combined horticultural demands in the region.</w:t>
      </w:r>
    </w:p>
    <w:p w14:paraId="4404663A" w14:textId="77777777" w:rsidR="00612246" w:rsidRPr="004B79A9" w:rsidRDefault="00612246" w:rsidP="00612246">
      <w:pPr>
        <w:rPr>
          <w:lang w:val="en-AU"/>
        </w:rPr>
      </w:pPr>
      <w:r w:rsidRPr="004B79A9">
        <w:rPr>
          <w:lang w:val="en-AU"/>
        </w:rPr>
        <w:t>Section 5.4 presents an estimate of total combined mature horticultural water demand of 1,393.3 GL for the entire southern MDB. Under extreme dry conditions, such water demands are likely to be the marginal water purchasers (as was observed in the late 2000s when water allocation prices of $1,200 per ML were observed). Also, under dry conditions, Victorian LRWS and NSW General Security licences are unlikely to receive allocations and therefore the analysis is focused on high reliability entitlements in NSW, Victoria and South Australia.</w:t>
      </w:r>
    </w:p>
    <w:p w14:paraId="77D29622" w14:textId="77777777" w:rsidR="00612246" w:rsidRPr="004B79A9" w:rsidRDefault="001332F3" w:rsidP="00612246">
      <w:pPr>
        <w:rPr>
          <w:lang w:val="en-AU"/>
        </w:rPr>
      </w:pPr>
      <w:r w:rsidRPr="004B79A9">
        <w:rPr>
          <w:lang w:val="en-AU"/>
        </w:rPr>
        <w:fldChar w:fldCharType="begin"/>
      </w:r>
      <w:r w:rsidRPr="004B79A9">
        <w:rPr>
          <w:lang w:val="en-AU"/>
        </w:rPr>
        <w:instrText xml:space="preserve"> REF _Ref347506297 \h </w:instrText>
      </w:r>
      <w:r w:rsidRPr="004B79A9">
        <w:rPr>
          <w:lang w:val="en-AU"/>
        </w:rPr>
      </w:r>
      <w:r w:rsidRPr="004B79A9">
        <w:rPr>
          <w:lang w:val="en-AU"/>
        </w:rPr>
        <w:fldChar w:fldCharType="separate"/>
      </w:r>
      <w:r w:rsidR="008E5D7A" w:rsidRPr="004B79A9">
        <w:t xml:space="preserve">Table </w:t>
      </w:r>
      <w:r w:rsidR="008E5D7A">
        <w:rPr>
          <w:noProof/>
        </w:rPr>
        <w:t>18</w:t>
      </w:r>
      <w:r w:rsidRPr="004B79A9">
        <w:rPr>
          <w:lang w:val="en-AU"/>
        </w:rPr>
        <w:fldChar w:fldCharType="end"/>
      </w:r>
      <w:r w:rsidRPr="004B79A9">
        <w:rPr>
          <w:lang w:val="en-AU"/>
        </w:rPr>
        <w:t xml:space="preserve"> </w:t>
      </w:r>
      <w:r w:rsidR="00612246" w:rsidRPr="004B79A9">
        <w:rPr>
          <w:lang w:val="en-AU"/>
        </w:rPr>
        <w:t>presents the allocation levels to entitlements held in the consumptive pool that are required to meet the horticultural water demand of 1393.3GL. It is assumed that NSW high security licences receive 95% and that Victorian and South Australian high reliability entitlements receive the same allocation determination. Further, the estimates are based on water recovery via on-farm investment occurring on interruptible and semi-interruptible farms, such that the horticultural water demands are not reduced.</w:t>
      </w:r>
    </w:p>
    <w:p w14:paraId="64D69919" w14:textId="77777777" w:rsidR="00612246" w:rsidRPr="004B79A9" w:rsidRDefault="00612246" w:rsidP="00612246">
      <w:pPr>
        <w:pStyle w:val="Caption"/>
        <w:keepNext/>
      </w:pPr>
      <w:bookmarkStart w:id="222" w:name="_Ref347506297"/>
      <w:r w:rsidRPr="004B79A9">
        <w:t xml:space="preserve">Table </w:t>
      </w:r>
      <w:r w:rsidRPr="004B79A9">
        <w:fldChar w:fldCharType="begin"/>
      </w:r>
      <w:r w:rsidRPr="004B79A9">
        <w:instrText xml:space="preserve"> SEQ Table \* ARABIC </w:instrText>
      </w:r>
      <w:r w:rsidRPr="004B79A9">
        <w:fldChar w:fldCharType="separate"/>
      </w:r>
      <w:r w:rsidR="008E5D7A">
        <w:rPr>
          <w:noProof/>
        </w:rPr>
        <w:t>18</w:t>
      </w:r>
      <w:r w:rsidRPr="004B79A9">
        <w:fldChar w:fldCharType="end"/>
      </w:r>
      <w:bookmarkEnd w:id="222"/>
      <w:r w:rsidRPr="004B79A9">
        <w:t xml:space="preserve">: </w:t>
      </w:r>
      <w:r w:rsidRPr="004B79A9">
        <w:rPr>
          <w:lang w:val="en-AU"/>
        </w:rPr>
        <w:t>Breakeven allocation levels to meet horticultural demand of 1393.3GL</w:t>
      </w:r>
    </w:p>
    <w:tbl>
      <w:tblPr>
        <w:tblStyle w:val="TableGrid"/>
        <w:tblW w:w="0" w:type="auto"/>
        <w:tblLook w:val="04A0" w:firstRow="1" w:lastRow="0" w:firstColumn="1" w:lastColumn="0" w:noHBand="0" w:noVBand="1"/>
      </w:tblPr>
      <w:tblGrid>
        <w:gridCol w:w="1830"/>
        <w:gridCol w:w="1834"/>
        <w:gridCol w:w="1834"/>
        <w:gridCol w:w="1835"/>
        <w:gridCol w:w="1835"/>
      </w:tblGrid>
      <w:tr w:rsidR="00612246" w:rsidRPr="004B79A9" w14:paraId="6008E445" w14:textId="77777777" w:rsidTr="009D16E5">
        <w:tc>
          <w:tcPr>
            <w:tcW w:w="1848" w:type="dxa"/>
          </w:tcPr>
          <w:p w14:paraId="17BC52F0" w14:textId="77777777" w:rsidR="00612246" w:rsidRPr="004B79A9" w:rsidRDefault="00612246" w:rsidP="009D16E5">
            <w:pPr>
              <w:spacing w:before="40" w:after="40"/>
              <w:rPr>
                <w:lang w:val="en-AU"/>
              </w:rPr>
            </w:pPr>
          </w:p>
        </w:tc>
        <w:tc>
          <w:tcPr>
            <w:tcW w:w="1848" w:type="dxa"/>
          </w:tcPr>
          <w:p w14:paraId="2EC68885" w14:textId="77777777" w:rsidR="00612246" w:rsidRPr="004B79A9" w:rsidRDefault="00612246" w:rsidP="009D16E5">
            <w:pPr>
              <w:spacing w:before="40" w:after="40"/>
              <w:jc w:val="center"/>
              <w:rPr>
                <w:lang w:val="en-AU"/>
              </w:rPr>
            </w:pPr>
            <w:r w:rsidRPr="004B79A9">
              <w:rPr>
                <w:lang w:val="en-AU"/>
              </w:rPr>
              <w:t>Prior to water recovery</w:t>
            </w:r>
          </w:p>
        </w:tc>
        <w:tc>
          <w:tcPr>
            <w:tcW w:w="1848" w:type="dxa"/>
          </w:tcPr>
          <w:p w14:paraId="11702D29" w14:textId="77777777" w:rsidR="00612246" w:rsidRPr="004B79A9" w:rsidRDefault="00612246" w:rsidP="009D16E5">
            <w:pPr>
              <w:spacing w:before="40" w:after="40"/>
              <w:jc w:val="center"/>
              <w:rPr>
                <w:lang w:val="en-AU"/>
              </w:rPr>
            </w:pPr>
            <w:r w:rsidRPr="004B79A9">
              <w:rPr>
                <w:lang w:val="en-AU"/>
              </w:rPr>
              <w:t xml:space="preserve">Current / </w:t>
            </w:r>
            <w:r w:rsidRPr="004B79A9">
              <w:rPr>
                <w:lang w:val="en-AU"/>
              </w:rPr>
              <w:br/>
              <w:t>low water recovery scenario</w:t>
            </w:r>
          </w:p>
        </w:tc>
        <w:tc>
          <w:tcPr>
            <w:tcW w:w="1849" w:type="dxa"/>
          </w:tcPr>
          <w:p w14:paraId="17814561" w14:textId="77777777" w:rsidR="00612246" w:rsidRPr="004B79A9" w:rsidRDefault="00612246" w:rsidP="009D16E5">
            <w:pPr>
              <w:spacing w:before="40" w:after="40"/>
              <w:jc w:val="center"/>
              <w:rPr>
                <w:lang w:val="en-AU"/>
              </w:rPr>
            </w:pPr>
            <w:r w:rsidRPr="004B79A9">
              <w:rPr>
                <w:lang w:val="en-AU"/>
              </w:rPr>
              <w:t>Medium water recovery scenario</w:t>
            </w:r>
          </w:p>
        </w:tc>
        <w:tc>
          <w:tcPr>
            <w:tcW w:w="1849" w:type="dxa"/>
          </w:tcPr>
          <w:p w14:paraId="554F58A7" w14:textId="77777777" w:rsidR="00612246" w:rsidRPr="004B79A9" w:rsidRDefault="00612246" w:rsidP="009D16E5">
            <w:pPr>
              <w:spacing w:before="40" w:after="40"/>
              <w:jc w:val="center"/>
              <w:rPr>
                <w:lang w:val="en-AU"/>
              </w:rPr>
            </w:pPr>
            <w:r w:rsidRPr="004B79A9">
              <w:rPr>
                <w:lang w:val="en-AU"/>
              </w:rPr>
              <w:t>High water recovery scenario</w:t>
            </w:r>
          </w:p>
        </w:tc>
      </w:tr>
      <w:tr w:rsidR="00612246" w:rsidRPr="004B79A9" w14:paraId="3A240F15" w14:textId="77777777" w:rsidTr="009D16E5">
        <w:tc>
          <w:tcPr>
            <w:tcW w:w="1848" w:type="dxa"/>
          </w:tcPr>
          <w:p w14:paraId="502A1098" w14:textId="77777777" w:rsidR="00612246" w:rsidRPr="004B79A9" w:rsidRDefault="00612246" w:rsidP="009D16E5">
            <w:pPr>
              <w:spacing w:before="40" w:after="40"/>
              <w:rPr>
                <w:lang w:val="en-AU"/>
              </w:rPr>
            </w:pPr>
            <w:r w:rsidRPr="004B79A9">
              <w:rPr>
                <w:lang w:val="en-AU"/>
              </w:rPr>
              <w:t>NSW HS</w:t>
            </w:r>
          </w:p>
        </w:tc>
        <w:tc>
          <w:tcPr>
            <w:tcW w:w="1848" w:type="dxa"/>
          </w:tcPr>
          <w:p w14:paraId="78CB75C6" w14:textId="77777777" w:rsidR="00612246" w:rsidRPr="004B79A9" w:rsidRDefault="00612246" w:rsidP="009D16E5">
            <w:pPr>
              <w:spacing w:before="40" w:after="40"/>
              <w:jc w:val="center"/>
              <w:rPr>
                <w:lang w:val="en-AU"/>
              </w:rPr>
            </w:pPr>
            <w:r w:rsidRPr="004B79A9">
              <w:t>95%</w:t>
            </w:r>
          </w:p>
        </w:tc>
        <w:tc>
          <w:tcPr>
            <w:tcW w:w="1848" w:type="dxa"/>
          </w:tcPr>
          <w:p w14:paraId="307235FA" w14:textId="77777777" w:rsidR="00612246" w:rsidRPr="004B79A9" w:rsidRDefault="00612246" w:rsidP="009D16E5">
            <w:pPr>
              <w:spacing w:before="40" w:after="40"/>
              <w:jc w:val="center"/>
              <w:rPr>
                <w:lang w:val="en-AU"/>
              </w:rPr>
            </w:pPr>
            <w:r w:rsidRPr="004B79A9">
              <w:t>95%</w:t>
            </w:r>
          </w:p>
        </w:tc>
        <w:tc>
          <w:tcPr>
            <w:tcW w:w="1849" w:type="dxa"/>
          </w:tcPr>
          <w:p w14:paraId="288D73D7" w14:textId="77777777" w:rsidR="00612246" w:rsidRPr="004B79A9" w:rsidRDefault="00612246" w:rsidP="009D16E5">
            <w:pPr>
              <w:spacing w:before="40" w:after="40"/>
              <w:jc w:val="center"/>
              <w:rPr>
                <w:lang w:val="en-AU"/>
              </w:rPr>
            </w:pPr>
            <w:r w:rsidRPr="004B79A9">
              <w:t>95%</w:t>
            </w:r>
          </w:p>
        </w:tc>
        <w:tc>
          <w:tcPr>
            <w:tcW w:w="1849" w:type="dxa"/>
          </w:tcPr>
          <w:p w14:paraId="55A1C589" w14:textId="77777777" w:rsidR="00612246" w:rsidRPr="004B79A9" w:rsidRDefault="00612246" w:rsidP="009D16E5">
            <w:pPr>
              <w:spacing w:before="40" w:after="40"/>
              <w:jc w:val="center"/>
              <w:rPr>
                <w:lang w:val="en-AU"/>
              </w:rPr>
            </w:pPr>
            <w:r w:rsidRPr="004B79A9">
              <w:t>95%</w:t>
            </w:r>
          </w:p>
        </w:tc>
      </w:tr>
      <w:tr w:rsidR="00612246" w:rsidRPr="004B79A9" w14:paraId="1C4DB42D" w14:textId="77777777" w:rsidTr="009D16E5">
        <w:tc>
          <w:tcPr>
            <w:tcW w:w="1848" w:type="dxa"/>
          </w:tcPr>
          <w:p w14:paraId="14636B34" w14:textId="77777777" w:rsidR="00612246" w:rsidRPr="004B79A9" w:rsidRDefault="00612246" w:rsidP="009D16E5">
            <w:pPr>
              <w:spacing w:before="40" w:after="40"/>
              <w:rPr>
                <w:b/>
                <w:lang w:val="en-AU"/>
              </w:rPr>
            </w:pPr>
            <w:r w:rsidRPr="004B79A9">
              <w:rPr>
                <w:b/>
                <w:lang w:val="en-AU"/>
              </w:rPr>
              <w:t>VIC HRWS</w:t>
            </w:r>
          </w:p>
        </w:tc>
        <w:tc>
          <w:tcPr>
            <w:tcW w:w="1848" w:type="dxa"/>
          </w:tcPr>
          <w:p w14:paraId="451463CF" w14:textId="77777777" w:rsidR="00612246" w:rsidRPr="004B79A9" w:rsidRDefault="00612246" w:rsidP="009D16E5">
            <w:pPr>
              <w:spacing w:before="40" w:after="40"/>
              <w:jc w:val="center"/>
              <w:rPr>
                <w:b/>
                <w:lang w:val="en-AU"/>
              </w:rPr>
            </w:pPr>
            <w:r w:rsidRPr="004B79A9">
              <w:rPr>
                <w:b/>
              </w:rPr>
              <w:t>32%</w:t>
            </w:r>
          </w:p>
        </w:tc>
        <w:tc>
          <w:tcPr>
            <w:tcW w:w="1848" w:type="dxa"/>
          </w:tcPr>
          <w:p w14:paraId="3A45E5B3" w14:textId="77777777" w:rsidR="00612246" w:rsidRPr="004B79A9" w:rsidRDefault="00612246" w:rsidP="009D16E5">
            <w:pPr>
              <w:spacing w:before="40" w:after="40"/>
              <w:jc w:val="center"/>
              <w:rPr>
                <w:b/>
                <w:lang w:val="en-AU"/>
              </w:rPr>
            </w:pPr>
            <w:r w:rsidRPr="004B79A9">
              <w:rPr>
                <w:b/>
              </w:rPr>
              <w:t>40%</w:t>
            </w:r>
          </w:p>
        </w:tc>
        <w:tc>
          <w:tcPr>
            <w:tcW w:w="1849" w:type="dxa"/>
          </w:tcPr>
          <w:p w14:paraId="2689D447" w14:textId="77777777" w:rsidR="00612246" w:rsidRPr="004B79A9" w:rsidRDefault="00612246" w:rsidP="009D16E5">
            <w:pPr>
              <w:spacing w:before="40" w:after="40"/>
              <w:jc w:val="center"/>
              <w:rPr>
                <w:b/>
                <w:lang w:val="en-AU"/>
              </w:rPr>
            </w:pPr>
            <w:r w:rsidRPr="004B79A9">
              <w:rPr>
                <w:b/>
              </w:rPr>
              <w:t>46%</w:t>
            </w:r>
          </w:p>
        </w:tc>
        <w:tc>
          <w:tcPr>
            <w:tcW w:w="1849" w:type="dxa"/>
          </w:tcPr>
          <w:p w14:paraId="10A16FE1" w14:textId="77777777" w:rsidR="00612246" w:rsidRPr="004B79A9" w:rsidRDefault="00612246" w:rsidP="009D16E5">
            <w:pPr>
              <w:spacing w:before="40" w:after="40"/>
              <w:jc w:val="center"/>
              <w:rPr>
                <w:b/>
                <w:lang w:val="en-AU"/>
              </w:rPr>
            </w:pPr>
            <w:r w:rsidRPr="004B79A9">
              <w:rPr>
                <w:b/>
              </w:rPr>
              <w:t>51%</w:t>
            </w:r>
          </w:p>
        </w:tc>
      </w:tr>
      <w:tr w:rsidR="00612246" w:rsidRPr="004B79A9" w14:paraId="56FA071F" w14:textId="77777777" w:rsidTr="009D16E5">
        <w:tc>
          <w:tcPr>
            <w:tcW w:w="1848" w:type="dxa"/>
          </w:tcPr>
          <w:p w14:paraId="6C05E6FB" w14:textId="77777777" w:rsidR="00612246" w:rsidRPr="004B79A9" w:rsidRDefault="00612246" w:rsidP="009D16E5">
            <w:pPr>
              <w:spacing w:before="40" w:after="40"/>
              <w:rPr>
                <w:lang w:val="en-AU"/>
              </w:rPr>
            </w:pPr>
            <w:r w:rsidRPr="004B79A9">
              <w:rPr>
                <w:lang w:val="en-AU"/>
              </w:rPr>
              <w:t>SA High</w:t>
            </w:r>
          </w:p>
        </w:tc>
        <w:tc>
          <w:tcPr>
            <w:tcW w:w="1848" w:type="dxa"/>
          </w:tcPr>
          <w:p w14:paraId="397B13B6" w14:textId="77777777" w:rsidR="00612246" w:rsidRPr="004B79A9" w:rsidRDefault="00612246" w:rsidP="009D16E5">
            <w:pPr>
              <w:spacing w:before="40" w:after="40"/>
              <w:jc w:val="center"/>
              <w:rPr>
                <w:lang w:val="en-AU"/>
              </w:rPr>
            </w:pPr>
            <w:r w:rsidRPr="004B79A9">
              <w:t>32%</w:t>
            </w:r>
          </w:p>
        </w:tc>
        <w:tc>
          <w:tcPr>
            <w:tcW w:w="1848" w:type="dxa"/>
          </w:tcPr>
          <w:p w14:paraId="41AFEF94" w14:textId="77777777" w:rsidR="00612246" w:rsidRPr="004B79A9" w:rsidRDefault="00612246" w:rsidP="009D16E5">
            <w:pPr>
              <w:spacing w:before="40" w:after="40"/>
              <w:jc w:val="center"/>
              <w:rPr>
                <w:lang w:val="en-AU"/>
              </w:rPr>
            </w:pPr>
            <w:r w:rsidRPr="004B79A9">
              <w:t>40%</w:t>
            </w:r>
          </w:p>
        </w:tc>
        <w:tc>
          <w:tcPr>
            <w:tcW w:w="1849" w:type="dxa"/>
          </w:tcPr>
          <w:p w14:paraId="1586DF07" w14:textId="77777777" w:rsidR="00612246" w:rsidRPr="004B79A9" w:rsidRDefault="00612246" w:rsidP="009D16E5">
            <w:pPr>
              <w:spacing w:before="40" w:after="40"/>
              <w:jc w:val="center"/>
              <w:rPr>
                <w:lang w:val="en-AU"/>
              </w:rPr>
            </w:pPr>
            <w:r w:rsidRPr="004B79A9">
              <w:t>46%</w:t>
            </w:r>
          </w:p>
        </w:tc>
        <w:tc>
          <w:tcPr>
            <w:tcW w:w="1849" w:type="dxa"/>
          </w:tcPr>
          <w:p w14:paraId="7226D659" w14:textId="77777777" w:rsidR="00612246" w:rsidRPr="004B79A9" w:rsidRDefault="00612246" w:rsidP="009D16E5">
            <w:pPr>
              <w:spacing w:before="40" w:after="40"/>
              <w:jc w:val="center"/>
              <w:rPr>
                <w:lang w:val="en-AU"/>
              </w:rPr>
            </w:pPr>
            <w:r w:rsidRPr="004B79A9">
              <w:t>51%</w:t>
            </w:r>
          </w:p>
        </w:tc>
      </w:tr>
    </w:tbl>
    <w:p w14:paraId="50F01497" w14:textId="77777777" w:rsidR="00612246" w:rsidRPr="004B79A9" w:rsidRDefault="00612246" w:rsidP="00612246">
      <w:pPr>
        <w:rPr>
          <w:lang w:val="en-AU"/>
        </w:rPr>
      </w:pPr>
      <w:r w:rsidRPr="004B79A9">
        <w:rPr>
          <w:lang w:val="en-AU"/>
        </w:rPr>
        <w:lastRenderedPageBreak/>
        <w:t>The table shows how continued water recovery (in the context of increased future horticultural demands) lead to an increase in the ‘break even’ level of allocations required. This means that there is an increased likelihood of such a threshold being breached.</w:t>
      </w:r>
    </w:p>
    <w:p w14:paraId="2552C703" w14:textId="77777777" w:rsidR="00612246" w:rsidRPr="004B79A9" w:rsidRDefault="00612246" w:rsidP="00612246">
      <w:r w:rsidRPr="004B79A9">
        <w:rPr>
          <w:lang w:val="en-AU"/>
        </w:rPr>
        <w:t>The dry year water availability may also be considered as a ceiling to horticultural investment in northern Victoria and the southern MDB more broadly. B</w:t>
      </w:r>
      <w:r w:rsidRPr="004B79A9">
        <w:t>y reducing the water available in the consumptive pool in years of extreme drought — when it is required to meet the fixed water requirements of horticultural biological assets (trees and vines) — the Basin Plan water recovery can be considered to have limited the expansion of horticultural investment. If further water recovery is pursued then this may put at risk the water requirements for current investment. The table below presents a Victorian perspective, and it should be noted that this is an estimate of investment dollars, not production or value-added dollars.</w:t>
      </w:r>
    </w:p>
    <w:p w14:paraId="73A995FA" w14:textId="77777777" w:rsidR="00612246" w:rsidRPr="004B79A9" w:rsidRDefault="00612246" w:rsidP="00612246"/>
    <w:tbl>
      <w:tblPr>
        <w:tblStyle w:val="TableGrid"/>
        <w:tblW w:w="0" w:type="auto"/>
        <w:tblLook w:val="04A0" w:firstRow="1" w:lastRow="0" w:firstColumn="1" w:lastColumn="0" w:noHBand="0" w:noVBand="1"/>
      </w:tblPr>
      <w:tblGrid>
        <w:gridCol w:w="1242"/>
        <w:gridCol w:w="7774"/>
      </w:tblGrid>
      <w:tr w:rsidR="00C911F5" w:rsidRPr="004B79A9" w14:paraId="2298FDFB" w14:textId="77777777" w:rsidTr="009D16E5">
        <w:tc>
          <w:tcPr>
            <w:tcW w:w="1242" w:type="dxa"/>
          </w:tcPr>
          <w:p w14:paraId="4BEB9A7F" w14:textId="77777777" w:rsidR="00C911F5" w:rsidRPr="004B79A9" w:rsidRDefault="00C911F5" w:rsidP="009D16E5">
            <w:pPr>
              <w:rPr>
                <w:rFonts w:ascii="Arial" w:hAnsi="Arial" w:cs="Arial"/>
                <w:sz w:val="18"/>
                <w:szCs w:val="18"/>
              </w:rPr>
            </w:pPr>
            <w:r w:rsidRPr="004B79A9">
              <w:rPr>
                <w:rFonts w:ascii="Arial" w:hAnsi="Arial" w:cs="Arial"/>
                <w:b/>
                <w:sz w:val="18"/>
                <w:szCs w:val="18"/>
              </w:rPr>
              <w:t>Scenario</w:t>
            </w:r>
          </w:p>
        </w:tc>
        <w:tc>
          <w:tcPr>
            <w:tcW w:w="7774" w:type="dxa"/>
          </w:tcPr>
          <w:p w14:paraId="2892CB96" w14:textId="77777777" w:rsidR="00C911F5" w:rsidRPr="004B79A9" w:rsidRDefault="00C911F5" w:rsidP="009D16E5">
            <w:pPr>
              <w:jc w:val="left"/>
              <w:rPr>
                <w:rFonts w:ascii="Arial" w:hAnsi="Arial" w:cs="Arial"/>
                <w:sz w:val="18"/>
                <w:szCs w:val="18"/>
              </w:rPr>
            </w:pPr>
            <w:r w:rsidRPr="004B79A9">
              <w:rPr>
                <w:rFonts w:ascii="Arial" w:hAnsi="Arial" w:cs="Arial"/>
                <w:b/>
                <w:sz w:val="18"/>
                <w:szCs w:val="18"/>
              </w:rPr>
              <w:t>Potential impact on Victorian horticultural investment</w:t>
            </w:r>
          </w:p>
        </w:tc>
      </w:tr>
      <w:tr w:rsidR="00C911F5" w:rsidRPr="004B79A9" w14:paraId="24827B4C" w14:textId="77777777" w:rsidTr="009D16E5">
        <w:tc>
          <w:tcPr>
            <w:tcW w:w="1242" w:type="dxa"/>
          </w:tcPr>
          <w:p w14:paraId="62543A68" w14:textId="77777777" w:rsidR="00C911F5" w:rsidRPr="004B79A9" w:rsidRDefault="00C911F5" w:rsidP="009D16E5">
            <w:pPr>
              <w:jc w:val="left"/>
              <w:rPr>
                <w:rFonts w:ascii="Arial" w:hAnsi="Arial" w:cs="Arial"/>
                <w:sz w:val="18"/>
                <w:szCs w:val="18"/>
              </w:rPr>
            </w:pPr>
            <w:r w:rsidRPr="004B79A9">
              <w:rPr>
                <w:rFonts w:ascii="Arial" w:hAnsi="Arial" w:cs="Arial"/>
                <w:sz w:val="18"/>
                <w:szCs w:val="18"/>
              </w:rPr>
              <w:t>2100 GL recovery scenario</w:t>
            </w:r>
          </w:p>
        </w:tc>
        <w:tc>
          <w:tcPr>
            <w:tcW w:w="7774" w:type="dxa"/>
          </w:tcPr>
          <w:p w14:paraId="545198C6" w14:textId="77777777" w:rsidR="00C911F5" w:rsidRPr="004B79A9" w:rsidRDefault="00C911F5" w:rsidP="004B79A9">
            <w:pPr>
              <w:jc w:val="left"/>
              <w:rPr>
                <w:rFonts w:ascii="Arial" w:hAnsi="Arial" w:cs="Arial"/>
                <w:sz w:val="18"/>
                <w:szCs w:val="18"/>
              </w:rPr>
            </w:pPr>
            <w:r w:rsidRPr="004B79A9">
              <w:rPr>
                <w:rFonts w:ascii="Arial" w:hAnsi="Arial" w:cs="Arial"/>
                <w:sz w:val="18"/>
                <w:szCs w:val="18"/>
              </w:rPr>
              <w:t xml:space="preserve">At current levels of water recovery, in a repeat of 2008-09 allocation levels there would be 16 GL more water available than it takes to meet the full irrigation requirements for horticulture. When the existing plantings mature however, there would be a shortfall (-110 GL). </w:t>
            </w:r>
          </w:p>
          <w:p w14:paraId="595EBA78" w14:textId="77777777" w:rsidR="00C911F5" w:rsidRPr="004B79A9" w:rsidRDefault="00C911F5" w:rsidP="004B79A9">
            <w:pPr>
              <w:jc w:val="left"/>
              <w:rPr>
                <w:rFonts w:ascii="Arial" w:hAnsi="Arial" w:cs="Arial"/>
                <w:sz w:val="18"/>
                <w:szCs w:val="18"/>
              </w:rPr>
            </w:pPr>
            <w:r w:rsidRPr="004B79A9">
              <w:rPr>
                <w:rFonts w:ascii="Arial" w:hAnsi="Arial" w:cs="Arial"/>
                <w:sz w:val="18"/>
                <w:szCs w:val="18"/>
              </w:rPr>
              <w:t>Without water recovery, there would still have been a small shortfall as existing planting mature of 8 GL of High Reliability Water Shares. Developers need to be aware of this risk, but based on the historical record they may judge that the risk is worth taking.</w:t>
            </w:r>
          </w:p>
          <w:p w14:paraId="222485EE" w14:textId="77777777" w:rsidR="00C911F5" w:rsidRPr="004B79A9" w:rsidRDefault="00C911F5" w:rsidP="004B79A9">
            <w:pPr>
              <w:jc w:val="left"/>
              <w:rPr>
                <w:rFonts w:ascii="Arial" w:hAnsi="Arial" w:cs="Arial"/>
                <w:sz w:val="18"/>
                <w:szCs w:val="18"/>
              </w:rPr>
            </w:pPr>
            <w:r w:rsidRPr="004B79A9">
              <w:rPr>
                <w:rFonts w:ascii="Arial" w:hAnsi="Arial" w:cs="Arial"/>
                <w:sz w:val="18"/>
                <w:szCs w:val="18"/>
              </w:rPr>
              <w:t>At 12ML/ha the additional shortfall of 103GL could have developed another 8550ha. At $19,000/ha this is $162 million of total investment that has hypothetically already been forgone</w:t>
            </w:r>
            <w:r w:rsidRPr="004B79A9">
              <w:rPr>
                <w:rStyle w:val="CommentReference"/>
              </w:rPr>
              <w:t>.</w:t>
            </w:r>
            <w:r w:rsidRPr="004B79A9">
              <w:rPr>
                <w:rStyle w:val="FootnoteReference"/>
                <w:sz w:val="16"/>
                <w:szCs w:val="16"/>
              </w:rPr>
              <w:footnoteReference w:id="20"/>
            </w:r>
            <w:r w:rsidRPr="004B79A9">
              <w:rPr>
                <w:rFonts w:ascii="Arial" w:hAnsi="Arial" w:cs="Arial"/>
                <w:sz w:val="18"/>
                <w:szCs w:val="18"/>
              </w:rPr>
              <w:t xml:space="preserve"> </w:t>
            </w:r>
          </w:p>
          <w:p w14:paraId="6E32CA5C" w14:textId="77777777" w:rsidR="00C911F5" w:rsidRPr="004B79A9" w:rsidRDefault="00C911F5" w:rsidP="004B79A9">
            <w:pPr>
              <w:jc w:val="left"/>
              <w:rPr>
                <w:rFonts w:ascii="Arial" w:hAnsi="Arial" w:cs="Arial"/>
                <w:sz w:val="18"/>
                <w:szCs w:val="18"/>
              </w:rPr>
            </w:pPr>
            <w:r w:rsidRPr="004B79A9">
              <w:rPr>
                <w:rFonts w:ascii="Arial" w:hAnsi="Arial" w:cs="Arial"/>
                <w:sz w:val="18"/>
                <w:szCs w:val="18"/>
              </w:rPr>
              <w:t>An alternative way of considering is that, when the existing plantings mature, the additional shortfall of -103GL puts 8850 ha of existing horticultural development at risk, which represents $162 million of existing investment.</w:t>
            </w:r>
          </w:p>
          <w:p w14:paraId="2D8A0F87" w14:textId="77777777" w:rsidR="00C911F5" w:rsidRPr="004B79A9" w:rsidRDefault="00C911F5" w:rsidP="009D16E5">
            <w:pPr>
              <w:jc w:val="left"/>
              <w:rPr>
                <w:rFonts w:ascii="Arial" w:hAnsi="Arial" w:cs="Arial"/>
                <w:sz w:val="18"/>
                <w:szCs w:val="18"/>
              </w:rPr>
            </w:pPr>
          </w:p>
        </w:tc>
      </w:tr>
      <w:tr w:rsidR="00C911F5" w:rsidRPr="004B79A9" w14:paraId="3743D637" w14:textId="77777777" w:rsidTr="009D16E5">
        <w:tc>
          <w:tcPr>
            <w:tcW w:w="1242" w:type="dxa"/>
          </w:tcPr>
          <w:p w14:paraId="3CC0D080" w14:textId="77777777" w:rsidR="00C911F5" w:rsidRPr="004B79A9" w:rsidRDefault="00C911F5" w:rsidP="009D16E5">
            <w:pPr>
              <w:jc w:val="left"/>
              <w:rPr>
                <w:rFonts w:ascii="Arial" w:hAnsi="Arial" w:cs="Arial"/>
                <w:sz w:val="18"/>
                <w:szCs w:val="18"/>
              </w:rPr>
            </w:pPr>
            <w:r w:rsidRPr="004B79A9">
              <w:rPr>
                <w:rFonts w:ascii="Arial" w:hAnsi="Arial" w:cs="Arial"/>
                <w:sz w:val="18"/>
                <w:szCs w:val="18"/>
              </w:rPr>
              <w:t>2750 GL recovery scenario</w:t>
            </w:r>
          </w:p>
        </w:tc>
        <w:tc>
          <w:tcPr>
            <w:tcW w:w="7774" w:type="dxa"/>
          </w:tcPr>
          <w:p w14:paraId="4C0B99B0" w14:textId="77777777" w:rsidR="00C911F5" w:rsidRPr="004B79A9" w:rsidRDefault="00C911F5" w:rsidP="004B79A9">
            <w:pPr>
              <w:jc w:val="left"/>
              <w:rPr>
                <w:rFonts w:ascii="Arial" w:hAnsi="Arial" w:cs="Arial"/>
                <w:sz w:val="18"/>
                <w:szCs w:val="18"/>
              </w:rPr>
            </w:pPr>
            <w:r w:rsidRPr="004B79A9">
              <w:rPr>
                <w:rFonts w:ascii="Arial" w:hAnsi="Arial" w:cs="Arial"/>
                <w:sz w:val="18"/>
                <w:szCs w:val="18"/>
              </w:rPr>
              <w:t>Under medium future water recovery, there would be an additional shortfall of -193GL in a repeat of 2008-09 allocation levels. This puts 16000ha of existing plantings at risk, which represents $306 million of existing investment.</w:t>
            </w:r>
          </w:p>
          <w:p w14:paraId="7413D0F2" w14:textId="77777777" w:rsidR="00C911F5" w:rsidRPr="004B79A9" w:rsidRDefault="00C911F5" w:rsidP="009D16E5">
            <w:pPr>
              <w:jc w:val="left"/>
              <w:rPr>
                <w:rFonts w:ascii="Arial" w:hAnsi="Arial" w:cs="Arial"/>
                <w:sz w:val="18"/>
                <w:szCs w:val="18"/>
              </w:rPr>
            </w:pPr>
          </w:p>
        </w:tc>
      </w:tr>
      <w:tr w:rsidR="00C911F5" w:rsidRPr="004B79A9" w14:paraId="28B06BBA" w14:textId="77777777" w:rsidTr="009D16E5">
        <w:tc>
          <w:tcPr>
            <w:tcW w:w="1242" w:type="dxa"/>
          </w:tcPr>
          <w:p w14:paraId="407DD106" w14:textId="77777777" w:rsidR="00C911F5" w:rsidRPr="004B79A9" w:rsidRDefault="00C911F5" w:rsidP="009D16E5">
            <w:pPr>
              <w:jc w:val="left"/>
              <w:rPr>
                <w:rFonts w:ascii="Arial" w:hAnsi="Arial" w:cs="Arial"/>
                <w:sz w:val="18"/>
                <w:szCs w:val="18"/>
              </w:rPr>
            </w:pPr>
            <w:r w:rsidRPr="004B79A9">
              <w:rPr>
                <w:rFonts w:ascii="Arial" w:hAnsi="Arial" w:cs="Arial"/>
                <w:sz w:val="18"/>
                <w:szCs w:val="18"/>
              </w:rPr>
              <w:t>3200 GL recovery scenario</w:t>
            </w:r>
          </w:p>
        </w:tc>
        <w:tc>
          <w:tcPr>
            <w:tcW w:w="7774" w:type="dxa"/>
          </w:tcPr>
          <w:p w14:paraId="35C8B33D" w14:textId="77777777" w:rsidR="00C911F5" w:rsidRPr="004B79A9" w:rsidRDefault="00C911F5" w:rsidP="004B79A9">
            <w:pPr>
              <w:jc w:val="left"/>
              <w:rPr>
                <w:rFonts w:ascii="Arial" w:hAnsi="Arial" w:cs="Arial"/>
                <w:sz w:val="18"/>
                <w:szCs w:val="18"/>
              </w:rPr>
            </w:pPr>
            <w:r w:rsidRPr="004B79A9">
              <w:rPr>
                <w:rFonts w:ascii="Arial" w:hAnsi="Arial" w:cs="Arial"/>
                <w:sz w:val="18"/>
                <w:szCs w:val="18"/>
              </w:rPr>
              <w:t>Under high future water recovery, there would be an additional shortfall of -241GL. This puts 20000ha of existing plantings, at risk, which represents $381 million of existing investment.</w:t>
            </w:r>
          </w:p>
          <w:p w14:paraId="6F90FFC0" w14:textId="77777777" w:rsidR="00C911F5" w:rsidRPr="004B79A9" w:rsidRDefault="00C911F5" w:rsidP="009D16E5">
            <w:pPr>
              <w:jc w:val="left"/>
              <w:rPr>
                <w:rFonts w:ascii="Arial" w:hAnsi="Arial" w:cs="Arial"/>
                <w:sz w:val="18"/>
                <w:szCs w:val="18"/>
              </w:rPr>
            </w:pPr>
          </w:p>
        </w:tc>
      </w:tr>
    </w:tbl>
    <w:p w14:paraId="13218588" w14:textId="77777777" w:rsidR="00612246" w:rsidRPr="004B79A9" w:rsidRDefault="00612246" w:rsidP="00612246">
      <w:r w:rsidRPr="004B79A9">
        <w:lastRenderedPageBreak/>
        <w:t>At the southern MDB scale, horticultural investments are underpinned by high reliability water entitlements. In the drought years (before water recovery commenced, most of the water available came from allocations to Victorian High Reliability water shares (HRWS), NSW High Security entitlements (in the Murray and Murrumbidgee), and South Australian High reliability. In 2007</w:t>
      </w:r>
      <w:r w:rsidR="002A2EB4" w:rsidRPr="004B79A9">
        <w:t>/</w:t>
      </w:r>
      <w:r w:rsidRPr="004B79A9">
        <w:t>08 there was 0% allocated to NSW Murray General Security entitlements and 13% allocated to NSW Murrumbidgee General Security entitlements. In 2008</w:t>
      </w:r>
      <w:r w:rsidR="002A2EB4" w:rsidRPr="004B79A9">
        <w:t>/</w:t>
      </w:r>
      <w:r w:rsidRPr="004B79A9">
        <w:t>09 there was 9.6% allocated to NSW Murray General Security entitlements and 21% allocated to NSW Murrumbidgee General Security entitlements.</w:t>
      </w:r>
    </w:p>
    <w:p w14:paraId="080C6669" w14:textId="77777777" w:rsidR="00612246" w:rsidRPr="004B79A9" w:rsidRDefault="00612246" w:rsidP="00612246">
      <w:r w:rsidRPr="004B79A9">
        <w:t>The water use in each of these years is estimated in the chart below. The water use by horticulture is estimated to have grown, while water use in other industries respond to seasonal water availability.</w:t>
      </w:r>
    </w:p>
    <w:p w14:paraId="5EC17FDE" w14:textId="77777777" w:rsidR="00612246" w:rsidRPr="004B79A9" w:rsidRDefault="00612246" w:rsidP="00612246">
      <w:pPr>
        <w:jc w:val="center"/>
      </w:pPr>
      <w:r w:rsidRPr="004B79A9">
        <w:rPr>
          <w:noProof/>
          <w:lang w:val="en-AU" w:eastAsia="en-AU" w:bidi="ar-SA"/>
        </w:rPr>
        <w:drawing>
          <wp:inline distT="0" distB="0" distL="0" distR="0" wp14:anchorId="5FD8375F" wp14:editId="11D89F51">
            <wp:extent cx="4555331" cy="2857500"/>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0534A8E" w14:textId="77777777" w:rsidR="00612246" w:rsidRPr="004B79A9" w:rsidRDefault="00612246" w:rsidP="00612246">
      <w:r w:rsidRPr="004B79A9">
        <w:rPr>
          <w:b/>
        </w:rPr>
        <w:t xml:space="preserve">Figure </w:t>
      </w:r>
      <w:r w:rsidRPr="004B79A9">
        <w:rPr>
          <w:b/>
        </w:rPr>
        <w:fldChar w:fldCharType="begin"/>
      </w:r>
      <w:r w:rsidRPr="004B79A9">
        <w:rPr>
          <w:b/>
        </w:rPr>
        <w:instrText xml:space="preserve"> SEQ Figure \* ARABIC </w:instrText>
      </w:r>
      <w:r w:rsidRPr="004B79A9">
        <w:rPr>
          <w:b/>
        </w:rPr>
        <w:fldChar w:fldCharType="separate"/>
      </w:r>
      <w:r w:rsidR="008E5D7A">
        <w:rPr>
          <w:b/>
          <w:noProof/>
        </w:rPr>
        <w:t>54</w:t>
      </w:r>
      <w:r w:rsidRPr="004B79A9">
        <w:rPr>
          <w:b/>
        </w:rPr>
        <w:fldChar w:fldCharType="end"/>
      </w:r>
      <w:r w:rsidRPr="004B79A9">
        <w:rPr>
          <w:b/>
        </w:rPr>
        <w:t xml:space="preserve"> Estimated historical water use in the southern-connected Basin</w:t>
      </w:r>
    </w:p>
    <w:p w14:paraId="565FFA6F" w14:textId="77777777" w:rsidR="00612246" w:rsidRPr="004B79A9" w:rsidRDefault="00612246" w:rsidP="00612246">
      <w:r w:rsidRPr="004B79A9">
        <w:t xml:space="preserve">It should be noted that these estimates attribute allocated water to industries based on their geographic use, actual water use could differ to these estimates as a result of carryover. </w:t>
      </w:r>
    </w:p>
    <w:p w14:paraId="3B174DCA" w14:textId="77777777" w:rsidR="00612246" w:rsidRPr="004B79A9" w:rsidRDefault="00612246" w:rsidP="00612246">
      <w:r w:rsidRPr="004B79A9">
        <w:t>If this sequence of water allocations were to be repeated, then given the current level of water recovery and the maturation of existing horticultural plantings, then proportionally the horticultural industries would account for a larger proportion of total use.</w:t>
      </w:r>
    </w:p>
    <w:p w14:paraId="08101394" w14:textId="77777777" w:rsidR="00612246" w:rsidRPr="004B79A9" w:rsidRDefault="00612246" w:rsidP="00612246">
      <w:pPr>
        <w:jc w:val="center"/>
      </w:pPr>
      <w:r w:rsidRPr="004B79A9">
        <w:rPr>
          <w:noProof/>
          <w:lang w:val="en-AU" w:eastAsia="en-AU" w:bidi="ar-SA"/>
        </w:rPr>
        <w:lastRenderedPageBreak/>
        <w:drawing>
          <wp:inline distT="0" distB="0" distL="0" distR="0" wp14:anchorId="67760E9E" wp14:editId="36231110">
            <wp:extent cx="4555332" cy="3288983"/>
            <wp:effectExtent l="0" t="0" r="0" b="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BCBDC65" w14:textId="77777777" w:rsidR="00612246" w:rsidRPr="004B79A9" w:rsidRDefault="00612246" w:rsidP="00612246">
      <w:r w:rsidRPr="004B79A9">
        <w:rPr>
          <w:b/>
        </w:rPr>
        <w:t xml:space="preserve">Figure </w:t>
      </w:r>
      <w:r w:rsidRPr="004B79A9">
        <w:rPr>
          <w:b/>
        </w:rPr>
        <w:fldChar w:fldCharType="begin"/>
      </w:r>
      <w:r w:rsidRPr="004B79A9">
        <w:rPr>
          <w:b/>
        </w:rPr>
        <w:instrText xml:space="preserve"> SEQ Figure \* ARABIC </w:instrText>
      </w:r>
      <w:r w:rsidRPr="004B79A9">
        <w:rPr>
          <w:b/>
        </w:rPr>
        <w:fldChar w:fldCharType="separate"/>
      </w:r>
      <w:r w:rsidR="008E5D7A">
        <w:rPr>
          <w:b/>
          <w:noProof/>
        </w:rPr>
        <w:t>55</w:t>
      </w:r>
      <w:r w:rsidRPr="004B79A9">
        <w:rPr>
          <w:b/>
        </w:rPr>
        <w:fldChar w:fldCharType="end"/>
      </w:r>
      <w:r w:rsidRPr="004B79A9">
        <w:rPr>
          <w:b/>
        </w:rPr>
        <w:t xml:space="preserve"> Estimated water use in a repeat of historical conditions, given current horticultural development</w:t>
      </w:r>
    </w:p>
    <w:p w14:paraId="06D30169" w14:textId="77777777" w:rsidR="00612246" w:rsidRPr="004B79A9" w:rsidRDefault="00612246" w:rsidP="00612246">
      <w:r w:rsidRPr="004B79A9">
        <w:t>In the drought year of 2008</w:t>
      </w:r>
      <w:r w:rsidR="002A2EB4" w:rsidRPr="004B79A9">
        <w:t>/</w:t>
      </w:r>
      <w:r w:rsidRPr="004B79A9">
        <w:t>09, total trade out of the Murrumbidgee (which was shored up by allocations against the high security entitlements surplus to the requirements of then extant horticultural plantings in the Murrumbidgee) was 165 GL. Because this is higher than volume that can be set aside, at any one time, under the current Murrumbidgee Inter-valley Transfer (IVT) limits, it is important to understand the implications of the current rules for a repeat of those drought conditions.</w:t>
      </w:r>
    </w:p>
    <w:p w14:paraId="67E9D037" w14:textId="77777777" w:rsidR="00612246" w:rsidRPr="004B79A9" w:rsidRDefault="00612246" w:rsidP="00612246">
      <w:r w:rsidRPr="004B79A9">
        <w:t>The chart below shows that the IVT would be expected to effectively limit all non-horticultural water use to within the Murrumbidgee valley. This assumes that the Murrumbidgee IVT limits trade out of allocations to Murrumbidgee general security to 100GL annually — in reality, the IVT operation is more complex and would also constrain trade out of allocations to Murrumbidgee high security as well since the volume of Murrumbidgee High Security licences (380GL) exceeds Murrumbidgee horticultural demand (160GL).</w:t>
      </w:r>
    </w:p>
    <w:p w14:paraId="0FE5BB3B" w14:textId="77777777" w:rsidR="00612246" w:rsidRPr="004B79A9" w:rsidRDefault="00612246" w:rsidP="00612246">
      <w:r w:rsidRPr="004B79A9">
        <w:t>In a repeat of 2008</w:t>
      </w:r>
      <w:r w:rsidR="002A2EB4" w:rsidRPr="004B79A9">
        <w:t>/</w:t>
      </w:r>
      <w:r w:rsidRPr="004B79A9">
        <w:t>09 involved lower allocations to NSW General Security licences, then water availability would be further constrained. If instead NSW General Security allocations were in line with 2007-08 level, then the water allocated in the southern-connected Basin would be roughly equal to total horticultural requirements — however 120GL of this would be constrained within the Murrumbidgee due to the IVT; a shortfall of 119GL for horticulture would therefore result. If there were 0% allocations against NSW General Security entitlements, there would be a shortfall of 219GL in meeting horticultural requirements (</w:t>
      </w:r>
      <w:r w:rsidRPr="004B79A9">
        <w:fldChar w:fldCharType="begin"/>
      </w:r>
      <w:r w:rsidRPr="004B79A9">
        <w:instrText xml:space="preserve"> REF _Ref471512667 \h  \* MERGEFORMAT </w:instrText>
      </w:r>
      <w:r w:rsidRPr="004B79A9">
        <w:fldChar w:fldCharType="separate"/>
      </w:r>
      <w:r w:rsidR="008E5D7A" w:rsidRPr="008E5D7A">
        <w:t xml:space="preserve">Figure </w:t>
      </w:r>
      <w:r w:rsidR="008E5D7A" w:rsidRPr="008E5D7A">
        <w:rPr>
          <w:noProof/>
        </w:rPr>
        <w:t>56</w:t>
      </w:r>
      <w:r w:rsidRPr="004B79A9">
        <w:fldChar w:fldCharType="end"/>
      </w:r>
      <w:r w:rsidRPr="004B79A9">
        <w:t>).</w:t>
      </w:r>
    </w:p>
    <w:p w14:paraId="7B4C7376" w14:textId="77777777" w:rsidR="00612246" w:rsidRPr="004B79A9" w:rsidRDefault="00612246" w:rsidP="00612246">
      <w:pPr>
        <w:keepNext/>
        <w:jc w:val="center"/>
      </w:pPr>
      <w:r w:rsidRPr="004B79A9">
        <w:rPr>
          <w:noProof/>
          <w:lang w:val="en-AU" w:eastAsia="en-AU" w:bidi="ar-SA"/>
        </w:rPr>
        <w:lastRenderedPageBreak/>
        <w:drawing>
          <wp:inline distT="0" distB="0" distL="0" distR="0" wp14:anchorId="3E234884" wp14:editId="6AA1C4D8">
            <wp:extent cx="5828030" cy="3422379"/>
            <wp:effectExtent l="0" t="0" r="127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b="7678"/>
                    <a:stretch/>
                  </pic:blipFill>
                  <pic:spPr bwMode="auto">
                    <a:xfrm>
                      <a:off x="0" y="0"/>
                      <a:ext cx="5828030" cy="3422379"/>
                    </a:xfrm>
                    <a:prstGeom prst="rect">
                      <a:avLst/>
                    </a:prstGeom>
                    <a:noFill/>
                    <a:ln>
                      <a:noFill/>
                    </a:ln>
                    <a:extLst>
                      <a:ext uri="{53640926-AAD7-44D8-BBD7-CCE9431645EC}">
                        <a14:shadowObscured xmlns:a14="http://schemas.microsoft.com/office/drawing/2010/main"/>
                      </a:ext>
                    </a:extLst>
                  </pic:spPr>
                </pic:pic>
              </a:graphicData>
            </a:graphic>
          </wp:inline>
        </w:drawing>
      </w:r>
    </w:p>
    <w:p w14:paraId="3EF67C70" w14:textId="77777777" w:rsidR="00612246" w:rsidRPr="004B79A9" w:rsidRDefault="00612246" w:rsidP="00612246">
      <w:bookmarkStart w:id="223" w:name="_Ref471512667"/>
      <w:r w:rsidRPr="004B79A9">
        <w:rPr>
          <w:b/>
        </w:rPr>
        <w:t xml:space="preserve">Figure </w:t>
      </w:r>
      <w:r w:rsidRPr="004B79A9">
        <w:rPr>
          <w:b/>
        </w:rPr>
        <w:fldChar w:fldCharType="begin"/>
      </w:r>
      <w:r w:rsidRPr="004B79A9">
        <w:rPr>
          <w:b/>
        </w:rPr>
        <w:instrText xml:space="preserve"> SEQ Figure \* ARABIC </w:instrText>
      </w:r>
      <w:r w:rsidRPr="004B79A9">
        <w:rPr>
          <w:b/>
        </w:rPr>
        <w:fldChar w:fldCharType="separate"/>
      </w:r>
      <w:r w:rsidR="008E5D7A">
        <w:rPr>
          <w:b/>
          <w:noProof/>
        </w:rPr>
        <w:t>56</w:t>
      </w:r>
      <w:r w:rsidRPr="004B79A9">
        <w:rPr>
          <w:b/>
        </w:rPr>
        <w:fldChar w:fldCharType="end"/>
      </w:r>
      <w:bookmarkEnd w:id="223"/>
      <w:r w:rsidRPr="004B79A9">
        <w:rPr>
          <w:b/>
        </w:rPr>
        <w:t xml:space="preserve"> Distribution of water use in a repeat of 2008</w:t>
      </w:r>
      <w:r w:rsidR="002A2EB4" w:rsidRPr="004B79A9">
        <w:rPr>
          <w:b/>
        </w:rPr>
        <w:t>/</w:t>
      </w:r>
      <w:r w:rsidRPr="004B79A9">
        <w:rPr>
          <w:b/>
        </w:rPr>
        <w:t>09, with IVT and/or reductions  to NSW GS</w:t>
      </w:r>
    </w:p>
    <w:p w14:paraId="1110B739" w14:textId="77777777" w:rsidR="00612246" w:rsidRPr="004B79A9" w:rsidRDefault="00612246" w:rsidP="00612246">
      <w:r w:rsidRPr="004B79A9">
        <w:t>The charts above integrating current water recovery also form the low water recovery scenario presented in this report.</w:t>
      </w:r>
    </w:p>
    <w:p w14:paraId="4951B3B6" w14:textId="789A30E9" w:rsidR="00612246" w:rsidRPr="004B79A9" w:rsidRDefault="00400A00" w:rsidP="00612246">
      <w:pPr>
        <w:keepNext/>
      </w:pPr>
      <w:r>
        <w:lastRenderedPageBreak/>
        <w:fldChar w:fldCharType="begin"/>
      </w:r>
      <w:r>
        <w:instrText xml:space="preserve"> REF _Ref347747613 \h </w:instrText>
      </w:r>
      <w:r>
        <w:fldChar w:fldCharType="separate"/>
      </w:r>
      <w:r w:rsidR="008E5D7A">
        <w:t xml:space="preserve">Figure </w:t>
      </w:r>
      <w:r w:rsidR="008E5D7A">
        <w:rPr>
          <w:noProof/>
        </w:rPr>
        <w:t>57</w:t>
      </w:r>
      <w:r>
        <w:fldChar w:fldCharType="end"/>
      </w:r>
      <w:r w:rsidR="00612246" w:rsidRPr="004B79A9">
        <w:t>brings together the estimated water use under the observed conditions 2007</w:t>
      </w:r>
      <w:r w:rsidR="002A2EB4" w:rsidRPr="004B79A9">
        <w:t>/</w:t>
      </w:r>
      <w:r w:rsidR="00612246" w:rsidRPr="004B79A9">
        <w:t>08 and 2008</w:t>
      </w:r>
      <w:r w:rsidR="002A2EB4" w:rsidRPr="004B79A9">
        <w:t>/</w:t>
      </w:r>
      <w:r w:rsidR="00612246" w:rsidRPr="004B79A9">
        <w:t>09, with the water availability that would exist under similar seasonal conditions in the future when horticultural demands are 1393GL and the low-, medium- and high-water recovery occurs.</w:t>
      </w:r>
    </w:p>
    <w:p w14:paraId="5E683B2F" w14:textId="77777777" w:rsidR="00612246" w:rsidRPr="004B79A9" w:rsidRDefault="00612246" w:rsidP="00612246">
      <w:pPr>
        <w:keepNext/>
        <w:jc w:val="center"/>
      </w:pPr>
      <w:r w:rsidRPr="004B79A9">
        <w:rPr>
          <w:noProof/>
          <w:lang w:val="en-AU" w:eastAsia="en-AU" w:bidi="ar-SA"/>
        </w:rPr>
        <w:drawing>
          <wp:inline distT="0" distB="0" distL="0" distR="0" wp14:anchorId="5B098AF4" wp14:editId="45C903BB">
            <wp:extent cx="5731510" cy="4140200"/>
            <wp:effectExtent l="0" t="0" r="8890" b="0"/>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2FA7C20" w14:textId="3CC9F251" w:rsidR="00400A00" w:rsidRDefault="00400A00" w:rsidP="00400A00">
      <w:pPr>
        <w:pStyle w:val="Caption"/>
      </w:pPr>
      <w:bookmarkStart w:id="224" w:name="_Ref347747613"/>
      <w:bookmarkStart w:id="225" w:name="_Ref347747499"/>
      <w:r>
        <w:t xml:space="preserve">Figure </w:t>
      </w:r>
      <w:r>
        <w:fldChar w:fldCharType="begin"/>
      </w:r>
      <w:r>
        <w:instrText xml:space="preserve"> SEQ Figure \* ARABIC </w:instrText>
      </w:r>
      <w:r>
        <w:fldChar w:fldCharType="separate"/>
      </w:r>
      <w:r w:rsidR="008E5D7A">
        <w:rPr>
          <w:noProof/>
        </w:rPr>
        <w:t>57</w:t>
      </w:r>
      <w:r>
        <w:fldChar w:fldCharType="end"/>
      </w:r>
      <w:bookmarkEnd w:id="224"/>
      <w:r>
        <w:t xml:space="preserve"> </w:t>
      </w:r>
      <w:r w:rsidRPr="00400A00">
        <w:t>Distribution of water use in repeat of 2007/08 and 2008/09, and water recovery scenarios</w:t>
      </w:r>
    </w:p>
    <w:bookmarkEnd w:id="225"/>
    <w:p w14:paraId="026CB2B8" w14:textId="77777777" w:rsidR="00612246" w:rsidRPr="004B79A9" w:rsidRDefault="00612246" w:rsidP="00612246">
      <w:r w:rsidRPr="004B79A9">
        <w:t>Under a repeat of these dry conditions, horticultural demands might be met under the current/low water recovery scenario. However, under the medium and high water recovery scenarios, shortfalls would eventuate especially once the consequences of the Murrumbidgee IVT are take into account.</w:t>
      </w:r>
    </w:p>
    <w:p w14:paraId="1F10FD22" w14:textId="77777777" w:rsidR="00C01A50" w:rsidRPr="004B79A9" w:rsidRDefault="00C01A50" w:rsidP="00AA3BA7">
      <w:pPr>
        <w:pStyle w:val="Heading2"/>
        <w:rPr>
          <w:lang w:val="en-AU"/>
        </w:rPr>
      </w:pPr>
      <w:bookmarkStart w:id="226" w:name="_Toc347747860"/>
      <w:r w:rsidRPr="004B79A9">
        <w:rPr>
          <w:lang w:val="en-AU"/>
        </w:rPr>
        <w:t>Impacts in geographic industry centres</w:t>
      </w:r>
      <w:bookmarkEnd w:id="219"/>
      <w:bookmarkEnd w:id="226"/>
    </w:p>
    <w:p w14:paraId="69CBD559" w14:textId="77777777" w:rsidR="00C01A50" w:rsidRPr="004B79A9" w:rsidRDefault="00C01A50" w:rsidP="00AA3BA7">
      <w:pPr>
        <w:rPr>
          <w:lang w:val="en-AU"/>
        </w:rPr>
      </w:pPr>
      <w:r w:rsidRPr="004B79A9">
        <w:rPr>
          <w:lang w:val="en-AU"/>
        </w:rPr>
        <w:t xml:space="preserve">The impact of future scenarios would be expected to be concentrated in the same communities and geographic industry centres that were identified to be relatively vulnerable to impacts from the Basin Plan (as identified in </w:t>
      </w:r>
      <w:r w:rsidR="00302BD9" w:rsidRPr="004B79A9">
        <w:rPr>
          <w:lang w:val="en-AU"/>
        </w:rPr>
        <w:t>Chapter</w:t>
      </w:r>
      <w:r w:rsidRPr="004B79A9">
        <w:rPr>
          <w:lang w:val="en-AU"/>
        </w:rPr>
        <w:t xml:space="preserve"> </w:t>
      </w:r>
      <w:r w:rsidR="00302BD9" w:rsidRPr="004B79A9">
        <w:rPr>
          <w:lang w:val="en-AU"/>
        </w:rPr>
        <w:fldChar w:fldCharType="begin"/>
      </w:r>
      <w:r w:rsidR="00302BD9" w:rsidRPr="004B79A9">
        <w:rPr>
          <w:lang w:val="en-AU"/>
        </w:rPr>
        <w:instrText xml:space="preserve"> REF _Ref347075952 \r \h </w:instrText>
      </w:r>
      <w:r w:rsidR="00302BD9" w:rsidRPr="004B79A9">
        <w:rPr>
          <w:lang w:val="en-AU"/>
        </w:rPr>
      </w:r>
      <w:r w:rsidR="00302BD9" w:rsidRPr="004B79A9">
        <w:rPr>
          <w:lang w:val="en-AU"/>
        </w:rPr>
        <w:fldChar w:fldCharType="separate"/>
      </w:r>
      <w:r w:rsidR="008E5D7A">
        <w:rPr>
          <w:lang w:val="en-AU"/>
        </w:rPr>
        <w:t>10</w:t>
      </w:r>
      <w:r w:rsidR="00302BD9" w:rsidRPr="004B79A9">
        <w:rPr>
          <w:lang w:val="en-AU"/>
        </w:rPr>
        <w:fldChar w:fldCharType="end"/>
      </w:r>
      <w:r w:rsidRPr="004B79A9">
        <w:rPr>
          <w:lang w:val="en-AU"/>
        </w:rPr>
        <w:t>).</w:t>
      </w:r>
    </w:p>
    <w:p w14:paraId="4BC49990" w14:textId="77777777" w:rsidR="00C01A50" w:rsidRPr="004B79A9" w:rsidRDefault="00C01A50" w:rsidP="00AA3BA7">
      <w:pPr>
        <w:rPr>
          <w:lang w:val="en-AU"/>
        </w:rPr>
      </w:pPr>
      <w:r w:rsidRPr="004B79A9">
        <w:rPr>
          <w:lang w:val="en-AU"/>
        </w:rPr>
        <w:t>Impacts from reduced potential milk production would be concentrated in GMID, with flow on effects in towns where dairy processing occur.</w:t>
      </w:r>
    </w:p>
    <w:p w14:paraId="5044082C" w14:textId="77777777" w:rsidR="00C01A50" w:rsidRDefault="00C01A50" w:rsidP="00982219">
      <w:r w:rsidRPr="004B79A9">
        <w:rPr>
          <w:lang w:val="en-AU"/>
        </w:rPr>
        <w:t>Drought impacts that require significant rationalisation of horticultural developments would involve competition between horticultural farms in Victoria, NSW and SA with adjustment expected (to varying degrees) in all States.</w:t>
      </w:r>
      <w:r>
        <w:rPr>
          <w:lang w:val="en-AU"/>
        </w:rPr>
        <w:t xml:space="preserve"> </w:t>
      </w:r>
    </w:p>
    <w:p w14:paraId="5CFA582C" w14:textId="77777777" w:rsidR="00C01A50" w:rsidRDefault="00C01A50">
      <w:pPr>
        <w:spacing w:before="0" w:after="0" w:line="240" w:lineRule="auto"/>
        <w:rPr>
          <w:b/>
          <w:bCs/>
          <w:caps/>
          <w:color w:val="FFFFFF"/>
          <w:spacing w:val="15"/>
          <w:szCs w:val="22"/>
          <w:lang w:val="en-AU"/>
        </w:rPr>
      </w:pPr>
      <w:r>
        <w:rPr>
          <w:lang w:val="en-AU"/>
        </w:rPr>
        <w:br w:type="page"/>
      </w:r>
    </w:p>
    <w:p w14:paraId="0B15882C" w14:textId="77777777" w:rsidR="00C01A50" w:rsidRPr="00B852AB" w:rsidRDefault="00C01A50" w:rsidP="00302BD9">
      <w:pPr>
        <w:pStyle w:val="Heading1"/>
        <w:numPr>
          <w:ilvl w:val="0"/>
          <w:numId w:val="31"/>
        </w:numPr>
        <w:rPr>
          <w:lang w:val="en-AU"/>
        </w:rPr>
      </w:pPr>
      <w:bookmarkStart w:id="227" w:name="_Toc467616937"/>
      <w:bookmarkStart w:id="228" w:name="_Toc342552559"/>
      <w:bookmarkStart w:id="229" w:name="_Ref346110089"/>
      <w:bookmarkStart w:id="230" w:name="_Ref347093607"/>
      <w:bookmarkStart w:id="231" w:name="_Toc347747861"/>
      <w:r w:rsidRPr="00B852AB">
        <w:rPr>
          <w:lang w:val="en-AU"/>
        </w:rPr>
        <w:lastRenderedPageBreak/>
        <w:t>Environmental outcomes and benefits</w:t>
      </w:r>
      <w:bookmarkEnd w:id="227"/>
      <w:bookmarkEnd w:id="228"/>
      <w:bookmarkEnd w:id="229"/>
      <w:bookmarkEnd w:id="230"/>
      <w:bookmarkEnd w:id="231"/>
    </w:p>
    <w:p w14:paraId="5415C0F2" w14:textId="77777777" w:rsidR="00C01A50" w:rsidRPr="00B852AB" w:rsidRDefault="00C01A50" w:rsidP="00302BD9">
      <w:pPr>
        <w:pStyle w:val="Heading2"/>
        <w:numPr>
          <w:ilvl w:val="1"/>
          <w:numId w:val="31"/>
        </w:numPr>
        <w:rPr>
          <w:lang w:val="en-AU"/>
        </w:rPr>
      </w:pPr>
      <w:bookmarkStart w:id="232" w:name="_Toc467616938"/>
      <w:bookmarkStart w:id="233" w:name="_Toc342552560"/>
      <w:bookmarkStart w:id="234" w:name="_Toc347747862"/>
      <w:r>
        <w:rPr>
          <w:lang w:val="en-AU"/>
        </w:rPr>
        <w:t>The m</w:t>
      </w:r>
      <w:r w:rsidRPr="00B852AB">
        <w:rPr>
          <w:lang w:val="en-AU"/>
        </w:rPr>
        <w:t>ethod used to determine SDLs</w:t>
      </w:r>
      <w:bookmarkEnd w:id="232"/>
      <w:bookmarkEnd w:id="233"/>
      <w:bookmarkEnd w:id="234"/>
    </w:p>
    <w:p w14:paraId="6197F042" w14:textId="77777777" w:rsidR="00C01A50" w:rsidRPr="00B852AB" w:rsidRDefault="00C01A50" w:rsidP="00EF1C19">
      <w:pPr>
        <w:rPr>
          <w:lang w:val="en-AU"/>
        </w:rPr>
      </w:pPr>
      <w:r w:rsidRPr="00B852AB">
        <w:rPr>
          <w:lang w:val="en-AU"/>
        </w:rPr>
        <w:t>The Commonwealth Water Act 2007 requires the Basin Plan to limit the amount of water that can be taken from the Murray-Darling Basin for use over the long-term. The Basin Plan aims to do this through the establishment of new long-term sustainable diversion limits (SDLs)</w:t>
      </w:r>
      <w:r>
        <w:rPr>
          <w:lang w:val="en-AU"/>
        </w:rPr>
        <w:t>,</w:t>
      </w:r>
      <w:r w:rsidRPr="00B852AB">
        <w:rPr>
          <w:lang w:val="en-AU"/>
        </w:rPr>
        <w:t xml:space="preserve"> which come into effect in 2019. </w:t>
      </w:r>
    </w:p>
    <w:p w14:paraId="1CE906D8" w14:textId="77777777" w:rsidR="00C01A50" w:rsidRPr="00B852AB" w:rsidRDefault="00C01A50" w:rsidP="00EF1C19">
      <w:pPr>
        <w:rPr>
          <w:lang w:val="en-AU"/>
        </w:rPr>
      </w:pPr>
      <w:r w:rsidRPr="00B852AB">
        <w:rPr>
          <w:lang w:val="en-AU"/>
        </w:rPr>
        <w:t>These SDLs will replace the existing cap on water use and are set at both catchment and Basin-wide scale</w:t>
      </w:r>
      <w:r>
        <w:rPr>
          <w:lang w:val="en-AU"/>
        </w:rPr>
        <w:t>s</w:t>
      </w:r>
      <w:r w:rsidRPr="00B852AB">
        <w:rPr>
          <w:lang w:val="en-AU"/>
        </w:rPr>
        <w:t xml:space="preserve">. The Water Act 2007 requires these limits </w:t>
      </w:r>
      <w:r>
        <w:rPr>
          <w:lang w:val="en-AU"/>
        </w:rPr>
        <w:t>to be</w:t>
      </w:r>
      <w:r w:rsidRPr="00B852AB">
        <w:rPr>
          <w:lang w:val="en-AU"/>
        </w:rPr>
        <w:t xml:space="preserve"> determined </w:t>
      </w:r>
      <w:r>
        <w:rPr>
          <w:lang w:val="en-AU"/>
        </w:rPr>
        <w:t>through</w:t>
      </w:r>
      <w:r w:rsidRPr="00B852AB">
        <w:rPr>
          <w:lang w:val="en-AU"/>
        </w:rPr>
        <w:t xml:space="preserve"> an assessment of the Environmentally Sustainable Level of Take, or ESLT. T</w:t>
      </w:r>
      <w:r>
        <w:rPr>
          <w:lang w:val="en-AU"/>
        </w:rPr>
        <w:t>o fulfil that requirement, t</w:t>
      </w:r>
      <w:r w:rsidRPr="00B852AB">
        <w:rPr>
          <w:lang w:val="en-AU"/>
        </w:rPr>
        <w:t>he MDBA assess</w:t>
      </w:r>
      <w:r>
        <w:rPr>
          <w:lang w:val="en-AU"/>
        </w:rPr>
        <w:t>ed</w:t>
      </w:r>
      <w:r w:rsidRPr="00B852AB">
        <w:rPr>
          <w:lang w:val="en-AU"/>
        </w:rPr>
        <w:t xml:space="preserve"> how much water can be taken from the Basin without compromising the environment (MDBA 2011a).</w:t>
      </w:r>
    </w:p>
    <w:p w14:paraId="32B85167" w14:textId="77777777" w:rsidR="00C01A50" w:rsidRPr="00B852AB" w:rsidRDefault="00C01A50" w:rsidP="00EF1C19">
      <w:pPr>
        <w:rPr>
          <w:lang w:val="en-AU"/>
        </w:rPr>
      </w:pPr>
      <w:r w:rsidRPr="00B852AB">
        <w:rPr>
          <w:lang w:val="en-AU"/>
        </w:rPr>
        <w:t xml:space="preserve">The MDBA </w:t>
      </w:r>
      <w:r>
        <w:rPr>
          <w:lang w:val="en-AU"/>
        </w:rPr>
        <w:t>(</w:t>
      </w:r>
      <w:r w:rsidRPr="00B852AB">
        <w:rPr>
          <w:lang w:val="en-AU"/>
        </w:rPr>
        <w:t>2011b)</w:t>
      </w:r>
      <w:r>
        <w:rPr>
          <w:lang w:val="en-AU"/>
        </w:rPr>
        <w:t xml:space="preserve"> </w:t>
      </w:r>
      <w:r w:rsidRPr="00B852AB">
        <w:rPr>
          <w:lang w:val="en-AU"/>
        </w:rPr>
        <w:t xml:space="preserve">developed a method </w:t>
      </w:r>
      <w:r>
        <w:rPr>
          <w:lang w:val="en-AU"/>
        </w:rPr>
        <w:t>for determining</w:t>
      </w:r>
      <w:r w:rsidRPr="00B852AB">
        <w:rPr>
          <w:lang w:val="en-AU"/>
        </w:rPr>
        <w:t xml:space="preserve"> the ESLT</w:t>
      </w:r>
      <w:r>
        <w:rPr>
          <w:lang w:val="en-AU"/>
        </w:rPr>
        <w:t>, which it</w:t>
      </w:r>
      <w:r w:rsidRPr="00B852AB">
        <w:rPr>
          <w:lang w:val="en-AU"/>
        </w:rPr>
        <w:t xml:space="preserve"> presented </w:t>
      </w:r>
      <w:r>
        <w:rPr>
          <w:lang w:val="en-AU"/>
        </w:rPr>
        <w:t>in a report along with the outcomes of the assessment</w:t>
      </w:r>
      <w:r w:rsidRPr="00B852AB">
        <w:rPr>
          <w:lang w:val="en-AU"/>
        </w:rPr>
        <w:t>. The method involved adopting the basin-wide objective to achieve a health</w:t>
      </w:r>
      <w:r>
        <w:rPr>
          <w:lang w:val="en-AU"/>
        </w:rPr>
        <w:t>y-</w:t>
      </w:r>
      <w:r w:rsidRPr="00B852AB">
        <w:rPr>
          <w:lang w:val="en-AU"/>
        </w:rPr>
        <w:t xml:space="preserve">working basin and then determining associated ecological objectives. More specific flow-related ecological targets were then set. The MDBA </w:t>
      </w:r>
      <w:r>
        <w:rPr>
          <w:lang w:val="en-AU"/>
        </w:rPr>
        <w:t>(</w:t>
      </w:r>
      <w:r w:rsidRPr="00B852AB">
        <w:rPr>
          <w:lang w:val="en-AU"/>
        </w:rPr>
        <w:t>2011a)</w:t>
      </w:r>
      <w:r>
        <w:rPr>
          <w:lang w:val="en-AU"/>
        </w:rPr>
        <w:t xml:space="preserve"> then </w:t>
      </w:r>
      <w:r w:rsidRPr="00B852AB">
        <w:rPr>
          <w:lang w:val="en-AU"/>
        </w:rPr>
        <w:t>designed flow targets to protect or reinstate ecologically significant parts of the flow regime</w:t>
      </w:r>
      <w:r>
        <w:rPr>
          <w:lang w:val="en-AU"/>
        </w:rPr>
        <w:t xml:space="preserve"> in order</w:t>
      </w:r>
      <w:r w:rsidRPr="00B852AB">
        <w:rPr>
          <w:lang w:val="en-AU"/>
        </w:rPr>
        <w:t xml:space="preserve"> to sustain:</w:t>
      </w:r>
    </w:p>
    <w:p w14:paraId="6417BA73" w14:textId="77777777" w:rsidR="00C01A50" w:rsidRPr="00A54150" w:rsidRDefault="00C01A50" w:rsidP="00302BD9">
      <w:pPr>
        <w:pStyle w:val="ListParagraph"/>
        <w:numPr>
          <w:ilvl w:val="0"/>
          <w:numId w:val="40"/>
        </w:numPr>
        <w:rPr>
          <w:lang w:val="en-AU"/>
        </w:rPr>
      </w:pPr>
      <w:r w:rsidRPr="00A54150">
        <w:rPr>
          <w:lang w:val="en-AU"/>
        </w:rPr>
        <w:t xml:space="preserve">the current extent of water-dependent habitats and vegetation communities in a healthy, dynamic and resilient condition — for their intrinsic values as well as the habitat they provide for conservationally-significant fauna </w:t>
      </w:r>
    </w:p>
    <w:p w14:paraId="7D58CC67" w14:textId="77777777" w:rsidR="00C01A50" w:rsidRPr="00A54150" w:rsidRDefault="00C01A50" w:rsidP="00302BD9">
      <w:pPr>
        <w:pStyle w:val="ListParagraph"/>
        <w:numPr>
          <w:ilvl w:val="0"/>
          <w:numId w:val="40"/>
        </w:numPr>
        <w:rPr>
          <w:lang w:val="en-AU"/>
        </w:rPr>
      </w:pPr>
      <w:r w:rsidRPr="00A54150">
        <w:rPr>
          <w:lang w:val="en-AU"/>
        </w:rPr>
        <w:t xml:space="preserve">viable populations of conservationally-significant fauna by providing recruitment opportunities, recolonisation opportunities and refuge habitat </w:t>
      </w:r>
    </w:p>
    <w:p w14:paraId="52A68A92" w14:textId="77777777" w:rsidR="00C01A50" w:rsidRPr="00A54150" w:rsidRDefault="00C01A50" w:rsidP="00302BD9">
      <w:pPr>
        <w:pStyle w:val="ListParagraph"/>
        <w:numPr>
          <w:ilvl w:val="0"/>
          <w:numId w:val="40"/>
        </w:numPr>
        <w:rPr>
          <w:lang w:val="en-AU"/>
        </w:rPr>
      </w:pPr>
      <w:r w:rsidRPr="00A54150">
        <w:rPr>
          <w:lang w:val="en-AU"/>
        </w:rPr>
        <w:t xml:space="preserve">ecosystem functions that support these targets. </w:t>
      </w:r>
    </w:p>
    <w:p w14:paraId="5A1EE651" w14:textId="77777777" w:rsidR="00C01A50" w:rsidRPr="00B852AB" w:rsidRDefault="00C01A50" w:rsidP="00EF1C19">
      <w:pPr>
        <w:rPr>
          <w:lang w:val="en-AU"/>
        </w:rPr>
      </w:pPr>
      <w:r w:rsidRPr="00B852AB">
        <w:rPr>
          <w:lang w:val="en-AU"/>
        </w:rPr>
        <w:t>Ultimately flow targets, based on ecological need</w:t>
      </w:r>
      <w:r>
        <w:rPr>
          <w:lang w:val="en-AU"/>
        </w:rPr>
        <w:t>s</w:t>
      </w:r>
      <w:r w:rsidRPr="00B852AB">
        <w:rPr>
          <w:lang w:val="en-AU"/>
        </w:rPr>
        <w:t xml:space="preserve">, were determined for selected sites along the Basin’s rivers. The locations were called hydrologic indicators sites. A simplified outline of the process is shown in </w:t>
      </w:r>
      <w:r>
        <w:rPr>
          <w:lang w:val="en-AU"/>
        </w:rPr>
        <w:fldChar w:fldCharType="begin"/>
      </w:r>
      <w:r>
        <w:rPr>
          <w:lang w:val="en-AU"/>
        </w:rPr>
        <w:instrText xml:space="preserve"> REF _Ref342567527 \h </w:instrText>
      </w:r>
      <w:r>
        <w:rPr>
          <w:lang w:val="en-AU"/>
        </w:rPr>
      </w:r>
      <w:r>
        <w:rPr>
          <w:lang w:val="en-AU"/>
        </w:rPr>
        <w:fldChar w:fldCharType="separate"/>
      </w:r>
      <w:r w:rsidR="008E5D7A">
        <w:t xml:space="preserve">Figure </w:t>
      </w:r>
      <w:r w:rsidR="008E5D7A">
        <w:rPr>
          <w:noProof/>
        </w:rPr>
        <w:t>58</w:t>
      </w:r>
      <w:r>
        <w:rPr>
          <w:lang w:val="en-AU"/>
        </w:rPr>
        <w:fldChar w:fldCharType="end"/>
      </w:r>
      <w:r w:rsidRPr="00B852AB">
        <w:rPr>
          <w:lang w:val="en-AU"/>
        </w:rPr>
        <w:t xml:space="preserve">. The flow targets included flow volume, duration, timing and frequency. Comparing achievement of the flow targets for a range of water recovery scenarios was one of the major factors in determining the 2,750 GL water recovery target and corresponding basin-wide SDL.  </w:t>
      </w:r>
    </w:p>
    <w:p w14:paraId="6E76A51D" w14:textId="77777777" w:rsidR="00C01A50" w:rsidRPr="00B852AB" w:rsidRDefault="00C01A50" w:rsidP="00DB452E">
      <w:pPr>
        <w:jc w:val="center"/>
        <w:rPr>
          <w:lang w:val="en-AU"/>
        </w:rPr>
      </w:pPr>
      <w:r w:rsidRPr="00B852AB">
        <w:rPr>
          <w:noProof/>
          <w:lang w:val="en-AU" w:eastAsia="en-AU" w:bidi="ar-SA"/>
        </w:rPr>
        <w:drawing>
          <wp:inline distT="0" distB="0" distL="0" distR="0" wp14:anchorId="4DA1172F" wp14:editId="38033413">
            <wp:extent cx="2077720" cy="261493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7720" cy="2614930"/>
                    </a:xfrm>
                    <a:prstGeom prst="rect">
                      <a:avLst/>
                    </a:prstGeom>
                    <a:noFill/>
                    <a:ln>
                      <a:noFill/>
                    </a:ln>
                  </pic:spPr>
                </pic:pic>
              </a:graphicData>
            </a:graphic>
          </wp:inline>
        </w:drawing>
      </w:r>
    </w:p>
    <w:p w14:paraId="58A934C2" w14:textId="77777777" w:rsidR="00C01A50" w:rsidRPr="00B852AB" w:rsidRDefault="00C01A50" w:rsidP="00EF1C19">
      <w:pPr>
        <w:pStyle w:val="Caption"/>
        <w:rPr>
          <w:lang w:val="en-AU"/>
        </w:rPr>
      </w:pPr>
      <w:bookmarkStart w:id="235" w:name="_Ref342567527"/>
      <w:r>
        <w:lastRenderedPageBreak/>
        <w:t xml:space="preserve">Figure </w:t>
      </w:r>
      <w:r>
        <w:fldChar w:fldCharType="begin"/>
      </w:r>
      <w:r>
        <w:instrText xml:space="preserve"> SEQ Figure \* ARABIC </w:instrText>
      </w:r>
      <w:r>
        <w:fldChar w:fldCharType="separate"/>
      </w:r>
      <w:r w:rsidR="008E5D7A">
        <w:rPr>
          <w:noProof/>
        </w:rPr>
        <w:t>58</w:t>
      </w:r>
      <w:r>
        <w:fldChar w:fldCharType="end"/>
      </w:r>
      <w:bookmarkEnd w:id="235"/>
      <w:r>
        <w:rPr>
          <w:lang w:val="en-AU"/>
        </w:rPr>
        <w:t>:</w:t>
      </w:r>
      <w:r w:rsidRPr="00B852AB">
        <w:rPr>
          <w:lang w:val="en-AU"/>
        </w:rPr>
        <w:t xml:space="preserve"> Simplified outline of the method used to determine the ESLT (Source: Figure 2, Young et al. 2011)</w:t>
      </w:r>
    </w:p>
    <w:p w14:paraId="6E59CD9E" w14:textId="77777777" w:rsidR="00C01A50" w:rsidRPr="00B852AB" w:rsidRDefault="00C01A50" w:rsidP="00EF1C19">
      <w:pPr>
        <w:rPr>
          <w:lang w:val="en-AU"/>
        </w:rPr>
      </w:pPr>
      <w:r w:rsidRPr="00B852AB">
        <w:rPr>
          <w:lang w:val="en-AU"/>
        </w:rPr>
        <w:t xml:space="preserve">The method used to determine the ESLT relies strongly on two assumptions (Overton et al. 2014). The first is that meeting the flow requirements at the hydrological indicator sites will result in flow requirements being met across the whole reach represented by the site. The flow targets were based mainly on the flow or habitat requirements for recruitment opportunities of native fish, healthy condition of vegetation, and successful breeding of water birds. The second assumption was that by achieving the flow targets a range of additional biodiversity, ecosystem function, and ecosystem resilience targets specified under the Basin Plan, but not specifically modelled, would also be met. </w:t>
      </w:r>
    </w:p>
    <w:p w14:paraId="063209C2" w14:textId="77777777" w:rsidR="00C01A50" w:rsidRPr="00B852AB" w:rsidRDefault="00C01A50" w:rsidP="00EF1C19">
      <w:pPr>
        <w:rPr>
          <w:lang w:val="en-AU"/>
        </w:rPr>
      </w:pPr>
      <w:r w:rsidRPr="00B852AB">
        <w:rPr>
          <w:lang w:val="en-AU"/>
        </w:rPr>
        <w:t xml:space="preserve">Other uncertainties included the: </w:t>
      </w:r>
    </w:p>
    <w:p w14:paraId="48AD058F" w14:textId="77777777" w:rsidR="00C01A50" w:rsidRPr="00441A48" w:rsidRDefault="00C01A50" w:rsidP="00302BD9">
      <w:pPr>
        <w:pStyle w:val="ListParagraph"/>
        <w:numPr>
          <w:ilvl w:val="0"/>
          <w:numId w:val="41"/>
        </w:numPr>
        <w:rPr>
          <w:lang w:val="en-AU"/>
        </w:rPr>
      </w:pPr>
      <w:r w:rsidRPr="00441A48">
        <w:rPr>
          <w:lang w:val="en-AU"/>
        </w:rPr>
        <w:t>estimates of the flow metrics required by plant and animal populations, especially flow frequency (MDBA 2011b)</w:t>
      </w:r>
    </w:p>
    <w:p w14:paraId="30BB0DA0" w14:textId="77777777" w:rsidR="00C01A50" w:rsidRPr="00441A48" w:rsidRDefault="00C01A50" w:rsidP="00302BD9">
      <w:pPr>
        <w:pStyle w:val="ListParagraph"/>
        <w:numPr>
          <w:ilvl w:val="0"/>
          <w:numId w:val="41"/>
        </w:numPr>
        <w:rPr>
          <w:lang w:val="en-AU"/>
        </w:rPr>
      </w:pPr>
      <w:r w:rsidRPr="00441A48">
        <w:rPr>
          <w:lang w:val="en-AU"/>
        </w:rPr>
        <w:t>practicality of delivering the flows represented in the hydrological models</w:t>
      </w:r>
    </w:p>
    <w:p w14:paraId="13068254" w14:textId="77777777" w:rsidR="00C01A50" w:rsidRPr="00441A48" w:rsidRDefault="00C01A50" w:rsidP="00302BD9">
      <w:pPr>
        <w:pStyle w:val="ListParagraph"/>
        <w:numPr>
          <w:ilvl w:val="0"/>
          <w:numId w:val="41"/>
        </w:numPr>
        <w:rPr>
          <w:lang w:val="en-AU"/>
        </w:rPr>
      </w:pPr>
      <w:r w:rsidRPr="00441A48">
        <w:rPr>
          <w:lang w:val="en-AU"/>
        </w:rPr>
        <w:t>uncertainties inherent in the hydrological models – they are only a coarse representation of reality (although the best representation available at the time)</w:t>
      </w:r>
    </w:p>
    <w:p w14:paraId="7BC283C3" w14:textId="77777777" w:rsidR="00C01A50" w:rsidRPr="00441A48" w:rsidRDefault="00C01A50" w:rsidP="00302BD9">
      <w:pPr>
        <w:pStyle w:val="ListParagraph"/>
        <w:numPr>
          <w:ilvl w:val="0"/>
          <w:numId w:val="41"/>
        </w:numPr>
        <w:rPr>
          <w:lang w:val="en-AU"/>
        </w:rPr>
      </w:pPr>
      <w:r w:rsidRPr="00441A48">
        <w:rPr>
          <w:lang w:val="en-AU"/>
        </w:rPr>
        <w:t>ecological health of environmental assets is determined by a range of factors of which flows are just one element.</w:t>
      </w:r>
    </w:p>
    <w:p w14:paraId="7045D955" w14:textId="77777777" w:rsidR="00C01A50" w:rsidRPr="00B852AB" w:rsidRDefault="00C01A50" w:rsidP="00EF1C19">
      <w:pPr>
        <w:rPr>
          <w:lang w:val="en-AU"/>
        </w:rPr>
      </w:pPr>
      <w:r w:rsidRPr="00B852AB">
        <w:rPr>
          <w:lang w:val="en-AU"/>
        </w:rPr>
        <w:t>The inherent uncertainty in environmental outcomes was recognised by scientific reviewers of the ESLT method (Young et al. 2011, page 30):</w:t>
      </w:r>
    </w:p>
    <w:p w14:paraId="42AF77B5" w14:textId="77777777" w:rsidR="00C01A50" w:rsidRPr="00B852AB" w:rsidRDefault="00C01A50" w:rsidP="00EF1C19">
      <w:pPr>
        <w:pStyle w:val="Quote"/>
        <w:rPr>
          <w:lang w:val="en-AU"/>
        </w:rPr>
      </w:pPr>
      <w:r w:rsidRPr="00B852AB">
        <w:rPr>
          <w:lang w:val="en-AU"/>
        </w:rPr>
        <w:t>Give the uncertainties involved the Panel strongly recommends the MDBA commit to an adaptive approach to implementation of the Basin Plan informed by a well-designed ongoing environmental monitoring and evaluation program that supports longer-term knowledge generation in order to iteratively refine the ESLT and SDLS.</w:t>
      </w:r>
    </w:p>
    <w:p w14:paraId="60902EE6" w14:textId="77777777" w:rsidR="00C01A50" w:rsidRPr="00B852AB" w:rsidRDefault="00C01A50" w:rsidP="00EF1C19">
      <w:pPr>
        <w:rPr>
          <w:i/>
          <w:lang w:val="en-AU"/>
        </w:rPr>
      </w:pPr>
      <w:r w:rsidRPr="00B852AB">
        <w:rPr>
          <w:i/>
          <w:lang w:val="en-AU"/>
        </w:rPr>
        <w:t>An interpretation of what, ecologically, can be realistically achieved with the Basin Plan under the proposed SDLs has not yet been clearly articulated</w:t>
      </w:r>
      <w:r>
        <w:rPr>
          <w:i/>
          <w:lang w:val="en-AU"/>
        </w:rPr>
        <w:t>, either at the site level or</w:t>
      </w:r>
      <w:r w:rsidRPr="00B852AB">
        <w:rPr>
          <w:i/>
          <w:lang w:val="en-AU"/>
        </w:rPr>
        <w:t xml:space="preserve"> </w:t>
      </w:r>
      <w:r>
        <w:rPr>
          <w:i/>
          <w:lang w:val="en-AU"/>
        </w:rPr>
        <w:t>the</w:t>
      </w:r>
      <w:r w:rsidRPr="00B852AB">
        <w:rPr>
          <w:i/>
          <w:lang w:val="en-AU"/>
        </w:rPr>
        <w:t xml:space="preserve"> Basin level. </w:t>
      </w:r>
    </w:p>
    <w:p w14:paraId="166406B9" w14:textId="77777777" w:rsidR="00C01A50" w:rsidRPr="00B852AB" w:rsidRDefault="00CE09C2" w:rsidP="00EF1C19">
      <w:pPr>
        <w:rPr>
          <w:lang w:val="en-AU"/>
        </w:rPr>
      </w:pPr>
      <w:r>
        <w:rPr>
          <w:lang w:val="en-AU"/>
        </w:rPr>
        <w:t>And by the MDBA (</w:t>
      </w:r>
      <w:r w:rsidR="00C01A50" w:rsidRPr="00B852AB">
        <w:rPr>
          <w:lang w:val="en-AU"/>
        </w:rPr>
        <w:t>2012, pg 2)</w:t>
      </w:r>
    </w:p>
    <w:p w14:paraId="1662A088" w14:textId="77777777" w:rsidR="00C01A50" w:rsidRPr="00B852AB" w:rsidRDefault="00C01A50" w:rsidP="00EF1C19">
      <w:pPr>
        <w:pStyle w:val="Quote"/>
        <w:rPr>
          <w:lang w:val="en-AU"/>
        </w:rPr>
      </w:pPr>
      <w:r w:rsidRPr="00B852AB">
        <w:rPr>
          <w:lang w:val="en-AU"/>
        </w:rPr>
        <w:t>The results contained in this report are for a selection of scenarios, and the outcomes presented are indicative of a feasible change in flow regime given the modelled level of reduction in diversions... the final outcomes achieved may be different to those contained in this report.</w:t>
      </w:r>
    </w:p>
    <w:p w14:paraId="60B53328" w14:textId="77777777" w:rsidR="00C01A50" w:rsidRPr="00B852AB" w:rsidRDefault="00C01A50" w:rsidP="00EF1C19">
      <w:pPr>
        <w:rPr>
          <w:lang w:val="en-AU"/>
        </w:rPr>
      </w:pPr>
      <w:r w:rsidRPr="00B852AB">
        <w:rPr>
          <w:lang w:val="en-AU"/>
        </w:rPr>
        <w:t xml:space="preserve">Following the determination of the ESLT governments formally recognised, through the inclusion of an SDL Adjustment Mechanism in the final Basin Plan, that additional environmental outcomes can be achieved by better use of the available environmental water. The adjustment mechanism includes the supply measures </w:t>
      </w:r>
      <w:r w:rsidR="00FB2DC5" w:rsidRPr="00B852AB">
        <w:rPr>
          <w:lang w:val="en-AU"/>
        </w:rPr>
        <w:t>program that</w:t>
      </w:r>
      <w:r w:rsidRPr="00B852AB">
        <w:rPr>
          <w:lang w:val="en-AU"/>
        </w:rPr>
        <w:t xml:space="preserve"> enables more efficient use of environmental water to reduce the water recovery from consumptive purposes while achieving equivalent environmental outcomes. </w:t>
      </w:r>
    </w:p>
    <w:p w14:paraId="227876C0" w14:textId="77777777" w:rsidR="00C01A50" w:rsidRPr="00B852AB" w:rsidRDefault="00C01A50" w:rsidP="00EF1C19">
      <w:pPr>
        <w:rPr>
          <w:lang w:val="en-AU"/>
        </w:rPr>
      </w:pPr>
      <w:r w:rsidRPr="00B852AB">
        <w:rPr>
          <w:lang w:val="en-AU"/>
        </w:rPr>
        <w:t xml:space="preserve">The above discussion does not mean that the Basin Plan won’t deliver significant environmental gains. It simply means that the specifics about what outcomes can be achieved are uncertain. The following </w:t>
      </w:r>
      <w:r w:rsidRPr="00B852AB">
        <w:rPr>
          <w:lang w:val="en-AU"/>
        </w:rPr>
        <w:lastRenderedPageBreak/>
        <w:t xml:space="preserve">section about the potential environmental outcomes delivered by the Basin Plan must be read in this context, recognising that significant effort has gone into better understanding the potential environmental outcomes since the ESLT was determined. </w:t>
      </w:r>
    </w:p>
    <w:p w14:paraId="027068D7" w14:textId="77777777" w:rsidR="00C01A50" w:rsidRPr="00B852AB" w:rsidRDefault="00C01A50" w:rsidP="00302BD9">
      <w:pPr>
        <w:pStyle w:val="Heading2"/>
        <w:numPr>
          <w:ilvl w:val="1"/>
          <w:numId w:val="31"/>
        </w:numPr>
        <w:rPr>
          <w:lang w:val="en-AU"/>
        </w:rPr>
      </w:pPr>
      <w:bookmarkStart w:id="236" w:name="_Toc347747863"/>
      <w:r w:rsidRPr="00B852AB">
        <w:rPr>
          <w:lang w:val="en-AU"/>
        </w:rPr>
        <w:t>Expected environmental outcomes</w:t>
      </w:r>
      <w:bookmarkEnd w:id="236"/>
    </w:p>
    <w:p w14:paraId="2D729F5A" w14:textId="77777777" w:rsidR="00C01A50" w:rsidRPr="00B852AB" w:rsidRDefault="00C01A50" w:rsidP="00EF1C19">
      <w:pPr>
        <w:rPr>
          <w:lang w:val="en-AU"/>
        </w:rPr>
      </w:pPr>
      <w:r w:rsidRPr="00B852AB">
        <w:rPr>
          <w:lang w:val="en-AU"/>
        </w:rPr>
        <w:t>The MDBA’s aspiration for the Basin, as expressed in MDBA (2014</w:t>
      </w:r>
      <w:r w:rsidR="00EA79EE">
        <w:rPr>
          <w:lang w:val="en-AU"/>
        </w:rPr>
        <w:t>a</w:t>
      </w:r>
      <w:r w:rsidRPr="00B852AB">
        <w:rPr>
          <w:lang w:val="en-AU"/>
        </w:rPr>
        <w:t>) is …</w:t>
      </w:r>
      <w:r w:rsidRPr="00B852AB">
        <w:rPr>
          <w:i/>
          <w:lang w:val="en-AU"/>
        </w:rPr>
        <w:t>we are trying to achieve improvement in the health of the river system — through more natural and variable flows</w:t>
      </w:r>
      <w:r w:rsidRPr="00B852AB">
        <w:rPr>
          <w:lang w:val="en-AU"/>
        </w:rPr>
        <w:t>. The expected outcomes are described for river flows and connectivity, vegetation, waterbirds and fish. A summary of environmental outcomes for each from MDBA (2015) is reproduced below.</w:t>
      </w:r>
    </w:p>
    <w:p w14:paraId="21580FB9" w14:textId="77777777" w:rsidR="00C01A50" w:rsidRPr="00B852AB" w:rsidRDefault="00C01A50" w:rsidP="00EF1C19">
      <w:pPr>
        <w:rPr>
          <w:lang w:val="en-AU"/>
        </w:rPr>
      </w:pPr>
      <w:r w:rsidRPr="00B852AB">
        <w:rPr>
          <w:lang w:val="en-AU"/>
        </w:rPr>
        <w:t xml:space="preserve">River flows and connectivity: </w:t>
      </w:r>
    </w:p>
    <w:p w14:paraId="4A5FF663" w14:textId="77777777" w:rsidR="00C01A50" w:rsidRPr="00B852AB" w:rsidRDefault="00C01A50" w:rsidP="00612EC4">
      <w:pPr>
        <w:numPr>
          <w:ilvl w:val="0"/>
          <w:numId w:val="14"/>
        </w:numPr>
        <w:rPr>
          <w:lang w:val="en-AU"/>
        </w:rPr>
      </w:pPr>
      <w:r w:rsidRPr="00B852AB">
        <w:rPr>
          <w:lang w:val="en-AU"/>
        </w:rPr>
        <w:t xml:space="preserve">Maintained base flows at about 60% of natural levels </w:t>
      </w:r>
    </w:p>
    <w:p w14:paraId="5E7C070F" w14:textId="77777777" w:rsidR="00C01A50" w:rsidRPr="00B852AB" w:rsidRDefault="00C01A50" w:rsidP="00612EC4">
      <w:pPr>
        <w:numPr>
          <w:ilvl w:val="0"/>
          <w:numId w:val="13"/>
        </w:numPr>
        <w:rPr>
          <w:lang w:val="en-AU"/>
        </w:rPr>
      </w:pPr>
      <w:r w:rsidRPr="00B852AB">
        <w:rPr>
          <w:lang w:val="en-AU"/>
        </w:rPr>
        <w:t xml:space="preserve">Improved overall flow: </w:t>
      </w:r>
    </w:p>
    <w:p w14:paraId="5727B525" w14:textId="77777777" w:rsidR="00C01A50" w:rsidRPr="00B852AB" w:rsidRDefault="00C01A50" w:rsidP="00612EC4">
      <w:pPr>
        <w:numPr>
          <w:ilvl w:val="1"/>
          <w:numId w:val="13"/>
        </w:numPr>
        <w:rPr>
          <w:lang w:val="en-AU"/>
        </w:rPr>
      </w:pPr>
      <w:r w:rsidRPr="00B852AB">
        <w:rPr>
          <w:lang w:val="en-AU"/>
        </w:rPr>
        <w:t>10% more into the Barwon– Darling</w:t>
      </w:r>
    </w:p>
    <w:p w14:paraId="295D3F75" w14:textId="77777777" w:rsidR="00C01A50" w:rsidRPr="00B852AB" w:rsidRDefault="00C01A50" w:rsidP="00612EC4">
      <w:pPr>
        <w:numPr>
          <w:ilvl w:val="1"/>
          <w:numId w:val="13"/>
        </w:numPr>
        <w:rPr>
          <w:lang w:val="en-AU"/>
        </w:rPr>
      </w:pPr>
      <w:r w:rsidRPr="00B852AB">
        <w:rPr>
          <w:lang w:val="en-AU"/>
        </w:rPr>
        <w:t xml:space="preserve">30% more into the River Murray </w:t>
      </w:r>
    </w:p>
    <w:p w14:paraId="79583E5F" w14:textId="77777777" w:rsidR="00C01A50" w:rsidRPr="00B852AB" w:rsidRDefault="00C01A50" w:rsidP="00612EC4">
      <w:pPr>
        <w:numPr>
          <w:ilvl w:val="1"/>
          <w:numId w:val="13"/>
        </w:numPr>
        <w:rPr>
          <w:lang w:val="en-AU"/>
        </w:rPr>
      </w:pPr>
      <w:r w:rsidRPr="00B852AB">
        <w:rPr>
          <w:lang w:val="en-AU"/>
        </w:rPr>
        <w:t>30–40% more to the Murray mouth (and it open to the sea 90% of the time)</w:t>
      </w:r>
    </w:p>
    <w:p w14:paraId="495DBEAB" w14:textId="77777777" w:rsidR="00C01A50" w:rsidRPr="00B852AB" w:rsidRDefault="00C01A50" w:rsidP="00612EC4">
      <w:pPr>
        <w:numPr>
          <w:ilvl w:val="1"/>
          <w:numId w:val="14"/>
        </w:numPr>
        <w:rPr>
          <w:lang w:val="en-AU"/>
        </w:rPr>
      </w:pPr>
      <w:r w:rsidRPr="00B852AB">
        <w:rPr>
          <w:lang w:val="en-AU"/>
        </w:rPr>
        <w:t>Maintained connectivity in areas where it is relatively unaffected - between rivers and floodplains in the Paroo, Moonie, Nebine, Warrego and Ovens</w:t>
      </w:r>
    </w:p>
    <w:p w14:paraId="2C687F36" w14:textId="77777777" w:rsidR="00C01A50" w:rsidRPr="00B852AB" w:rsidRDefault="00C01A50" w:rsidP="00612EC4">
      <w:pPr>
        <w:numPr>
          <w:ilvl w:val="0"/>
          <w:numId w:val="13"/>
        </w:numPr>
        <w:rPr>
          <w:lang w:val="en-AU"/>
        </w:rPr>
      </w:pPr>
      <w:r w:rsidRPr="00B852AB">
        <w:rPr>
          <w:lang w:val="en-AU"/>
        </w:rPr>
        <w:t xml:space="preserve">Improved connectivity with bankfull and/or low floodplain flows: </w:t>
      </w:r>
    </w:p>
    <w:p w14:paraId="3FE51355" w14:textId="77777777" w:rsidR="00C01A50" w:rsidRPr="00B852AB" w:rsidRDefault="00C01A50" w:rsidP="00612EC4">
      <w:pPr>
        <w:numPr>
          <w:ilvl w:val="1"/>
          <w:numId w:val="13"/>
        </w:numPr>
        <w:rPr>
          <w:lang w:val="en-AU"/>
        </w:rPr>
      </w:pPr>
      <w:r w:rsidRPr="00B852AB">
        <w:rPr>
          <w:lang w:val="en-AU"/>
        </w:rPr>
        <w:t>by 30–60% in the Murray, Murrumbidgee, Goulburn and Condamine–Balonne</w:t>
      </w:r>
    </w:p>
    <w:p w14:paraId="5223801D" w14:textId="77777777" w:rsidR="00C01A50" w:rsidRPr="00B852AB" w:rsidRDefault="00C01A50" w:rsidP="00612EC4">
      <w:pPr>
        <w:numPr>
          <w:ilvl w:val="1"/>
          <w:numId w:val="13"/>
        </w:numPr>
        <w:rPr>
          <w:lang w:val="en-AU"/>
        </w:rPr>
      </w:pPr>
      <w:r w:rsidRPr="00B852AB">
        <w:rPr>
          <w:lang w:val="en-AU"/>
        </w:rPr>
        <w:t>by 10–20% in remaining catchments</w:t>
      </w:r>
    </w:p>
    <w:p w14:paraId="36F6C961" w14:textId="77777777" w:rsidR="00C01A50" w:rsidRPr="00B852AB" w:rsidRDefault="00C01A50" w:rsidP="00612EC4">
      <w:pPr>
        <w:numPr>
          <w:ilvl w:val="0"/>
          <w:numId w:val="13"/>
        </w:numPr>
        <w:rPr>
          <w:lang w:val="en-AU"/>
        </w:rPr>
      </w:pPr>
      <w:r w:rsidRPr="00B852AB">
        <w:rPr>
          <w:lang w:val="en-AU"/>
        </w:rPr>
        <w:t xml:space="preserve">Maintain the Lower Lakes above sea level. </w:t>
      </w:r>
    </w:p>
    <w:p w14:paraId="349856D8" w14:textId="77777777" w:rsidR="00C01A50" w:rsidRPr="00B852AB" w:rsidRDefault="00C01A50" w:rsidP="00EF1C19">
      <w:pPr>
        <w:pStyle w:val="Heading4"/>
        <w:numPr>
          <w:ilvl w:val="0"/>
          <w:numId w:val="0"/>
        </w:numPr>
        <w:rPr>
          <w:lang w:val="en-AU"/>
        </w:rPr>
      </w:pPr>
      <w:r w:rsidRPr="00B852AB">
        <w:rPr>
          <w:lang w:val="en-AU"/>
        </w:rPr>
        <w:t xml:space="preserve">Vegetation: </w:t>
      </w:r>
    </w:p>
    <w:p w14:paraId="534876AE" w14:textId="77777777" w:rsidR="00C01A50" w:rsidRPr="00441A48" w:rsidRDefault="00C01A50" w:rsidP="00302BD9">
      <w:pPr>
        <w:pStyle w:val="ListParagraph"/>
        <w:numPr>
          <w:ilvl w:val="0"/>
          <w:numId w:val="42"/>
        </w:numPr>
        <w:rPr>
          <w:lang w:val="en-AU"/>
        </w:rPr>
      </w:pPr>
      <w:r w:rsidRPr="00441A48">
        <w:rPr>
          <w:lang w:val="en-AU"/>
        </w:rPr>
        <w:t>Maintenance of the current extent of:</w:t>
      </w:r>
    </w:p>
    <w:p w14:paraId="1DFDE5BA" w14:textId="77777777" w:rsidR="00C01A50" w:rsidRPr="00441A48" w:rsidRDefault="00C01A50" w:rsidP="00302BD9">
      <w:pPr>
        <w:pStyle w:val="ListParagraph"/>
        <w:numPr>
          <w:ilvl w:val="1"/>
          <w:numId w:val="42"/>
        </w:numPr>
        <w:rPr>
          <w:lang w:val="en-AU"/>
        </w:rPr>
      </w:pPr>
      <w:r w:rsidRPr="00441A48">
        <w:rPr>
          <w:lang w:val="en-AU"/>
        </w:rPr>
        <w:t>about 360,000 hectares of river red gum; 409,000 ha of black box; 310,000 ha of coolibah forest and woodlands; and existing large communities of lignum</w:t>
      </w:r>
    </w:p>
    <w:p w14:paraId="3062D55B" w14:textId="77777777" w:rsidR="00C01A50" w:rsidRPr="00441A48" w:rsidRDefault="00C01A50" w:rsidP="00302BD9">
      <w:pPr>
        <w:pStyle w:val="ListParagraph"/>
        <w:numPr>
          <w:ilvl w:val="1"/>
          <w:numId w:val="42"/>
        </w:numPr>
        <w:rPr>
          <w:lang w:val="en-AU"/>
        </w:rPr>
      </w:pPr>
      <w:r w:rsidRPr="00441A48">
        <w:rPr>
          <w:lang w:val="en-AU"/>
        </w:rPr>
        <w:t>non-woody communities near or in wetlands, streams and on low-lying floodplains</w:t>
      </w:r>
    </w:p>
    <w:p w14:paraId="5A9FD428" w14:textId="77777777" w:rsidR="00C01A50" w:rsidRPr="00441A48" w:rsidRDefault="00C01A50" w:rsidP="00302BD9">
      <w:pPr>
        <w:pStyle w:val="ListParagraph"/>
        <w:numPr>
          <w:ilvl w:val="0"/>
          <w:numId w:val="42"/>
        </w:numPr>
        <w:rPr>
          <w:lang w:val="en-AU"/>
        </w:rPr>
      </w:pPr>
      <w:r w:rsidRPr="00441A48">
        <w:rPr>
          <w:lang w:val="en-AU"/>
        </w:rPr>
        <w:t>Maintained condition of lowland floodplain forests and woodlands of:</w:t>
      </w:r>
    </w:p>
    <w:p w14:paraId="409AE30A" w14:textId="77777777" w:rsidR="00C01A50" w:rsidRPr="00441A48" w:rsidRDefault="00C01A50" w:rsidP="00302BD9">
      <w:pPr>
        <w:pStyle w:val="ListParagraph"/>
        <w:numPr>
          <w:ilvl w:val="1"/>
          <w:numId w:val="42"/>
        </w:numPr>
        <w:rPr>
          <w:lang w:val="en-AU"/>
        </w:rPr>
      </w:pPr>
      <w:r w:rsidRPr="00441A48">
        <w:rPr>
          <w:lang w:val="en-AU"/>
        </w:rPr>
        <w:t>river red gum</w:t>
      </w:r>
    </w:p>
    <w:p w14:paraId="1104CEAD" w14:textId="77777777" w:rsidR="00C01A50" w:rsidRPr="00441A48" w:rsidRDefault="00C01A50" w:rsidP="00302BD9">
      <w:pPr>
        <w:pStyle w:val="ListParagraph"/>
        <w:numPr>
          <w:ilvl w:val="1"/>
          <w:numId w:val="42"/>
        </w:numPr>
        <w:rPr>
          <w:lang w:val="en-AU"/>
        </w:rPr>
      </w:pPr>
      <w:r w:rsidRPr="00441A48">
        <w:rPr>
          <w:lang w:val="en-AU"/>
        </w:rPr>
        <w:t>black box</w:t>
      </w:r>
    </w:p>
    <w:p w14:paraId="007986BD" w14:textId="77777777" w:rsidR="00C01A50" w:rsidRPr="00441A48" w:rsidRDefault="00C01A50" w:rsidP="00302BD9">
      <w:pPr>
        <w:pStyle w:val="ListParagraph"/>
        <w:numPr>
          <w:ilvl w:val="1"/>
          <w:numId w:val="42"/>
        </w:numPr>
        <w:rPr>
          <w:lang w:val="en-AU"/>
        </w:rPr>
      </w:pPr>
      <w:r w:rsidRPr="00441A48">
        <w:rPr>
          <w:lang w:val="en-AU"/>
        </w:rPr>
        <w:t>coolibah</w:t>
      </w:r>
    </w:p>
    <w:p w14:paraId="5132A380" w14:textId="77777777" w:rsidR="00C01A50" w:rsidRPr="00441A48" w:rsidRDefault="00C01A50" w:rsidP="00302BD9">
      <w:pPr>
        <w:pStyle w:val="ListParagraph"/>
        <w:numPr>
          <w:ilvl w:val="0"/>
          <w:numId w:val="42"/>
        </w:numPr>
        <w:rPr>
          <w:lang w:val="en-AU"/>
        </w:rPr>
      </w:pPr>
      <w:r w:rsidRPr="00441A48">
        <w:rPr>
          <w:lang w:val="en-AU"/>
        </w:rPr>
        <w:t>Improved condition of southern river red gum</w:t>
      </w:r>
    </w:p>
    <w:p w14:paraId="1EB7511A" w14:textId="77777777" w:rsidR="00C01A50" w:rsidRPr="00B852AB" w:rsidRDefault="00C01A50" w:rsidP="00EF1C19">
      <w:pPr>
        <w:pStyle w:val="Heading4"/>
        <w:numPr>
          <w:ilvl w:val="0"/>
          <w:numId w:val="0"/>
        </w:numPr>
        <w:rPr>
          <w:lang w:val="en-AU"/>
        </w:rPr>
      </w:pPr>
      <w:r w:rsidRPr="00B852AB">
        <w:rPr>
          <w:lang w:val="en-AU"/>
        </w:rPr>
        <w:t>Waterbirds:</w:t>
      </w:r>
    </w:p>
    <w:p w14:paraId="79AF0B17" w14:textId="77777777" w:rsidR="00C01A50" w:rsidRPr="00441A48" w:rsidRDefault="00C01A50" w:rsidP="00302BD9">
      <w:pPr>
        <w:pStyle w:val="ListParagraph"/>
        <w:numPr>
          <w:ilvl w:val="0"/>
          <w:numId w:val="43"/>
        </w:numPr>
        <w:rPr>
          <w:lang w:val="en-AU"/>
        </w:rPr>
      </w:pPr>
      <w:r w:rsidRPr="00441A48">
        <w:rPr>
          <w:lang w:val="en-AU"/>
        </w:rPr>
        <w:t>Maintained current species diversity of:</w:t>
      </w:r>
    </w:p>
    <w:p w14:paraId="4B49577B" w14:textId="77777777" w:rsidR="00C01A50" w:rsidRPr="00441A48" w:rsidRDefault="00C01A50" w:rsidP="00302BD9">
      <w:pPr>
        <w:pStyle w:val="ListParagraph"/>
        <w:numPr>
          <w:ilvl w:val="1"/>
          <w:numId w:val="43"/>
        </w:numPr>
        <w:rPr>
          <w:lang w:val="en-AU"/>
        </w:rPr>
      </w:pPr>
      <w:r w:rsidRPr="00441A48">
        <w:rPr>
          <w:lang w:val="en-AU"/>
        </w:rPr>
        <w:lastRenderedPageBreak/>
        <w:t>all current Basin waterbirds</w:t>
      </w:r>
    </w:p>
    <w:p w14:paraId="57ADF9B3" w14:textId="77777777" w:rsidR="00C01A50" w:rsidRPr="00441A48" w:rsidRDefault="00C01A50" w:rsidP="00302BD9">
      <w:pPr>
        <w:pStyle w:val="ListParagraph"/>
        <w:numPr>
          <w:ilvl w:val="1"/>
          <w:numId w:val="43"/>
        </w:numPr>
        <w:rPr>
          <w:lang w:val="en-AU"/>
        </w:rPr>
      </w:pPr>
      <w:r w:rsidRPr="00441A48">
        <w:rPr>
          <w:lang w:val="en-AU"/>
        </w:rPr>
        <w:t>current migratory shorebirds at the Coorong</w:t>
      </w:r>
    </w:p>
    <w:p w14:paraId="48513712" w14:textId="77777777" w:rsidR="00C01A50" w:rsidRPr="00441A48" w:rsidRDefault="00C01A50" w:rsidP="00302BD9">
      <w:pPr>
        <w:pStyle w:val="ListParagraph"/>
        <w:numPr>
          <w:ilvl w:val="0"/>
          <w:numId w:val="43"/>
        </w:numPr>
        <w:rPr>
          <w:lang w:val="en-AU"/>
        </w:rPr>
      </w:pPr>
      <w:r w:rsidRPr="00441A48">
        <w:rPr>
          <w:lang w:val="en-AU"/>
        </w:rPr>
        <w:t>Increased abundance - 20–25% increase in waterbirds by 2024</w:t>
      </w:r>
    </w:p>
    <w:p w14:paraId="6EBA8EB8" w14:textId="77777777" w:rsidR="00C01A50" w:rsidRPr="00441A48" w:rsidRDefault="00C01A50" w:rsidP="00302BD9">
      <w:pPr>
        <w:pStyle w:val="ListParagraph"/>
        <w:numPr>
          <w:ilvl w:val="0"/>
          <w:numId w:val="43"/>
        </w:numPr>
        <w:rPr>
          <w:lang w:val="en-AU"/>
        </w:rPr>
      </w:pPr>
      <w:r w:rsidRPr="00441A48">
        <w:rPr>
          <w:lang w:val="en-AU"/>
        </w:rPr>
        <w:t>Improved breeding:</w:t>
      </w:r>
    </w:p>
    <w:p w14:paraId="0602193D" w14:textId="77777777" w:rsidR="00C01A50" w:rsidRPr="00441A48" w:rsidRDefault="00C01A50" w:rsidP="00302BD9">
      <w:pPr>
        <w:pStyle w:val="ListParagraph"/>
        <w:numPr>
          <w:ilvl w:val="1"/>
          <w:numId w:val="43"/>
        </w:numPr>
        <w:rPr>
          <w:lang w:val="en-AU"/>
        </w:rPr>
      </w:pPr>
      <w:r w:rsidRPr="00441A48">
        <w:rPr>
          <w:lang w:val="en-AU"/>
        </w:rPr>
        <w:t>up to 50% more breeding events for colonial nesting waterbird species</w:t>
      </w:r>
    </w:p>
    <w:p w14:paraId="198EFE52" w14:textId="77777777" w:rsidR="00C01A50" w:rsidRPr="00441A48" w:rsidRDefault="00C01A50" w:rsidP="00302BD9">
      <w:pPr>
        <w:pStyle w:val="ListParagraph"/>
        <w:numPr>
          <w:ilvl w:val="1"/>
          <w:numId w:val="43"/>
        </w:numPr>
        <w:rPr>
          <w:lang w:val="en-AU"/>
        </w:rPr>
      </w:pPr>
      <w:r w:rsidRPr="00441A48">
        <w:rPr>
          <w:lang w:val="en-AU"/>
        </w:rPr>
        <w:t>a 30–40% increase in nests and broods for other waterbirds</w:t>
      </w:r>
    </w:p>
    <w:p w14:paraId="1DBF5C5E" w14:textId="77777777" w:rsidR="00C01A50" w:rsidRPr="00B852AB" w:rsidRDefault="00C01A50" w:rsidP="00EF1C19">
      <w:pPr>
        <w:pStyle w:val="Heading4"/>
        <w:numPr>
          <w:ilvl w:val="0"/>
          <w:numId w:val="0"/>
        </w:numPr>
        <w:rPr>
          <w:lang w:val="en-AU"/>
        </w:rPr>
      </w:pPr>
      <w:r w:rsidRPr="00B852AB">
        <w:rPr>
          <w:lang w:val="en-AU"/>
        </w:rPr>
        <w:t>Fish:</w:t>
      </w:r>
    </w:p>
    <w:p w14:paraId="51474E0D" w14:textId="77777777" w:rsidR="00C01A50" w:rsidRPr="00441A48" w:rsidRDefault="00C01A50" w:rsidP="00302BD9">
      <w:pPr>
        <w:pStyle w:val="ListParagraph"/>
        <w:numPr>
          <w:ilvl w:val="0"/>
          <w:numId w:val="44"/>
        </w:numPr>
        <w:rPr>
          <w:lang w:val="en-AU"/>
        </w:rPr>
      </w:pPr>
      <w:r w:rsidRPr="00441A48">
        <w:rPr>
          <w:lang w:val="en-AU"/>
        </w:rPr>
        <w:t>Improved distribution of key short- and long-lived fish species across the Basin</w:t>
      </w:r>
    </w:p>
    <w:p w14:paraId="378A22A3" w14:textId="77777777" w:rsidR="00C01A50" w:rsidRPr="00441A48" w:rsidRDefault="00C01A50" w:rsidP="00302BD9">
      <w:pPr>
        <w:pStyle w:val="ListParagraph"/>
        <w:numPr>
          <w:ilvl w:val="0"/>
          <w:numId w:val="44"/>
        </w:numPr>
        <w:rPr>
          <w:lang w:val="en-AU"/>
        </w:rPr>
      </w:pPr>
      <w:r w:rsidRPr="00441A48">
        <w:rPr>
          <w:lang w:val="en-AU"/>
        </w:rPr>
        <w:t>Improved breeding success for:</w:t>
      </w:r>
    </w:p>
    <w:p w14:paraId="495F9FDB" w14:textId="77777777" w:rsidR="00C01A50" w:rsidRPr="00441A48" w:rsidRDefault="00C01A50" w:rsidP="00302BD9">
      <w:pPr>
        <w:pStyle w:val="ListParagraph"/>
        <w:numPr>
          <w:ilvl w:val="1"/>
          <w:numId w:val="44"/>
        </w:numPr>
        <w:rPr>
          <w:lang w:val="en-AU"/>
        </w:rPr>
      </w:pPr>
      <w:r w:rsidRPr="00441A48">
        <w:rPr>
          <w:lang w:val="en-AU"/>
        </w:rPr>
        <w:t xml:space="preserve">short-lived species (every 1–2 years) </w:t>
      </w:r>
    </w:p>
    <w:p w14:paraId="748469D3" w14:textId="77777777" w:rsidR="00C01A50" w:rsidRPr="00441A48" w:rsidRDefault="00C01A50" w:rsidP="00302BD9">
      <w:pPr>
        <w:pStyle w:val="ListParagraph"/>
        <w:numPr>
          <w:ilvl w:val="1"/>
          <w:numId w:val="44"/>
        </w:numPr>
        <w:rPr>
          <w:lang w:val="en-AU"/>
        </w:rPr>
      </w:pPr>
      <w:r w:rsidRPr="00441A48">
        <w:rPr>
          <w:lang w:val="en-AU"/>
        </w:rPr>
        <w:t xml:space="preserve">long-lived species in at least 8/10 years at 80% of key sites </w:t>
      </w:r>
    </w:p>
    <w:p w14:paraId="16DCB89E" w14:textId="77777777" w:rsidR="00C01A50" w:rsidRPr="00441A48" w:rsidRDefault="00C01A50" w:rsidP="00302BD9">
      <w:pPr>
        <w:pStyle w:val="ListParagraph"/>
        <w:numPr>
          <w:ilvl w:val="1"/>
          <w:numId w:val="44"/>
        </w:numPr>
        <w:rPr>
          <w:lang w:val="en-AU"/>
        </w:rPr>
      </w:pPr>
      <w:r w:rsidRPr="00441A48">
        <w:rPr>
          <w:lang w:val="en-AU"/>
        </w:rPr>
        <w:t>mulloway in at least 5 out of 10 years</w:t>
      </w:r>
    </w:p>
    <w:p w14:paraId="2CA34DB5" w14:textId="77777777" w:rsidR="00C01A50" w:rsidRPr="00441A48" w:rsidRDefault="00C01A50" w:rsidP="00302BD9">
      <w:pPr>
        <w:pStyle w:val="ListParagraph"/>
        <w:numPr>
          <w:ilvl w:val="0"/>
          <w:numId w:val="44"/>
        </w:numPr>
        <w:rPr>
          <w:lang w:val="en-AU"/>
        </w:rPr>
      </w:pPr>
      <w:r w:rsidRPr="00441A48">
        <w:rPr>
          <w:lang w:val="en-AU"/>
        </w:rPr>
        <w:t>Improved populations of:</w:t>
      </w:r>
    </w:p>
    <w:p w14:paraId="0FE8D719" w14:textId="77777777" w:rsidR="00C01A50" w:rsidRPr="00441A48" w:rsidRDefault="00C01A50" w:rsidP="00302BD9">
      <w:pPr>
        <w:pStyle w:val="ListParagraph"/>
        <w:numPr>
          <w:ilvl w:val="1"/>
          <w:numId w:val="44"/>
        </w:numPr>
        <w:rPr>
          <w:lang w:val="en-AU"/>
        </w:rPr>
      </w:pPr>
      <w:r w:rsidRPr="00441A48">
        <w:rPr>
          <w:lang w:val="en-AU"/>
        </w:rPr>
        <w:t xml:space="preserve">short-lived species (numbers at pre-2007 levels) </w:t>
      </w:r>
    </w:p>
    <w:p w14:paraId="7290925A" w14:textId="77777777" w:rsidR="00C01A50" w:rsidRPr="00441A48" w:rsidRDefault="00C01A50" w:rsidP="00302BD9">
      <w:pPr>
        <w:pStyle w:val="ListParagraph"/>
        <w:numPr>
          <w:ilvl w:val="1"/>
          <w:numId w:val="44"/>
        </w:numPr>
        <w:rPr>
          <w:lang w:val="en-AU"/>
        </w:rPr>
      </w:pPr>
      <w:r w:rsidRPr="00441A48">
        <w:rPr>
          <w:lang w:val="en-AU"/>
        </w:rPr>
        <w:t>long-lived species (with a spread of age classes represented)</w:t>
      </w:r>
    </w:p>
    <w:p w14:paraId="2F4B7058" w14:textId="77777777" w:rsidR="00C01A50" w:rsidRPr="00441A48" w:rsidRDefault="00C01A50" w:rsidP="00302BD9">
      <w:pPr>
        <w:pStyle w:val="ListParagraph"/>
        <w:numPr>
          <w:ilvl w:val="1"/>
          <w:numId w:val="44"/>
        </w:numPr>
        <w:rPr>
          <w:lang w:val="en-AU"/>
        </w:rPr>
      </w:pPr>
      <w:r w:rsidRPr="00441A48">
        <w:rPr>
          <w:lang w:val="en-AU"/>
        </w:rPr>
        <w:t>Murray cod and golden perch (10–15% more mature fish at key sites)</w:t>
      </w:r>
    </w:p>
    <w:p w14:paraId="7C21BE4D" w14:textId="77777777" w:rsidR="00C01A50" w:rsidRPr="00441A48" w:rsidRDefault="00C01A50" w:rsidP="00302BD9">
      <w:pPr>
        <w:pStyle w:val="ListParagraph"/>
        <w:numPr>
          <w:ilvl w:val="0"/>
          <w:numId w:val="44"/>
        </w:numPr>
        <w:rPr>
          <w:lang w:val="en-AU"/>
        </w:rPr>
      </w:pPr>
      <w:r w:rsidRPr="00441A48">
        <w:rPr>
          <w:lang w:val="en-AU"/>
        </w:rPr>
        <w:t xml:space="preserve">Improved movement - more native fish using fish passages. </w:t>
      </w:r>
    </w:p>
    <w:p w14:paraId="358E841D" w14:textId="77777777" w:rsidR="00C01A50" w:rsidRDefault="00C01A50" w:rsidP="00EF1C19">
      <w:pPr>
        <w:rPr>
          <w:lang w:val="en-AU"/>
        </w:rPr>
      </w:pPr>
      <w:r>
        <w:rPr>
          <w:lang w:val="en-AU"/>
        </w:rPr>
        <w:t xml:space="preserve">Some preliminary work has also been done to estimate the salinity benefits of the recovery, transfer and use of Basin Plan environmental water. Under the Basin Salinity Management 2030 strategy salinity benefits and costs are measured as part of a pollutant-trading framework. Credits are allocated for actions that lower Murray River salinity at Morgan SA and debits are allocated to actions that increase salinity at Morgan. </w:t>
      </w:r>
    </w:p>
    <w:p w14:paraId="376F14FE" w14:textId="77777777" w:rsidR="00C01A50" w:rsidRDefault="00C01A50" w:rsidP="00EF1C19">
      <w:pPr>
        <w:rPr>
          <w:lang w:val="en-AU"/>
        </w:rPr>
      </w:pPr>
      <w:r w:rsidRPr="00F9091E">
        <w:rPr>
          <w:lang w:val="en-AU"/>
        </w:rPr>
        <w:t>MDBA (2014</w:t>
      </w:r>
      <w:r w:rsidR="00EA79EE">
        <w:rPr>
          <w:lang w:val="en-AU"/>
        </w:rPr>
        <w:t>b</w:t>
      </w:r>
      <w:r w:rsidRPr="00F9091E">
        <w:rPr>
          <w:lang w:val="en-AU"/>
        </w:rPr>
        <w:t>, page 31 and 32) gives very preliminary estimates for Basin Plan dilution flow credits of -58 EC (2,800 GL water recovery scenario). Debits from floodplain wat</w:t>
      </w:r>
      <w:r>
        <w:rPr>
          <w:lang w:val="en-AU"/>
        </w:rPr>
        <w:t>ering are estimated at 33 EC</w:t>
      </w:r>
      <w:r w:rsidRPr="00F9091E">
        <w:rPr>
          <w:lang w:val="en-AU"/>
        </w:rPr>
        <w:t>. Debits from Basin Plan water recovery proj</w:t>
      </w:r>
      <w:r>
        <w:rPr>
          <w:lang w:val="en-AU"/>
        </w:rPr>
        <w:t>ects could also be substantial. Although difficult to quantify at this stage, overall a net salinity credit is expected from Basin Plan water recovery, transfer and use</w:t>
      </w:r>
      <w:r w:rsidRPr="00F9091E">
        <w:rPr>
          <w:lang w:val="en-AU"/>
        </w:rPr>
        <w:t>.</w:t>
      </w:r>
    </w:p>
    <w:p w14:paraId="3B85208D" w14:textId="77777777" w:rsidR="00C01A50" w:rsidRPr="00B852AB" w:rsidRDefault="00C01A50" w:rsidP="00302BD9">
      <w:pPr>
        <w:pStyle w:val="Heading2"/>
        <w:numPr>
          <w:ilvl w:val="1"/>
          <w:numId w:val="31"/>
        </w:numPr>
        <w:rPr>
          <w:lang w:val="en-AU"/>
        </w:rPr>
      </w:pPr>
      <w:bookmarkStart w:id="237" w:name="_Toc467616939"/>
      <w:bookmarkStart w:id="238" w:name="_Toc342552561"/>
      <w:bookmarkStart w:id="239" w:name="_Toc347747864"/>
      <w:r w:rsidRPr="00B852AB">
        <w:rPr>
          <w:lang w:val="en-AU"/>
        </w:rPr>
        <w:t>Measured environmental outcomes</w:t>
      </w:r>
      <w:bookmarkEnd w:id="237"/>
      <w:bookmarkEnd w:id="238"/>
      <w:bookmarkEnd w:id="239"/>
      <w:r w:rsidRPr="00B852AB">
        <w:rPr>
          <w:lang w:val="en-AU"/>
        </w:rPr>
        <w:t xml:space="preserve"> </w:t>
      </w:r>
    </w:p>
    <w:p w14:paraId="7D3E979D" w14:textId="77777777" w:rsidR="00C01A50" w:rsidRPr="00B852AB" w:rsidRDefault="00C01A50" w:rsidP="00EF1C19">
      <w:pPr>
        <w:rPr>
          <w:lang w:val="en-AU"/>
        </w:rPr>
      </w:pPr>
      <w:r w:rsidRPr="00B852AB">
        <w:rPr>
          <w:lang w:val="en-AU"/>
        </w:rPr>
        <w:t>The MDBA, states and the Australian Government work together to monitor, evaluate and report on Basin Plan environmental outcomes. This approach reflects that the work can be done more efficiently as a collective rather than separately. Environmental monitoring projects relate to the key themes of hydrology, inundation, vegetation, waterbirds and fish.</w:t>
      </w:r>
    </w:p>
    <w:p w14:paraId="654B4C6E" w14:textId="77777777" w:rsidR="00C01A50" w:rsidRPr="00B852AB" w:rsidRDefault="00C01A50" w:rsidP="00EF1C19">
      <w:pPr>
        <w:rPr>
          <w:lang w:val="en-AU"/>
        </w:rPr>
      </w:pPr>
      <w:r w:rsidRPr="00B852AB">
        <w:rPr>
          <w:lang w:val="en-AU"/>
        </w:rPr>
        <w:t>Together with partner governments the CEWO has developed a comprehensive program of operational monitoring and short and long-term intervention monitoring across the Murray-Darling Basin.</w:t>
      </w:r>
    </w:p>
    <w:p w14:paraId="14C01578" w14:textId="77777777" w:rsidR="00C01A50" w:rsidRPr="00B852AB" w:rsidRDefault="00C01A50" w:rsidP="00EF1C19">
      <w:pPr>
        <w:rPr>
          <w:lang w:val="en-AU"/>
        </w:rPr>
      </w:pPr>
      <w:r w:rsidRPr="00B852AB">
        <w:rPr>
          <w:lang w:val="en-AU"/>
        </w:rPr>
        <w:t xml:space="preserve">Operational monitoring in Victorian reaches and wetlands is carried out by waterway managers or storage managers as part of water deliveries for the VEWH (the Commonwealth transfers allocation to the VEWH for delivery to Victorian rivers and wetlands). </w:t>
      </w:r>
    </w:p>
    <w:p w14:paraId="28045996" w14:textId="77777777" w:rsidR="00C01A50" w:rsidRPr="00B852AB" w:rsidRDefault="00C01A50" w:rsidP="00EF1C19">
      <w:pPr>
        <w:rPr>
          <w:lang w:val="en-AU"/>
        </w:rPr>
      </w:pPr>
      <w:r w:rsidRPr="00B852AB">
        <w:rPr>
          <w:lang w:val="en-AU"/>
        </w:rPr>
        <w:lastRenderedPageBreak/>
        <w:t>Short-term monitoring by the CEWO is coordinated with other monitoring programs such as Living Murray and the Victorian Environmental Flows Monitoring and Assessment Program (VEFMAP), although each agency supplements monitoring and reports separately, e.g. in the Lower Goulburn River and Lower Broken Creek the CEWO commissioned the University of Melbourne to monitor and report on ecosystem response to environmental water in 2013</w:t>
      </w:r>
      <w:r w:rsidR="001D5F13">
        <w:rPr>
          <w:lang w:val="en-AU"/>
        </w:rPr>
        <w:t>/</w:t>
      </w:r>
      <w:r w:rsidRPr="00B852AB">
        <w:rPr>
          <w:lang w:val="en-AU"/>
        </w:rPr>
        <w:t>14</w:t>
      </w:r>
      <w:r w:rsidRPr="00B852AB">
        <w:rPr>
          <w:vertAlign w:val="superscript"/>
          <w:lang w:val="en-AU"/>
        </w:rPr>
        <w:footnoteReference w:id="21"/>
      </w:r>
      <w:r w:rsidRPr="00B852AB">
        <w:rPr>
          <w:lang w:val="en-AU"/>
        </w:rPr>
        <w:t xml:space="preserve"> (DOE 2016) and the VEWH published the information in Reflections. </w:t>
      </w:r>
    </w:p>
    <w:p w14:paraId="49EDA3C9" w14:textId="77777777" w:rsidR="00C01A50" w:rsidRPr="00B852AB" w:rsidRDefault="00C01A50" w:rsidP="00EF1C19">
      <w:pPr>
        <w:rPr>
          <w:lang w:val="en-AU"/>
        </w:rPr>
      </w:pPr>
      <w:r w:rsidRPr="00B852AB">
        <w:rPr>
          <w:lang w:val="en-AU"/>
        </w:rPr>
        <w:t xml:space="preserve">The CEWO has established the Long-term Intervention Monitoring Project to monitor and evaluate the contribution of Commonwealth environmental water delivery in the Murray-Darling Basin over five years to June 2019. Monitoring will be undertaken in seven areas including the Goulburn River. </w:t>
      </w:r>
    </w:p>
    <w:p w14:paraId="3CB13D1F" w14:textId="77777777" w:rsidR="00C01A50" w:rsidRPr="00B852AB" w:rsidRDefault="00C01A50" w:rsidP="00EF1C19">
      <w:pPr>
        <w:rPr>
          <w:lang w:val="en-AU"/>
        </w:rPr>
      </w:pPr>
      <w:r w:rsidRPr="00B852AB">
        <w:rPr>
          <w:lang w:val="en-AU"/>
        </w:rPr>
        <w:t>The MDBA acknowledges that it will take some time for the full effects of Basin Plan monitoring to be seen because of lags in biological responses and because the Basin Plan, and associated water recovery, will not be implemented in full until 2024 (MDBA 2015</w:t>
      </w:r>
      <w:r w:rsidR="00575D3E">
        <w:rPr>
          <w:lang w:val="en-AU"/>
        </w:rPr>
        <w:t>a</w:t>
      </w:r>
      <w:r w:rsidRPr="00B852AB">
        <w:rPr>
          <w:lang w:val="en-AU"/>
        </w:rPr>
        <w:t>). Other complicating factors in attributing environmental outcomes to the Basin Plan include natural variability in system condition and Basin Plan implementation being only part, although a signification part, of a much broader integrated program of waterway and catchment management across the Basin.</w:t>
      </w:r>
    </w:p>
    <w:p w14:paraId="7682A5B3" w14:textId="77777777" w:rsidR="00C01A50" w:rsidRPr="00B852AB" w:rsidRDefault="00C01A50" w:rsidP="00EF1C19">
      <w:pPr>
        <w:rPr>
          <w:lang w:val="en-AU"/>
        </w:rPr>
      </w:pPr>
      <w:r w:rsidRPr="00B852AB">
        <w:rPr>
          <w:lang w:val="en-AU"/>
        </w:rPr>
        <w:t xml:space="preserve">At this stage the reporting of environmental outcomes is generally short-term and site or event specific. It is also almost as much about learning how river and wetland ecosystems will respond to environmental watering as reporting on responses. For example </w:t>
      </w:r>
      <w:r>
        <w:rPr>
          <w:lang w:val="en-AU"/>
        </w:rPr>
        <w:fldChar w:fldCharType="begin"/>
      </w:r>
      <w:r>
        <w:rPr>
          <w:lang w:val="en-AU"/>
        </w:rPr>
        <w:instrText xml:space="preserve"> REF _Ref342574996 \h </w:instrText>
      </w:r>
      <w:r>
        <w:rPr>
          <w:lang w:val="en-AU"/>
        </w:rPr>
      </w:r>
      <w:r>
        <w:rPr>
          <w:lang w:val="en-AU"/>
        </w:rPr>
        <w:fldChar w:fldCharType="separate"/>
      </w:r>
      <w:r w:rsidR="008E5D7A">
        <w:t xml:space="preserve">Table </w:t>
      </w:r>
      <w:r w:rsidR="008E5D7A">
        <w:rPr>
          <w:noProof/>
        </w:rPr>
        <w:t>19</w:t>
      </w:r>
      <w:r>
        <w:rPr>
          <w:lang w:val="en-AU"/>
        </w:rPr>
        <w:fldChar w:fldCharType="end"/>
      </w:r>
      <w:r>
        <w:rPr>
          <w:lang w:val="en-AU"/>
        </w:rPr>
        <w:t xml:space="preserve"> </w:t>
      </w:r>
      <w:r w:rsidRPr="00B852AB">
        <w:rPr>
          <w:lang w:val="en-AU"/>
        </w:rPr>
        <w:t>shows reporting on fish and vegetation related outcomes from the use of Commonwealth environmental water in the Lower Goulburn River in 2014</w:t>
      </w:r>
      <w:r w:rsidR="001D5F13">
        <w:rPr>
          <w:lang w:val="en-AU"/>
        </w:rPr>
        <w:t>/</w:t>
      </w:r>
      <w:r w:rsidRPr="00B852AB">
        <w:rPr>
          <w:lang w:val="en-AU"/>
        </w:rPr>
        <w:t xml:space="preserve">15. </w:t>
      </w:r>
    </w:p>
    <w:p w14:paraId="0D1BC342" w14:textId="77777777" w:rsidR="00C01A50" w:rsidRPr="00B852AB" w:rsidRDefault="00C01A50" w:rsidP="00EF1C19">
      <w:pPr>
        <w:pStyle w:val="Caption"/>
        <w:keepNext/>
        <w:rPr>
          <w:lang w:val="en-AU"/>
        </w:rPr>
      </w:pPr>
      <w:bookmarkStart w:id="240" w:name="_Ref342574996"/>
      <w:r>
        <w:t xml:space="preserve">Table </w:t>
      </w:r>
      <w:r>
        <w:fldChar w:fldCharType="begin"/>
      </w:r>
      <w:r>
        <w:instrText xml:space="preserve"> SEQ Table \* ARABIC </w:instrText>
      </w:r>
      <w:r>
        <w:fldChar w:fldCharType="separate"/>
      </w:r>
      <w:r w:rsidR="008E5D7A">
        <w:rPr>
          <w:noProof/>
        </w:rPr>
        <w:t>19</w:t>
      </w:r>
      <w:r>
        <w:fldChar w:fldCharType="end"/>
      </w:r>
      <w:bookmarkEnd w:id="240"/>
      <w:r>
        <w:t>:</w:t>
      </w:r>
      <w:r>
        <w:rPr>
          <w:lang w:val="en-AU"/>
        </w:rPr>
        <w:t xml:space="preserve"> H</w:t>
      </w:r>
      <w:r w:rsidRPr="00B852AB">
        <w:rPr>
          <w:lang w:val="en-AU"/>
        </w:rPr>
        <w:t>ighlights and implications of environmental watering in the lower Goulburn River in 2014</w:t>
      </w:r>
      <w:r w:rsidR="001D5F13">
        <w:rPr>
          <w:lang w:val="en-AU"/>
        </w:rPr>
        <w:t>/</w:t>
      </w:r>
      <w:r w:rsidRPr="00B852AB">
        <w:rPr>
          <w:lang w:val="en-AU"/>
        </w:rPr>
        <w:t>15 (Source: Table in Executive Summary of Webb et al. 2016)</w:t>
      </w:r>
    </w:p>
    <w:tbl>
      <w:tblPr>
        <w:tblStyle w:val="TableGrid"/>
        <w:tblW w:w="0" w:type="auto"/>
        <w:tblLook w:val="04A0" w:firstRow="1" w:lastRow="0" w:firstColumn="1" w:lastColumn="0" w:noHBand="0" w:noVBand="1"/>
      </w:tblPr>
      <w:tblGrid>
        <w:gridCol w:w="2122"/>
        <w:gridCol w:w="3447"/>
        <w:gridCol w:w="3447"/>
      </w:tblGrid>
      <w:tr w:rsidR="00C01A50" w:rsidRPr="00B852AB" w14:paraId="5D46B037" w14:textId="77777777">
        <w:tc>
          <w:tcPr>
            <w:tcW w:w="2122" w:type="dxa"/>
          </w:tcPr>
          <w:p w14:paraId="7D1E7EEF" w14:textId="77777777" w:rsidR="00C01A50" w:rsidRPr="00B44A09" w:rsidRDefault="00C01A50" w:rsidP="00EF1C19">
            <w:pPr>
              <w:rPr>
                <w:b/>
                <w:sz w:val="18"/>
                <w:szCs w:val="18"/>
                <w:lang w:val="en-AU"/>
              </w:rPr>
            </w:pPr>
            <w:r w:rsidRPr="00B44A09">
              <w:rPr>
                <w:b/>
                <w:sz w:val="18"/>
                <w:szCs w:val="18"/>
                <w:lang w:val="en-AU"/>
              </w:rPr>
              <w:t xml:space="preserve">Matter </w:t>
            </w:r>
          </w:p>
        </w:tc>
        <w:tc>
          <w:tcPr>
            <w:tcW w:w="3447" w:type="dxa"/>
          </w:tcPr>
          <w:p w14:paraId="15F88D5D" w14:textId="77777777" w:rsidR="00C01A50" w:rsidRPr="00B44A09" w:rsidRDefault="00C01A50" w:rsidP="00EF1C19">
            <w:pPr>
              <w:rPr>
                <w:b/>
                <w:sz w:val="18"/>
                <w:szCs w:val="18"/>
                <w:lang w:val="en-AU"/>
              </w:rPr>
            </w:pPr>
            <w:r w:rsidRPr="00B44A09">
              <w:rPr>
                <w:b/>
                <w:sz w:val="18"/>
                <w:szCs w:val="18"/>
                <w:lang w:val="en-AU"/>
              </w:rPr>
              <w:t>Year 2 highlight</w:t>
            </w:r>
          </w:p>
        </w:tc>
        <w:tc>
          <w:tcPr>
            <w:tcW w:w="3447" w:type="dxa"/>
          </w:tcPr>
          <w:p w14:paraId="7B53EA0B" w14:textId="77777777" w:rsidR="00C01A50" w:rsidRPr="00B44A09" w:rsidRDefault="00C01A50" w:rsidP="00EF1C19">
            <w:pPr>
              <w:rPr>
                <w:b/>
                <w:sz w:val="18"/>
                <w:szCs w:val="18"/>
                <w:lang w:val="en-AU"/>
              </w:rPr>
            </w:pPr>
            <w:r w:rsidRPr="00B44A09">
              <w:rPr>
                <w:b/>
                <w:sz w:val="18"/>
                <w:szCs w:val="18"/>
                <w:lang w:val="en-AU"/>
              </w:rPr>
              <w:t>Implications for adaptive management</w:t>
            </w:r>
          </w:p>
        </w:tc>
      </w:tr>
      <w:tr w:rsidR="00C01A50" w:rsidRPr="00B852AB" w14:paraId="686889F6" w14:textId="77777777">
        <w:tc>
          <w:tcPr>
            <w:tcW w:w="2122" w:type="dxa"/>
          </w:tcPr>
          <w:p w14:paraId="7BE31082" w14:textId="77777777" w:rsidR="00C01A50" w:rsidRPr="00B44A09" w:rsidRDefault="00C01A50" w:rsidP="00EF1C19">
            <w:pPr>
              <w:rPr>
                <w:sz w:val="18"/>
                <w:szCs w:val="18"/>
                <w:lang w:val="en-AU"/>
              </w:rPr>
            </w:pPr>
            <w:r w:rsidRPr="00B44A09">
              <w:rPr>
                <w:sz w:val="18"/>
                <w:szCs w:val="18"/>
                <w:lang w:val="en-AU"/>
              </w:rPr>
              <w:t>Bankside vegetation abundance and diversity</w:t>
            </w:r>
          </w:p>
        </w:tc>
        <w:tc>
          <w:tcPr>
            <w:tcW w:w="3447" w:type="dxa"/>
          </w:tcPr>
          <w:p w14:paraId="50FD45F5" w14:textId="77777777" w:rsidR="00C01A50" w:rsidRPr="00B44A09" w:rsidRDefault="00C01A50" w:rsidP="00EF1C19">
            <w:pPr>
              <w:rPr>
                <w:sz w:val="18"/>
                <w:szCs w:val="18"/>
                <w:lang w:val="en-AU"/>
              </w:rPr>
            </w:pPr>
            <w:r w:rsidRPr="00B44A09">
              <w:rPr>
                <w:sz w:val="18"/>
                <w:szCs w:val="18"/>
                <w:lang w:val="en-AU"/>
              </w:rPr>
              <w:t>Areas of the bank inundated by the spring environmental flow events had improved vegetation abundance and diversity pre- to post-flow, while the remainder of the bank showed no effect. This demonstrates the value of bank wetting as the climate grows drier over summer.</w:t>
            </w:r>
          </w:p>
        </w:tc>
        <w:tc>
          <w:tcPr>
            <w:tcW w:w="3447" w:type="dxa"/>
          </w:tcPr>
          <w:p w14:paraId="1F71B63A" w14:textId="77777777" w:rsidR="00C01A50" w:rsidRPr="00B44A09" w:rsidRDefault="00C01A50" w:rsidP="00EF1C19">
            <w:pPr>
              <w:rPr>
                <w:sz w:val="18"/>
                <w:szCs w:val="18"/>
                <w:lang w:val="en-AU"/>
              </w:rPr>
            </w:pPr>
            <w:r w:rsidRPr="00B44A09">
              <w:rPr>
                <w:sz w:val="18"/>
                <w:szCs w:val="18"/>
                <w:lang w:val="en-AU"/>
              </w:rPr>
              <w:t>We believe that benefits to bankside vegetation may be greater if the first extended spring flow is delivered earlier. This would allow plants to grow in response to bank wetting before air temperatures increase significantly as we move into summer.</w:t>
            </w:r>
          </w:p>
        </w:tc>
      </w:tr>
      <w:tr w:rsidR="00C01A50" w:rsidRPr="00B852AB" w14:paraId="31E08087" w14:textId="77777777">
        <w:tc>
          <w:tcPr>
            <w:tcW w:w="2122" w:type="dxa"/>
          </w:tcPr>
          <w:p w14:paraId="0D8199BB" w14:textId="77777777" w:rsidR="00C01A50" w:rsidRPr="00B44A09" w:rsidRDefault="00C01A50" w:rsidP="00EF1C19">
            <w:pPr>
              <w:rPr>
                <w:sz w:val="18"/>
                <w:szCs w:val="18"/>
                <w:lang w:val="en-AU"/>
              </w:rPr>
            </w:pPr>
            <w:r w:rsidRPr="00B44A09">
              <w:rPr>
                <w:sz w:val="18"/>
                <w:szCs w:val="18"/>
                <w:lang w:val="en-AU"/>
              </w:rPr>
              <w:t>Fish assemblages, and the spawning and movement of golden and silver perch</w:t>
            </w:r>
          </w:p>
        </w:tc>
        <w:tc>
          <w:tcPr>
            <w:tcW w:w="3447" w:type="dxa"/>
          </w:tcPr>
          <w:p w14:paraId="3FF35BF9" w14:textId="77777777" w:rsidR="00C01A50" w:rsidRPr="00B44A09" w:rsidRDefault="00C01A50" w:rsidP="00EF1C19">
            <w:pPr>
              <w:rPr>
                <w:sz w:val="18"/>
                <w:szCs w:val="18"/>
                <w:lang w:val="en-AU"/>
              </w:rPr>
            </w:pPr>
            <w:r w:rsidRPr="00B44A09">
              <w:rPr>
                <w:sz w:val="18"/>
                <w:szCs w:val="18"/>
                <w:lang w:val="en-AU"/>
              </w:rPr>
              <w:t xml:space="preserve">Golden perch exhibited a strong spawning result to spring environmental flows, with eggs and larvae being collected in numbers never before seen following environmental flows. Golden perch also exhibited strong movement responses to environmental </w:t>
            </w:r>
            <w:r w:rsidRPr="00B44A09">
              <w:rPr>
                <w:sz w:val="18"/>
                <w:szCs w:val="18"/>
                <w:lang w:val="en-AU"/>
              </w:rPr>
              <w:lastRenderedPageBreak/>
              <w:t>flows, mostly moving down the river to spawning areas.</w:t>
            </w:r>
          </w:p>
        </w:tc>
        <w:tc>
          <w:tcPr>
            <w:tcW w:w="3447" w:type="dxa"/>
          </w:tcPr>
          <w:p w14:paraId="761C2C68" w14:textId="77777777" w:rsidR="00C01A50" w:rsidRPr="00B44A09" w:rsidRDefault="00C01A50" w:rsidP="00EF1C19">
            <w:pPr>
              <w:rPr>
                <w:sz w:val="18"/>
                <w:szCs w:val="18"/>
                <w:lang w:val="en-AU"/>
              </w:rPr>
            </w:pPr>
            <w:r w:rsidRPr="00B44A09">
              <w:rPr>
                <w:sz w:val="18"/>
                <w:szCs w:val="18"/>
                <w:lang w:val="en-AU"/>
              </w:rPr>
              <w:lastRenderedPageBreak/>
              <w:t xml:space="preserve">While we are now able to achieve good spawning outcomes for golden perch, adjusting the timing of the second spring fresh will be important for determining how closely spawning is tied to temperature. Future data collection will improve our understanding of the importance of </w:t>
            </w:r>
            <w:r w:rsidRPr="00B44A09">
              <w:rPr>
                <w:sz w:val="18"/>
                <w:szCs w:val="18"/>
                <w:lang w:val="en-AU"/>
              </w:rPr>
              <w:lastRenderedPageBreak/>
              <w:t>antecedent flows on fish spawning, and whether spawning responses translate to recruitment.</w:t>
            </w:r>
          </w:p>
        </w:tc>
      </w:tr>
    </w:tbl>
    <w:p w14:paraId="0CAF8081" w14:textId="77777777" w:rsidR="00C01A50" w:rsidRDefault="00C01A50" w:rsidP="00EF1C19">
      <w:pPr>
        <w:spacing w:before="0" w:after="0" w:line="240" w:lineRule="auto"/>
        <w:rPr>
          <w:b/>
          <w:bCs/>
          <w:caps/>
          <w:color w:val="FFFFFF"/>
          <w:spacing w:val="15"/>
          <w:szCs w:val="22"/>
          <w:lang w:val="en-AU"/>
        </w:rPr>
      </w:pPr>
      <w:r>
        <w:rPr>
          <w:lang w:val="en-AU"/>
        </w:rPr>
        <w:lastRenderedPageBreak/>
        <w:br w:type="page"/>
      </w:r>
    </w:p>
    <w:p w14:paraId="43E196F3" w14:textId="77777777" w:rsidR="00C01A50" w:rsidRDefault="00C01A50" w:rsidP="00766877">
      <w:pPr>
        <w:pStyle w:val="Heading1"/>
        <w:rPr>
          <w:lang w:val="en-AU"/>
        </w:rPr>
      </w:pPr>
      <w:bookmarkStart w:id="241" w:name="_Toc347747865"/>
      <w:r w:rsidRPr="003B1DA3">
        <w:rPr>
          <w:lang w:val="en-AU"/>
        </w:rPr>
        <w:lastRenderedPageBreak/>
        <w:t>Conclusions</w:t>
      </w:r>
      <w:bookmarkEnd w:id="241"/>
    </w:p>
    <w:p w14:paraId="4068CA0F" w14:textId="77777777" w:rsidR="00697B5C" w:rsidRPr="003B34D4" w:rsidRDefault="00697B5C" w:rsidP="00697B5C">
      <w:pPr>
        <w:rPr>
          <w:lang w:val="en-AU"/>
        </w:rPr>
      </w:pPr>
      <w:r w:rsidRPr="003B34D4">
        <w:rPr>
          <w:lang w:val="en-AU"/>
        </w:rPr>
        <w:t xml:space="preserve">The Commonwealth buyback of water entitlements </w:t>
      </w:r>
      <w:r w:rsidR="00105335">
        <w:rPr>
          <w:lang w:val="en-AU"/>
        </w:rPr>
        <w:t xml:space="preserve">under the Basin Plan </w:t>
      </w:r>
      <w:r w:rsidRPr="003B34D4">
        <w:rPr>
          <w:lang w:val="en-AU"/>
        </w:rPr>
        <w:t>provided timely assistance to many enterprises with high levels of debt accumulated during the drought. Most of the buyback was from Victoria, and more particularly the vast majority of high reliability entitlements secured though buyback were from Victoria</w:t>
      </w:r>
      <w:r w:rsidR="00105335">
        <w:rPr>
          <w:lang w:val="en-AU"/>
        </w:rPr>
        <w:t xml:space="preserve"> over the period 2009</w:t>
      </w:r>
      <w:r w:rsidR="001D5F13">
        <w:rPr>
          <w:lang w:val="en-AU"/>
        </w:rPr>
        <w:t>/</w:t>
      </w:r>
      <w:r w:rsidR="00105335">
        <w:rPr>
          <w:lang w:val="en-AU"/>
        </w:rPr>
        <w:t>10 to 2011</w:t>
      </w:r>
      <w:r w:rsidR="001D5F13">
        <w:rPr>
          <w:lang w:val="en-AU"/>
        </w:rPr>
        <w:t>/</w:t>
      </w:r>
      <w:r w:rsidR="00105335">
        <w:rPr>
          <w:lang w:val="en-AU"/>
        </w:rPr>
        <w:t>12</w:t>
      </w:r>
      <w:r w:rsidRPr="003B34D4">
        <w:rPr>
          <w:lang w:val="en-AU"/>
        </w:rPr>
        <w:t xml:space="preserve">. </w:t>
      </w:r>
    </w:p>
    <w:p w14:paraId="0F1C7CDD" w14:textId="77777777" w:rsidR="00697B5C" w:rsidRPr="003B34D4" w:rsidRDefault="00697B5C" w:rsidP="00697B5C">
      <w:pPr>
        <w:rPr>
          <w:lang w:val="en-AU"/>
        </w:rPr>
      </w:pPr>
      <w:r w:rsidRPr="003B34D4">
        <w:rPr>
          <w:lang w:val="en-AU"/>
        </w:rPr>
        <w:t xml:space="preserve">The characteristics of water use in the southern-connected Basin have changed significantly as a result of the Basin Plan. The consumptive pool has decreased significantly and the mix of industries has changed; horticulture, with its relatively fixed water demands now accounts for a larger proportion of the consumptive pool. It is now at the point where in a repeat of 2008/09 allocation levels, horticultural use could account for all the available water. The proportion of the consumptive pool dedicated to horticulture will increase as horticulture continues to expand. </w:t>
      </w:r>
    </w:p>
    <w:p w14:paraId="52EEF4D7" w14:textId="77777777" w:rsidR="00697B5C" w:rsidRPr="003B34D4" w:rsidRDefault="00697B5C" w:rsidP="00697B5C">
      <w:pPr>
        <w:rPr>
          <w:lang w:val="en-AU"/>
        </w:rPr>
      </w:pPr>
      <w:r w:rsidRPr="003B34D4">
        <w:rPr>
          <w:lang w:val="en-AU"/>
        </w:rPr>
        <w:t xml:space="preserve">Because buyback was weighted towards high reliability entitlements, the remaining consumptive pool will yield more variable allocations at the Basin-scale. This has changed the risk profile for those irrigators who must compete with horticulturalists for allocations in dry years. </w:t>
      </w:r>
    </w:p>
    <w:p w14:paraId="3433ABAE" w14:textId="77777777" w:rsidR="00697B5C" w:rsidRPr="003B34D4" w:rsidRDefault="00697B5C" w:rsidP="00697B5C">
      <w:pPr>
        <w:rPr>
          <w:lang w:val="en-AU"/>
        </w:rPr>
      </w:pPr>
      <w:r w:rsidRPr="003B34D4">
        <w:rPr>
          <w:lang w:val="en-AU"/>
        </w:rPr>
        <w:t>If water recovery had not occurred, water use in the GMID would have been 29-31% higher in the past three years (2013</w:t>
      </w:r>
      <w:r w:rsidR="001D5F13">
        <w:rPr>
          <w:lang w:val="en-AU"/>
        </w:rPr>
        <w:t>/</w:t>
      </w:r>
      <w:r w:rsidRPr="003B34D4">
        <w:rPr>
          <w:lang w:val="en-AU"/>
        </w:rPr>
        <w:t>14 to 2015</w:t>
      </w:r>
      <w:r w:rsidR="001D5F13">
        <w:rPr>
          <w:lang w:val="en-AU"/>
        </w:rPr>
        <w:t>/</w:t>
      </w:r>
      <w:r w:rsidRPr="003B34D4">
        <w:rPr>
          <w:lang w:val="en-AU"/>
        </w:rPr>
        <w:t>16). Accordingly, GMID milk production could be expected to have been about 30% higher than was observed. The foregone production would otherwise have had significant flow-on effects in towns and communities where farm inputs are sourced and where dairy manufacturing occurs.</w:t>
      </w:r>
    </w:p>
    <w:p w14:paraId="3D4E084E" w14:textId="77777777" w:rsidR="00697B5C" w:rsidRPr="003B34D4" w:rsidRDefault="00697B5C" w:rsidP="00697B5C">
      <w:pPr>
        <w:rPr>
          <w:lang w:val="en-AU"/>
        </w:rPr>
      </w:pPr>
      <w:r w:rsidRPr="003B34D4">
        <w:rPr>
          <w:lang w:val="en-AU"/>
        </w:rPr>
        <w:t>Water use by horticulturalists would have been largely the same with and without the Basin Plan</w:t>
      </w:r>
      <w:r w:rsidR="00105335">
        <w:rPr>
          <w:lang w:val="en-AU"/>
        </w:rPr>
        <w:t xml:space="preserve"> because the higher marginal value of water in horticulture means cutbacks occur in other uses</w:t>
      </w:r>
      <w:r w:rsidRPr="003B34D4">
        <w:rPr>
          <w:lang w:val="en-AU"/>
        </w:rPr>
        <w:t>.</w:t>
      </w:r>
    </w:p>
    <w:p w14:paraId="75A166DC" w14:textId="702E29C7" w:rsidR="00697B5C" w:rsidRPr="003B34D4" w:rsidRDefault="00697B5C" w:rsidP="00697B5C">
      <w:pPr>
        <w:rPr>
          <w:lang w:val="en-AU"/>
        </w:rPr>
      </w:pPr>
      <w:r w:rsidRPr="003B34D4">
        <w:rPr>
          <w:lang w:val="en-AU"/>
        </w:rPr>
        <w:t>Irrigators have been adapting, but the recent relative abundance of water since buyback was completed</w:t>
      </w:r>
      <w:r w:rsidR="00105335">
        <w:rPr>
          <w:lang w:val="en-AU"/>
        </w:rPr>
        <w:t xml:space="preserve"> (</w:t>
      </w:r>
      <w:r w:rsidRPr="003B34D4">
        <w:rPr>
          <w:lang w:val="en-AU"/>
        </w:rPr>
        <w:t>with the notable exception of 2015/16</w:t>
      </w:r>
      <w:r w:rsidR="00105335">
        <w:rPr>
          <w:lang w:val="en-AU"/>
        </w:rPr>
        <w:t>)</w:t>
      </w:r>
      <w:r w:rsidRPr="003B34D4">
        <w:rPr>
          <w:lang w:val="en-AU"/>
        </w:rPr>
        <w:t>, has enabled many irrigators to maintain water use though water allocation purchases. Consequently many of the socio-economic impacts of the Basin Plan may not be observed until the next drought.</w:t>
      </w:r>
    </w:p>
    <w:p w14:paraId="4BF3ED8C" w14:textId="097CCBDB" w:rsidR="00697B5C" w:rsidRPr="003B34D4" w:rsidRDefault="00105335" w:rsidP="00697B5C">
      <w:pPr>
        <w:rPr>
          <w:lang w:val="en-AU"/>
        </w:rPr>
      </w:pPr>
      <w:r>
        <w:rPr>
          <w:lang w:val="en-AU"/>
        </w:rPr>
        <w:t>While f</w:t>
      </w:r>
      <w:r w:rsidR="00697B5C" w:rsidRPr="003B34D4">
        <w:rPr>
          <w:lang w:val="en-AU"/>
        </w:rPr>
        <w:t xml:space="preserve">urther water recovery through government investment in on-farm efficiency savings may </w:t>
      </w:r>
      <w:r>
        <w:rPr>
          <w:lang w:val="en-AU"/>
        </w:rPr>
        <w:t>benefit</w:t>
      </w:r>
      <w:r w:rsidR="00697B5C" w:rsidRPr="003B34D4">
        <w:rPr>
          <w:lang w:val="en-AU"/>
        </w:rPr>
        <w:t xml:space="preserve"> the farm enterprise being funded, </w:t>
      </w:r>
      <w:r>
        <w:rPr>
          <w:lang w:val="en-AU"/>
        </w:rPr>
        <w:t>it may have adverse e</w:t>
      </w:r>
      <w:r w:rsidR="00697B5C" w:rsidRPr="003B34D4">
        <w:rPr>
          <w:lang w:val="en-AU"/>
        </w:rPr>
        <w:t>ffects on other water users and irrigation communities..</w:t>
      </w:r>
    </w:p>
    <w:p w14:paraId="67ECF5CA" w14:textId="77777777" w:rsidR="00697B5C" w:rsidRPr="003B34D4" w:rsidRDefault="00105335" w:rsidP="00697B5C">
      <w:pPr>
        <w:rPr>
          <w:lang w:val="en-AU"/>
        </w:rPr>
      </w:pPr>
      <w:r>
        <w:rPr>
          <w:lang w:val="en-AU"/>
        </w:rPr>
        <w:t>O</w:t>
      </w:r>
      <w:r w:rsidR="00697B5C" w:rsidRPr="003B34D4">
        <w:rPr>
          <w:lang w:val="en-AU"/>
        </w:rPr>
        <w:t>n-farm water savings have similar characteristics to off-farm water savings in wet-to-average years. However, because most of the investments have occurred on farms that support interruptible and semi-interruptible enterprises, in dry and extreme dry years the on-farm projects serve to reduce the consumptive pool; those irrigators have less water to sell to non-interruptible horticulturalists in dry sequences. This will elevate allocation prices in dry years.</w:t>
      </w:r>
    </w:p>
    <w:p w14:paraId="089E2FBC" w14:textId="4616959D" w:rsidR="00697B5C" w:rsidRDefault="00697B5C" w:rsidP="00697B5C">
      <w:pPr>
        <w:rPr>
          <w:lang w:val="en-AU"/>
        </w:rPr>
      </w:pPr>
      <w:r w:rsidRPr="003B34D4">
        <w:rPr>
          <w:lang w:val="en-AU"/>
        </w:rPr>
        <w:t xml:space="preserve">A key finding of this report is that Victorian irrigators who sold water entitlements to the Commonwealth are now more reliant on allocation purchases than they would have been without the Basin Plan. </w:t>
      </w:r>
      <w:r w:rsidR="00105335">
        <w:rPr>
          <w:lang w:val="en-AU"/>
        </w:rPr>
        <w:t>T</w:t>
      </w:r>
      <w:r w:rsidR="002660CD">
        <w:rPr>
          <w:lang w:val="en-AU"/>
        </w:rPr>
        <w:t>h</w:t>
      </w:r>
      <w:r w:rsidRPr="003B34D4">
        <w:rPr>
          <w:lang w:val="en-AU"/>
        </w:rPr>
        <w:t>is has increased their farming risk. The nature of this risk was masked for four years by the high level of carryover resulting from the extraordinarily high rainfall years of 2010/11 and 2011/12. The issue here is that</w:t>
      </w:r>
      <w:r w:rsidR="00105335">
        <w:rPr>
          <w:lang w:val="en-AU"/>
        </w:rPr>
        <w:t xml:space="preserve"> </w:t>
      </w:r>
      <w:r w:rsidRPr="003B34D4">
        <w:rPr>
          <w:lang w:val="en-AU"/>
        </w:rPr>
        <w:t>dairying is semi-interruptible for only so long. Compounding this, as a result of the</w:t>
      </w:r>
      <w:r>
        <w:rPr>
          <w:lang w:val="en-AU"/>
        </w:rPr>
        <w:t xml:space="preserve"> </w:t>
      </w:r>
      <w:r>
        <w:rPr>
          <w:lang w:val="en-AU"/>
        </w:rPr>
        <w:lastRenderedPageBreak/>
        <w:t>spatially random nature of the</w:t>
      </w:r>
      <w:r w:rsidRPr="003B34D4">
        <w:rPr>
          <w:lang w:val="en-AU"/>
        </w:rPr>
        <w:t xml:space="preserve"> </w:t>
      </w:r>
      <w:r w:rsidR="00096FC3">
        <w:rPr>
          <w:lang w:val="en-AU"/>
        </w:rPr>
        <w:t xml:space="preserve">Commonwealth </w:t>
      </w:r>
      <w:r w:rsidRPr="003B34D4">
        <w:rPr>
          <w:lang w:val="en-AU"/>
        </w:rPr>
        <w:t>buyback, the effective costs of delivering water in the GMID, where most irrigated dairying occurs</w:t>
      </w:r>
      <w:r w:rsidR="00AB6F39">
        <w:rPr>
          <w:lang w:val="en-AU"/>
        </w:rPr>
        <w:t>,</w:t>
      </w:r>
      <w:r w:rsidRPr="003B34D4">
        <w:rPr>
          <w:lang w:val="en-AU"/>
        </w:rPr>
        <w:t xml:space="preserve"> will increase significantly unless up to </w:t>
      </w:r>
      <w:r w:rsidR="00A44B56">
        <w:rPr>
          <w:lang w:val="en-AU"/>
        </w:rPr>
        <w:t>4</w:t>
      </w:r>
      <w:r w:rsidRPr="003B34D4">
        <w:rPr>
          <w:lang w:val="en-AU"/>
        </w:rPr>
        <w:t>0% of delivery system infrastructure</w:t>
      </w:r>
      <w:r w:rsidR="00A44B56">
        <w:rPr>
          <w:lang w:val="en-AU"/>
        </w:rPr>
        <w:t xml:space="preserve"> in place before the GMW Connections Project began</w:t>
      </w:r>
      <w:r w:rsidRPr="003B34D4">
        <w:rPr>
          <w:lang w:val="en-AU"/>
        </w:rPr>
        <w:t xml:space="preserve"> can be rationalised</w:t>
      </w:r>
      <w:r w:rsidR="00A44B56">
        <w:rPr>
          <w:lang w:val="en-AU"/>
        </w:rPr>
        <w:t xml:space="preserve"> (GMW 2009)</w:t>
      </w:r>
      <w:r w:rsidRPr="003B34D4">
        <w:rPr>
          <w:lang w:val="en-AU"/>
        </w:rPr>
        <w:t>.</w:t>
      </w:r>
    </w:p>
    <w:p w14:paraId="379A019C" w14:textId="77777777" w:rsidR="00C01A50" w:rsidRDefault="00C01A50">
      <w:pPr>
        <w:spacing w:before="0" w:after="0" w:line="240" w:lineRule="auto"/>
        <w:rPr>
          <w:b/>
          <w:bCs/>
          <w:caps/>
          <w:color w:val="FFFFFF"/>
          <w:spacing w:val="15"/>
          <w:szCs w:val="22"/>
          <w:lang w:val="en-AU"/>
        </w:rPr>
      </w:pPr>
      <w:r>
        <w:rPr>
          <w:lang w:val="en-AU"/>
        </w:rPr>
        <w:br w:type="page"/>
      </w:r>
    </w:p>
    <w:p w14:paraId="2A3C8DFF" w14:textId="77777777" w:rsidR="00C01A50" w:rsidRDefault="00C01A50" w:rsidP="00544D54">
      <w:pPr>
        <w:pStyle w:val="Heading1"/>
        <w:numPr>
          <w:ilvl w:val="0"/>
          <w:numId w:val="0"/>
        </w:numPr>
        <w:rPr>
          <w:lang w:val="en-AU"/>
        </w:rPr>
      </w:pPr>
      <w:bookmarkStart w:id="242" w:name="_Toc347747866"/>
      <w:r w:rsidRPr="003B1DA3">
        <w:rPr>
          <w:lang w:val="en-AU"/>
        </w:rPr>
        <w:lastRenderedPageBreak/>
        <w:t>Appendices</w:t>
      </w:r>
      <w:bookmarkEnd w:id="242"/>
    </w:p>
    <w:p w14:paraId="70203EAF" w14:textId="77777777" w:rsidR="00C01A50" w:rsidRDefault="00C01A50" w:rsidP="006B7DAA"/>
    <w:p w14:paraId="2011B19E" w14:textId="77777777" w:rsidR="00C01A50" w:rsidRDefault="00C01A50" w:rsidP="00AC44FF">
      <w:pPr>
        <w:rPr>
          <w:lang w:val="en-AU"/>
        </w:rPr>
        <w:sectPr w:rsidR="00C01A50" w:rsidSect="00614521">
          <w:pgSz w:w="11900" w:h="16820"/>
          <w:pgMar w:top="851" w:right="1361" w:bottom="567" w:left="1361" w:header="720" w:footer="720" w:gutter="0"/>
          <w:pgNumType w:start="1"/>
          <w:cols w:space="720"/>
        </w:sectPr>
      </w:pPr>
    </w:p>
    <w:p w14:paraId="61D7BF8E" w14:textId="77777777" w:rsidR="00C01A50" w:rsidRPr="00302BD9" w:rsidRDefault="00C01A50" w:rsidP="00302BD9">
      <w:pPr>
        <w:pStyle w:val="Heading1"/>
        <w:numPr>
          <w:ilvl w:val="0"/>
          <w:numId w:val="52"/>
        </w:numPr>
        <w:rPr>
          <w:lang w:val="en-AU"/>
        </w:rPr>
      </w:pPr>
      <w:bookmarkStart w:id="243" w:name="_Ref342040812"/>
      <w:bookmarkStart w:id="244" w:name="_Toc347747867"/>
      <w:bookmarkStart w:id="245" w:name="_Toc467616943"/>
      <w:bookmarkStart w:id="246" w:name="_Ref341791231"/>
      <w:bookmarkStart w:id="247" w:name="_Ref341791548"/>
      <w:r w:rsidRPr="00302BD9">
        <w:rPr>
          <w:lang w:val="en-AU"/>
        </w:rPr>
        <w:lastRenderedPageBreak/>
        <w:t>Socio-economic data</w:t>
      </w:r>
      <w:bookmarkEnd w:id="243"/>
      <w:bookmarkEnd w:id="244"/>
    </w:p>
    <w:p w14:paraId="2CDC9D87" w14:textId="77777777" w:rsidR="00C01A50" w:rsidRDefault="00C01A50" w:rsidP="00E00AD9">
      <w:pPr>
        <w:rPr>
          <w:lang w:val="en-AU"/>
        </w:rPr>
      </w:pPr>
      <w:r>
        <w:rPr>
          <w:lang w:val="en-AU"/>
        </w:rPr>
        <w:t>This report makes use of a range of socio-economic data in analysing, quantifying and describing the effects of Basin Plan water recovery. In the interests of repeatability, this appendix sets out:</w:t>
      </w:r>
    </w:p>
    <w:p w14:paraId="26940FF2" w14:textId="77777777" w:rsidR="00C01A50" w:rsidRDefault="00C01A50" w:rsidP="00302BD9">
      <w:pPr>
        <w:pStyle w:val="ListParagraph"/>
        <w:numPr>
          <w:ilvl w:val="0"/>
          <w:numId w:val="34"/>
        </w:numPr>
        <w:rPr>
          <w:lang w:val="en-AU"/>
        </w:rPr>
      </w:pPr>
      <w:r>
        <w:rPr>
          <w:lang w:val="en-AU"/>
        </w:rPr>
        <w:t>The set of metrics and indicators used in this report</w:t>
      </w:r>
    </w:p>
    <w:p w14:paraId="193490D5" w14:textId="77777777" w:rsidR="00C01A50" w:rsidRDefault="00C01A50" w:rsidP="00302BD9">
      <w:pPr>
        <w:pStyle w:val="ListParagraph"/>
        <w:numPr>
          <w:ilvl w:val="0"/>
          <w:numId w:val="34"/>
        </w:numPr>
        <w:rPr>
          <w:lang w:val="en-AU"/>
        </w:rPr>
      </w:pPr>
      <w:r>
        <w:rPr>
          <w:lang w:val="en-AU"/>
        </w:rPr>
        <w:t>The socio</w:t>
      </w:r>
      <w:r w:rsidR="001D5F13">
        <w:rPr>
          <w:lang w:val="en-AU"/>
        </w:rPr>
        <w:t>/</w:t>
      </w:r>
      <w:r>
        <w:rPr>
          <w:lang w:val="en-AU"/>
        </w:rPr>
        <w:t>economic context information for each region</w:t>
      </w:r>
    </w:p>
    <w:p w14:paraId="10A4EDA9" w14:textId="77777777" w:rsidR="00C01A50" w:rsidRPr="00D05395" w:rsidRDefault="00C01A50" w:rsidP="00302BD9">
      <w:pPr>
        <w:pStyle w:val="ListParagraph"/>
        <w:numPr>
          <w:ilvl w:val="0"/>
          <w:numId w:val="34"/>
        </w:numPr>
        <w:rPr>
          <w:lang w:val="en-AU"/>
        </w:rPr>
      </w:pPr>
      <w:r>
        <w:rPr>
          <w:lang w:val="en-AU"/>
        </w:rPr>
        <w:t>The results of the 2015 Regional Wellbeing Survey questions relating to the Basin Plan.</w:t>
      </w:r>
    </w:p>
    <w:p w14:paraId="223E1B4D" w14:textId="77777777" w:rsidR="00C01A50" w:rsidRDefault="00C01A50" w:rsidP="00E00AD9">
      <w:pPr>
        <w:pStyle w:val="Heading2"/>
        <w:rPr>
          <w:lang w:val="en-AU"/>
        </w:rPr>
      </w:pPr>
      <w:bookmarkStart w:id="248" w:name="_Toc347747868"/>
      <w:r>
        <w:t>Metrics and i</w:t>
      </w:r>
      <w:r w:rsidRPr="00766877">
        <w:t>n</w:t>
      </w:r>
      <w:r>
        <w:t>dicators used in this report</w:t>
      </w:r>
      <w:bookmarkEnd w:id="248"/>
    </w:p>
    <w:p w14:paraId="43AA2793" w14:textId="77777777" w:rsidR="00C01A50" w:rsidRDefault="00C01A50" w:rsidP="00E00AD9">
      <w:pPr>
        <w:rPr>
          <w:lang w:val="en-AU"/>
        </w:rPr>
      </w:pPr>
      <w:r>
        <w:rPr>
          <w:lang w:val="en-AU"/>
        </w:rPr>
        <w:t>This section brings these threads of evidence together into a set of metrics and indicators that can be used to reproduce or revisit this analysis in the future.</w:t>
      </w:r>
    </w:p>
    <w:p w14:paraId="71BCFAA1" w14:textId="77777777" w:rsidR="00C01A50" w:rsidRDefault="00C01A50" w:rsidP="00E00AD9">
      <w:pPr>
        <w:rPr>
          <w:lang w:val="en-AU"/>
        </w:rPr>
      </w:pPr>
      <w:r>
        <w:rPr>
          <w:lang w:val="en-AU"/>
        </w:rPr>
        <w:t>The range of other contributing factors that may affect the same metric complicates the link between water recovery and a given metric. Analysing causal links therefore requires careful examination and a degree of judgement.</w:t>
      </w:r>
      <w:r w:rsidRPr="000F4C86">
        <w:rPr>
          <w:lang w:val="en-AU"/>
        </w:rPr>
        <w:t xml:space="preserve"> </w:t>
      </w:r>
    </w:p>
    <w:p w14:paraId="79E7F695" w14:textId="77777777" w:rsidR="00C01A50" w:rsidRDefault="00C01A50" w:rsidP="00E00AD9">
      <w:r>
        <w:t>The report analyses the different elements of socio</w:t>
      </w:r>
      <w:r w:rsidR="001D5F13">
        <w:t>/</w:t>
      </w:r>
      <w:r>
        <w:t>economic risk — vulnerability, exposure and impact — at the different scales of the region, the farm enterprise and the community, and it uses the metrics outlined in this appendix to inform that analysis. The table below provides some examples of how metrics inform the understanding of the different elements of socio</w:t>
      </w:r>
      <w:r w:rsidR="001D5F13">
        <w:t>/</w:t>
      </w:r>
      <w:r>
        <w:t>economic risk at different scales.</w:t>
      </w:r>
    </w:p>
    <w:p w14:paraId="52EBBB52" w14:textId="77777777" w:rsidR="00C01A50" w:rsidRDefault="00C01A50">
      <w:pPr>
        <w:spacing w:before="0" w:after="0" w:line="240" w:lineRule="auto"/>
        <w:jc w:val="left"/>
      </w:pPr>
      <w:r>
        <w:br w:type="page"/>
      </w:r>
    </w:p>
    <w:p w14:paraId="387E291B" w14:textId="77777777" w:rsidR="00C01A50" w:rsidRDefault="00C01A50" w:rsidP="00E00AD9"/>
    <w:p w14:paraId="5AFBD55C" w14:textId="77777777" w:rsidR="00C01A50" w:rsidRPr="00E00AD9" w:rsidRDefault="00C01A50" w:rsidP="00E00AD9">
      <w:pPr>
        <w:pStyle w:val="Caption"/>
      </w:pPr>
      <w:r>
        <w:t xml:space="preserve">Table </w:t>
      </w:r>
      <w:r>
        <w:fldChar w:fldCharType="begin"/>
      </w:r>
      <w:r>
        <w:instrText xml:space="preserve"> SEQ Table \* ARABIC </w:instrText>
      </w:r>
      <w:r>
        <w:fldChar w:fldCharType="separate"/>
      </w:r>
      <w:r w:rsidR="008E5D7A">
        <w:rPr>
          <w:noProof/>
        </w:rPr>
        <w:t>20</w:t>
      </w:r>
      <w:r>
        <w:fldChar w:fldCharType="end"/>
      </w:r>
      <w:r>
        <w:t xml:space="preserve">: </w:t>
      </w:r>
      <w:r w:rsidRPr="00E00AD9">
        <w:t>Framework for incorporating socio-economic data</w:t>
      </w:r>
    </w:p>
    <w:tbl>
      <w:tblPr>
        <w:tblStyle w:val="GridTable4-Accent110"/>
        <w:tblW w:w="0" w:type="auto"/>
        <w:tblLook w:val="04A0" w:firstRow="1" w:lastRow="0" w:firstColumn="1" w:lastColumn="0" w:noHBand="0" w:noVBand="1"/>
      </w:tblPr>
      <w:tblGrid>
        <w:gridCol w:w="1396"/>
        <w:gridCol w:w="2596"/>
        <w:gridCol w:w="2587"/>
        <w:gridCol w:w="2589"/>
      </w:tblGrid>
      <w:tr w:rsidR="00C01A50" w14:paraId="553BD8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35217D" w14:textId="77777777" w:rsidR="00C01A50" w:rsidRDefault="00C01A50" w:rsidP="00E00AD9"/>
        </w:tc>
        <w:tc>
          <w:tcPr>
            <w:tcW w:w="2619" w:type="dxa"/>
          </w:tcPr>
          <w:p w14:paraId="33525D93" w14:textId="77777777" w:rsidR="00C01A50" w:rsidRDefault="00C01A50" w:rsidP="00E00AD9">
            <w:pPr>
              <w:cnfStyle w:val="100000000000" w:firstRow="1" w:lastRow="0" w:firstColumn="0" w:lastColumn="0" w:oddVBand="0" w:evenVBand="0" w:oddHBand="0" w:evenHBand="0" w:firstRowFirstColumn="0" w:firstRowLastColumn="0" w:lastRowFirstColumn="0" w:lastRowLastColumn="0"/>
            </w:pPr>
            <w:r>
              <w:t>Region/Industry</w:t>
            </w:r>
          </w:p>
        </w:tc>
        <w:tc>
          <w:tcPr>
            <w:tcW w:w="2619" w:type="dxa"/>
          </w:tcPr>
          <w:p w14:paraId="79DCADD6" w14:textId="77777777" w:rsidR="00C01A50" w:rsidRDefault="00C01A50" w:rsidP="00E00AD9">
            <w:pPr>
              <w:cnfStyle w:val="100000000000" w:firstRow="1" w:lastRow="0" w:firstColumn="0" w:lastColumn="0" w:oddVBand="0" w:evenVBand="0" w:oddHBand="0" w:evenHBand="0" w:firstRowFirstColumn="0" w:firstRowLastColumn="0" w:lastRowFirstColumn="0" w:lastRowLastColumn="0"/>
            </w:pPr>
            <w:r>
              <w:t>Farm enterprise</w:t>
            </w:r>
          </w:p>
        </w:tc>
        <w:tc>
          <w:tcPr>
            <w:tcW w:w="2620" w:type="dxa"/>
          </w:tcPr>
          <w:p w14:paraId="2205D7FD" w14:textId="77777777" w:rsidR="00C01A50" w:rsidRDefault="00C01A50" w:rsidP="00E00AD9">
            <w:pPr>
              <w:cnfStyle w:val="100000000000" w:firstRow="1" w:lastRow="0" w:firstColumn="0" w:lastColumn="0" w:oddVBand="0" w:evenVBand="0" w:oddHBand="0" w:evenHBand="0" w:firstRowFirstColumn="0" w:firstRowLastColumn="0" w:lastRowFirstColumn="0" w:lastRowLastColumn="0"/>
            </w:pPr>
            <w:r>
              <w:t>Community</w:t>
            </w:r>
          </w:p>
        </w:tc>
      </w:tr>
      <w:tr w:rsidR="00C01A50" w14:paraId="1096A2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EBC848" w14:textId="77777777" w:rsidR="00C01A50" w:rsidRDefault="00C01A50" w:rsidP="00E00AD9">
            <w:r>
              <w:t xml:space="preserve">Vulnerability </w:t>
            </w:r>
          </w:p>
        </w:tc>
        <w:tc>
          <w:tcPr>
            <w:tcW w:w="2619" w:type="dxa"/>
          </w:tcPr>
          <w:p w14:paraId="376F72CF" w14:textId="77777777" w:rsidR="00C01A50" w:rsidRDefault="00C01A50" w:rsidP="00E00AD9">
            <w:pPr>
              <w:jc w:val="left"/>
              <w:cnfStyle w:val="000000100000" w:firstRow="0" w:lastRow="0" w:firstColumn="0" w:lastColumn="0" w:oddVBand="0" w:evenVBand="0" w:oddHBand="1" w:evenHBand="0" w:firstRowFirstColumn="0" w:firstRowLastColumn="0" w:lastRowFirstColumn="0" w:lastRowLastColumn="0"/>
            </w:pPr>
            <w:r>
              <w:t>Example: Regions dominated by interruptible and semi-interruptible irrigation activities are sensitive to changes in water availability</w:t>
            </w:r>
          </w:p>
        </w:tc>
        <w:tc>
          <w:tcPr>
            <w:tcW w:w="2619" w:type="dxa"/>
          </w:tcPr>
          <w:p w14:paraId="49944464" w14:textId="77777777" w:rsidR="00C01A50" w:rsidRDefault="00C01A50" w:rsidP="00E00AD9">
            <w:pPr>
              <w:jc w:val="left"/>
              <w:cnfStyle w:val="000000100000" w:firstRow="0" w:lastRow="0" w:firstColumn="0" w:lastColumn="0" w:oddVBand="0" w:evenVBand="0" w:oddHBand="1" w:evenHBand="0" w:firstRowFirstColumn="0" w:firstRowLastColumn="0" w:lastRowFirstColumn="0" w:lastRowLastColumn="0"/>
            </w:pPr>
            <w:r>
              <w:t>Example: Farms with high levels of debt are highly sensitive to change (such as in profitability)</w:t>
            </w:r>
          </w:p>
        </w:tc>
        <w:tc>
          <w:tcPr>
            <w:tcW w:w="2620" w:type="dxa"/>
          </w:tcPr>
          <w:p w14:paraId="58109E52" w14:textId="77777777" w:rsidR="00C01A50" w:rsidRDefault="00C01A50" w:rsidP="00E00AD9">
            <w:pPr>
              <w:jc w:val="left"/>
              <w:cnfStyle w:val="000000100000" w:firstRow="0" w:lastRow="0" w:firstColumn="0" w:lastColumn="0" w:oddVBand="0" w:evenVBand="0" w:oddHBand="1" w:evenHBand="0" w:firstRowFirstColumn="0" w:firstRowLastColumn="0" w:lastRowFirstColumn="0" w:lastRowLastColumn="0"/>
            </w:pPr>
            <w:r>
              <w:t>Example: Wellbeing, employment and income levels inform the relative sensitivity of a community to change</w:t>
            </w:r>
          </w:p>
        </w:tc>
      </w:tr>
      <w:tr w:rsidR="00C01A50" w14:paraId="051EC9E3" w14:textId="77777777">
        <w:tc>
          <w:tcPr>
            <w:cnfStyle w:val="001000000000" w:firstRow="0" w:lastRow="0" w:firstColumn="1" w:lastColumn="0" w:oddVBand="0" w:evenVBand="0" w:oddHBand="0" w:evenHBand="0" w:firstRowFirstColumn="0" w:firstRowLastColumn="0" w:lastRowFirstColumn="0" w:lastRowLastColumn="0"/>
            <w:tcW w:w="1384" w:type="dxa"/>
          </w:tcPr>
          <w:p w14:paraId="7DE50C38" w14:textId="77777777" w:rsidR="00C01A50" w:rsidRDefault="00C01A50" w:rsidP="00E00AD9">
            <w:r>
              <w:t xml:space="preserve">Exposure </w:t>
            </w:r>
          </w:p>
        </w:tc>
        <w:tc>
          <w:tcPr>
            <w:tcW w:w="2619" w:type="dxa"/>
          </w:tcPr>
          <w:p w14:paraId="5712CCFC" w14:textId="77777777" w:rsidR="00C01A50" w:rsidRDefault="00C01A50" w:rsidP="00E00AD9">
            <w:pPr>
              <w:jc w:val="left"/>
              <w:cnfStyle w:val="000000000000" w:firstRow="0" w:lastRow="0" w:firstColumn="0" w:lastColumn="0" w:oddVBand="0" w:evenVBand="0" w:oddHBand="0" w:evenHBand="0" w:firstRowFirstColumn="0" w:firstRowLastColumn="0" w:lastRowFirstColumn="0" w:lastRowLastColumn="0"/>
            </w:pPr>
            <w:r>
              <w:t>Example: The expected change in water use (the observed versus the counterfactual) due to water recovery informs the exposure to change</w:t>
            </w:r>
          </w:p>
        </w:tc>
        <w:tc>
          <w:tcPr>
            <w:tcW w:w="2619" w:type="dxa"/>
          </w:tcPr>
          <w:p w14:paraId="074EB724" w14:textId="77777777" w:rsidR="00C01A50" w:rsidRDefault="00C01A50" w:rsidP="00E00AD9">
            <w:pPr>
              <w:jc w:val="left"/>
              <w:cnfStyle w:val="000000000000" w:firstRow="0" w:lastRow="0" w:firstColumn="0" w:lastColumn="0" w:oddVBand="0" w:evenVBand="0" w:oddHBand="0" w:evenHBand="0" w:firstRowFirstColumn="0" w:firstRowLastColumn="0" w:lastRowFirstColumn="0" w:lastRowLastColumn="0"/>
            </w:pPr>
            <w:r>
              <w:t>Example: Farms that have sold entitlement and rely on allocation purchases are exposed to the changes water recovery has on water allocation prices if their water demands are not flexible</w:t>
            </w:r>
          </w:p>
        </w:tc>
        <w:tc>
          <w:tcPr>
            <w:tcW w:w="2620" w:type="dxa"/>
          </w:tcPr>
          <w:p w14:paraId="71D4A084" w14:textId="77777777" w:rsidR="00C01A50" w:rsidRDefault="00C01A50" w:rsidP="00E00AD9">
            <w:pPr>
              <w:jc w:val="left"/>
              <w:cnfStyle w:val="000000000000" w:firstRow="0" w:lastRow="0" w:firstColumn="0" w:lastColumn="0" w:oddVBand="0" w:evenVBand="0" w:oddHBand="0" w:evenHBand="0" w:firstRowFirstColumn="0" w:firstRowLastColumn="0" w:lastRowFirstColumn="0" w:lastRowLastColumn="0"/>
            </w:pPr>
            <w:r>
              <w:t>Example: A community highly dependent on irrigated industries is more exposed to changes in irrigated production</w:t>
            </w:r>
          </w:p>
        </w:tc>
      </w:tr>
      <w:tr w:rsidR="00C01A50" w14:paraId="05E583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33CC88" w14:textId="77777777" w:rsidR="00C01A50" w:rsidRDefault="00C01A50" w:rsidP="00E00AD9">
            <w:r>
              <w:t>Impact</w:t>
            </w:r>
          </w:p>
        </w:tc>
        <w:tc>
          <w:tcPr>
            <w:tcW w:w="2619" w:type="dxa"/>
          </w:tcPr>
          <w:p w14:paraId="233A2053" w14:textId="77777777" w:rsidR="00C01A50" w:rsidRDefault="00C01A50" w:rsidP="00E00AD9">
            <w:pPr>
              <w:jc w:val="left"/>
              <w:cnfStyle w:val="000000100000" w:firstRow="0" w:lastRow="0" w:firstColumn="0" w:lastColumn="0" w:oddVBand="0" w:evenVBand="0" w:oddHBand="1" w:evenHBand="0" w:firstRowFirstColumn="0" w:firstRowLastColumn="0" w:lastRowFirstColumn="0" w:lastRowLastColumn="0"/>
            </w:pPr>
            <w:r>
              <w:t>Example: The expected change in irrigated production (the observed versus the counterfactual) due to water recovery</w:t>
            </w:r>
          </w:p>
        </w:tc>
        <w:tc>
          <w:tcPr>
            <w:tcW w:w="2619" w:type="dxa"/>
          </w:tcPr>
          <w:p w14:paraId="07F6DC5C" w14:textId="77777777" w:rsidR="00C01A50" w:rsidRDefault="00C01A50" w:rsidP="00E00AD9">
            <w:pPr>
              <w:jc w:val="left"/>
              <w:cnfStyle w:val="000000100000" w:firstRow="0" w:lastRow="0" w:firstColumn="0" w:lastColumn="0" w:oddVBand="0" w:evenVBand="0" w:oddHBand="1" w:evenHBand="0" w:firstRowFirstColumn="0" w:firstRowLastColumn="0" w:lastRowFirstColumn="0" w:lastRowLastColumn="0"/>
            </w:pPr>
            <w:r>
              <w:t>Example: The profit impact of water recovery effects on water allocation prices, and the risks associated with more volatile water access as the system becomes more ‘brittle’.</w:t>
            </w:r>
          </w:p>
        </w:tc>
        <w:tc>
          <w:tcPr>
            <w:tcW w:w="2620" w:type="dxa"/>
          </w:tcPr>
          <w:p w14:paraId="24705E7C" w14:textId="77777777" w:rsidR="00C01A50" w:rsidRDefault="00C01A50" w:rsidP="00E00AD9">
            <w:pPr>
              <w:jc w:val="left"/>
              <w:cnfStyle w:val="000000100000" w:firstRow="0" w:lastRow="0" w:firstColumn="0" w:lastColumn="0" w:oddVBand="0" w:evenVBand="0" w:oddHBand="1" w:evenHBand="0" w:firstRowFirstColumn="0" w:firstRowLastColumn="0" w:lastRowFirstColumn="0" w:lastRowLastColumn="0"/>
            </w:pPr>
            <w:r>
              <w:t xml:space="preserve">The causal link between water recovery community impact is complicated by the multitude of other factors that affect community outcomes </w:t>
            </w:r>
          </w:p>
        </w:tc>
      </w:tr>
    </w:tbl>
    <w:p w14:paraId="50E738A8" w14:textId="77777777" w:rsidR="00C01A50" w:rsidRDefault="00C01A50" w:rsidP="00E00AD9"/>
    <w:p w14:paraId="51756BE8" w14:textId="77777777" w:rsidR="00C01A50" w:rsidRDefault="00C01A50" w:rsidP="006E513B">
      <w:r>
        <w:t>The metrics used in the report are collated in the table below.</w:t>
      </w:r>
    </w:p>
    <w:p w14:paraId="20B98C2F" w14:textId="77777777" w:rsidR="00C01A50" w:rsidRDefault="00C01A50">
      <w:pPr>
        <w:spacing w:before="0" w:after="0" w:line="240" w:lineRule="auto"/>
        <w:jc w:val="left"/>
      </w:pPr>
      <w:r>
        <w:br w:type="page"/>
      </w:r>
    </w:p>
    <w:p w14:paraId="0943A5F1" w14:textId="77777777" w:rsidR="00C01A50" w:rsidRDefault="00C01A50" w:rsidP="006E513B">
      <w:pPr>
        <w:pStyle w:val="Caption"/>
      </w:pPr>
      <w:r>
        <w:lastRenderedPageBreak/>
        <w:t xml:space="preserve">Table </w:t>
      </w:r>
      <w:r>
        <w:fldChar w:fldCharType="begin"/>
      </w:r>
      <w:r>
        <w:instrText xml:space="preserve"> SEQ Table \* ARABIC </w:instrText>
      </w:r>
      <w:r>
        <w:fldChar w:fldCharType="separate"/>
      </w:r>
      <w:r w:rsidR="008E5D7A">
        <w:rPr>
          <w:noProof/>
        </w:rPr>
        <w:t>21</w:t>
      </w:r>
      <w:r>
        <w:fldChar w:fldCharType="end"/>
      </w:r>
      <w:r>
        <w:t>: Metrics used in the report</w:t>
      </w:r>
    </w:p>
    <w:tbl>
      <w:tblPr>
        <w:tblStyle w:val="GridTable4-Accent110"/>
        <w:tblW w:w="5000" w:type="pct"/>
        <w:tblLook w:val="0420" w:firstRow="1" w:lastRow="0" w:firstColumn="0" w:lastColumn="0" w:noHBand="0" w:noVBand="1"/>
      </w:tblPr>
      <w:tblGrid>
        <w:gridCol w:w="1709"/>
        <w:gridCol w:w="7459"/>
      </w:tblGrid>
      <w:tr w:rsidR="00C01A50" w:rsidRPr="00B02CF4" w14:paraId="48C4072D" w14:textId="77777777">
        <w:trPr>
          <w:cnfStyle w:val="100000000000" w:firstRow="1" w:lastRow="0" w:firstColumn="0" w:lastColumn="0" w:oddVBand="0" w:evenVBand="0" w:oddHBand="0" w:evenHBand="0" w:firstRowFirstColumn="0" w:firstRowLastColumn="0" w:lastRowFirstColumn="0" w:lastRowLastColumn="0"/>
          <w:cantSplit/>
          <w:tblHeader/>
        </w:trPr>
        <w:tc>
          <w:tcPr>
            <w:tcW w:w="932" w:type="pct"/>
          </w:tcPr>
          <w:p w14:paraId="0341D13E" w14:textId="77777777" w:rsidR="00C01A50" w:rsidRPr="00190273" w:rsidRDefault="00C01A50" w:rsidP="006E513B">
            <w:pPr>
              <w:jc w:val="center"/>
              <w:rPr>
                <w:rFonts w:ascii="Arial" w:hAnsi="Arial" w:cs="Arial"/>
                <w:b w:val="0"/>
                <w:sz w:val="18"/>
                <w:szCs w:val="18"/>
              </w:rPr>
            </w:pPr>
            <w:r w:rsidRPr="00190273">
              <w:rPr>
                <w:rFonts w:ascii="Arial" w:hAnsi="Arial" w:cs="Arial"/>
                <w:sz w:val="18"/>
                <w:szCs w:val="18"/>
              </w:rPr>
              <w:t>Metric</w:t>
            </w:r>
          </w:p>
        </w:tc>
        <w:tc>
          <w:tcPr>
            <w:tcW w:w="4068" w:type="pct"/>
          </w:tcPr>
          <w:p w14:paraId="0F04DDF7" w14:textId="77777777" w:rsidR="00C01A50" w:rsidRPr="00190273" w:rsidRDefault="00C01A50" w:rsidP="006E513B">
            <w:pPr>
              <w:jc w:val="center"/>
              <w:rPr>
                <w:rFonts w:ascii="Arial" w:hAnsi="Arial" w:cs="Arial"/>
                <w:b w:val="0"/>
                <w:sz w:val="18"/>
                <w:szCs w:val="18"/>
              </w:rPr>
            </w:pPr>
            <w:r w:rsidRPr="00190273">
              <w:rPr>
                <w:rFonts w:ascii="Arial" w:hAnsi="Arial" w:cs="Arial"/>
                <w:sz w:val="18"/>
                <w:szCs w:val="18"/>
              </w:rPr>
              <w:t>Data sources</w:t>
            </w:r>
          </w:p>
        </w:tc>
      </w:tr>
      <w:tr w:rsidR="00C01A50" w:rsidRPr="00B02CF4" w14:paraId="6FC0C88C" w14:textId="77777777">
        <w:trPr>
          <w:cnfStyle w:val="000000100000" w:firstRow="0" w:lastRow="0" w:firstColumn="0" w:lastColumn="0" w:oddVBand="0" w:evenVBand="0" w:oddHBand="1" w:evenHBand="0" w:firstRowFirstColumn="0" w:firstRowLastColumn="0" w:lastRowFirstColumn="0" w:lastRowLastColumn="0"/>
          <w:cantSplit/>
          <w:trHeight w:val="139"/>
        </w:trPr>
        <w:tc>
          <w:tcPr>
            <w:tcW w:w="932" w:type="pct"/>
          </w:tcPr>
          <w:p w14:paraId="23542DE7" w14:textId="77777777" w:rsidR="00C01A50" w:rsidRPr="005C4778" w:rsidRDefault="00C01A50" w:rsidP="006E513B">
            <w:pPr>
              <w:jc w:val="left"/>
              <w:rPr>
                <w:rFonts w:ascii="Arial" w:hAnsi="Arial" w:cs="Arial"/>
                <w:sz w:val="18"/>
                <w:szCs w:val="18"/>
              </w:rPr>
            </w:pPr>
            <w:r w:rsidRPr="005C4778">
              <w:rPr>
                <w:rFonts w:ascii="Arial" w:hAnsi="Arial" w:cs="Arial"/>
                <w:sz w:val="18"/>
                <w:szCs w:val="18"/>
              </w:rPr>
              <w:t>Wat</w:t>
            </w:r>
            <w:r>
              <w:rPr>
                <w:rFonts w:ascii="Arial" w:hAnsi="Arial" w:cs="Arial"/>
                <w:sz w:val="18"/>
                <w:szCs w:val="18"/>
              </w:rPr>
              <w:t>er use</w:t>
            </w:r>
          </w:p>
        </w:tc>
        <w:tc>
          <w:tcPr>
            <w:tcW w:w="4068" w:type="pct"/>
          </w:tcPr>
          <w:p w14:paraId="6F71C79D" w14:textId="77777777" w:rsidR="00C01A50" w:rsidRDefault="00C01A50" w:rsidP="006E513B">
            <w:pPr>
              <w:jc w:val="left"/>
              <w:rPr>
                <w:rFonts w:ascii="Arial" w:hAnsi="Arial" w:cs="Arial"/>
                <w:sz w:val="18"/>
                <w:szCs w:val="18"/>
              </w:rPr>
            </w:pPr>
            <w:r>
              <w:rPr>
                <w:rFonts w:ascii="Arial" w:hAnsi="Arial" w:cs="Arial"/>
                <w:sz w:val="18"/>
                <w:szCs w:val="18"/>
              </w:rPr>
              <w:t xml:space="preserve">By region: </w:t>
            </w:r>
            <w:r w:rsidRPr="00721758">
              <w:rPr>
                <w:rFonts w:ascii="Arial" w:hAnsi="Arial" w:cs="Arial"/>
                <w:b/>
                <w:sz w:val="18"/>
                <w:szCs w:val="18"/>
              </w:rPr>
              <w:t>Water register data</w:t>
            </w:r>
            <w:r>
              <w:rPr>
                <w:rFonts w:ascii="Arial" w:hAnsi="Arial" w:cs="Arial"/>
                <w:sz w:val="18"/>
                <w:szCs w:val="18"/>
              </w:rPr>
              <w:t xml:space="preserve"> provides information on Victorian water use, by system, by region, by licence holder type (irrigator, environment, water authority)</w:t>
            </w:r>
          </w:p>
          <w:p w14:paraId="7B03C3EC" w14:textId="77777777" w:rsidR="00C01A50" w:rsidRDefault="00C01A50" w:rsidP="006E513B">
            <w:pPr>
              <w:jc w:val="left"/>
              <w:rPr>
                <w:rFonts w:ascii="Arial" w:hAnsi="Arial" w:cs="Arial"/>
                <w:sz w:val="18"/>
                <w:szCs w:val="18"/>
              </w:rPr>
            </w:pPr>
            <w:r>
              <w:rPr>
                <w:rFonts w:ascii="Arial" w:hAnsi="Arial" w:cs="Arial"/>
                <w:sz w:val="18"/>
                <w:szCs w:val="18"/>
              </w:rPr>
              <w:t xml:space="preserve">Counterfactual water use: estimated based on above as well as </w:t>
            </w:r>
            <w:r w:rsidRPr="00721758">
              <w:rPr>
                <w:rFonts w:ascii="Arial" w:hAnsi="Arial" w:cs="Arial"/>
                <w:b/>
                <w:sz w:val="18"/>
                <w:szCs w:val="18"/>
              </w:rPr>
              <w:t xml:space="preserve">Commonwealth </w:t>
            </w:r>
            <w:r>
              <w:rPr>
                <w:rFonts w:ascii="Arial" w:hAnsi="Arial" w:cs="Arial"/>
                <w:b/>
                <w:sz w:val="18"/>
                <w:szCs w:val="18"/>
              </w:rPr>
              <w:t xml:space="preserve">DAWR </w:t>
            </w:r>
            <w:r w:rsidR="00077C29">
              <w:rPr>
                <w:rFonts w:ascii="Arial" w:hAnsi="Arial" w:cs="Arial"/>
                <w:b/>
                <w:sz w:val="18"/>
                <w:szCs w:val="18"/>
              </w:rPr>
              <w:t xml:space="preserve">(2016b) </w:t>
            </w:r>
            <w:r w:rsidRPr="00721758">
              <w:rPr>
                <w:rFonts w:ascii="Arial" w:hAnsi="Arial" w:cs="Arial"/>
                <w:b/>
                <w:sz w:val="18"/>
                <w:szCs w:val="18"/>
              </w:rPr>
              <w:t>data</w:t>
            </w:r>
            <w:r>
              <w:rPr>
                <w:rFonts w:ascii="Arial" w:hAnsi="Arial" w:cs="Arial"/>
                <w:sz w:val="18"/>
                <w:szCs w:val="18"/>
              </w:rPr>
              <w:t xml:space="preserve"> on water recovery and </w:t>
            </w:r>
            <w:r w:rsidRPr="00721758">
              <w:rPr>
                <w:rFonts w:ascii="Arial" w:hAnsi="Arial" w:cs="Arial"/>
                <w:b/>
                <w:sz w:val="18"/>
                <w:szCs w:val="18"/>
              </w:rPr>
              <w:t>Water register data</w:t>
            </w:r>
            <w:r>
              <w:rPr>
                <w:rFonts w:ascii="Arial" w:hAnsi="Arial" w:cs="Arial"/>
                <w:sz w:val="18"/>
                <w:szCs w:val="18"/>
              </w:rPr>
              <w:t xml:space="preserve"> on net interstate trade.</w:t>
            </w:r>
          </w:p>
          <w:p w14:paraId="5A803888" w14:textId="77777777" w:rsidR="00C01A50" w:rsidRDefault="00C01A50" w:rsidP="006E513B">
            <w:pPr>
              <w:jc w:val="left"/>
              <w:rPr>
                <w:rFonts w:ascii="Arial" w:hAnsi="Arial" w:cs="Arial"/>
                <w:sz w:val="18"/>
                <w:szCs w:val="18"/>
              </w:rPr>
            </w:pPr>
            <w:r w:rsidRPr="005C4778">
              <w:rPr>
                <w:rFonts w:ascii="Arial" w:hAnsi="Arial" w:cs="Arial"/>
                <w:sz w:val="18"/>
                <w:szCs w:val="18"/>
              </w:rPr>
              <w:t>Water used by irrigated agriculture</w:t>
            </w:r>
            <w:r>
              <w:rPr>
                <w:rFonts w:ascii="Arial" w:hAnsi="Arial" w:cs="Arial"/>
                <w:sz w:val="18"/>
                <w:szCs w:val="18"/>
              </w:rPr>
              <w:t xml:space="preserve"> by crop: </w:t>
            </w:r>
            <w:r w:rsidRPr="00721758">
              <w:rPr>
                <w:rFonts w:ascii="Arial" w:hAnsi="Arial" w:cs="Arial"/>
                <w:b/>
                <w:sz w:val="18"/>
                <w:szCs w:val="18"/>
              </w:rPr>
              <w:t>ABS 4618.0</w:t>
            </w:r>
            <w:r w:rsidRPr="00013CDB">
              <w:rPr>
                <w:rFonts w:ascii="Arial" w:hAnsi="Arial" w:cs="Arial"/>
                <w:sz w:val="18"/>
                <w:szCs w:val="18"/>
              </w:rPr>
              <w:t xml:space="preserve"> - Water Use on Australian Farms, 2014-15</w:t>
            </w:r>
            <w:r>
              <w:rPr>
                <w:rFonts w:ascii="Arial" w:hAnsi="Arial" w:cs="Arial"/>
                <w:sz w:val="18"/>
                <w:szCs w:val="18"/>
              </w:rPr>
              <w:t xml:space="preserve"> reports annually VIC NRM regions for Pasture (grazing), pasture (hay), pasture (silage), rice, other cereals, fruit and nut trees, vegetables, flowers, grapevines.</w:t>
            </w:r>
          </w:p>
          <w:p w14:paraId="0405A6BB" w14:textId="77777777" w:rsidR="00C01A50" w:rsidRDefault="00C01A50" w:rsidP="006E513B">
            <w:pPr>
              <w:jc w:val="left"/>
              <w:rPr>
                <w:rFonts w:ascii="Arial" w:hAnsi="Arial" w:cs="Arial"/>
                <w:sz w:val="18"/>
                <w:szCs w:val="18"/>
              </w:rPr>
            </w:pPr>
            <w:r>
              <w:rPr>
                <w:rFonts w:ascii="Arial" w:hAnsi="Arial" w:cs="Arial"/>
                <w:sz w:val="18"/>
                <w:szCs w:val="18"/>
              </w:rPr>
              <w:t xml:space="preserve">Water available for use: </w:t>
            </w:r>
            <w:r w:rsidRPr="00103556">
              <w:rPr>
                <w:rFonts w:ascii="Arial" w:hAnsi="Arial" w:cs="Arial"/>
                <w:b/>
                <w:sz w:val="18"/>
                <w:szCs w:val="18"/>
              </w:rPr>
              <w:t>announced allocations</w:t>
            </w:r>
            <w:r>
              <w:rPr>
                <w:rFonts w:ascii="Arial" w:hAnsi="Arial" w:cs="Arial"/>
                <w:sz w:val="18"/>
                <w:szCs w:val="18"/>
              </w:rPr>
              <w:t xml:space="preserve"> to all sMDB water products</w:t>
            </w:r>
          </w:p>
          <w:p w14:paraId="67DA07EF" w14:textId="77777777" w:rsidR="00C01A50" w:rsidRDefault="00C01A50" w:rsidP="006E513B">
            <w:pPr>
              <w:jc w:val="left"/>
              <w:rPr>
                <w:rFonts w:ascii="Arial" w:hAnsi="Arial" w:cs="Arial"/>
                <w:sz w:val="18"/>
                <w:szCs w:val="18"/>
              </w:rPr>
            </w:pPr>
            <w:r>
              <w:rPr>
                <w:rFonts w:ascii="Arial" w:hAnsi="Arial" w:cs="Arial"/>
                <w:sz w:val="18"/>
                <w:szCs w:val="18"/>
              </w:rPr>
              <w:t xml:space="preserve">Water available for use: </w:t>
            </w:r>
            <w:r w:rsidRPr="00103556">
              <w:rPr>
                <w:rFonts w:ascii="Arial" w:hAnsi="Arial" w:cs="Arial"/>
                <w:b/>
                <w:sz w:val="18"/>
                <w:szCs w:val="18"/>
              </w:rPr>
              <w:t>Hydrological modelling from NRSWS</w:t>
            </w:r>
            <w:r>
              <w:rPr>
                <w:rFonts w:ascii="Arial" w:hAnsi="Arial" w:cs="Arial"/>
                <w:sz w:val="18"/>
                <w:szCs w:val="18"/>
              </w:rPr>
              <w:t xml:space="preserve"> and could be updated with newer DELWP modelling</w:t>
            </w:r>
          </w:p>
          <w:p w14:paraId="326F37EA" w14:textId="77777777" w:rsidR="00C01A50" w:rsidRPr="005C4778" w:rsidRDefault="00C01A50" w:rsidP="006E513B">
            <w:pPr>
              <w:jc w:val="left"/>
              <w:rPr>
                <w:rFonts w:ascii="Arial" w:hAnsi="Arial" w:cs="Arial"/>
                <w:sz w:val="18"/>
                <w:szCs w:val="18"/>
              </w:rPr>
            </w:pPr>
            <w:r>
              <w:rPr>
                <w:rFonts w:ascii="Arial" w:hAnsi="Arial" w:cs="Arial"/>
                <w:sz w:val="18"/>
                <w:szCs w:val="18"/>
              </w:rPr>
              <w:t xml:space="preserve">Horticultural water demands (current and mature): Mallee and sMDB estimates. </w:t>
            </w:r>
            <w:r w:rsidRPr="00693317">
              <w:rPr>
                <w:rFonts w:ascii="Arial" w:hAnsi="Arial" w:cs="Arial"/>
                <w:b/>
                <w:sz w:val="18"/>
                <w:szCs w:val="18"/>
              </w:rPr>
              <w:t>Mallee CMA data</w:t>
            </w:r>
            <w:r>
              <w:rPr>
                <w:rFonts w:ascii="Arial" w:hAnsi="Arial" w:cs="Arial"/>
                <w:sz w:val="18"/>
                <w:szCs w:val="18"/>
              </w:rPr>
              <w:t xml:space="preserve">, </w:t>
            </w:r>
            <w:r w:rsidRPr="00693317">
              <w:rPr>
                <w:rFonts w:ascii="Arial" w:hAnsi="Arial" w:cs="Arial"/>
                <w:b/>
                <w:sz w:val="18"/>
                <w:szCs w:val="18"/>
              </w:rPr>
              <w:t>LMW data</w:t>
            </w:r>
            <w:r>
              <w:rPr>
                <w:rFonts w:ascii="Arial" w:hAnsi="Arial" w:cs="Arial"/>
                <w:sz w:val="18"/>
                <w:szCs w:val="18"/>
              </w:rPr>
              <w:t>.</w:t>
            </w:r>
          </w:p>
        </w:tc>
      </w:tr>
      <w:tr w:rsidR="00C01A50" w:rsidRPr="00B02CF4" w14:paraId="4787BC79" w14:textId="77777777">
        <w:trPr>
          <w:cantSplit/>
          <w:trHeight w:val="139"/>
        </w:trPr>
        <w:tc>
          <w:tcPr>
            <w:tcW w:w="932" w:type="pct"/>
          </w:tcPr>
          <w:p w14:paraId="51DA9A12" w14:textId="77777777" w:rsidR="00C01A50" w:rsidRPr="005C4778" w:rsidRDefault="00C01A50" w:rsidP="006E513B">
            <w:pPr>
              <w:jc w:val="left"/>
              <w:rPr>
                <w:rFonts w:ascii="Arial" w:hAnsi="Arial" w:cs="Arial"/>
                <w:sz w:val="18"/>
                <w:szCs w:val="18"/>
              </w:rPr>
            </w:pPr>
            <w:r w:rsidRPr="005C4778">
              <w:rPr>
                <w:rFonts w:ascii="Arial" w:hAnsi="Arial" w:cs="Arial"/>
                <w:sz w:val="18"/>
                <w:szCs w:val="18"/>
              </w:rPr>
              <w:t>Area irrigated by crop type</w:t>
            </w:r>
          </w:p>
        </w:tc>
        <w:tc>
          <w:tcPr>
            <w:tcW w:w="4068" w:type="pct"/>
          </w:tcPr>
          <w:p w14:paraId="4A557E14" w14:textId="77777777" w:rsidR="00C01A50" w:rsidRDefault="00C01A50" w:rsidP="006E513B">
            <w:pPr>
              <w:jc w:val="left"/>
              <w:rPr>
                <w:rFonts w:ascii="Arial" w:hAnsi="Arial" w:cs="Arial"/>
                <w:sz w:val="18"/>
                <w:szCs w:val="18"/>
              </w:rPr>
            </w:pPr>
            <w:r w:rsidRPr="00721758">
              <w:rPr>
                <w:rFonts w:ascii="Arial" w:hAnsi="Arial" w:cs="Arial"/>
                <w:b/>
                <w:sz w:val="18"/>
                <w:szCs w:val="18"/>
              </w:rPr>
              <w:t>ABS 4618.0</w:t>
            </w:r>
            <w:r>
              <w:rPr>
                <w:rFonts w:ascii="Arial" w:hAnsi="Arial" w:cs="Arial"/>
                <w:sz w:val="18"/>
                <w:szCs w:val="18"/>
              </w:rPr>
              <w:t xml:space="preserve"> has t</w:t>
            </w:r>
            <w:r w:rsidR="00C65BF0">
              <w:rPr>
                <w:rFonts w:ascii="Arial" w:hAnsi="Arial" w:cs="Arial"/>
                <w:sz w:val="18"/>
                <w:szCs w:val="18"/>
              </w:rPr>
              <w:t>otal area and area watered for p</w:t>
            </w:r>
            <w:r>
              <w:rPr>
                <w:rFonts w:ascii="Arial" w:hAnsi="Arial" w:cs="Arial"/>
                <w:sz w:val="18"/>
                <w:szCs w:val="18"/>
              </w:rPr>
              <w:t xml:space="preserve">asture (grazing), pasture (hay), pasture (silage), rice, other cereals, fruit and nut trees, </w:t>
            </w:r>
            <w:r w:rsidR="00C65BF0">
              <w:rPr>
                <w:rFonts w:ascii="Arial" w:hAnsi="Arial" w:cs="Arial"/>
                <w:sz w:val="18"/>
                <w:szCs w:val="18"/>
              </w:rPr>
              <w:t>vegetables</w:t>
            </w:r>
            <w:r>
              <w:rPr>
                <w:rFonts w:ascii="Arial" w:hAnsi="Arial" w:cs="Arial"/>
                <w:sz w:val="18"/>
                <w:szCs w:val="18"/>
              </w:rPr>
              <w:t>, flowers, grapevines.</w:t>
            </w:r>
          </w:p>
          <w:p w14:paraId="4CD2A16D" w14:textId="77777777" w:rsidR="00C01A50" w:rsidRPr="005C4778" w:rsidRDefault="00C01A50" w:rsidP="006E513B">
            <w:pPr>
              <w:jc w:val="left"/>
              <w:rPr>
                <w:rFonts w:ascii="Arial" w:hAnsi="Arial" w:cs="Arial"/>
                <w:sz w:val="18"/>
                <w:szCs w:val="18"/>
              </w:rPr>
            </w:pPr>
            <w:r>
              <w:rPr>
                <w:rFonts w:ascii="Arial" w:hAnsi="Arial" w:cs="Arial"/>
                <w:sz w:val="18"/>
                <w:szCs w:val="18"/>
              </w:rPr>
              <w:t>Land use mapping project</w:t>
            </w:r>
          </w:p>
        </w:tc>
      </w:tr>
      <w:tr w:rsidR="00C01A50" w:rsidRPr="00B02CF4" w14:paraId="6CED2F19" w14:textId="77777777">
        <w:trPr>
          <w:cnfStyle w:val="000000100000" w:firstRow="0" w:lastRow="0" w:firstColumn="0" w:lastColumn="0" w:oddVBand="0" w:evenVBand="0" w:oddHBand="1" w:evenHBand="0" w:firstRowFirstColumn="0" w:firstRowLastColumn="0" w:lastRowFirstColumn="0" w:lastRowLastColumn="0"/>
          <w:cantSplit/>
          <w:trHeight w:val="139"/>
        </w:trPr>
        <w:tc>
          <w:tcPr>
            <w:tcW w:w="932" w:type="pct"/>
          </w:tcPr>
          <w:p w14:paraId="3D563AAF" w14:textId="77777777" w:rsidR="00C01A50" w:rsidRPr="005C4778" w:rsidRDefault="00C01A50" w:rsidP="006E513B">
            <w:pPr>
              <w:jc w:val="left"/>
              <w:rPr>
                <w:rFonts w:ascii="Arial" w:hAnsi="Arial" w:cs="Arial"/>
                <w:sz w:val="18"/>
                <w:szCs w:val="18"/>
              </w:rPr>
            </w:pPr>
            <w:r w:rsidRPr="005C4778">
              <w:rPr>
                <w:rFonts w:ascii="Arial" w:hAnsi="Arial" w:cs="Arial"/>
                <w:sz w:val="18"/>
                <w:szCs w:val="18"/>
              </w:rPr>
              <w:t>Irrigated agricultural output by crop or commodity</w:t>
            </w:r>
          </w:p>
        </w:tc>
        <w:tc>
          <w:tcPr>
            <w:tcW w:w="4068" w:type="pct"/>
          </w:tcPr>
          <w:p w14:paraId="3016256A" w14:textId="77777777" w:rsidR="00C01A50" w:rsidRDefault="00C01A50" w:rsidP="006E513B">
            <w:pPr>
              <w:jc w:val="left"/>
              <w:rPr>
                <w:rFonts w:ascii="Arial" w:hAnsi="Arial" w:cs="Arial"/>
                <w:sz w:val="18"/>
                <w:szCs w:val="18"/>
              </w:rPr>
            </w:pPr>
            <w:r w:rsidRPr="0073285E">
              <w:rPr>
                <w:rFonts w:ascii="Arial" w:hAnsi="Arial" w:cs="Arial"/>
                <w:b/>
                <w:sz w:val="18"/>
                <w:szCs w:val="18"/>
              </w:rPr>
              <w:t>ABS 4610.0.55.008</w:t>
            </w:r>
            <w:r>
              <w:rPr>
                <w:rFonts w:ascii="Arial" w:hAnsi="Arial" w:cs="Arial"/>
                <w:sz w:val="18"/>
                <w:szCs w:val="18"/>
              </w:rPr>
              <w:t>: Gross Value of Irrigated Agricultural Production (GVIAP) available annually to 2013</w:t>
            </w:r>
            <w:r w:rsidR="001D5F13">
              <w:rPr>
                <w:rFonts w:ascii="Arial" w:hAnsi="Arial" w:cs="Arial"/>
                <w:sz w:val="18"/>
                <w:szCs w:val="18"/>
              </w:rPr>
              <w:t>/</w:t>
            </w:r>
            <w:r>
              <w:rPr>
                <w:rFonts w:ascii="Arial" w:hAnsi="Arial" w:cs="Arial"/>
                <w:sz w:val="18"/>
                <w:szCs w:val="18"/>
              </w:rPr>
              <w:t>14</w:t>
            </w:r>
          </w:p>
          <w:p w14:paraId="5CA6252E" w14:textId="77777777" w:rsidR="00C01A50" w:rsidRPr="005C4778" w:rsidRDefault="00C01A50" w:rsidP="006E513B">
            <w:pPr>
              <w:jc w:val="left"/>
              <w:rPr>
                <w:rFonts w:ascii="Arial" w:hAnsi="Arial" w:cs="Arial"/>
                <w:sz w:val="18"/>
                <w:szCs w:val="18"/>
              </w:rPr>
            </w:pPr>
            <w:r>
              <w:rPr>
                <w:rFonts w:ascii="Arial" w:hAnsi="Arial" w:cs="Arial"/>
                <w:sz w:val="18"/>
                <w:szCs w:val="18"/>
              </w:rPr>
              <w:t xml:space="preserve">Industry groups have information on industry production. Notably, </w:t>
            </w:r>
            <w:r w:rsidRPr="0073285E">
              <w:rPr>
                <w:rFonts w:ascii="Arial" w:hAnsi="Arial" w:cs="Arial"/>
                <w:b/>
                <w:sz w:val="18"/>
                <w:szCs w:val="18"/>
              </w:rPr>
              <w:t>Dairy Australia</w:t>
            </w:r>
            <w:r>
              <w:rPr>
                <w:rFonts w:ascii="Arial" w:hAnsi="Arial" w:cs="Arial"/>
                <w:sz w:val="18"/>
                <w:szCs w:val="18"/>
              </w:rPr>
              <w:t xml:space="preserve"> report on GMID milk production</w:t>
            </w:r>
          </w:p>
        </w:tc>
      </w:tr>
      <w:tr w:rsidR="00C01A50" w:rsidRPr="00B02CF4" w14:paraId="0279F354" w14:textId="77777777">
        <w:trPr>
          <w:cantSplit/>
          <w:trHeight w:val="139"/>
        </w:trPr>
        <w:tc>
          <w:tcPr>
            <w:tcW w:w="932" w:type="pct"/>
          </w:tcPr>
          <w:p w14:paraId="6234C6AB" w14:textId="77777777" w:rsidR="00C01A50" w:rsidRPr="005C4778" w:rsidRDefault="00C01A50" w:rsidP="006E513B">
            <w:pPr>
              <w:jc w:val="left"/>
              <w:rPr>
                <w:rFonts w:ascii="Arial" w:hAnsi="Arial" w:cs="Arial"/>
                <w:sz w:val="18"/>
                <w:szCs w:val="18"/>
              </w:rPr>
            </w:pPr>
            <w:r w:rsidRPr="005C4778">
              <w:rPr>
                <w:rFonts w:ascii="Arial" w:hAnsi="Arial" w:cs="Arial"/>
                <w:sz w:val="18"/>
                <w:szCs w:val="18"/>
              </w:rPr>
              <w:t xml:space="preserve">Patterns of water trading </w:t>
            </w:r>
          </w:p>
          <w:p w14:paraId="1DB6803D" w14:textId="77777777" w:rsidR="00C01A50" w:rsidRPr="005C4778" w:rsidRDefault="00C01A50" w:rsidP="006E513B">
            <w:pPr>
              <w:jc w:val="left"/>
              <w:rPr>
                <w:rFonts w:ascii="Arial" w:hAnsi="Arial" w:cs="Arial"/>
                <w:sz w:val="18"/>
                <w:szCs w:val="18"/>
              </w:rPr>
            </w:pPr>
          </w:p>
        </w:tc>
        <w:tc>
          <w:tcPr>
            <w:tcW w:w="4068" w:type="pct"/>
          </w:tcPr>
          <w:p w14:paraId="7D627022" w14:textId="77777777" w:rsidR="00C01A50" w:rsidRDefault="00C01A50" w:rsidP="006E513B">
            <w:pPr>
              <w:jc w:val="left"/>
              <w:rPr>
                <w:rFonts w:ascii="Arial" w:hAnsi="Arial" w:cs="Arial"/>
                <w:sz w:val="18"/>
                <w:szCs w:val="18"/>
              </w:rPr>
            </w:pPr>
            <w:r w:rsidRPr="00721758">
              <w:rPr>
                <w:rFonts w:ascii="Arial" w:hAnsi="Arial" w:cs="Arial"/>
                <w:b/>
                <w:sz w:val="18"/>
                <w:szCs w:val="18"/>
              </w:rPr>
              <w:t>Water register data</w:t>
            </w:r>
            <w:r>
              <w:rPr>
                <w:rFonts w:ascii="Arial" w:hAnsi="Arial" w:cs="Arial"/>
                <w:sz w:val="18"/>
                <w:szCs w:val="18"/>
              </w:rPr>
              <w:t xml:space="preserve"> provides detailed information on Victorian trades, and net interstate trade.</w:t>
            </w:r>
          </w:p>
          <w:p w14:paraId="4474CF99" w14:textId="77777777" w:rsidR="00C01A50" w:rsidRDefault="00C01A50" w:rsidP="006E513B">
            <w:pPr>
              <w:jc w:val="left"/>
              <w:rPr>
                <w:rFonts w:ascii="Arial" w:hAnsi="Arial" w:cs="Arial"/>
                <w:sz w:val="18"/>
                <w:szCs w:val="18"/>
              </w:rPr>
            </w:pPr>
            <w:r w:rsidRPr="00721758">
              <w:rPr>
                <w:rFonts w:ascii="Arial" w:hAnsi="Arial" w:cs="Arial"/>
                <w:b/>
                <w:sz w:val="18"/>
                <w:szCs w:val="18"/>
              </w:rPr>
              <w:t>Water register data</w:t>
            </w:r>
            <w:r>
              <w:rPr>
                <w:rFonts w:ascii="Arial" w:hAnsi="Arial" w:cs="Arial"/>
                <w:sz w:val="18"/>
                <w:szCs w:val="18"/>
              </w:rPr>
              <w:t xml:space="preserve"> analysis looked at actions before and after sale of water to Commonwealth</w:t>
            </w:r>
          </w:p>
          <w:p w14:paraId="504CF52D" w14:textId="77777777" w:rsidR="00C01A50" w:rsidRDefault="00C01A50" w:rsidP="006E513B">
            <w:pPr>
              <w:jc w:val="left"/>
              <w:rPr>
                <w:rFonts w:ascii="Arial" w:hAnsi="Arial" w:cs="Arial"/>
                <w:sz w:val="18"/>
                <w:szCs w:val="18"/>
              </w:rPr>
            </w:pPr>
            <w:r w:rsidRPr="0073285E">
              <w:rPr>
                <w:rFonts w:ascii="Arial" w:hAnsi="Arial" w:cs="Arial"/>
                <w:b/>
                <w:sz w:val="18"/>
                <w:szCs w:val="18"/>
              </w:rPr>
              <w:t>ABARES water markets report</w:t>
            </w:r>
            <w:r>
              <w:rPr>
                <w:rFonts w:ascii="Arial" w:hAnsi="Arial" w:cs="Arial"/>
                <w:sz w:val="18"/>
                <w:szCs w:val="18"/>
              </w:rPr>
              <w:t xml:space="preserve"> broader market outcomes</w:t>
            </w:r>
          </w:p>
          <w:p w14:paraId="33669BF6" w14:textId="77777777" w:rsidR="00C01A50" w:rsidRPr="005C4778" w:rsidRDefault="00C01A50" w:rsidP="006E513B">
            <w:pPr>
              <w:jc w:val="left"/>
              <w:rPr>
                <w:rFonts w:ascii="Arial" w:hAnsi="Arial" w:cs="Arial"/>
                <w:sz w:val="18"/>
                <w:szCs w:val="18"/>
              </w:rPr>
            </w:pPr>
            <w:r w:rsidRPr="0073285E">
              <w:rPr>
                <w:rFonts w:ascii="Arial" w:hAnsi="Arial" w:cs="Arial"/>
                <w:b/>
                <w:sz w:val="18"/>
                <w:szCs w:val="18"/>
              </w:rPr>
              <w:t>ABARES Farm Survey</w:t>
            </w:r>
            <w:r>
              <w:rPr>
                <w:rFonts w:ascii="Arial" w:hAnsi="Arial" w:cs="Arial"/>
                <w:sz w:val="18"/>
                <w:szCs w:val="18"/>
              </w:rPr>
              <w:t xml:space="preserve"> publications including information on the industry associated with water trading</w:t>
            </w:r>
          </w:p>
        </w:tc>
      </w:tr>
      <w:tr w:rsidR="00C01A50" w:rsidRPr="00B02CF4" w14:paraId="6BB29FF3" w14:textId="77777777">
        <w:trPr>
          <w:cnfStyle w:val="000000100000" w:firstRow="0" w:lastRow="0" w:firstColumn="0" w:lastColumn="0" w:oddVBand="0" w:evenVBand="0" w:oddHBand="1" w:evenHBand="0" w:firstRowFirstColumn="0" w:firstRowLastColumn="0" w:lastRowFirstColumn="0" w:lastRowLastColumn="0"/>
          <w:cantSplit/>
          <w:trHeight w:val="139"/>
        </w:trPr>
        <w:tc>
          <w:tcPr>
            <w:tcW w:w="932" w:type="pct"/>
          </w:tcPr>
          <w:p w14:paraId="1B789185" w14:textId="77777777" w:rsidR="00C01A50" w:rsidRPr="005C4778" w:rsidRDefault="00C01A50" w:rsidP="006E513B">
            <w:pPr>
              <w:jc w:val="left"/>
              <w:rPr>
                <w:rFonts w:ascii="Arial" w:hAnsi="Arial" w:cs="Arial"/>
                <w:sz w:val="18"/>
                <w:szCs w:val="18"/>
              </w:rPr>
            </w:pPr>
            <w:r w:rsidRPr="005C4778">
              <w:rPr>
                <w:rFonts w:ascii="Arial" w:hAnsi="Arial" w:cs="Arial"/>
                <w:sz w:val="18"/>
                <w:szCs w:val="18"/>
              </w:rPr>
              <w:t>Measure of productivity</w:t>
            </w:r>
          </w:p>
        </w:tc>
        <w:tc>
          <w:tcPr>
            <w:tcW w:w="4068" w:type="pct"/>
          </w:tcPr>
          <w:p w14:paraId="7B73510A" w14:textId="77777777" w:rsidR="00C01A50" w:rsidRDefault="00C01A50" w:rsidP="006E513B">
            <w:pPr>
              <w:jc w:val="left"/>
              <w:rPr>
                <w:rFonts w:ascii="Arial" w:hAnsi="Arial" w:cs="Arial"/>
                <w:sz w:val="18"/>
                <w:szCs w:val="18"/>
              </w:rPr>
            </w:pPr>
            <w:r>
              <w:rPr>
                <w:rFonts w:ascii="Arial" w:hAnsi="Arial" w:cs="Arial"/>
                <w:sz w:val="18"/>
                <w:szCs w:val="18"/>
              </w:rPr>
              <w:t>Irrigation water use is supplementary water, so in addition to rainfall. A productivity index needs to be careful with capital (as per gross budget per ML), which is hard for opportunistic irrigation industries.</w:t>
            </w:r>
          </w:p>
          <w:p w14:paraId="11F8E68B" w14:textId="77777777" w:rsidR="00C01A50" w:rsidRDefault="00C01A50" w:rsidP="006E513B">
            <w:pPr>
              <w:jc w:val="left"/>
              <w:rPr>
                <w:rFonts w:ascii="Arial" w:hAnsi="Arial" w:cs="Arial"/>
                <w:sz w:val="18"/>
                <w:szCs w:val="18"/>
              </w:rPr>
            </w:pPr>
            <w:r>
              <w:rPr>
                <w:rFonts w:ascii="Arial" w:hAnsi="Arial" w:cs="Arial"/>
                <w:sz w:val="18"/>
                <w:szCs w:val="18"/>
              </w:rPr>
              <w:t xml:space="preserve">Water use efficiency: reported in </w:t>
            </w:r>
            <w:r w:rsidRPr="0073285E">
              <w:rPr>
                <w:rFonts w:ascii="Arial" w:hAnsi="Arial" w:cs="Arial"/>
                <w:b/>
                <w:sz w:val="18"/>
                <w:szCs w:val="18"/>
              </w:rPr>
              <w:t>ABARES</w:t>
            </w:r>
            <w:r>
              <w:rPr>
                <w:rFonts w:ascii="Arial" w:hAnsi="Arial" w:cs="Arial"/>
                <w:b/>
                <w:sz w:val="18"/>
                <w:szCs w:val="18"/>
              </w:rPr>
              <w:t xml:space="preserve"> Farm Survey </w:t>
            </w:r>
            <w:r>
              <w:rPr>
                <w:rFonts w:ascii="Arial" w:hAnsi="Arial" w:cs="Arial"/>
                <w:sz w:val="18"/>
                <w:szCs w:val="18"/>
              </w:rPr>
              <w:t>publications</w:t>
            </w:r>
          </w:p>
          <w:p w14:paraId="14B12A5B" w14:textId="77777777" w:rsidR="00C01A50" w:rsidRPr="0073285E" w:rsidRDefault="00C01A50" w:rsidP="006E513B">
            <w:pPr>
              <w:jc w:val="left"/>
              <w:rPr>
                <w:rFonts w:ascii="Arial" w:hAnsi="Arial" w:cs="Arial"/>
                <w:sz w:val="18"/>
                <w:szCs w:val="18"/>
              </w:rPr>
            </w:pPr>
            <w:r>
              <w:rPr>
                <w:rFonts w:ascii="Arial" w:hAnsi="Arial" w:cs="Arial"/>
                <w:sz w:val="18"/>
                <w:szCs w:val="18"/>
              </w:rPr>
              <w:t xml:space="preserve">Profitability reported in </w:t>
            </w:r>
            <w:r w:rsidRPr="0073285E">
              <w:rPr>
                <w:rFonts w:ascii="Arial" w:hAnsi="Arial" w:cs="Arial"/>
                <w:b/>
                <w:sz w:val="18"/>
                <w:szCs w:val="18"/>
              </w:rPr>
              <w:t>ABARES</w:t>
            </w:r>
            <w:r>
              <w:rPr>
                <w:rFonts w:ascii="Arial" w:hAnsi="Arial" w:cs="Arial"/>
                <w:b/>
                <w:sz w:val="18"/>
                <w:szCs w:val="18"/>
              </w:rPr>
              <w:t xml:space="preserve"> Farm Survey </w:t>
            </w:r>
            <w:r>
              <w:rPr>
                <w:rFonts w:ascii="Arial" w:hAnsi="Arial" w:cs="Arial"/>
                <w:sz w:val="18"/>
                <w:szCs w:val="18"/>
              </w:rPr>
              <w:t>publications, showing relativities between industries, across years, and spread of farms.</w:t>
            </w:r>
          </w:p>
        </w:tc>
      </w:tr>
      <w:tr w:rsidR="00C01A50" w:rsidRPr="00B02CF4" w14:paraId="63462238" w14:textId="77777777">
        <w:trPr>
          <w:cantSplit/>
          <w:trHeight w:val="139"/>
        </w:trPr>
        <w:tc>
          <w:tcPr>
            <w:tcW w:w="932" w:type="pct"/>
          </w:tcPr>
          <w:p w14:paraId="3EAF24A3" w14:textId="77777777" w:rsidR="00C01A50" w:rsidRPr="005C4778" w:rsidRDefault="00C01A50" w:rsidP="006E513B">
            <w:pPr>
              <w:jc w:val="left"/>
              <w:rPr>
                <w:rFonts w:ascii="Arial" w:hAnsi="Arial" w:cs="Arial"/>
                <w:sz w:val="18"/>
                <w:szCs w:val="18"/>
              </w:rPr>
            </w:pPr>
            <w:r w:rsidRPr="005C4778">
              <w:rPr>
                <w:rFonts w:ascii="Arial" w:hAnsi="Arial" w:cs="Arial"/>
                <w:sz w:val="18"/>
                <w:szCs w:val="18"/>
              </w:rPr>
              <w:lastRenderedPageBreak/>
              <w:t>Measure of rate of return per unit of water used</w:t>
            </w:r>
          </w:p>
        </w:tc>
        <w:tc>
          <w:tcPr>
            <w:tcW w:w="4068" w:type="pct"/>
          </w:tcPr>
          <w:p w14:paraId="601D68B0" w14:textId="77777777" w:rsidR="00C01A50" w:rsidRPr="005C4778" w:rsidRDefault="00C01A50" w:rsidP="006E513B">
            <w:pPr>
              <w:jc w:val="left"/>
              <w:rPr>
                <w:rFonts w:ascii="Arial" w:hAnsi="Arial" w:cs="Arial"/>
                <w:sz w:val="18"/>
                <w:szCs w:val="18"/>
              </w:rPr>
            </w:pPr>
            <w:r w:rsidRPr="00834344">
              <w:rPr>
                <w:rFonts w:ascii="Arial" w:hAnsi="Arial" w:cs="Arial"/>
                <w:b/>
                <w:sz w:val="18"/>
                <w:szCs w:val="18"/>
              </w:rPr>
              <w:t>Not used.</w:t>
            </w:r>
            <w:r>
              <w:rPr>
                <w:rFonts w:ascii="Arial" w:hAnsi="Arial" w:cs="Arial"/>
                <w:sz w:val="18"/>
                <w:szCs w:val="18"/>
              </w:rPr>
              <w:t xml:space="preserve"> ABS discontinued use of the metric of gross farm budget per ML based on advice from the Productivity Commission. Caution is advised if using these partial metrics.</w:t>
            </w:r>
          </w:p>
        </w:tc>
      </w:tr>
      <w:tr w:rsidR="00C01A50" w:rsidRPr="00B02CF4" w14:paraId="519F19F0" w14:textId="77777777">
        <w:trPr>
          <w:cnfStyle w:val="000000100000" w:firstRow="0" w:lastRow="0" w:firstColumn="0" w:lastColumn="0" w:oddVBand="0" w:evenVBand="0" w:oddHBand="1" w:evenHBand="0" w:firstRowFirstColumn="0" w:firstRowLastColumn="0" w:lastRowFirstColumn="0" w:lastRowLastColumn="0"/>
          <w:cantSplit/>
          <w:trHeight w:val="139"/>
        </w:trPr>
        <w:tc>
          <w:tcPr>
            <w:tcW w:w="932" w:type="pct"/>
          </w:tcPr>
          <w:p w14:paraId="149BA8F8" w14:textId="77777777" w:rsidR="00C01A50" w:rsidRPr="005C4778" w:rsidRDefault="00C01A50" w:rsidP="006E513B">
            <w:pPr>
              <w:jc w:val="left"/>
              <w:rPr>
                <w:rFonts w:ascii="Arial" w:hAnsi="Arial" w:cs="Arial"/>
                <w:sz w:val="18"/>
                <w:szCs w:val="18"/>
              </w:rPr>
            </w:pPr>
            <w:r>
              <w:rPr>
                <w:rFonts w:ascii="Arial" w:hAnsi="Arial" w:cs="Arial"/>
                <w:sz w:val="18"/>
                <w:szCs w:val="18"/>
              </w:rPr>
              <w:t>Change in structure of irrigation industries</w:t>
            </w:r>
            <w:r w:rsidRPr="00520F7E">
              <w:rPr>
                <w:rFonts w:ascii="Arial" w:hAnsi="Arial" w:cs="Arial"/>
                <w:sz w:val="18"/>
                <w:szCs w:val="18"/>
              </w:rPr>
              <w:t xml:space="preserve"> </w:t>
            </w:r>
            <w:r>
              <w:rPr>
                <w:rFonts w:ascii="Arial" w:hAnsi="Arial" w:cs="Arial"/>
                <w:sz w:val="18"/>
                <w:szCs w:val="18"/>
              </w:rPr>
              <w:t>(</w:t>
            </w:r>
            <w:r w:rsidRPr="00520F7E">
              <w:rPr>
                <w:rFonts w:ascii="Arial" w:hAnsi="Arial" w:cs="Arial"/>
                <w:sz w:val="18"/>
                <w:szCs w:val="18"/>
              </w:rPr>
              <w:t>Number of agricultural businesses (no.)</w:t>
            </w:r>
            <w:r>
              <w:rPr>
                <w:rFonts w:ascii="Arial" w:hAnsi="Arial" w:cs="Arial"/>
                <w:sz w:val="18"/>
                <w:szCs w:val="18"/>
              </w:rPr>
              <w:t xml:space="preserve">, </w:t>
            </w:r>
            <w:r w:rsidRPr="00520F7E">
              <w:rPr>
                <w:rFonts w:ascii="Arial" w:hAnsi="Arial" w:cs="Arial"/>
                <w:sz w:val="18"/>
                <w:szCs w:val="18"/>
              </w:rPr>
              <w:t>Number of agricultural businesses irrigating (no.)</w:t>
            </w:r>
          </w:p>
        </w:tc>
        <w:tc>
          <w:tcPr>
            <w:tcW w:w="4068" w:type="pct"/>
          </w:tcPr>
          <w:p w14:paraId="32ADF7C7" w14:textId="77777777" w:rsidR="00C01A50" w:rsidRDefault="00C01A50" w:rsidP="006E513B">
            <w:pPr>
              <w:jc w:val="left"/>
              <w:rPr>
                <w:rFonts w:ascii="Arial" w:hAnsi="Arial" w:cs="Arial"/>
                <w:sz w:val="18"/>
                <w:szCs w:val="18"/>
              </w:rPr>
            </w:pPr>
            <w:r>
              <w:rPr>
                <w:rFonts w:ascii="Arial" w:hAnsi="Arial" w:cs="Arial"/>
                <w:sz w:val="18"/>
                <w:szCs w:val="18"/>
              </w:rPr>
              <w:t xml:space="preserve">Annual series in </w:t>
            </w:r>
            <w:r w:rsidRPr="00834344">
              <w:rPr>
                <w:rFonts w:ascii="Arial" w:hAnsi="Arial" w:cs="Arial"/>
                <w:b/>
                <w:sz w:val="18"/>
                <w:szCs w:val="18"/>
              </w:rPr>
              <w:t>ABS 4618.0</w:t>
            </w:r>
            <w:r>
              <w:rPr>
                <w:rFonts w:ascii="Arial" w:hAnsi="Arial" w:cs="Arial"/>
                <w:sz w:val="18"/>
                <w:szCs w:val="18"/>
              </w:rPr>
              <w:t>. There is underlying trend in farm aggregation.</w:t>
            </w:r>
          </w:p>
          <w:p w14:paraId="57076449" w14:textId="77777777" w:rsidR="00C01A50" w:rsidRDefault="00C01A50" w:rsidP="006E513B">
            <w:pPr>
              <w:jc w:val="left"/>
              <w:rPr>
                <w:rFonts w:ascii="Arial" w:hAnsi="Arial" w:cs="Arial"/>
                <w:sz w:val="18"/>
                <w:szCs w:val="18"/>
              </w:rPr>
            </w:pPr>
            <w:r w:rsidRPr="00834344">
              <w:rPr>
                <w:rFonts w:ascii="Arial" w:hAnsi="Arial" w:cs="Arial"/>
                <w:b/>
                <w:sz w:val="18"/>
                <w:szCs w:val="18"/>
              </w:rPr>
              <w:t>Land use data</w:t>
            </w:r>
            <w:r>
              <w:rPr>
                <w:rFonts w:ascii="Arial" w:hAnsi="Arial" w:cs="Arial"/>
                <w:sz w:val="18"/>
                <w:szCs w:val="18"/>
              </w:rPr>
              <w:t xml:space="preserve"> project</w:t>
            </w:r>
          </w:p>
        </w:tc>
      </w:tr>
      <w:tr w:rsidR="00C01A50" w:rsidRPr="00B02CF4" w14:paraId="1351E003" w14:textId="77777777">
        <w:trPr>
          <w:cantSplit/>
          <w:trHeight w:val="139"/>
        </w:trPr>
        <w:tc>
          <w:tcPr>
            <w:tcW w:w="932" w:type="pct"/>
          </w:tcPr>
          <w:p w14:paraId="5FB2E8B9" w14:textId="77777777" w:rsidR="00C01A50" w:rsidRDefault="00C01A50" w:rsidP="006E513B">
            <w:pPr>
              <w:jc w:val="left"/>
              <w:rPr>
                <w:rFonts w:ascii="Arial" w:hAnsi="Arial" w:cs="Arial"/>
                <w:sz w:val="18"/>
                <w:szCs w:val="18"/>
              </w:rPr>
            </w:pPr>
            <w:r>
              <w:rPr>
                <w:rFonts w:ascii="Arial" w:hAnsi="Arial" w:cs="Arial"/>
                <w:sz w:val="18"/>
                <w:szCs w:val="18"/>
              </w:rPr>
              <w:t>Socio-economic context</w:t>
            </w:r>
          </w:p>
        </w:tc>
        <w:tc>
          <w:tcPr>
            <w:tcW w:w="4068" w:type="pct"/>
          </w:tcPr>
          <w:p w14:paraId="6D96E78E" w14:textId="77777777" w:rsidR="00C01A50" w:rsidRDefault="00C01A50" w:rsidP="006E513B">
            <w:pPr>
              <w:jc w:val="left"/>
              <w:rPr>
                <w:rFonts w:ascii="Arial" w:hAnsi="Arial" w:cs="Arial"/>
                <w:sz w:val="18"/>
                <w:szCs w:val="18"/>
              </w:rPr>
            </w:pPr>
            <w:r w:rsidRPr="00167A78">
              <w:rPr>
                <w:rFonts w:ascii="Arial" w:hAnsi="Arial" w:cs="Arial"/>
                <w:b/>
                <w:sz w:val="18"/>
                <w:szCs w:val="18"/>
              </w:rPr>
              <w:t>ABS census data</w:t>
            </w:r>
            <w:r>
              <w:rPr>
                <w:rFonts w:ascii="Arial" w:hAnsi="Arial" w:cs="Arial"/>
                <w:sz w:val="18"/>
                <w:szCs w:val="18"/>
              </w:rPr>
              <w:t>: on population, employment, income trends</w:t>
            </w:r>
          </w:p>
          <w:p w14:paraId="513E376F" w14:textId="77777777" w:rsidR="00C01A50" w:rsidRDefault="00C01A50" w:rsidP="006E513B">
            <w:pPr>
              <w:jc w:val="left"/>
              <w:rPr>
                <w:rFonts w:ascii="Arial" w:hAnsi="Arial" w:cs="Arial"/>
                <w:sz w:val="18"/>
                <w:szCs w:val="18"/>
              </w:rPr>
            </w:pPr>
            <w:r w:rsidRPr="00167A78">
              <w:rPr>
                <w:rFonts w:ascii="Arial" w:hAnsi="Arial" w:cs="Arial"/>
                <w:b/>
                <w:sz w:val="18"/>
                <w:szCs w:val="18"/>
              </w:rPr>
              <w:t>ABS census data</w:t>
            </w:r>
            <w:r>
              <w:rPr>
                <w:rFonts w:ascii="Arial" w:hAnsi="Arial" w:cs="Arial"/>
                <w:sz w:val="18"/>
                <w:szCs w:val="18"/>
              </w:rPr>
              <w:t xml:space="preserve">: Employment on industry level ‘Agriculture, Forestry and Fisheries’. </w:t>
            </w:r>
          </w:p>
          <w:p w14:paraId="5AE1791C" w14:textId="77777777" w:rsidR="00C01A50" w:rsidRDefault="00C01A50" w:rsidP="006E513B">
            <w:pPr>
              <w:jc w:val="left"/>
              <w:rPr>
                <w:rFonts w:ascii="Arial" w:hAnsi="Arial" w:cs="Arial"/>
                <w:sz w:val="18"/>
                <w:szCs w:val="18"/>
              </w:rPr>
            </w:pPr>
            <w:r w:rsidRPr="00167A78">
              <w:rPr>
                <w:rFonts w:ascii="Arial" w:hAnsi="Arial" w:cs="Arial"/>
                <w:b/>
                <w:sz w:val="18"/>
                <w:szCs w:val="18"/>
              </w:rPr>
              <w:t>ABS census data</w:t>
            </w:r>
            <w:r>
              <w:rPr>
                <w:rFonts w:ascii="Arial" w:hAnsi="Arial" w:cs="Arial"/>
                <w:sz w:val="18"/>
                <w:szCs w:val="18"/>
              </w:rPr>
              <w:t>: Employment at 3</w:t>
            </w:r>
            <w:r w:rsidRPr="00167A78">
              <w:rPr>
                <w:rFonts w:ascii="Arial" w:hAnsi="Arial" w:cs="Arial"/>
                <w:sz w:val="18"/>
                <w:szCs w:val="18"/>
              </w:rPr>
              <w:t>-digit ANZSIC categorisation</w:t>
            </w:r>
            <w:r>
              <w:rPr>
                <w:rFonts w:ascii="Arial" w:hAnsi="Arial" w:cs="Arial"/>
                <w:sz w:val="18"/>
                <w:szCs w:val="18"/>
              </w:rPr>
              <w:t xml:space="preserve"> in ‘</w:t>
            </w:r>
            <w:r w:rsidRPr="00167A78">
              <w:rPr>
                <w:rFonts w:ascii="Arial" w:hAnsi="Arial" w:cs="Arial"/>
                <w:sz w:val="18"/>
                <w:szCs w:val="18"/>
              </w:rPr>
              <w:t>Dairy Cattle Farming</w:t>
            </w:r>
            <w:r>
              <w:rPr>
                <w:rFonts w:ascii="Arial" w:hAnsi="Arial" w:cs="Arial"/>
                <w:sz w:val="18"/>
                <w:szCs w:val="18"/>
              </w:rPr>
              <w:t>’, ‘</w:t>
            </w:r>
            <w:r w:rsidRPr="00167A78">
              <w:rPr>
                <w:rFonts w:ascii="Arial" w:hAnsi="Arial" w:cs="Arial"/>
                <w:sz w:val="18"/>
                <w:szCs w:val="18"/>
              </w:rPr>
              <w:t>Dairy Product Manufacturing</w:t>
            </w:r>
            <w:r>
              <w:rPr>
                <w:rFonts w:ascii="Arial" w:hAnsi="Arial" w:cs="Arial"/>
                <w:sz w:val="18"/>
                <w:szCs w:val="18"/>
              </w:rPr>
              <w:t>’, ‘</w:t>
            </w:r>
            <w:r w:rsidRPr="00167A78">
              <w:rPr>
                <w:rFonts w:ascii="Arial" w:hAnsi="Arial" w:cs="Arial"/>
                <w:sz w:val="18"/>
                <w:szCs w:val="18"/>
              </w:rPr>
              <w:t>Fruit and Tree Nut Growing</w:t>
            </w:r>
            <w:r>
              <w:rPr>
                <w:rFonts w:ascii="Arial" w:hAnsi="Arial" w:cs="Arial"/>
                <w:sz w:val="18"/>
                <w:szCs w:val="18"/>
              </w:rPr>
              <w:t>’ and ‘</w:t>
            </w:r>
            <w:r w:rsidRPr="00167A78">
              <w:rPr>
                <w:rFonts w:ascii="Arial" w:hAnsi="Arial" w:cs="Arial"/>
                <w:sz w:val="18"/>
                <w:szCs w:val="18"/>
              </w:rPr>
              <w:t>Fruit and Vegetable Processing</w:t>
            </w:r>
            <w:r>
              <w:rPr>
                <w:rFonts w:ascii="Arial" w:hAnsi="Arial" w:cs="Arial"/>
                <w:sz w:val="18"/>
                <w:szCs w:val="18"/>
              </w:rPr>
              <w:t>’ and also 4-digit level.</w:t>
            </w:r>
          </w:p>
          <w:p w14:paraId="16F01492" w14:textId="77777777" w:rsidR="00C01A50" w:rsidRDefault="00C01A50" w:rsidP="006E513B">
            <w:pPr>
              <w:jc w:val="left"/>
              <w:rPr>
                <w:rFonts w:ascii="Arial" w:hAnsi="Arial" w:cs="Arial"/>
                <w:sz w:val="18"/>
                <w:szCs w:val="18"/>
              </w:rPr>
            </w:pPr>
            <w:r w:rsidRPr="00167A78">
              <w:rPr>
                <w:rFonts w:ascii="Arial" w:hAnsi="Arial" w:cs="Arial"/>
                <w:b/>
                <w:sz w:val="18"/>
                <w:szCs w:val="18"/>
              </w:rPr>
              <w:t>Regional Wellbeing survey</w:t>
            </w:r>
            <w:r>
              <w:rPr>
                <w:rFonts w:ascii="Arial" w:hAnsi="Arial" w:cs="Arial"/>
                <w:sz w:val="18"/>
                <w:szCs w:val="18"/>
              </w:rPr>
              <w:t xml:space="preserve">: </w:t>
            </w:r>
            <w:r w:rsidRPr="00167A78">
              <w:rPr>
                <w:rFonts w:ascii="Arial" w:hAnsi="Arial" w:cs="Arial"/>
                <w:sz w:val="18"/>
                <w:szCs w:val="18"/>
              </w:rPr>
              <w:t xml:space="preserve">“People and communities” and “Farmers and agriculture” reports </w:t>
            </w:r>
            <w:r>
              <w:rPr>
                <w:rFonts w:ascii="Arial" w:hAnsi="Arial" w:cs="Arial"/>
                <w:sz w:val="18"/>
                <w:szCs w:val="18"/>
              </w:rPr>
              <w:t>available. T</w:t>
            </w:r>
            <w:r w:rsidRPr="00167A78">
              <w:rPr>
                <w:rFonts w:ascii="Arial" w:hAnsi="Arial" w:cs="Arial"/>
                <w:sz w:val="18"/>
                <w:szCs w:val="18"/>
              </w:rPr>
              <w:t>he “Environment and natural resource management” report</w:t>
            </w:r>
            <w:r>
              <w:rPr>
                <w:rFonts w:ascii="Arial" w:hAnsi="Arial" w:cs="Arial"/>
                <w:sz w:val="18"/>
                <w:szCs w:val="18"/>
              </w:rPr>
              <w:t xml:space="preserve"> should provide insights when released.</w:t>
            </w:r>
          </w:p>
        </w:tc>
      </w:tr>
      <w:tr w:rsidR="00C01A50" w:rsidRPr="00B02CF4" w14:paraId="1688EA75" w14:textId="77777777">
        <w:trPr>
          <w:cnfStyle w:val="000000100000" w:firstRow="0" w:lastRow="0" w:firstColumn="0" w:lastColumn="0" w:oddVBand="0" w:evenVBand="0" w:oddHBand="1" w:evenHBand="0" w:firstRowFirstColumn="0" w:firstRowLastColumn="0" w:lastRowFirstColumn="0" w:lastRowLastColumn="0"/>
          <w:cantSplit/>
          <w:trHeight w:val="139"/>
        </w:trPr>
        <w:tc>
          <w:tcPr>
            <w:tcW w:w="932" w:type="pct"/>
          </w:tcPr>
          <w:p w14:paraId="470B84B1" w14:textId="77777777" w:rsidR="00C01A50" w:rsidRDefault="00C01A50" w:rsidP="006E513B">
            <w:pPr>
              <w:jc w:val="left"/>
              <w:rPr>
                <w:rFonts w:ascii="Arial" w:hAnsi="Arial" w:cs="Arial"/>
                <w:sz w:val="18"/>
                <w:szCs w:val="18"/>
              </w:rPr>
            </w:pPr>
            <w:r>
              <w:rPr>
                <w:rFonts w:ascii="Arial" w:hAnsi="Arial" w:cs="Arial"/>
                <w:sz w:val="18"/>
                <w:szCs w:val="18"/>
              </w:rPr>
              <w:t>Community relative vulnerability</w:t>
            </w:r>
          </w:p>
        </w:tc>
        <w:tc>
          <w:tcPr>
            <w:tcW w:w="4068" w:type="pct"/>
          </w:tcPr>
          <w:p w14:paraId="1FEE5D95" w14:textId="77777777" w:rsidR="00C01A50" w:rsidRPr="00167A78" w:rsidRDefault="00C01A50" w:rsidP="006E513B">
            <w:pPr>
              <w:jc w:val="left"/>
              <w:rPr>
                <w:rFonts w:ascii="Arial" w:hAnsi="Arial" w:cs="Arial"/>
                <w:sz w:val="18"/>
                <w:szCs w:val="18"/>
              </w:rPr>
            </w:pPr>
            <w:r w:rsidRPr="00167A78">
              <w:rPr>
                <w:rFonts w:ascii="Arial" w:hAnsi="Arial" w:cs="Arial"/>
                <w:b/>
                <w:sz w:val="18"/>
                <w:szCs w:val="18"/>
              </w:rPr>
              <w:t>EBC 2011</w:t>
            </w:r>
            <w:r>
              <w:rPr>
                <w:rFonts w:ascii="Arial" w:hAnsi="Arial" w:cs="Arial"/>
                <w:sz w:val="18"/>
                <w:szCs w:val="18"/>
              </w:rPr>
              <w:t>: provides classification</w:t>
            </w:r>
          </w:p>
        </w:tc>
      </w:tr>
    </w:tbl>
    <w:p w14:paraId="1D974F5E" w14:textId="77777777" w:rsidR="00450CDD" w:rsidRDefault="00C01A50" w:rsidP="00450CDD">
      <w:pPr>
        <w:pStyle w:val="CommentText"/>
      </w:pPr>
      <w:r>
        <w:t xml:space="preserve">The groups of metrics presented in the table are consistent with the groups used in </w:t>
      </w:r>
      <w:hyperlink r:id="rId90" w:history="1">
        <w:r w:rsidR="00450CDD" w:rsidRPr="006F1C2C">
          <w:rPr>
            <w:rStyle w:val="Hyperlink"/>
          </w:rPr>
          <w:t>http://www.mdba.gov.au/publications/mdba-reports/murray-darling-basin-water-reforms-framework-evaluating-progress</w:t>
        </w:r>
      </w:hyperlink>
      <w:r w:rsidR="00450CDD">
        <w:t xml:space="preserve"> </w:t>
      </w:r>
    </w:p>
    <w:p w14:paraId="50CC79DA" w14:textId="77777777" w:rsidR="00C01A50" w:rsidRDefault="00C01A50" w:rsidP="00E00AD9">
      <w:r>
        <w:t>One exception is ‘</w:t>
      </w:r>
      <w:r w:rsidRPr="008B26BF">
        <w:t>Measure of rate of return per unit of water used</w:t>
      </w:r>
      <w:r>
        <w:t xml:space="preserve">’. The use of such metrics is not recommended. </w:t>
      </w:r>
      <w:r w:rsidRPr="008B26BF">
        <w:t>ABS discontinued use of the metric of gross farm budget per ML based on advice from the Productivity Commission</w:t>
      </w:r>
      <w:r>
        <w:t>, since such measures do not take into account the differing capital requirements and other fixed costs that vary between industries</w:t>
      </w:r>
      <w:r w:rsidRPr="008B26BF">
        <w:t>. Caution is advised if using these partial metrics</w:t>
      </w:r>
      <w:r>
        <w:t>.</w:t>
      </w:r>
    </w:p>
    <w:p w14:paraId="4F6B7C95" w14:textId="77777777" w:rsidR="00C01A50" w:rsidRPr="00190273" w:rsidRDefault="00C01A50" w:rsidP="00E00AD9">
      <w:pPr>
        <w:rPr>
          <w:lang w:val="en-AU"/>
        </w:rPr>
      </w:pPr>
      <w:r>
        <w:rPr>
          <w:lang w:val="en-AU"/>
        </w:rPr>
        <w:t xml:space="preserve">There are a number of metrics that will provide useful information in the future — notably when 2016 ABS Census data becomes available, when the Regional Wellbeing </w:t>
      </w:r>
      <w:r w:rsidRPr="00190273">
        <w:rPr>
          <w:lang w:val="en-AU"/>
        </w:rPr>
        <w:t xml:space="preserve">“Environment and natural resource management” report </w:t>
      </w:r>
      <w:r>
        <w:rPr>
          <w:lang w:val="en-AU"/>
        </w:rPr>
        <w:t>becomes available, and when the impact of a dry sequence can be observed given water recovery and changes to the mix of irrigation industries.</w:t>
      </w:r>
    </w:p>
    <w:p w14:paraId="6997388B" w14:textId="77777777" w:rsidR="00C01A50" w:rsidRDefault="00C01A50" w:rsidP="00E00AD9">
      <w:pPr>
        <w:rPr>
          <w:lang w:val="en-AU"/>
        </w:rPr>
      </w:pPr>
      <w:r>
        <w:lastRenderedPageBreak/>
        <w:t xml:space="preserve">As noted above, when using this set of metrics care is required in the attribution of change to water recovery. </w:t>
      </w:r>
    </w:p>
    <w:p w14:paraId="69611338" w14:textId="77777777" w:rsidR="00C01A50" w:rsidRDefault="00C01A50" w:rsidP="00E00AD9">
      <w:pPr>
        <w:pStyle w:val="Heading2"/>
        <w:rPr>
          <w:lang w:val="en-AU"/>
        </w:rPr>
      </w:pPr>
      <w:bookmarkStart w:id="249" w:name="_Toc347747869"/>
      <w:r>
        <w:rPr>
          <w:lang w:val="en-AU"/>
        </w:rPr>
        <w:t>Socio-economic context information</w:t>
      </w:r>
      <w:bookmarkEnd w:id="249"/>
    </w:p>
    <w:p w14:paraId="4C2B4CAB" w14:textId="77777777" w:rsidR="00C01A50" w:rsidRDefault="00C01A50" w:rsidP="00E00AD9">
      <w:pPr>
        <w:rPr>
          <w:lang w:val="en-AU"/>
        </w:rPr>
      </w:pPr>
      <w:r>
        <w:rPr>
          <w:lang w:val="en-AU"/>
        </w:rPr>
        <w:t>This section presents a set of data that provides the socio-economic context for the regions of northern Victoria. Information is included from 1991 to 2011 ABS Census on population, income</w:t>
      </w:r>
      <w:r>
        <w:rPr>
          <w:rStyle w:val="FootnoteReference"/>
          <w:lang w:val="en-AU"/>
        </w:rPr>
        <w:footnoteReference w:id="22"/>
      </w:r>
      <w:r>
        <w:rPr>
          <w:lang w:val="en-AU"/>
        </w:rPr>
        <w:t>, unemployment and participation rates, and the disaggregation of employment between the Agriculture/Forestry/Fisheries sector and other sectors. A common trend is the declining role of agricultural jobs in total employment.</w:t>
      </w:r>
    </w:p>
    <w:p w14:paraId="34292998" w14:textId="77777777" w:rsidR="00C01A50" w:rsidRPr="00912B00" w:rsidRDefault="00C01A50" w:rsidP="00E00AD9">
      <w:pPr>
        <w:rPr>
          <w:lang w:val="en-AU"/>
        </w:rPr>
      </w:pPr>
    </w:p>
    <w:p w14:paraId="2A2D6E28" w14:textId="77777777" w:rsidR="00C01A50" w:rsidRPr="0000281F" w:rsidRDefault="00C01A50" w:rsidP="00E00AD9">
      <w:pPr>
        <w:rPr>
          <w:lang w:val="en-AU"/>
        </w:rPr>
      </w:pPr>
      <w:r>
        <w:rPr>
          <w:noProof/>
          <w:lang w:val="en-AU" w:eastAsia="en-AU" w:bidi="ar-SA"/>
        </w:rPr>
        <w:drawing>
          <wp:inline distT="0" distB="0" distL="0" distR="0" wp14:anchorId="6DF19A1C" wp14:editId="68B222E0">
            <wp:extent cx="5777230" cy="500507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77230" cy="5005070"/>
                    </a:xfrm>
                    <a:prstGeom prst="rect">
                      <a:avLst/>
                    </a:prstGeom>
                    <a:noFill/>
                  </pic:spPr>
                </pic:pic>
              </a:graphicData>
            </a:graphic>
          </wp:inline>
        </w:drawing>
      </w:r>
    </w:p>
    <w:p w14:paraId="2BE7C861" w14:textId="77777777" w:rsidR="00C01A50" w:rsidRDefault="00C01A50" w:rsidP="00E00AD9">
      <w:pPr>
        <w:rPr>
          <w:lang w:val="en-AU"/>
        </w:rPr>
      </w:pPr>
      <w:r>
        <w:rPr>
          <w:noProof/>
          <w:lang w:val="en-AU" w:eastAsia="en-AU" w:bidi="ar-SA"/>
        </w:rPr>
        <w:lastRenderedPageBreak/>
        <w:drawing>
          <wp:inline distT="0" distB="0" distL="0" distR="0" wp14:anchorId="14F0CB36" wp14:editId="74B0964E">
            <wp:extent cx="5231765" cy="4532630"/>
            <wp:effectExtent l="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31765" cy="4532630"/>
                    </a:xfrm>
                    <a:prstGeom prst="rect">
                      <a:avLst/>
                    </a:prstGeom>
                    <a:noFill/>
                  </pic:spPr>
                </pic:pic>
              </a:graphicData>
            </a:graphic>
          </wp:inline>
        </w:drawing>
      </w:r>
    </w:p>
    <w:p w14:paraId="75FEEE87" w14:textId="77777777" w:rsidR="00C01A50" w:rsidRDefault="00C01A50" w:rsidP="00E00AD9">
      <w:pPr>
        <w:rPr>
          <w:lang w:val="en-AU"/>
        </w:rPr>
      </w:pPr>
      <w:r>
        <w:rPr>
          <w:noProof/>
          <w:lang w:val="en-AU" w:eastAsia="en-AU" w:bidi="ar-SA"/>
        </w:rPr>
        <w:lastRenderedPageBreak/>
        <w:drawing>
          <wp:inline distT="0" distB="0" distL="0" distR="0" wp14:anchorId="35831750" wp14:editId="01221DFA">
            <wp:extent cx="5818505" cy="504063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8505" cy="5040630"/>
                    </a:xfrm>
                    <a:prstGeom prst="rect">
                      <a:avLst/>
                    </a:prstGeom>
                    <a:noFill/>
                  </pic:spPr>
                </pic:pic>
              </a:graphicData>
            </a:graphic>
          </wp:inline>
        </w:drawing>
      </w:r>
    </w:p>
    <w:p w14:paraId="5011A136" w14:textId="77777777" w:rsidR="00C01A50" w:rsidRDefault="00C01A50" w:rsidP="00E00AD9">
      <w:pPr>
        <w:rPr>
          <w:lang w:val="en-AU"/>
        </w:rPr>
      </w:pPr>
      <w:r>
        <w:rPr>
          <w:noProof/>
          <w:lang w:val="en-AU" w:eastAsia="en-AU" w:bidi="ar-SA"/>
        </w:rPr>
        <w:lastRenderedPageBreak/>
        <w:drawing>
          <wp:inline distT="0" distB="0" distL="0" distR="0" wp14:anchorId="14E49EFE" wp14:editId="21B43F55">
            <wp:extent cx="5180330" cy="4488180"/>
            <wp:effectExtent l="0" t="0" r="1270"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80330" cy="4488180"/>
                    </a:xfrm>
                    <a:prstGeom prst="rect">
                      <a:avLst/>
                    </a:prstGeom>
                    <a:noFill/>
                  </pic:spPr>
                </pic:pic>
              </a:graphicData>
            </a:graphic>
          </wp:inline>
        </w:drawing>
      </w:r>
    </w:p>
    <w:p w14:paraId="4F626B4F" w14:textId="77777777" w:rsidR="00C01A50" w:rsidRDefault="00C01A50" w:rsidP="00E00AD9">
      <w:pPr>
        <w:rPr>
          <w:lang w:val="en-AU"/>
        </w:rPr>
      </w:pPr>
      <w:r>
        <w:rPr>
          <w:noProof/>
          <w:lang w:val="en-AU" w:eastAsia="en-AU" w:bidi="ar-SA"/>
        </w:rPr>
        <w:lastRenderedPageBreak/>
        <w:drawing>
          <wp:inline distT="0" distB="0" distL="0" distR="0" wp14:anchorId="1AEE62AE" wp14:editId="464C7149">
            <wp:extent cx="5356225" cy="4640580"/>
            <wp:effectExtent l="0" t="0" r="3175"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56225" cy="4640580"/>
                    </a:xfrm>
                    <a:prstGeom prst="rect">
                      <a:avLst/>
                    </a:prstGeom>
                    <a:noFill/>
                  </pic:spPr>
                </pic:pic>
              </a:graphicData>
            </a:graphic>
          </wp:inline>
        </w:drawing>
      </w:r>
    </w:p>
    <w:p w14:paraId="0DBB959C" w14:textId="77777777" w:rsidR="00C01A50" w:rsidRDefault="00C01A50" w:rsidP="00E00AD9">
      <w:pPr>
        <w:rPr>
          <w:lang w:val="en-AU"/>
        </w:rPr>
      </w:pPr>
      <w:r>
        <w:rPr>
          <w:noProof/>
          <w:lang w:val="en-AU" w:eastAsia="en-AU" w:bidi="ar-SA"/>
        </w:rPr>
        <w:lastRenderedPageBreak/>
        <w:drawing>
          <wp:inline distT="0" distB="0" distL="0" distR="0" wp14:anchorId="7DA2C4F6" wp14:editId="686B05CE">
            <wp:extent cx="5763260" cy="4993005"/>
            <wp:effectExtent l="0" t="0" r="2540" b="1079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3260" cy="4993005"/>
                    </a:xfrm>
                    <a:prstGeom prst="rect">
                      <a:avLst/>
                    </a:prstGeom>
                    <a:noFill/>
                  </pic:spPr>
                </pic:pic>
              </a:graphicData>
            </a:graphic>
          </wp:inline>
        </w:drawing>
      </w:r>
    </w:p>
    <w:p w14:paraId="70674854" w14:textId="77777777" w:rsidR="00C01A50" w:rsidRDefault="00C01A50" w:rsidP="00E00AD9">
      <w:pPr>
        <w:rPr>
          <w:lang w:val="en-AU"/>
        </w:rPr>
      </w:pPr>
      <w:r>
        <w:rPr>
          <w:noProof/>
          <w:lang w:val="en-AU" w:eastAsia="en-AU" w:bidi="ar-SA"/>
        </w:rPr>
        <w:lastRenderedPageBreak/>
        <w:drawing>
          <wp:inline distT="0" distB="0" distL="0" distR="0" wp14:anchorId="6CCA942A" wp14:editId="32A2F16A">
            <wp:extent cx="5445125" cy="4717415"/>
            <wp:effectExtent l="0" t="0" r="0" b="69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45125" cy="4717415"/>
                    </a:xfrm>
                    <a:prstGeom prst="rect">
                      <a:avLst/>
                    </a:prstGeom>
                    <a:noFill/>
                  </pic:spPr>
                </pic:pic>
              </a:graphicData>
            </a:graphic>
          </wp:inline>
        </w:drawing>
      </w:r>
    </w:p>
    <w:p w14:paraId="454EA35E" w14:textId="77777777" w:rsidR="00C01A50" w:rsidRDefault="00C01A50" w:rsidP="00E00AD9">
      <w:pPr>
        <w:rPr>
          <w:lang w:val="en-AU"/>
        </w:rPr>
      </w:pPr>
      <w:r>
        <w:rPr>
          <w:noProof/>
          <w:lang w:val="en-AU" w:eastAsia="en-AU" w:bidi="ar-SA"/>
        </w:rPr>
        <w:lastRenderedPageBreak/>
        <w:drawing>
          <wp:inline distT="0" distB="0" distL="0" distR="0" wp14:anchorId="3014478D" wp14:editId="1509B01C">
            <wp:extent cx="5719445" cy="495490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9445" cy="4954905"/>
                    </a:xfrm>
                    <a:prstGeom prst="rect">
                      <a:avLst/>
                    </a:prstGeom>
                    <a:noFill/>
                  </pic:spPr>
                </pic:pic>
              </a:graphicData>
            </a:graphic>
          </wp:inline>
        </w:drawing>
      </w:r>
    </w:p>
    <w:p w14:paraId="74DE39DE" w14:textId="77777777" w:rsidR="00C01A50" w:rsidRDefault="00C01A50" w:rsidP="00E00AD9">
      <w:pPr>
        <w:rPr>
          <w:lang w:val="en-AU"/>
        </w:rPr>
      </w:pPr>
      <w:r>
        <w:rPr>
          <w:noProof/>
          <w:lang w:val="en-AU" w:eastAsia="en-AU" w:bidi="ar-SA"/>
        </w:rPr>
        <w:lastRenderedPageBreak/>
        <w:drawing>
          <wp:inline distT="0" distB="0" distL="0" distR="0" wp14:anchorId="2FB5EB61" wp14:editId="7113AD78">
            <wp:extent cx="5300980" cy="4592955"/>
            <wp:effectExtent l="0" t="0" r="7620" b="44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00980" cy="4592955"/>
                    </a:xfrm>
                    <a:prstGeom prst="rect">
                      <a:avLst/>
                    </a:prstGeom>
                    <a:noFill/>
                  </pic:spPr>
                </pic:pic>
              </a:graphicData>
            </a:graphic>
          </wp:inline>
        </w:drawing>
      </w:r>
    </w:p>
    <w:p w14:paraId="0C5EE8FF" w14:textId="77777777" w:rsidR="00C01A50" w:rsidRDefault="00C01A50" w:rsidP="00E00AD9">
      <w:pPr>
        <w:rPr>
          <w:lang w:val="en-AU"/>
        </w:rPr>
      </w:pPr>
      <w:r>
        <w:rPr>
          <w:noProof/>
          <w:lang w:val="en-AU" w:eastAsia="en-AU" w:bidi="ar-SA"/>
        </w:rPr>
        <w:lastRenderedPageBreak/>
        <w:drawing>
          <wp:inline distT="0" distB="0" distL="0" distR="0" wp14:anchorId="1AF2CE81" wp14:editId="6FE8F2B8">
            <wp:extent cx="5587365" cy="4840605"/>
            <wp:effectExtent l="0" t="0" r="635" b="1079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7365" cy="4840605"/>
                    </a:xfrm>
                    <a:prstGeom prst="rect">
                      <a:avLst/>
                    </a:prstGeom>
                    <a:noFill/>
                  </pic:spPr>
                </pic:pic>
              </a:graphicData>
            </a:graphic>
          </wp:inline>
        </w:drawing>
      </w:r>
    </w:p>
    <w:p w14:paraId="301D2F1E" w14:textId="77777777" w:rsidR="00C01A50" w:rsidRDefault="00C01A50" w:rsidP="00E00AD9">
      <w:pPr>
        <w:rPr>
          <w:lang w:val="en-AU"/>
        </w:rPr>
      </w:pPr>
      <w:r>
        <w:rPr>
          <w:noProof/>
          <w:lang w:val="en-AU" w:eastAsia="en-AU" w:bidi="ar-SA"/>
        </w:rPr>
        <w:lastRenderedPageBreak/>
        <w:drawing>
          <wp:inline distT="0" distB="0" distL="0" distR="0" wp14:anchorId="56B45E1A" wp14:editId="608ADC97">
            <wp:extent cx="5092700" cy="4411980"/>
            <wp:effectExtent l="0" t="0" r="1270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92700" cy="4411980"/>
                    </a:xfrm>
                    <a:prstGeom prst="rect">
                      <a:avLst/>
                    </a:prstGeom>
                    <a:noFill/>
                  </pic:spPr>
                </pic:pic>
              </a:graphicData>
            </a:graphic>
          </wp:inline>
        </w:drawing>
      </w:r>
    </w:p>
    <w:p w14:paraId="6AA55961" w14:textId="77777777" w:rsidR="00C01A50" w:rsidRDefault="00C01A50" w:rsidP="00E00AD9">
      <w:pPr>
        <w:rPr>
          <w:lang w:val="en-AU"/>
        </w:rPr>
      </w:pPr>
      <w:r>
        <w:rPr>
          <w:noProof/>
          <w:lang w:val="en-AU" w:eastAsia="en-AU" w:bidi="ar-SA"/>
        </w:rPr>
        <w:lastRenderedPageBreak/>
        <w:drawing>
          <wp:inline distT="0" distB="0" distL="0" distR="0" wp14:anchorId="4A3D8231" wp14:editId="34B87CE0">
            <wp:extent cx="5587365" cy="4840605"/>
            <wp:effectExtent l="0" t="0" r="635" b="1079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7365" cy="4840605"/>
                    </a:xfrm>
                    <a:prstGeom prst="rect">
                      <a:avLst/>
                    </a:prstGeom>
                    <a:noFill/>
                  </pic:spPr>
                </pic:pic>
              </a:graphicData>
            </a:graphic>
          </wp:inline>
        </w:drawing>
      </w:r>
    </w:p>
    <w:p w14:paraId="6462C304" w14:textId="77777777" w:rsidR="00C01A50" w:rsidRDefault="00C01A50" w:rsidP="00E00AD9">
      <w:pPr>
        <w:rPr>
          <w:lang w:val="en-AU"/>
        </w:rPr>
      </w:pPr>
      <w:r>
        <w:rPr>
          <w:noProof/>
          <w:lang w:val="en-AU" w:eastAsia="en-AU" w:bidi="ar-SA"/>
        </w:rPr>
        <w:lastRenderedPageBreak/>
        <w:drawing>
          <wp:inline distT="0" distB="0" distL="0" distR="0" wp14:anchorId="249B6682" wp14:editId="78B8477D">
            <wp:extent cx="5323205" cy="4612005"/>
            <wp:effectExtent l="0" t="0" r="10795" b="1079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23205" cy="4612005"/>
                    </a:xfrm>
                    <a:prstGeom prst="rect">
                      <a:avLst/>
                    </a:prstGeom>
                    <a:noFill/>
                  </pic:spPr>
                </pic:pic>
              </a:graphicData>
            </a:graphic>
          </wp:inline>
        </w:drawing>
      </w:r>
    </w:p>
    <w:p w14:paraId="3BE0560E" w14:textId="77777777" w:rsidR="00C01A50" w:rsidRDefault="00C01A50" w:rsidP="00E00AD9">
      <w:pPr>
        <w:spacing w:before="0" w:after="0" w:line="240" w:lineRule="auto"/>
        <w:rPr>
          <w:lang w:val="en-AU"/>
        </w:rPr>
      </w:pPr>
      <w:r>
        <w:rPr>
          <w:lang w:val="en-AU"/>
        </w:rPr>
        <w:br w:type="page"/>
      </w:r>
    </w:p>
    <w:p w14:paraId="28523C9E" w14:textId="77777777" w:rsidR="00C01A50" w:rsidRDefault="00C01A50" w:rsidP="00E00AD9">
      <w:pPr>
        <w:pStyle w:val="Heading2"/>
        <w:rPr>
          <w:lang w:val="en-AU"/>
        </w:rPr>
      </w:pPr>
      <w:bookmarkStart w:id="250" w:name="_Toc347747870"/>
      <w:r>
        <w:rPr>
          <w:lang w:val="en-AU"/>
        </w:rPr>
        <w:lastRenderedPageBreak/>
        <w:t>Regional Wellbeing Survey</w:t>
      </w:r>
      <w:bookmarkEnd w:id="250"/>
    </w:p>
    <w:p w14:paraId="75EC3197" w14:textId="77777777" w:rsidR="00C01A50" w:rsidRDefault="00C01A50" w:rsidP="00E00AD9">
      <w:pPr>
        <w:rPr>
          <w:lang w:val="en-AU"/>
        </w:rPr>
      </w:pPr>
      <w:r>
        <w:rPr>
          <w:lang w:val="en-AU"/>
        </w:rPr>
        <w:t>The 2015 Regional Wellbeing Survey included a number of questions asking survey respondents about their expectations of how the Basin Plan would impact:</w:t>
      </w:r>
    </w:p>
    <w:p w14:paraId="013776E7" w14:textId="77777777" w:rsidR="00C01A50" w:rsidRPr="000024C2" w:rsidRDefault="00C01A50" w:rsidP="00302BD9">
      <w:pPr>
        <w:pStyle w:val="ListParagraph"/>
        <w:numPr>
          <w:ilvl w:val="0"/>
          <w:numId w:val="35"/>
        </w:numPr>
        <w:rPr>
          <w:lang w:val="en-AU"/>
        </w:rPr>
      </w:pPr>
      <w:r>
        <w:rPr>
          <w:lang w:val="en-AU"/>
        </w:rPr>
        <w:t>t</w:t>
      </w:r>
      <w:r w:rsidRPr="000024C2">
        <w:rPr>
          <w:lang w:val="en-AU"/>
        </w:rPr>
        <w:t>he health of the environment in the Murray- Darling Basin</w:t>
      </w:r>
    </w:p>
    <w:p w14:paraId="47D937EF" w14:textId="77777777" w:rsidR="00C01A50" w:rsidRPr="000024C2" w:rsidRDefault="00C01A50" w:rsidP="00302BD9">
      <w:pPr>
        <w:pStyle w:val="ListParagraph"/>
        <w:numPr>
          <w:ilvl w:val="0"/>
          <w:numId w:val="35"/>
        </w:numPr>
        <w:rPr>
          <w:lang w:val="en-AU"/>
        </w:rPr>
      </w:pPr>
      <w:r>
        <w:rPr>
          <w:lang w:val="en-AU"/>
        </w:rPr>
        <w:t>t</w:t>
      </w:r>
      <w:r w:rsidRPr="000024C2">
        <w:rPr>
          <w:lang w:val="en-AU"/>
        </w:rPr>
        <w:t>he economy in the Murray- Darling Basin</w:t>
      </w:r>
    </w:p>
    <w:p w14:paraId="7343B89E" w14:textId="77777777" w:rsidR="00C01A50" w:rsidRPr="000024C2" w:rsidRDefault="00C01A50" w:rsidP="00302BD9">
      <w:pPr>
        <w:pStyle w:val="ListParagraph"/>
        <w:numPr>
          <w:ilvl w:val="0"/>
          <w:numId w:val="35"/>
        </w:numPr>
        <w:rPr>
          <w:lang w:val="en-AU"/>
        </w:rPr>
      </w:pPr>
      <w:r>
        <w:rPr>
          <w:lang w:val="en-AU"/>
        </w:rPr>
        <w:t>c</w:t>
      </w:r>
      <w:r w:rsidRPr="000024C2">
        <w:rPr>
          <w:lang w:val="en-AU"/>
        </w:rPr>
        <w:t>ommunities in the Murray- Darling Basin</w:t>
      </w:r>
    </w:p>
    <w:p w14:paraId="080E872E" w14:textId="77777777" w:rsidR="00C01A50" w:rsidRPr="000024C2" w:rsidRDefault="00C01A50" w:rsidP="00302BD9">
      <w:pPr>
        <w:pStyle w:val="ListParagraph"/>
        <w:numPr>
          <w:ilvl w:val="0"/>
          <w:numId w:val="35"/>
        </w:numPr>
        <w:rPr>
          <w:lang w:val="en-AU"/>
        </w:rPr>
      </w:pPr>
      <w:r>
        <w:rPr>
          <w:lang w:val="en-AU"/>
        </w:rPr>
        <w:t>t</w:t>
      </w:r>
      <w:r w:rsidRPr="000024C2">
        <w:rPr>
          <w:lang w:val="en-AU"/>
        </w:rPr>
        <w:t>he Murray-Darling Basin as a whole</w:t>
      </w:r>
    </w:p>
    <w:p w14:paraId="306493E7" w14:textId="77777777" w:rsidR="00C01A50" w:rsidRPr="000024C2" w:rsidRDefault="00C01A50" w:rsidP="00302BD9">
      <w:pPr>
        <w:pStyle w:val="ListParagraph"/>
        <w:numPr>
          <w:ilvl w:val="0"/>
          <w:numId w:val="35"/>
        </w:numPr>
        <w:rPr>
          <w:lang w:val="en-AU"/>
        </w:rPr>
      </w:pPr>
      <w:r>
        <w:rPr>
          <w:lang w:val="en-AU"/>
        </w:rPr>
        <w:t>the respondent’s</w:t>
      </w:r>
      <w:r w:rsidRPr="000024C2">
        <w:rPr>
          <w:lang w:val="en-AU"/>
        </w:rPr>
        <w:t xml:space="preserve"> household</w:t>
      </w:r>
    </w:p>
    <w:p w14:paraId="1D8AD47F" w14:textId="77777777" w:rsidR="00C01A50" w:rsidRPr="000024C2" w:rsidRDefault="00C01A50" w:rsidP="00302BD9">
      <w:pPr>
        <w:pStyle w:val="ListParagraph"/>
        <w:numPr>
          <w:ilvl w:val="0"/>
          <w:numId w:val="35"/>
        </w:numPr>
        <w:rPr>
          <w:lang w:val="en-AU"/>
        </w:rPr>
      </w:pPr>
      <w:r>
        <w:rPr>
          <w:lang w:val="en-AU"/>
        </w:rPr>
        <w:t>the business the respondent</w:t>
      </w:r>
      <w:r w:rsidRPr="000024C2">
        <w:rPr>
          <w:lang w:val="en-AU"/>
        </w:rPr>
        <w:t xml:space="preserve"> work</w:t>
      </w:r>
      <w:r>
        <w:rPr>
          <w:lang w:val="en-AU"/>
        </w:rPr>
        <w:t>s in</w:t>
      </w:r>
    </w:p>
    <w:p w14:paraId="7206BBDD" w14:textId="77777777" w:rsidR="00C01A50" w:rsidRPr="000024C2" w:rsidRDefault="00C01A50" w:rsidP="00302BD9">
      <w:pPr>
        <w:pStyle w:val="ListParagraph"/>
        <w:numPr>
          <w:ilvl w:val="0"/>
          <w:numId w:val="35"/>
        </w:numPr>
        <w:rPr>
          <w:lang w:val="en-AU"/>
        </w:rPr>
      </w:pPr>
      <w:r>
        <w:rPr>
          <w:lang w:val="en-AU"/>
        </w:rPr>
        <w:t>the respondent’s</w:t>
      </w:r>
      <w:r w:rsidRPr="000024C2">
        <w:rPr>
          <w:lang w:val="en-AU"/>
        </w:rPr>
        <w:t xml:space="preserve"> local community</w:t>
      </w:r>
    </w:p>
    <w:p w14:paraId="0762022D" w14:textId="77777777" w:rsidR="00C01A50" w:rsidRPr="000024C2" w:rsidRDefault="00C01A50" w:rsidP="00302BD9">
      <w:pPr>
        <w:pStyle w:val="ListParagraph"/>
        <w:numPr>
          <w:ilvl w:val="0"/>
          <w:numId w:val="35"/>
        </w:numPr>
        <w:rPr>
          <w:lang w:val="en-AU"/>
        </w:rPr>
      </w:pPr>
      <w:r>
        <w:rPr>
          <w:lang w:val="en-AU"/>
        </w:rPr>
        <w:t>the health of the respondent’s</w:t>
      </w:r>
      <w:r w:rsidRPr="000024C2">
        <w:rPr>
          <w:lang w:val="en-AU"/>
        </w:rPr>
        <w:t xml:space="preserve"> local environment</w:t>
      </w:r>
    </w:p>
    <w:p w14:paraId="55FA399C" w14:textId="77777777" w:rsidR="00C01A50" w:rsidRDefault="00C01A50" w:rsidP="00E00AD9">
      <w:pPr>
        <w:rPr>
          <w:lang w:val="en-AU"/>
        </w:rPr>
      </w:pPr>
      <w:r>
        <w:rPr>
          <w:lang w:val="en-AU"/>
        </w:rPr>
        <w:t>Below are the responses provided by 285 Victorian irrigators in the Loddon-Mallee and Hume RDAs. These regions represent the north western and north central regions of Victoria. There were between 252 and 285 responses for each question.</w:t>
      </w:r>
    </w:p>
    <w:p w14:paraId="7B80F786" w14:textId="77777777" w:rsidR="00C01A50" w:rsidRDefault="00C01A50" w:rsidP="00E00AD9">
      <w:pPr>
        <w:rPr>
          <w:lang w:val="en-AU"/>
        </w:rPr>
      </w:pPr>
      <w:r>
        <w:rPr>
          <w:lang w:val="en-AU"/>
        </w:rPr>
        <w:t>In questions relating to the effect of the Basin Plan on community, economy and business, most respondents answer that the Basin Plan will have negative or very negative impacts</w:t>
      </w:r>
      <w:r w:rsidR="006B526D">
        <w:rPr>
          <w:lang w:val="en-AU"/>
        </w:rPr>
        <w:t xml:space="preserve"> (Figures 59</w:t>
      </w:r>
      <w:r w:rsidR="001D669F">
        <w:rPr>
          <w:lang w:val="en-AU"/>
        </w:rPr>
        <w:t>–66)</w:t>
      </w:r>
      <w:r>
        <w:rPr>
          <w:lang w:val="en-AU"/>
        </w:rPr>
        <w:t>.</w:t>
      </w:r>
    </w:p>
    <w:p w14:paraId="1DA4D86D" w14:textId="77777777" w:rsidR="006B526D" w:rsidRDefault="006B526D" w:rsidP="006B526D">
      <w:r>
        <w:rPr>
          <w:noProof/>
          <w:lang w:val="en-AU" w:eastAsia="en-AU" w:bidi="ar-SA"/>
        </w:rPr>
        <w:drawing>
          <wp:inline distT="0" distB="0" distL="0" distR="0" wp14:anchorId="509B8470" wp14:editId="77DA6A9A">
            <wp:extent cx="5222421" cy="3351439"/>
            <wp:effectExtent l="0" t="0" r="10160" b="1905"/>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80F941B" w14:textId="77777777" w:rsidR="006B526D" w:rsidRPr="006B526D" w:rsidRDefault="006B526D" w:rsidP="006B526D">
      <w:pPr>
        <w:rPr>
          <w:b/>
        </w:rPr>
      </w:pPr>
      <w:r w:rsidRPr="003C64EE">
        <w:rPr>
          <w:b/>
        </w:rPr>
        <w:t xml:space="preserve">Figure </w:t>
      </w:r>
      <w:r w:rsidRPr="003C64EE">
        <w:rPr>
          <w:b/>
        </w:rPr>
        <w:fldChar w:fldCharType="begin"/>
      </w:r>
      <w:r w:rsidRPr="003C64EE">
        <w:rPr>
          <w:b/>
        </w:rPr>
        <w:instrText xml:space="preserve"> SEQ Figure \* ARABIC </w:instrText>
      </w:r>
      <w:r w:rsidRPr="003C64EE">
        <w:rPr>
          <w:b/>
        </w:rPr>
        <w:fldChar w:fldCharType="separate"/>
      </w:r>
      <w:r w:rsidR="008E5D7A">
        <w:rPr>
          <w:b/>
          <w:noProof/>
        </w:rPr>
        <w:t>59</w:t>
      </w:r>
      <w:r w:rsidRPr="003C64EE">
        <w:rPr>
          <w:b/>
        </w:rPr>
        <w:fldChar w:fldCharType="end"/>
      </w:r>
      <w:r w:rsidRPr="003C64EE">
        <w:rPr>
          <w:b/>
        </w:rPr>
        <w:t xml:space="preserve"> </w:t>
      </w:r>
      <w:r w:rsidRPr="006B526D">
        <w:rPr>
          <w:b/>
        </w:rPr>
        <w:t>Expected effect of Basin Plan on the health of the environment in the Murray-Darling Basin</w:t>
      </w:r>
    </w:p>
    <w:p w14:paraId="68B1A6B9" w14:textId="77777777" w:rsidR="006B526D" w:rsidRDefault="006B526D" w:rsidP="006B526D">
      <w:pPr>
        <w:rPr>
          <w:lang w:val="en-US"/>
        </w:rPr>
      </w:pPr>
      <w:r>
        <w:rPr>
          <w:noProof/>
          <w:lang w:val="en-AU" w:eastAsia="en-AU" w:bidi="ar-SA"/>
        </w:rPr>
        <w:lastRenderedPageBreak/>
        <w:drawing>
          <wp:inline distT="0" distB="0" distL="0" distR="0" wp14:anchorId="7481E80D" wp14:editId="3FBA6606">
            <wp:extent cx="5222421" cy="3351439"/>
            <wp:effectExtent l="0" t="0" r="10160" b="190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255FC06" w14:textId="77777777" w:rsidR="006B526D" w:rsidRPr="006B526D" w:rsidRDefault="006B526D" w:rsidP="006B526D">
      <w:pPr>
        <w:rPr>
          <w:b/>
        </w:rPr>
      </w:pPr>
      <w:r w:rsidRPr="003C64EE">
        <w:rPr>
          <w:b/>
        </w:rPr>
        <w:t xml:space="preserve">Figure </w:t>
      </w:r>
      <w:r w:rsidRPr="003C64EE">
        <w:rPr>
          <w:b/>
        </w:rPr>
        <w:fldChar w:fldCharType="begin"/>
      </w:r>
      <w:r w:rsidRPr="003C64EE">
        <w:rPr>
          <w:b/>
        </w:rPr>
        <w:instrText xml:space="preserve"> SEQ Figure \* ARABIC </w:instrText>
      </w:r>
      <w:r w:rsidRPr="003C64EE">
        <w:rPr>
          <w:b/>
        </w:rPr>
        <w:fldChar w:fldCharType="separate"/>
      </w:r>
      <w:r w:rsidR="008E5D7A">
        <w:rPr>
          <w:b/>
          <w:noProof/>
        </w:rPr>
        <w:t>60</w:t>
      </w:r>
      <w:r w:rsidRPr="003C64EE">
        <w:rPr>
          <w:b/>
        </w:rPr>
        <w:fldChar w:fldCharType="end"/>
      </w:r>
      <w:r w:rsidRPr="003C64EE">
        <w:rPr>
          <w:b/>
        </w:rPr>
        <w:t xml:space="preserve"> </w:t>
      </w:r>
      <w:r w:rsidRPr="006B526D">
        <w:rPr>
          <w:b/>
        </w:rPr>
        <w:t>Expected effect of Basin Plan on the economy in the Murray-Darling Basin</w:t>
      </w:r>
    </w:p>
    <w:p w14:paraId="37B22C7A" w14:textId="77777777" w:rsidR="006B526D" w:rsidRDefault="006B526D" w:rsidP="006B526D">
      <w:pPr>
        <w:rPr>
          <w:lang w:val="en-US"/>
        </w:rPr>
      </w:pPr>
      <w:r>
        <w:rPr>
          <w:noProof/>
          <w:lang w:val="en-AU" w:eastAsia="en-AU" w:bidi="ar-SA"/>
        </w:rPr>
        <w:drawing>
          <wp:inline distT="0" distB="0" distL="0" distR="0" wp14:anchorId="22FC5A66" wp14:editId="371DEB0E">
            <wp:extent cx="5222421" cy="3351439"/>
            <wp:effectExtent l="0" t="0" r="10160" b="190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96103F0" w14:textId="77777777" w:rsidR="006B526D" w:rsidRPr="006B526D" w:rsidRDefault="006B526D" w:rsidP="006B526D">
      <w:pPr>
        <w:rPr>
          <w:b/>
        </w:rPr>
      </w:pPr>
      <w:r w:rsidRPr="003C64EE">
        <w:rPr>
          <w:b/>
        </w:rPr>
        <w:t xml:space="preserve">Figure </w:t>
      </w:r>
      <w:r w:rsidRPr="003C64EE">
        <w:rPr>
          <w:b/>
        </w:rPr>
        <w:fldChar w:fldCharType="begin"/>
      </w:r>
      <w:r w:rsidRPr="003C64EE">
        <w:rPr>
          <w:b/>
        </w:rPr>
        <w:instrText xml:space="preserve"> SEQ Figure \* ARABIC </w:instrText>
      </w:r>
      <w:r w:rsidRPr="003C64EE">
        <w:rPr>
          <w:b/>
        </w:rPr>
        <w:fldChar w:fldCharType="separate"/>
      </w:r>
      <w:r w:rsidR="008E5D7A">
        <w:rPr>
          <w:b/>
          <w:noProof/>
        </w:rPr>
        <w:t>61</w:t>
      </w:r>
      <w:r w:rsidRPr="003C64EE">
        <w:rPr>
          <w:b/>
        </w:rPr>
        <w:fldChar w:fldCharType="end"/>
      </w:r>
      <w:r w:rsidRPr="003C64EE">
        <w:rPr>
          <w:b/>
        </w:rPr>
        <w:t xml:space="preserve"> </w:t>
      </w:r>
      <w:r w:rsidRPr="006B526D">
        <w:rPr>
          <w:b/>
        </w:rPr>
        <w:t>Expected effect of Basin Plan on communities in the Murray-Darling Basin</w:t>
      </w:r>
    </w:p>
    <w:p w14:paraId="29E0E0D6" w14:textId="77777777" w:rsidR="006B526D" w:rsidRDefault="006B526D" w:rsidP="006B526D">
      <w:pPr>
        <w:rPr>
          <w:lang w:val="en-US"/>
        </w:rPr>
      </w:pPr>
      <w:r>
        <w:rPr>
          <w:noProof/>
          <w:lang w:val="en-AU" w:eastAsia="en-AU" w:bidi="ar-SA"/>
        </w:rPr>
        <w:lastRenderedPageBreak/>
        <w:drawing>
          <wp:inline distT="0" distB="0" distL="0" distR="0" wp14:anchorId="08458936" wp14:editId="56D4E1CE">
            <wp:extent cx="5222421" cy="3351439"/>
            <wp:effectExtent l="0" t="0" r="10160" b="190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31E32A2" w14:textId="77777777" w:rsidR="006B526D" w:rsidRPr="006B526D" w:rsidRDefault="006B526D" w:rsidP="006B526D">
      <w:pPr>
        <w:rPr>
          <w:b/>
        </w:rPr>
      </w:pPr>
      <w:r w:rsidRPr="003C64EE">
        <w:rPr>
          <w:b/>
        </w:rPr>
        <w:t xml:space="preserve">Figure </w:t>
      </w:r>
      <w:r w:rsidRPr="003C64EE">
        <w:rPr>
          <w:b/>
        </w:rPr>
        <w:fldChar w:fldCharType="begin"/>
      </w:r>
      <w:r w:rsidRPr="003C64EE">
        <w:rPr>
          <w:b/>
        </w:rPr>
        <w:instrText xml:space="preserve"> SEQ Figure \* ARABIC </w:instrText>
      </w:r>
      <w:r w:rsidRPr="003C64EE">
        <w:rPr>
          <w:b/>
        </w:rPr>
        <w:fldChar w:fldCharType="separate"/>
      </w:r>
      <w:r w:rsidR="008E5D7A">
        <w:rPr>
          <w:b/>
          <w:noProof/>
        </w:rPr>
        <w:t>62</w:t>
      </w:r>
      <w:r w:rsidRPr="003C64EE">
        <w:rPr>
          <w:b/>
        </w:rPr>
        <w:fldChar w:fldCharType="end"/>
      </w:r>
      <w:r w:rsidRPr="003C64EE">
        <w:rPr>
          <w:b/>
        </w:rPr>
        <w:t xml:space="preserve"> </w:t>
      </w:r>
      <w:r w:rsidRPr="006B526D">
        <w:rPr>
          <w:b/>
        </w:rPr>
        <w:t>Expected effect of Basin Plan on the Murray-Darling Basin as a whole</w:t>
      </w:r>
    </w:p>
    <w:p w14:paraId="28892FDE" w14:textId="77777777" w:rsidR="006B526D" w:rsidRDefault="006B526D" w:rsidP="006B526D">
      <w:pPr>
        <w:rPr>
          <w:lang w:val="en-US"/>
        </w:rPr>
      </w:pPr>
      <w:r>
        <w:rPr>
          <w:noProof/>
          <w:lang w:val="en-AU" w:eastAsia="en-AU" w:bidi="ar-SA"/>
        </w:rPr>
        <w:drawing>
          <wp:inline distT="0" distB="0" distL="0" distR="0" wp14:anchorId="140A940E" wp14:editId="3206CC91">
            <wp:extent cx="5222421" cy="3351439"/>
            <wp:effectExtent l="0" t="0" r="10160" b="190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1FE2846" w14:textId="77777777" w:rsidR="006B526D" w:rsidRPr="006B526D" w:rsidRDefault="006B526D" w:rsidP="006B526D">
      <w:pPr>
        <w:rPr>
          <w:b/>
        </w:rPr>
      </w:pPr>
      <w:r w:rsidRPr="003C64EE">
        <w:rPr>
          <w:b/>
        </w:rPr>
        <w:t xml:space="preserve">Figure </w:t>
      </w:r>
      <w:r w:rsidRPr="003C64EE">
        <w:rPr>
          <w:b/>
        </w:rPr>
        <w:fldChar w:fldCharType="begin"/>
      </w:r>
      <w:r w:rsidRPr="003C64EE">
        <w:rPr>
          <w:b/>
        </w:rPr>
        <w:instrText xml:space="preserve"> SEQ Figure \* ARABIC </w:instrText>
      </w:r>
      <w:r w:rsidRPr="003C64EE">
        <w:rPr>
          <w:b/>
        </w:rPr>
        <w:fldChar w:fldCharType="separate"/>
      </w:r>
      <w:r w:rsidR="008E5D7A">
        <w:rPr>
          <w:b/>
          <w:noProof/>
        </w:rPr>
        <w:t>63</w:t>
      </w:r>
      <w:r w:rsidRPr="003C64EE">
        <w:rPr>
          <w:b/>
        </w:rPr>
        <w:fldChar w:fldCharType="end"/>
      </w:r>
      <w:r w:rsidRPr="003C64EE">
        <w:rPr>
          <w:b/>
        </w:rPr>
        <w:t xml:space="preserve"> </w:t>
      </w:r>
      <w:r w:rsidRPr="006B526D">
        <w:rPr>
          <w:b/>
        </w:rPr>
        <w:t>Expected effect of Basin Plan on my household</w:t>
      </w:r>
    </w:p>
    <w:p w14:paraId="7E5BC9FC" w14:textId="77777777" w:rsidR="006B526D" w:rsidRDefault="006B526D" w:rsidP="006B526D">
      <w:pPr>
        <w:rPr>
          <w:lang w:val="en-US"/>
        </w:rPr>
      </w:pPr>
      <w:r>
        <w:rPr>
          <w:noProof/>
          <w:lang w:val="en-AU" w:eastAsia="en-AU" w:bidi="ar-SA"/>
        </w:rPr>
        <w:lastRenderedPageBreak/>
        <w:drawing>
          <wp:inline distT="0" distB="0" distL="0" distR="0" wp14:anchorId="1D8A05E1" wp14:editId="16AC1FDF">
            <wp:extent cx="5222421" cy="3351439"/>
            <wp:effectExtent l="0" t="0" r="10160" b="190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260D078" w14:textId="77777777" w:rsidR="006B526D" w:rsidRPr="006B526D" w:rsidRDefault="006B526D" w:rsidP="006B526D">
      <w:pPr>
        <w:rPr>
          <w:b/>
        </w:rPr>
      </w:pPr>
      <w:r w:rsidRPr="003C64EE">
        <w:rPr>
          <w:b/>
        </w:rPr>
        <w:t xml:space="preserve">Figure </w:t>
      </w:r>
      <w:r w:rsidRPr="003C64EE">
        <w:rPr>
          <w:b/>
        </w:rPr>
        <w:fldChar w:fldCharType="begin"/>
      </w:r>
      <w:r w:rsidRPr="003C64EE">
        <w:rPr>
          <w:b/>
        </w:rPr>
        <w:instrText xml:space="preserve"> SEQ Figure \* ARABIC </w:instrText>
      </w:r>
      <w:r w:rsidRPr="003C64EE">
        <w:rPr>
          <w:b/>
        </w:rPr>
        <w:fldChar w:fldCharType="separate"/>
      </w:r>
      <w:r w:rsidR="008E5D7A">
        <w:rPr>
          <w:b/>
          <w:noProof/>
        </w:rPr>
        <w:t>64</w:t>
      </w:r>
      <w:r w:rsidRPr="003C64EE">
        <w:rPr>
          <w:b/>
        </w:rPr>
        <w:fldChar w:fldCharType="end"/>
      </w:r>
      <w:r w:rsidRPr="003C64EE">
        <w:rPr>
          <w:b/>
        </w:rPr>
        <w:t xml:space="preserve"> </w:t>
      </w:r>
      <w:r w:rsidRPr="006B526D">
        <w:rPr>
          <w:b/>
        </w:rPr>
        <w:t>Expected effect of Basin Plan on the business I work in</w:t>
      </w:r>
    </w:p>
    <w:p w14:paraId="772A5240" w14:textId="77777777" w:rsidR="006B526D" w:rsidRDefault="006B526D" w:rsidP="006B526D">
      <w:pPr>
        <w:rPr>
          <w:lang w:val="en-US"/>
        </w:rPr>
      </w:pPr>
      <w:r>
        <w:rPr>
          <w:noProof/>
          <w:lang w:val="en-AU" w:eastAsia="en-AU" w:bidi="ar-SA"/>
        </w:rPr>
        <w:drawing>
          <wp:inline distT="0" distB="0" distL="0" distR="0" wp14:anchorId="3110D996" wp14:editId="5707EB4D">
            <wp:extent cx="5222421" cy="3351439"/>
            <wp:effectExtent l="0" t="0" r="10160" b="190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DA2461B" w14:textId="77777777" w:rsidR="006B526D" w:rsidRPr="006B526D" w:rsidRDefault="006B526D" w:rsidP="006B526D">
      <w:pPr>
        <w:rPr>
          <w:b/>
        </w:rPr>
      </w:pPr>
      <w:r w:rsidRPr="003C64EE">
        <w:rPr>
          <w:b/>
        </w:rPr>
        <w:t xml:space="preserve">Figure </w:t>
      </w:r>
      <w:r w:rsidRPr="003C64EE">
        <w:rPr>
          <w:b/>
        </w:rPr>
        <w:fldChar w:fldCharType="begin"/>
      </w:r>
      <w:r w:rsidRPr="003C64EE">
        <w:rPr>
          <w:b/>
        </w:rPr>
        <w:instrText xml:space="preserve"> SEQ Figure \* ARABIC </w:instrText>
      </w:r>
      <w:r w:rsidRPr="003C64EE">
        <w:rPr>
          <w:b/>
        </w:rPr>
        <w:fldChar w:fldCharType="separate"/>
      </w:r>
      <w:r w:rsidR="008E5D7A">
        <w:rPr>
          <w:b/>
          <w:noProof/>
        </w:rPr>
        <w:t>65</w:t>
      </w:r>
      <w:r w:rsidRPr="003C64EE">
        <w:rPr>
          <w:b/>
        </w:rPr>
        <w:fldChar w:fldCharType="end"/>
      </w:r>
      <w:r w:rsidRPr="003C64EE">
        <w:rPr>
          <w:b/>
        </w:rPr>
        <w:t xml:space="preserve"> </w:t>
      </w:r>
      <w:r w:rsidRPr="006B526D">
        <w:rPr>
          <w:b/>
        </w:rPr>
        <w:t>Expected effect of Basin Plan on my local community</w:t>
      </w:r>
    </w:p>
    <w:p w14:paraId="4568402B" w14:textId="77777777" w:rsidR="006B526D" w:rsidRDefault="006B526D" w:rsidP="006B526D">
      <w:pPr>
        <w:rPr>
          <w:lang w:val="en-US"/>
        </w:rPr>
      </w:pPr>
      <w:r>
        <w:rPr>
          <w:noProof/>
          <w:lang w:val="en-AU" w:eastAsia="en-AU" w:bidi="ar-SA"/>
        </w:rPr>
        <w:lastRenderedPageBreak/>
        <w:drawing>
          <wp:inline distT="0" distB="0" distL="0" distR="0" wp14:anchorId="0EA363EC" wp14:editId="16DD5B4E">
            <wp:extent cx="5222421" cy="3351439"/>
            <wp:effectExtent l="0" t="0" r="10160" b="190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B727A9A" w14:textId="77777777" w:rsidR="006B526D" w:rsidRPr="006B526D" w:rsidRDefault="006B526D" w:rsidP="006B526D">
      <w:pPr>
        <w:rPr>
          <w:b/>
        </w:rPr>
      </w:pPr>
      <w:r w:rsidRPr="003C64EE">
        <w:rPr>
          <w:b/>
        </w:rPr>
        <w:t xml:space="preserve">Figure </w:t>
      </w:r>
      <w:r w:rsidRPr="003C64EE">
        <w:rPr>
          <w:b/>
        </w:rPr>
        <w:fldChar w:fldCharType="begin"/>
      </w:r>
      <w:r w:rsidRPr="003C64EE">
        <w:rPr>
          <w:b/>
        </w:rPr>
        <w:instrText xml:space="preserve"> SEQ Figure \* ARABIC </w:instrText>
      </w:r>
      <w:r w:rsidRPr="003C64EE">
        <w:rPr>
          <w:b/>
        </w:rPr>
        <w:fldChar w:fldCharType="separate"/>
      </w:r>
      <w:r w:rsidR="008E5D7A">
        <w:rPr>
          <w:b/>
          <w:noProof/>
        </w:rPr>
        <w:t>66</w:t>
      </w:r>
      <w:r w:rsidRPr="003C64EE">
        <w:rPr>
          <w:b/>
        </w:rPr>
        <w:fldChar w:fldCharType="end"/>
      </w:r>
      <w:r w:rsidRPr="003C64EE">
        <w:rPr>
          <w:b/>
        </w:rPr>
        <w:t xml:space="preserve"> </w:t>
      </w:r>
      <w:r w:rsidRPr="006B526D">
        <w:rPr>
          <w:b/>
        </w:rPr>
        <w:t>Expected effect of Basin Plan on the health of the local environment</w:t>
      </w:r>
    </w:p>
    <w:p w14:paraId="01D63CA4" w14:textId="77777777" w:rsidR="006B526D" w:rsidRDefault="006B526D" w:rsidP="00E00AD9">
      <w:pPr>
        <w:rPr>
          <w:lang w:val="en-AU"/>
        </w:rPr>
      </w:pPr>
    </w:p>
    <w:p w14:paraId="12E11920" w14:textId="77777777" w:rsidR="00C01A50" w:rsidRDefault="00C01A50" w:rsidP="00E00AD9">
      <w:pPr>
        <w:rPr>
          <w:lang w:val="en-AU"/>
        </w:rPr>
      </w:pPr>
    </w:p>
    <w:p w14:paraId="608DA748" w14:textId="77777777" w:rsidR="00C01A50" w:rsidRDefault="00C01A50">
      <w:pPr>
        <w:spacing w:before="0" w:after="0" w:line="240" w:lineRule="auto"/>
        <w:jc w:val="left"/>
        <w:rPr>
          <w:lang w:val="en-AU"/>
        </w:rPr>
      </w:pPr>
      <w:r>
        <w:rPr>
          <w:lang w:val="en-AU"/>
        </w:rPr>
        <w:br w:type="page"/>
      </w:r>
    </w:p>
    <w:p w14:paraId="35577104" w14:textId="77777777" w:rsidR="00C01A50" w:rsidRDefault="00C01A50" w:rsidP="002939B3">
      <w:pPr>
        <w:pStyle w:val="Heading1"/>
      </w:pPr>
      <w:bookmarkStart w:id="251" w:name="_Ref342037179"/>
      <w:bookmarkStart w:id="252" w:name="_Toc347747871"/>
      <w:r w:rsidRPr="00554F08">
        <w:rPr>
          <w:lang w:val="en-AU"/>
        </w:rPr>
        <w:lastRenderedPageBreak/>
        <w:t>Basin Plan Sustainable Diversion Limit (SDL) water recovery scenarios</w:t>
      </w:r>
      <w:bookmarkEnd w:id="245"/>
      <w:bookmarkEnd w:id="246"/>
      <w:bookmarkEnd w:id="247"/>
      <w:bookmarkEnd w:id="251"/>
      <w:bookmarkEnd w:id="252"/>
    </w:p>
    <w:p w14:paraId="76976397" w14:textId="77777777" w:rsidR="00C01A50" w:rsidRPr="000C7437" w:rsidRDefault="005975F1" w:rsidP="00936EDC">
      <w:pPr>
        <w:pStyle w:val="Heading2"/>
        <w:rPr>
          <w:lang w:val="en-US"/>
        </w:rPr>
      </w:pPr>
      <w:bookmarkStart w:id="253" w:name="_Toc347747872"/>
      <w:r w:rsidRPr="000C7437">
        <w:rPr>
          <w:caps w:val="0"/>
          <w:lang w:val="en-US"/>
        </w:rPr>
        <w:t>Purpose</w:t>
      </w:r>
      <w:bookmarkEnd w:id="253"/>
    </w:p>
    <w:p w14:paraId="28D4A074" w14:textId="77777777" w:rsidR="00C01A50" w:rsidRPr="000C7437" w:rsidRDefault="00C01A50" w:rsidP="00A17DEB">
      <w:r w:rsidRPr="000C7437">
        <w:t>To define Sustainable Diversion Limit (SDL) water recovery scenarios and the corresponding volumes of water (</w:t>
      </w:r>
      <w:r>
        <w:t>LTAAY</w:t>
      </w:r>
      <w:r w:rsidRPr="000C7437">
        <w:t xml:space="preserve">) and entitlement which may be removed from the consumptive pool in the </w:t>
      </w:r>
      <w:r>
        <w:t>sMDB</w:t>
      </w:r>
      <w:r w:rsidRPr="000C7437">
        <w:t xml:space="preserve"> and northern Victoria under the Basin Plan.</w:t>
      </w:r>
      <w:r>
        <w:t xml:space="preserve"> Volumes are expressed as long-term averages unless explicitly stated otherwise. </w:t>
      </w:r>
    </w:p>
    <w:p w14:paraId="001C3AB7" w14:textId="77777777" w:rsidR="00C01A50" w:rsidRPr="000C7437" w:rsidRDefault="005975F1" w:rsidP="00936EDC">
      <w:pPr>
        <w:pStyle w:val="Heading2"/>
        <w:rPr>
          <w:lang w:val="en-US"/>
        </w:rPr>
      </w:pPr>
      <w:bookmarkStart w:id="254" w:name="_Toc347747873"/>
      <w:r w:rsidRPr="000C7437">
        <w:rPr>
          <w:caps w:val="0"/>
          <w:lang w:val="en-US"/>
        </w:rPr>
        <w:t>Discussion</w:t>
      </w:r>
      <w:bookmarkEnd w:id="254"/>
    </w:p>
    <w:p w14:paraId="56053746" w14:textId="77777777" w:rsidR="00C01A50" w:rsidRPr="000C7437" w:rsidRDefault="00C01A50" w:rsidP="00A17DEB">
      <w:r w:rsidRPr="000C7437">
        <w:t>The project will assess the social and economic impacts of the Basin Plan to date (</w:t>
      </w:r>
      <w:r>
        <w:t>mid-</w:t>
      </w:r>
      <w:r w:rsidRPr="000C7437">
        <w:t xml:space="preserve">2016) and possible impacts once water recovery is complete. Final water recovery volumes, the types of entitlement acquired and the methods used to recover water, are required to be able to assess the impacts of the latter, yet all remain uncertain. Three possible water recovery scenarios (LOW, MEDIUM and HIGH) </w:t>
      </w:r>
      <w:r>
        <w:t>are</w:t>
      </w:r>
      <w:r w:rsidRPr="000C7437">
        <w:t xml:space="preserve"> used to assess the range of possible impacts of the Basin Plan once water recovery is complete. </w:t>
      </w:r>
    </w:p>
    <w:p w14:paraId="21266C7F" w14:textId="77777777" w:rsidR="00C01A50" w:rsidRPr="000C7437" w:rsidRDefault="00C01A50" w:rsidP="00A17DEB">
      <w:r w:rsidRPr="000C7437">
        <w:t xml:space="preserve">The starting point for determining water recovery scenarios is the Basin Plan’s status quo of 2,750 GL, with 2,360 GL from the </w:t>
      </w:r>
      <w:r>
        <w:t>sMDB</w:t>
      </w:r>
      <w:r w:rsidRPr="000C7437">
        <w:t xml:space="preserve"> and 390 GL from the </w:t>
      </w:r>
      <w:r>
        <w:t>N</w:t>
      </w:r>
      <w:r w:rsidRPr="000C7437">
        <w:t xml:space="preserve">orthern Basin. </w:t>
      </w:r>
    </w:p>
    <w:p w14:paraId="5A1D13DC" w14:textId="77777777" w:rsidR="00C01A50" w:rsidRPr="000C7437" w:rsidRDefault="00C01A50" w:rsidP="00A17DEB">
      <w:r w:rsidRPr="000C7437">
        <w:t xml:space="preserve">For simplicity in initial discussions, options are considered at a whole of Basin scale with Northern Basin recovery remaining unchanged. How to apportion water recovery between the Northern and </w:t>
      </w:r>
      <w:r>
        <w:t>sMDB</w:t>
      </w:r>
      <w:r w:rsidRPr="000C7437">
        <w:t xml:space="preserve"> and between States, methods used to recover additional water and what types of entitlement are recovered are then discussed.</w:t>
      </w:r>
      <w:r>
        <w:t xml:space="preserve"> </w:t>
      </w:r>
    </w:p>
    <w:p w14:paraId="288FC2F4" w14:textId="77777777" w:rsidR="00C01A50" w:rsidRPr="000C7437" w:rsidRDefault="00C01A50" w:rsidP="00A17DEB">
      <w:r w:rsidRPr="000C7437">
        <w:t>Factors considered in defining water recovery scenarios and how additional water is recovered include the:</w:t>
      </w:r>
    </w:p>
    <w:p w14:paraId="2E36D0ED" w14:textId="77777777" w:rsidR="00C01A50" w:rsidRPr="000C7437" w:rsidRDefault="00C01A50" w:rsidP="00302BD9">
      <w:pPr>
        <w:pStyle w:val="ListParagraph"/>
        <w:numPr>
          <w:ilvl w:val="0"/>
          <w:numId w:val="24"/>
        </w:numPr>
      </w:pPr>
      <w:r w:rsidRPr="000C7437">
        <w:t>Existing water recovery volumes</w:t>
      </w:r>
    </w:p>
    <w:p w14:paraId="07F9D61D" w14:textId="77777777" w:rsidR="00C01A50" w:rsidRPr="000C7437" w:rsidRDefault="00C01A50" w:rsidP="00302BD9">
      <w:pPr>
        <w:pStyle w:val="ListParagraph"/>
        <w:numPr>
          <w:ilvl w:val="0"/>
          <w:numId w:val="24"/>
        </w:numPr>
      </w:pPr>
      <w:r w:rsidRPr="000C7437">
        <w:t xml:space="preserve">Delivery of contracted water savings projects </w:t>
      </w:r>
    </w:p>
    <w:p w14:paraId="1697CAFD" w14:textId="77777777" w:rsidR="00C01A50" w:rsidRPr="000C7437" w:rsidRDefault="00C01A50" w:rsidP="00302BD9">
      <w:pPr>
        <w:pStyle w:val="ListParagraph"/>
        <w:numPr>
          <w:ilvl w:val="0"/>
          <w:numId w:val="24"/>
        </w:numPr>
      </w:pPr>
      <w:r w:rsidRPr="000C7437">
        <w:t>Allowable variation in water recovery under the SDL Adjustment Mechanism</w:t>
      </w:r>
    </w:p>
    <w:p w14:paraId="58530514" w14:textId="77777777" w:rsidR="00C01A50" w:rsidRPr="000C7437" w:rsidRDefault="00C01A50" w:rsidP="00302BD9">
      <w:pPr>
        <w:pStyle w:val="ListParagraph"/>
        <w:numPr>
          <w:ilvl w:val="0"/>
          <w:numId w:val="24"/>
        </w:numPr>
      </w:pPr>
      <w:r w:rsidRPr="000C7437">
        <w:t>Volume of SDL offsets delivered by supply measures</w:t>
      </w:r>
    </w:p>
    <w:p w14:paraId="03F6C0D0" w14:textId="77777777" w:rsidR="00C01A50" w:rsidRPr="000C7437" w:rsidRDefault="00C01A50" w:rsidP="00302BD9">
      <w:pPr>
        <w:pStyle w:val="ListParagraph"/>
        <w:numPr>
          <w:ilvl w:val="0"/>
          <w:numId w:val="24"/>
        </w:numPr>
      </w:pPr>
      <w:r w:rsidRPr="000C7437">
        <w:t>Volume of up-water delivered by efficiency measures</w:t>
      </w:r>
    </w:p>
    <w:p w14:paraId="2C4F984C" w14:textId="77777777" w:rsidR="00C01A50" w:rsidRPr="000C7437" w:rsidRDefault="00C01A50" w:rsidP="00302BD9">
      <w:pPr>
        <w:pStyle w:val="ListParagraph"/>
        <w:numPr>
          <w:ilvl w:val="0"/>
          <w:numId w:val="24"/>
        </w:numPr>
      </w:pPr>
      <w:r w:rsidRPr="000C7437">
        <w:t>Apportionment of offsets and up-water</w:t>
      </w:r>
    </w:p>
    <w:p w14:paraId="04925FF3" w14:textId="77777777" w:rsidR="00C01A50" w:rsidRPr="000C7437" w:rsidRDefault="00C01A50" w:rsidP="00302BD9">
      <w:pPr>
        <w:pStyle w:val="ListParagraph"/>
        <w:numPr>
          <w:ilvl w:val="0"/>
          <w:numId w:val="24"/>
        </w:numPr>
      </w:pPr>
      <w:r w:rsidRPr="000C7437">
        <w:t>Commonwealth infrastructure investment and the 1,500 GL cap on water purchases.</w:t>
      </w:r>
    </w:p>
    <w:p w14:paraId="7E779390" w14:textId="77777777" w:rsidR="00C01A50" w:rsidRPr="000C7437" w:rsidRDefault="00C01A50" w:rsidP="00A17DEB">
      <w:pPr>
        <w:rPr>
          <w:i/>
        </w:rPr>
      </w:pPr>
      <w:r w:rsidRPr="000C7437">
        <w:rPr>
          <w:i/>
        </w:rPr>
        <w:t>LOW water recovery scenario</w:t>
      </w:r>
    </w:p>
    <w:p w14:paraId="4C64F48C" w14:textId="77777777" w:rsidR="00C01A50" w:rsidRPr="000C7437" w:rsidRDefault="00C01A50" w:rsidP="00A17DEB">
      <w:r w:rsidRPr="000C7437">
        <w:t xml:space="preserve">The SDL Adjustment Mechanism can vary Basin Plan water recovery by plus or minus 5% of the SDL of 10,873 GL, i.e. 544 GL. </w:t>
      </w:r>
    </w:p>
    <w:p w14:paraId="580674CD" w14:textId="77777777" w:rsidR="00C01A50" w:rsidRPr="000C7437" w:rsidRDefault="00C01A50" w:rsidP="00A17DEB">
      <w:r w:rsidRPr="000C7437">
        <w:t>The lowest allowable water recovery volume is 2,206 GL</w:t>
      </w:r>
      <w:r w:rsidRPr="000C7437">
        <w:rPr>
          <w:vertAlign w:val="superscript"/>
        </w:rPr>
        <w:footnoteReference w:id="23"/>
      </w:r>
      <w:r w:rsidRPr="000C7437">
        <w:t xml:space="preserve">. This ignores any changes to SDLs resulting from the Northern Basin Review. </w:t>
      </w:r>
    </w:p>
    <w:p w14:paraId="0ABBC36D" w14:textId="77777777" w:rsidR="00C01A50" w:rsidRPr="000C7437" w:rsidRDefault="00C01A50" w:rsidP="00A17DEB">
      <w:r w:rsidRPr="000C7437">
        <w:lastRenderedPageBreak/>
        <w:t xml:space="preserve">Victoria has been consistent in seeking a maximum water recovery volume of 2,100 GL </w:t>
      </w:r>
      <w:r>
        <w:t>that</w:t>
      </w:r>
      <w:r w:rsidRPr="000C7437">
        <w:t xml:space="preserve"> can be achieved if 650 GL of offsets are delivered</w:t>
      </w:r>
      <w:r w:rsidRPr="000C7437">
        <w:rPr>
          <w:vertAlign w:val="superscript"/>
        </w:rPr>
        <w:footnoteReference w:id="24"/>
      </w:r>
      <w:r w:rsidRPr="000C7437">
        <w:t xml:space="preserve">. To enable this Victoria developed the first version of the SDL Adjustment Mechanism, which following amendments, was incorporated into the Basin Plan. The basis for seeking a target of 2,100 GL was that, with environmental works, similar environmental outcomes to those achievable with 2,750 GL of water could be delivered. Also, no further water recovery beyond that already achieved or committed would be required, thus negating further impacts of water recovery on communities in northern Victoria. More recently the </w:t>
      </w:r>
      <w:r>
        <w:t>GMID</w:t>
      </w:r>
      <w:r w:rsidRPr="000C7437">
        <w:t xml:space="preserve"> Water Leadership Forum proposed amending the </w:t>
      </w:r>
      <w:r w:rsidRPr="000C7437">
        <w:rPr>
          <w:i/>
        </w:rPr>
        <w:t>Water Act 2007 (Cth)</w:t>
      </w:r>
      <w:r w:rsidRPr="000C7437">
        <w:t xml:space="preserve"> and Basin Plan to allow the lowest allowable water recovery volume to be 2,100 GL. </w:t>
      </w:r>
    </w:p>
    <w:p w14:paraId="6044F61A" w14:textId="77777777" w:rsidR="00C01A50" w:rsidRPr="00493A62" w:rsidRDefault="00C01A50" w:rsidP="00A17DEB">
      <w:pPr>
        <w:rPr>
          <w:b/>
        </w:rPr>
      </w:pPr>
      <w:r w:rsidRPr="00493A62">
        <w:rPr>
          <w:b/>
        </w:rPr>
        <w:t xml:space="preserve">The LOW water recovery scenario adopted is 2,100 GL. It is assumed that the 2,100 GL is achieved with 650 GL of offsets from Supply Measures and 0 GL of up-water from Efficiency Measures. </w:t>
      </w:r>
    </w:p>
    <w:p w14:paraId="50A2248D" w14:textId="77777777" w:rsidR="00C01A50" w:rsidRPr="000C7437" w:rsidRDefault="00C01A50" w:rsidP="00A17DEB">
      <w:pPr>
        <w:rPr>
          <w:i/>
        </w:rPr>
      </w:pPr>
      <w:r w:rsidRPr="000C7437">
        <w:rPr>
          <w:i/>
        </w:rPr>
        <w:t>HIGH water recovery scenario</w:t>
      </w:r>
    </w:p>
    <w:p w14:paraId="77611EA5" w14:textId="77777777" w:rsidR="00C01A50" w:rsidRPr="000C7437" w:rsidRDefault="00C01A50" w:rsidP="00A17DEB">
      <w:r w:rsidRPr="000C7437">
        <w:t xml:space="preserve">The highest allowable water recovery volume </w:t>
      </w:r>
      <w:r>
        <w:t xml:space="preserve">allowable under the Basin Plan </w:t>
      </w:r>
      <w:r w:rsidRPr="000C7437">
        <w:t>is 3,294 GL</w:t>
      </w:r>
      <w:r w:rsidRPr="000C7437">
        <w:rPr>
          <w:vertAlign w:val="superscript"/>
        </w:rPr>
        <w:footnoteReference w:id="25"/>
      </w:r>
      <w:r w:rsidRPr="000C7437">
        <w:t xml:space="preserve">. </w:t>
      </w:r>
    </w:p>
    <w:p w14:paraId="63E18F95" w14:textId="77777777" w:rsidR="00C01A50" w:rsidRPr="000C7437" w:rsidRDefault="00C01A50" w:rsidP="00A17DEB">
      <w:r w:rsidRPr="000C7437">
        <w:t xml:space="preserve">The </w:t>
      </w:r>
      <w:r w:rsidRPr="000C7437">
        <w:rPr>
          <w:i/>
        </w:rPr>
        <w:t>Water Act 2007 (Cth)</w:t>
      </w:r>
      <w:r w:rsidRPr="000C7437">
        <w:t xml:space="preserve"> states that one of the Objects of the Water for Environment Special Account is …</w:t>
      </w:r>
      <w:r w:rsidRPr="000C7437">
        <w:rPr>
          <w:i/>
        </w:rPr>
        <w:t xml:space="preserve">increasing the volume of the Basin water resources that is available for environmental use by 450 </w:t>
      </w:r>
      <w:r>
        <w:rPr>
          <w:i/>
        </w:rPr>
        <w:t>GL</w:t>
      </w:r>
      <w:r w:rsidRPr="000C7437">
        <w:t xml:space="preserve">. No other funding is currently planned for Efficiency Measures meaning the maximum volume of up-water is likely to be 450 GL. Assuming zero GLs of offsets from supply measures, the maximum volume of Basin Plan water recovery will be 3,200 GL. </w:t>
      </w:r>
    </w:p>
    <w:p w14:paraId="5F4E39D8" w14:textId="77777777" w:rsidR="00C01A50" w:rsidRPr="00493A62" w:rsidRDefault="00C01A50" w:rsidP="00A17DEB">
      <w:pPr>
        <w:rPr>
          <w:b/>
        </w:rPr>
      </w:pPr>
      <w:r w:rsidRPr="00493A62">
        <w:rPr>
          <w:b/>
        </w:rPr>
        <w:t xml:space="preserve">The HIGH water recovery scenario adopted is 3,200 GL. It is assumed that the 3,200 GL is achieved with 0 GL of offsets from Supply Measures and 450 GL of up-water from </w:t>
      </w:r>
      <w:r w:rsidRPr="00A50ED8">
        <w:rPr>
          <w:b/>
        </w:rPr>
        <w:t>Efficiency Measures</w:t>
      </w:r>
      <w:r>
        <w:rPr>
          <w:b/>
        </w:rPr>
        <w:t>, i.e. on-farm infrastructure projects</w:t>
      </w:r>
      <w:r w:rsidRPr="00493A62">
        <w:rPr>
          <w:b/>
        </w:rPr>
        <w:t xml:space="preserve">. </w:t>
      </w:r>
    </w:p>
    <w:p w14:paraId="570DF0D4" w14:textId="77777777" w:rsidR="00C01A50" w:rsidRPr="000C7437" w:rsidRDefault="00C01A50" w:rsidP="00A17DEB">
      <w:pPr>
        <w:rPr>
          <w:i/>
        </w:rPr>
      </w:pPr>
      <w:r w:rsidRPr="000C7437">
        <w:rPr>
          <w:i/>
        </w:rPr>
        <w:t>MEDIUM water recovery scenario</w:t>
      </w:r>
    </w:p>
    <w:p w14:paraId="4CDCDB4B" w14:textId="77777777" w:rsidR="00C01A50" w:rsidRPr="000C7437" w:rsidRDefault="00C01A50" w:rsidP="00A17DEB">
      <w:r w:rsidRPr="000C7437">
        <w:t>As with other scenarios the MEDIUM water recovery scenario will be determined by the net outcome from Supply and Efficiency Measures under the SDL Adjustment Mechanism.</w:t>
      </w:r>
      <w:r>
        <w:t xml:space="preserve"> </w:t>
      </w:r>
    </w:p>
    <w:p w14:paraId="4FD5A3C3" w14:textId="77777777" w:rsidR="00C01A50" w:rsidRPr="000C7437" w:rsidRDefault="00C01A50" w:rsidP="00A17DEB">
      <w:bookmarkStart w:id="255" w:name="_Ref459917499"/>
      <w:r w:rsidRPr="000C7437">
        <w:t>Martin and Turner (2015) estimated plausible offsets from Supply Measures of 508 GL. More recent information from the MDBA and Commonwealth indicate high confidence in obtaining 300 GL of offsets. An average figure of 400 GL is probably the most likely outcome based on current information.</w:t>
      </w:r>
      <w:bookmarkEnd w:id="255"/>
      <w:r w:rsidRPr="000C7437">
        <w:t xml:space="preserve"> </w:t>
      </w:r>
    </w:p>
    <w:p w14:paraId="51F84FAC" w14:textId="77777777" w:rsidR="00C01A50" w:rsidRPr="000C7437" w:rsidRDefault="00C01A50" w:rsidP="00A17DEB">
      <w:bookmarkStart w:id="256" w:name="_Ref459917501"/>
      <w:r w:rsidRPr="000C7437">
        <w:t>There is no information available about the most likely volume of up-water that will be obtained from Efficiency Measures. Such information will not be available until States complete assessments of social and economic impacts and advise the MDBA of the volume of additional water that can be recovered with neutral or better social and economic impacts. For the purposes of this exercise it is assumed that half the 450 GL of up-water will be obtained, i.e. 225 GL.</w:t>
      </w:r>
      <w:bookmarkEnd w:id="256"/>
      <w:r w:rsidRPr="000C7437">
        <w:t xml:space="preserve"> </w:t>
      </w:r>
    </w:p>
    <w:p w14:paraId="3E155F8A" w14:textId="77777777" w:rsidR="00C01A50" w:rsidRPr="000C7437" w:rsidRDefault="00C01A50" w:rsidP="00A17DEB">
      <w:r w:rsidRPr="000C7437">
        <w:t xml:space="preserve">Based on </w:t>
      </w:r>
      <w:r>
        <w:t xml:space="preserve">the above one </w:t>
      </w:r>
      <w:r w:rsidRPr="000C7437">
        <w:t xml:space="preserve">estimate of the MEDIUM water recovery scenario is 2,575 GL. </w:t>
      </w:r>
    </w:p>
    <w:p w14:paraId="54FEF3BE" w14:textId="77777777" w:rsidR="00C01A50" w:rsidRPr="000C7437" w:rsidRDefault="00C01A50" w:rsidP="00A17DEB">
      <w:r w:rsidRPr="000C7437">
        <w:lastRenderedPageBreak/>
        <w:t>An alternative approach to quantifying the MEDIUM water recovery scenario is to take a point mid-way between the LOW and HIGH scenarios. This would give a volume of 2,703 GL. The volume is very close to the status quo 2,750 GL. If 2,750 GL is chosen then it is assumed that offsets from Supply Measures are equal to the volume of up-water from Efficiency Measures.</w:t>
      </w:r>
    </w:p>
    <w:p w14:paraId="53D9AC38" w14:textId="77777777" w:rsidR="00C01A50" w:rsidRPr="00493A62" w:rsidRDefault="00C01A50" w:rsidP="00A17DEB">
      <w:pPr>
        <w:rPr>
          <w:b/>
        </w:rPr>
      </w:pPr>
      <w:r w:rsidRPr="00493A62">
        <w:rPr>
          <w:b/>
        </w:rPr>
        <w:t xml:space="preserve">The MEDIUM water recovery scenario adopted is 2,750 GL. It is assumed that the 2,750 GL is achieved with 0 GL of offsets from Supply Measures and 0 GL of up-water from Efficiency Measures. </w:t>
      </w:r>
    </w:p>
    <w:p w14:paraId="60B0C545" w14:textId="77777777" w:rsidR="00C01A50" w:rsidRPr="000C7437" w:rsidRDefault="00C01A50" w:rsidP="00A17DEB">
      <w:pPr>
        <w:rPr>
          <w:i/>
        </w:rPr>
      </w:pPr>
      <w:r w:rsidRPr="000C7437">
        <w:rPr>
          <w:i/>
        </w:rPr>
        <w:t xml:space="preserve">Apportionment of water recovery </w:t>
      </w:r>
    </w:p>
    <w:p w14:paraId="788CDB9A" w14:textId="77777777" w:rsidR="00C01A50" w:rsidRPr="000C7437" w:rsidRDefault="00792106" w:rsidP="00A17DEB">
      <w:r>
        <w:t>COAG</w:t>
      </w:r>
      <w:r w:rsidR="00C01A50" w:rsidRPr="000C7437">
        <w:t xml:space="preserve"> (2013) defines the default apportionment of offsets under the SDL Adjustment Mechanism. It apportions offsets between States and between the Northern and Southern Basins. The default apportionment </w:t>
      </w:r>
      <w:r w:rsidR="00C01A50">
        <w:t>is</w:t>
      </w:r>
      <w:r w:rsidR="00C01A50" w:rsidRPr="000C7437">
        <w:t xml:space="preserve"> used for the LOW water recovery scenario (</w:t>
      </w:r>
      <w:r w:rsidR="00BB3AE7">
        <w:fldChar w:fldCharType="begin"/>
      </w:r>
      <w:r w:rsidR="00BB3AE7">
        <w:instrText xml:space="preserve"> REF _Ref347079182 \h </w:instrText>
      </w:r>
      <w:r w:rsidR="00BB3AE7">
        <w:fldChar w:fldCharType="separate"/>
      </w:r>
      <w:r w:rsidR="008E5D7A">
        <w:t xml:space="preserve">Table </w:t>
      </w:r>
      <w:r w:rsidR="008E5D7A">
        <w:rPr>
          <w:noProof/>
        </w:rPr>
        <w:t>22</w:t>
      </w:r>
      <w:r w:rsidR="00BB3AE7">
        <w:fldChar w:fldCharType="end"/>
      </w:r>
      <w:r w:rsidR="00C01A50" w:rsidRPr="000C7437">
        <w:t xml:space="preserve">). </w:t>
      </w:r>
    </w:p>
    <w:p w14:paraId="4ED1A698" w14:textId="77777777" w:rsidR="00C01A50" w:rsidRPr="000C7437" w:rsidRDefault="00C01A50" w:rsidP="00A17DEB"/>
    <w:p w14:paraId="5BF0F49A" w14:textId="77777777" w:rsidR="00FF6ED4" w:rsidRPr="00FF6ED4" w:rsidRDefault="00FF6ED4" w:rsidP="00FF6ED4">
      <w:pPr>
        <w:pStyle w:val="Caption"/>
      </w:pPr>
      <w:bookmarkStart w:id="257" w:name="_Ref347079182"/>
      <w:r>
        <w:t xml:space="preserve">Table </w:t>
      </w:r>
      <w:r>
        <w:fldChar w:fldCharType="begin"/>
      </w:r>
      <w:r>
        <w:instrText xml:space="preserve"> SEQ Table \* ARABIC </w:instrText>
      </w:r>
      <w:r>
        <w:fldChar w:fldCharType="separate"/>
      </w:r>
      <w:r w:rsidR="008E5D7A">
        <w:rPr>
          <w:noProof/>
        </w:rPr>
        <w:t>22</w:t>
      </w:r>
      <w:r>
        <w:fldChar w:fldCharType="end"/>
      </w:r>
      <w:bookmarkEnd w:id="257"/>
      <w:r w:rsidR="00BB3AE7">
        <w:t xml:space="preserve">: </w:t>
      </w:r>
      <w:r w:rsidR="00BB3AE7" w:rsidRPr="00BB3AE7">
        <w:t>Assumed apportionment of 650 GL of offsets from Supply Measures for the LOW water recovery scenario</w:t>
      </w:r>
    </w:p>
    <w:tbl>
      <w:tblPr>
        <w:tblStyle w:val="TableGrid"/>
        <w:tblW w:w="0" w:type="auto"/>
        <w:jc w:val="center"/>
        <w:tblLook w:val="04A0" w:firstRow="1" w:lastRow="0" w:firstColumn="1" w:lastColumn="0" w:noHBand="0" w:noVBand="1"/>
      </w:tblPr>
      <w:tblGrid>
        <w:gridCol w:w="3096"/>
        <w:gridCol w:w="1598"/>
        <w:gridCol w:w="1720"/>
      </w:tblGrid>
      <w:tr w:rsidR="00C01A50" w:rsidRPr="000C7437" w14:paraId="5C14C466" w14:textId="77777777">
        <w:trPr>
          <w:cantSplit/>
          <w:jc w:val="center"/>
        </w:trPr>
        <w:tc>
          <w:tcPr>
            <w:tcW w:w="3096" w:type="dxa"/>
            <w:tcBorders>
              <w:top w:val="single" w:sz="12" w:space="0" w:color="auto"/>
              <w:left w:val="single" w:sz="12" w:space="0" w:color="auto"/>
              <w:bottom w:val="nil"/>
              <w:right w:val="single" w:sz="12" w:space="0" w:color="auto"/>
            </w:tcBorders>
            <w:noWrap/>
          </w:tcPr>
          <w:p w14:paraId="45E49A8D" w14:textId="77777777" w:rsidR="00C01A50" w:rsidRPr="000C7437" w:rsidRDefault="00C01A50" w:rsidP="00B80EB7">
            <w:pPr>
              <w:spacing w:before="0" w:after="0"/>
              <w:rPr>
                <w:lang w:val="en-AU"/>
              </w:rPr>
            </w:pPr>
            <w:r w:rsidRPr="000C7437">
              <w:rPr>
                <w:lang w:val="en-AU"/>
              </w:rPr>
              <w:t> </w:t>
            </w:r>
          </w:p>
        </w:tc>
        <w:tc>
          <w:tcPr>
            <w:tcW w:w="1598" w:type="dxa"/>
            <w:tcBorders>
              <w:top w:val="single" w:sz="12" w:space="0" w:color="auto"/>
              <w:bottom w:val="nil"/>
            </w:tcBorders>
            <w:noWrap/>
            <w:vAlign w:val="center"/>
          </w:tcPr>
          <w:p w14:paraId="6E09EE8F" w14:textId="77777777" w:rsidR="00C01A50" w:rsidRPr="000C7437" w:rsidRDefault="00C01A50" w:rsidP="00B80EB7">
            <w:pPr>
              <w:spacing w:before="0" w:after="0"/>
              <w:rPr>
                <w:lang w:val="en-AU"/>
              </w:rPr>
            </w:pPr>
            <w:r w:rsidRPr="000C7437">
              <w:rPr>
                <w:lang w:val="en-AU"/>
              </w:rPr>
              <w:t>Apportionment</w:t>
            </w:r>
          </w:p>
        </w:tc>
        <w:tc>
          <w:tcPr>
            <w:tcW w:w="1720" w:type="dxa"/>
            <w:tcBorders>
              <w:top w:val="single" w:sz="12" w:space="0" w:color="auto"/>
              <w:bottom w:val="nil"/>
              <w:right w:val="single" w:sz="12" w:space="0" w:color="auto"/>
            </w:tcBorders>
            <w:noWrap/>
            <w:vAlign w:val="center"/>
          </w:tcPr>
          <w:p w14:paraId="0E11CDE7" w14:textId="77777777" w:rsidR="00C01A50" w:rsidRPr="000C7437" w:rsidRDefault="00C01A50" w:rsidP="00B80EB7">
            <w:pPr>
              <w:spacing w:before="0" w:after="0"/>
              <w:rPr>
                <w:lang w:val="en-AU"/>
              </w:rPr>
            </w:pPr>
            <w:r w:rsidRPr="000C7437">
              <w:rPr>
                <w:lang w:val="en-AU"/>
              </w:rPr>
              <w:t>Offset Volume</w:t>
            </w:r>
          </w:p>
        </w:tc>
      </w:tr>
      <w:tr w:rsidR="00C01A50" w:rsidRPr="000C7437" w14:paraId="0F98E0A3" w14:textId="77777777">
        <w:trPr>
          <w:cantSplit/>
          <w:jc w:val="center"/>
        </w:trPr>
        <w:tc>
          <w:tcPr>
            <w:tcW w:w="3096" w:type="dxa"/>
            <w:tcBorders>
              <w:top w:val="nil"/>
              <w:left w:val="single" w:sz="12" w:space="0" w:color="auto"/>
              <w:bottom w:val="single" w:sz="12" w:space="0" w:color="auto"/>
              <w:right w:val="single" w:sz="12" w:space="0" w:color="auto"/>
            </w:tcBorders>
            <w:noWrap/>
          </w:tcPr>
          <w:p w14:paraId="23BF60B6" w14:textId="77777777" w:rsidR="00C01A50" w:rsidRPr="000C7437" w:rsidRDefault="00C01A50" w:rsidP="00B80EB7">
            <w:pPr>
              <w:spacing w:before="0" w:after="0"/>
              <w:rPr>
                <w:lang w:val="en-AU"/>
              </w:rPr>
            </w:pPr>
            <w:r w:rsidRPr="000C7437">
              <w:rPr>
                <w:lang w:val="en-AU"/>
              </w:rPr>
              <w:t> </w:t>
            </w:r>
          </w:p>
        </w:tc>
        <w:tc>
          <w:tcPr>
            <w:tcW w:w="960" w:type="dxa"/>
            <w:tcBorders>
              <w:top w:val="nil"/>
              <w:bottom w:val="single" w:sz="12" w:space="0" w:color="auto"/>
            </w:tcBorders>
            <w:noWrap/>
            <w:vAlign w:val="center"/>
          </w:tcPr>
          <w:p w14:paraId="7FEDEFEB" w14:textId="77777777" w:rsidR="00C01A50" w:rsidRPr="000C7437" w:rsidRDefault="00C01A50" w:rsidP="00B80EB7">
            <w:pPr>
              <w:spacing w:before="0" w:after="0"/>
              <w:rPr>
                <w:lang w:val="en-AU"/>
              </w:rPr>
            </w:pPr>
            <w:r w:rsidRPr="000C7437">
              <w:rPr>
                <w:lang w:val="en-AU"/>
              </w:rPr>
              <w:t>(%)</w:t>
            </w:r>
          </w:p>
        </w:tc>
        <w:tc>
          <w:tcPr>
            <w:tcW w:w="1720" w:type="dxa"/>
            <w:tcBorders>
              <w:top w:val="nil"/>
              <w:bottom w:val="single" w:sz="12" w:space="0" w:color="auto"/>
              <w:right w:val="single" w:sz="12" w:space="0" w:color="auto"/>
            </w:tcBorders>
            <w:noWrap/>
            <w:vAlign w:val="center"/>
          </w:tcPr>
          <w:p w14:paraId="661A0759" w14:textId="77777777" w:rsidR="00C01A50" w:rsidRPr="000C7437" w:rsidRDefault="00C01A50" w:rsidP="00B80EB7">
            <w:pPr>
              <w:spacing w:before="0" w:after="0"/>
              <w:rPr>
                <w:lang w:val="en-AU"/>
              </w:rPr>
            </w:pPr>
            <w:r w:rsidRPr="000C7437">
              <w:rPr>
                <w:lang w:val="en-AU"/>
              </w:rPr>
              <w:t>(GL)</w:t>
            </w:r>
          </w:p>
        </w:tc>
      </w:tr>
      <w:tr w:rsidR="00C01A50" w:rsidRPr="000C7437" w14:paraId="5CFB55FD" w14:textId="77777777">
        <w:trPr>
          <w:cantSplit/>
          <w:jc w:val="center"/>
        </w:trPr>
        <w:tc>
          <w:tcPr>
            <w:tcW w:w="3096" w:type="dxa"/>
            <w:tcBorders>
              <w:top w:val="single" w:sz="12" w:space="0" w:color="auto"/>
              <w:left w:val="single" w:sz="12" w:space="0" w:color="auto"/>
              <w:right w:val="single" w:sz="12" w:space="0" w:color="auto"/>
            </w:tcBorders>
            <w:noWrap/>
          </w:tcPr>
          <w:p w14:paraId="76EE97FE" w14:textId="77777777" w:rsidR="00C01A50" w:rsidRPr="000C7437" w:rsidRDefault="00C01A50" w:rsidP="00B80EB7">
            <w:pPr>
              <w:spacing w:before="0" w:after="0"/>
              <w:rPr>
                <w:lang w:val="en-AU"/>
              </w:rPr>
            </w:pPr>
            <w:r w:rsidRPr="000C7437">
              <w:rPr>
                <w:lang w:val="en-AU"/>
              </w:rPr>
              <w:t xml:space="preserve">QLD </w:t>
            </w:r>
          </w:p>
        </w:tc>
        <w:tc>
          <w:tcPr>
            <w:tcW w:w="960" w:type="dxa"/>
            <w:tcBorders>
              <w:top w:val="single" w:sz="12" w:space="0" w:color="auto"/>
            </w:tcBorders>
            <w:noWrap/>
            <w:vAlign w:val="center"/>
          </w:tcPr>
          <w:p w14:paraId="3A49CFC1" w14:textId="77777777" w:rsidR="00C01A50" w:rsidRPr="000C7437" w:rsidRDefault="00C01A50" w:rsidP="00B80EB7">
            <w:pPr>
              <w:spacing w:before="0" w:after="0"/>
              <w:jc w:val="right"/>
              <w:rPr>
                <w:lang w:val="en-AU"/>
              </w:rPr>
            </w:pPr>
            <w:r w:rsidRPr="000C7437">
              <w:rPr>
                <w:lang w:val="en-AU"/>
              </w:rPr>
              <w:t>0</w:t>
            </w:r>
          </w:p>
        </w:tc>
        <w:tc>
          <w:tcPr>
            <w:tcW w:w="1720" w:type="dxa"/>
            <w:tcBorders>
              <w:top w:val="single" w:sz="12" w:space="0" w:color="auto"/>
              <w:right w:val="single" w:sz="12" w:space="0" w:color="auto"/>
            </w:tcBorders>
            <w:noWrap/>
            <w:vAlign w:val="center"/>
          </w:tcPr>
          <w:p w14:paraId="3CB3E8EB" w14:textId="77777777" w:rsidR="00C01A50" w:rsidRPr="000C7437" w:rsidRDefault="00C01A50" w:rsidP="00B80EB7">
            <w:pPr>
              <w:spacing w:before="0" w:after="0"/>
              <w:jc w:val="right"/>
              <w:rPr>
                <w:lang w:val="en-AU"/>
              </w:rPr>
            </w:pPr>
            <w:r w:rsidRPr="000C7437">
              <w:rPr>
                <w:lang w:val="en-AU"/>
              </w:rPr>
              <w:t>0</w:t>
            </w:r>
          </w:p>
        </w:tc>
      </w:tr>
      <w:tr w:rsidR="00C01A50" w:rsidRPr="000C7437" w14:paraId="5F28B0FE" w14:textId="77777777">
        <w:trPr>
          <w:cantSplit/>
          <w:jc w:val="center"/>
        </w:trPr>
        <w:tc>
          <w:tcPr>
            <w:tcW w:w="3096" w:type="dxa"/>
            <w:tcBorders>
              <w:top w:val="single" w:sz="4" w:space="0" w:color="auto"/>
              <w:left w:val="single" w:sz="12" w:space="0" w:color="auto"/>
              <w:right w:val="single" w:sz="12" w:space="0" w:color="auto"/>
            </w:tcBorders>
            <w:noWrap/>
          </w:tcPr>
          <w:p w14:paraId="311EA3DA" w14:textId="77777777" w:rsidR="00C01A50" w:rsidRPr="000C7437" w:rsidRDefault="00C01A50" w:rsidP="00B80EB7">
            <w:pPr>
              <w:spacing w:before="0" w:after="0"/>
              <w:rPr>
                <w:lang w:val="en-AU"/>
              </w:rPr>
            </w:pPr>
            <w:r w:rsidRPr="000C7437">
              <w:rPr>
                <w:lang w:val="en-AU"/>
              </w:rPr>
              <w:t xml:space="preserve">NSW Northern </w:t>
            </w:r>
          </w:p>
        </w:tc>
        <w:tc>
          <w:tcPr>
            <w:tcW w:w="960" w:type="dxa"/>
            <w:tcBorders>
              <w:top w:val="single" w:sz="4" w:space="0" w:color="auto"/>
            </w:tcBorders>
            <w:noWrap/>
            <w:vAlign w:val="center"/>
          </w:tcPr>
          <w:p w14:paraId="7F80ACF8" w14:textId="77777777" w:rsidR="00C01A50" w:rsidRPr="000C7437" w:rsidRDefault="00C01A50" w:rsidP="00B80EB7">
            <w:pPr>
              <w:spacing w:before="0" w:after="0"/>
              <w:jc w:val="right"/>
              <w:rPr>
                <w:lang w:val="en-AU"/>
              </w:rPr>
            </w:pPr>
            <w:r w:rsidRPr="000C7437">
              <w:rPr>
                <w:lang w:val="en-AU"/>
              </w:rPr>
              <w:t>5.8</w:t>
            </w:r>
          </w:p>
        </w:tc>
        <w:tc>
          <w:tcPr>
            <w:tcW w:w="1720" w:type="dxa"/>
            <w:tcBorders>
              <w:top w:val="single" w:sz="4" w:space="0" w:color="auto"/>
              <w:right w:val="single" w:sz="12" w:space="0" w:color="auto"/>
            </w:tcBorders>
            <w:noWrap/>
            <w:vAlign w:val="center"/>
          </w:tcPr>
          <w:p w14:paraId="0678B0F1" w14:textId="77777777" w:rsidR="00C01A50" w:rsidRPr="000C7437" w:rsidRDefault="00C01A50" w:rsidP="00B80EB7">
            <w:pPr>
              <w:spacing w:before="0" w:after="0"/>
              <w:jc w:val="right"/>
              <w:rPr>
                <w:lang w:val="en-AU"/>
              </w:rPr>
            </w:pPr>
            <w:r w:rsidRPr="000C7437">
              <w:rPr>
                <w:lang w:val="en-AU"/>
              </w:rPr>
              <w:t>37.7</w:t>
            </w:r>
          </w:p>
        </w:tc>
      </w:tr>
      <w:tr w:rsidR="00C01A50" w:rsidRPr="000C7437" w14:paraId="782FAD72" w14:textId="77777777">
        <w:trPr>
          <w:cantSplit/>
          <w:jc w:val="center"/>
        </w:trPr>
        <w:tc>
          <w:tcPr>
            <w:tcW w:w="3096" w:type="dxa"/>
            <w:tcBorders>
              <w:left w:val="single" w:sz="12" w:space="0" w:color="auto"/>
              <w:right w:val="single" w:sz="12" w:space="0" w:color="auto"/>
            </w:tcBorders>
            <w:noWrap/>
          </w:tcPr>
          <w:p w14:paraId="371AD6E4" w14:textId="77777777" w:rsidR="00C01A50" w:rsidRPr="000C7437" w:rsidRDefault="00C01A50" w:rsidP="00B80EB7">
            <w:pPr>
              <w:spacing w:before="0" w:after="0"/>
              <w:rPr>
                <w:lang w:val="en-AU"/>
              </w:rPr>
            </w:pPr>
            <w:r w:rsidRPr="000C7437">
              <w:rPr>
                <w:lang w:val="en-AU"/>
              </w:rPr>
              <w:t>ACT</w:t>
            </w:r>
          </w:p>
        </w:tc>
        <w:tc>
          <w:tcPr>
            <w:tcW w:w="1598" w:type="dxa"/>
            <w:noWrap/>
            <w:vAlign w:val="center"/>
          </w:tcPr>
          <w:p w14:paraId="1BB2C1C5" w14:textId="77777777" w:rsidR="00C01A50" w:rsidRPr="000C7437" w:rsidRDefault="00C01A50" w:rsidP="00B80EB7">
            <w:pPr>
              <w:spacing w:before="0" w:after="0"/>
              <w:jc w:val="right"/>
              <w:rPr>
                <w:lang w:val="en-AU"/>
              </w:rPr>
            </w:pPr>
            <w:r w:rsidRPr="000C7437">
              <w:rPr>
                <w:lang w:val="en-AU"/>
              </w:rPr>
              <w:t>0</w:t>
            </w:r>
          </w:p>
        </w:tc>
        <w:tc>
          <w:tcPr>
            <w:tcW w:w="1720" w:type="dxa"/>
            <w:tcBorders>
              <w:right w:val="single" w:sz="12" w:space="0" w:color="auto"/>
            </w:tcBorders>
            <w:noWrap/>
            <w:vAlign w:val="center"/>
          </w:tcPr>
          <w:p w14:paraId="33C06D59" w14:textId="77777777" w:rsidR="00C01A50" w:rsidRPr="000C7437" w:rsidRDefault="00C01A50" w:rsidP="00B80EB7">
            <w:pPr>
              <w:spacing w:before="0" w:after="0"/>
              <w:jc w:val="right"/>
              <w:rPr>
                <w:lang w:val="en-AU"/>
              </w:rPr>
            </w:pPr>
            <w:r w:rsidRPr="000C7437">
              <w:rPr>
                <w:lang w:val="en-AU"/>
              </w:rPr>
              <w:t>0</w:t>
            </w:r>
          </w:p>
        </w:tc>
      </w:tr>
      <w:tr w:rsidR="00C01A50" w:rsidRPr="000C7437" w14:paraId="4050F917" w14:textId="77777777">
        <w:trPr>
          <w:cantSplit/>
          <w:jc w:val="center"/>
        </w:trPr>
        <w:tc>
          <w:tcPr>
            <w:tcW w:w="3096" w:type="dxa"/>
            <w:tcBorders>
              <w:left w:val="single" w:sz="12" w:space="0" w:color="auto"/>
              <w:right w:val="single" w:sz="12" w:space="0" w:color="auto"/>
            </w:tcBorders>
            <w:noWrap/>
          </w:tcPr>
          <w:p w14:paraId="581DDE81" w14:textId="77777777" w:rsidR="00C01A50" w:rsidRPr="000C7437" w:rsidRDefault="00C01A50" w:rsidP="00B80EB7">
            <w:pPr>
              <w:spacing w:before="0" w:after="0"/>
              <w:rPr>
                <w:lang w:val="en-AU"/>
              </w:rPr>
            </w:pPr>
            <w:r w:rsidRPr="000C7437">
              <w:rPr>
                <w:lang w:val="en-AU"/>
              </w:rPr>
              <w:t>SA</w:t>
            </w:r>
          </w:p>
        </w:tc>
        <w:tc>
          <w:tcPr>
            <w:tcW w:w="1598" w:type="dxa"/>
            <w:noWrap/>
            <w:vAlign w:val="center"/>
          </w:tcPr>
          <w:p w14:paraId="0CEDF0E1" w14:textId="77777777" w:rsidR="00C01A50" w:rsidRPr="000C7437" w:rsidRDefault="00C01A50" w:rsidP="00B80EB7">
            <w:pPr>
              <w:spacing w:before="0" w:after="0"/>
              <w:jc w:val="right"/>
              <w:rPr>
                <w:lang w:val="en-AU"/>
              </w:rPr>
            </w:pPr>
            <w:r w:rsidRPr="000C7437">
              <w:rPr>
                <w:lang w:val="en-AU"/>
              </w:rPr>
              <w:t>8.1</w:t>
            </w:r>
          </w:p>
        </w:tc>
        <w:tc>
          <w:tcPr>
            <w:tcW w:w="1720" w:type="dxa"/>
            <w:tcBorders>
              <w:right w:val="single" w:sz="12" w:space="0" w:color="auto"/>
            </w:tcBorders>
            <w:noWrap/>
            <w:vAlign w:val="center"/>
          </w:tcPr>
          <w:p w14:paraId="1F3E9E70" w14:textId="77777777" w:rsidR="00C01A50" w:rsidRPr="000C7437" w:rsidRDefault="00C01A50" w:rsidP="00B80EB7">
            <w:pPr>
              <w:spacing w:before="0" w:after="0"/>
              <w:jc w:val="right"/>
              <w:rPr>
                <w:lang w:val="en-AU"/>
              </w:rPr>
            </w:pPr>
            <w:r w:rsidRPr="000C7437">
              <w:rPr>
                <w:lang w:val="en-AU"/>
              </w:rPr>
              <w:t>52.5</w:t>
            </w:r>
          </w:p>
        </w:tc>
      </w:tr>
      <w:tr w:rsidR="00C01A50" w:rsidRPr="000C7437" w14:paraId="63E027D8" w14:textId="77777777">
        <w:trPr>
          <w:cantSplit/>
          <w:jc w:val="center"/>
        </w:trPr>
        <w:tc>
          <w:tcPr>
            <w:tcW w:w="3096" w:type="dxa"/>
            <w:tcBorders>
              <w:left w:val="single" w:sz="12" w:space="0" w:color="auto"/>
              <w:right w:val="single" w:sz="12" w:space="0" w:color="auto"/>
            </w:tcBorders>
            <w:noWrap/>
          </w:tcPr>
          <w:p w14:paraId="7D70CF5A" w14:textId="77777777" w:rsidR="00C01A50" w:rsidRPr="000C7437" w:rsidRDefault="00C01A50" w:rsidP="00B80EB7">
            <w:pPr>
              <w:spacing w:before="0" w:after="0"/>
              <w:rPr>
                <w:lang w:val="en-AU"/>
              </w:rPr>
            </w:pPr>
            <w:r w:rsidRPr="000C7437">
              <w:rPr>
                <w:lang w:val="en-AU"/>
              </w:rPr>
              <w:t>NSW South including Lachlan</w:t>
            </w:r>
          </w:p>
        </w:tc>
        <w:tc>
          <w:tcPr>
            <w:tcW w:w="1598" w:type="dxa"/>
            <w:noWrap/>
            <w:vAlign w:val="center"/>
          </w:tcPr>
          <w:p w14:paraId="6BCFB464" w14:textId="77777777" w:rsidR="00C01A50" w:rsidRPr="000C7437" w:rsidRDefault="00C01A50" w:rsidP="00B80EB7">
            <w:pPr>
              <w:spacing w:before="0" w:after="0"/>
              <w:jc w:val="right"/>
              <w:rPr>
                <w:lang w:val="en-AU"/>
              </w:rPr>
            </w:pPr>
            <w:r w:rsidRPr="000C7437">
              <w:rPr>
                <w:lang w:val="en-AU"/>
              </w:rPr>
              <w:t>44.7</w:t>
            </w:r>
          </w:p>
        </w:tc>
        <w:tc>
          <w:tcPr>
            <w:tcW w:w="1720" w:type="dxa"/>
            <w:tcBorders>
              <w:right w:val="single" w:sz="12" w:space="0" w:color="auto"/>
            </w:tcBorders>
            <w:noWrap/>
            <w:vAlign w:val="center"/>
          </w:tcPr>
          <w:p w14:paraId="1A48548B" w14:textId="77777777" w:rsidR="00C01A50" w:rsidRPr="000C7437" w:rsidRDefault="00C01A50" w:rsidP="00B80EB7">
            <w:pPr>
              <w:spacing w:before="0" w:after="0"/>
              <w:jc w:val="right"/>
              <w:rPr>
                <w:lang w:val="en-AU"/>
              </w:rPr>
            </w:pPr>
            <w:r w:rsidRPr="000C7437">
              <w:rPr>
                <w:lang w:val="en-AU"/>
              </w:rPr>
              <w:t>290.3</w:t>
            </w:r>
          </w:p>
        </w:tc>
      </w:tr>
      <w:tr w:rsidR="00C01A50" w:rsidRPr="000C7437" w14:paraId="44683940" w14:textId="77777777">
        <w:trPr>
          <w:cantSplit/>
          <w:jc w:val="center"/>
        </w:trPr>
        <w:tc>
          <w:tcPr>
            <w:tcW w:w="3096" w:type="dxa"/>
            <w:tcBorders>
              <w:left w:val="single" w:sz="12" w:space="0" w:color="auto"/>
              <w:bottom w:val="single" w:sz="12" w:space="0" w:color="auto"/>
              <w:right w:val="single" w:sz="12" w:space="0" w:color="auto"/>
            </w:tcBorders>
            <w:noWrap/>
          </w:tcPr>
          <w:p w14:paraId="29657105" w14:textId="77777777" w:rsidR="00C01A50" w:rsidRPr="000C7437" w:rsidRDefault="00C01A50" w:rsidP="00B80EB7">
            <w:pPr>
              <w:spacing w:before="0" w:after="0"/>
              <w:rPr>
                <w:lang w:val="en-AU"/>
              </w:rPr>
            </w:pPr>
            <w:r w:rsidRPr="000C7437">
              <w:rPr>
                <w:lang w:val="en-AU"/>
              </w:rPr>
              <w:t>Victoria including Wimmera</w:t>
            </w:r>
          </w:p>
        </w:tc>
        <w:tc>
          <w:tcPr>
            <w:tcW w:w="1598" w:type="dxa"/>
            <w:tcBorders>
              <w:bottom w:val="single" w:sz="12" w:space="0" w:color="auto"/>
            </w:tcBorders>
            <w:noWrap/>
            <w:vAlign w:val="center"/>
          </w:tcPr>
          <w:p w14:paraId="33ADA7B5" w14:textId="77777777" w:rsidR="00C01A50" w:rsidRPr="000C7437" w:rsidRDefault="00C01A50" w:rsidP="00B80EB7">
            <w:pPr>
              <w:spacing w:before="0" w:after="0"/>
              <w:jc w:val="right"/>
              <w:rPr>
                <w:lang w:val="en-AU"/>
              </w:rPr>
            </w:pPr>
            <w:r w:rsidRPr="000C7437">
              <w:rPr>
                <w:lang w:val="en-AU"/>
              </w:rPr>
              <w:t>41.5</w:t>
            </w:r>
          </w:p>
        </w:tc>
        <w:tc>
          <w:tcPr>
            <w:tcW w:w="1720" w:type="dxa"/>
            <w:tcBorders>
              <w:bottom w:val="single" w:sz="12" w:space="0" w:color="auto"/>
              <w:right w:val="single" w:sz="12" w:space="0" w:color="auto"/>
            </w:tcBorders>
            <w:noWrap/>
            <w:vAlign w:val="center"/>
          </w:tcPr>
          <w:p w14:paraId="28078AE5" w14:textId="77777777" w:rsidR="00C01A50" w:rsidRPr="000C7437" w:rsidRDefault="00C01A50" w:rsidP="00B80EB7">
            <w:pPr>
              <w:spacing w:before="0" w:after="0"/>
              <w:jc w:val="right"/>
              <w:rPr>
                <w:lang w:val="en-AU"/>
              </w:rPr>
            </w:pPr>
            <w:r w:rsidRPr="000C7437">
              <w:rPr>
                <w:lang w:val="en-AU"/>
              </w:rPr>
              <w:t>269.6</w:t>
            </w:r>
          </w:p>
        </w:tc>
      </w:tr>
      <w:tr w:rsidR="00C01A50" w:rsidRPr="000C7437" w14:paraId="7F9E30C2" w14:textId="77777777">
        <w:trPr>
          <w:cantSplit/>
          <w:jc w:val="center"/>
        </w:trPr>
        <w:tc>
          <w:tcPr>
            <w:tcW w:w="3096" w:type="dxa"/>
            <w:tcBorders>
              <w:top w:val="single" w:sz="12" w:space="0" w:color="auto"/>
              <w:left w:val="single" w:sz="12" w:space="0" w:color="auto"/>
              <w:bottom w:val="single" w:sz="12" w:space="0" w:color="auto"/>
              <w:right w:val="single" w:sz="12" w:space="0" w:color="auto"/>
            </w:tcBorders>
            <w:noWrap/>
          </w:tcPr>
          <w:p w14:paraId="6D691FB8" w14:textId="77777777" w:rsidR="00C01A50" w:rsidRPr="000C7437" w:rsidRDefault="00C01A50" w:rsidP="00B80EB7">
            <w:pPr>
              <w:spacing w:before="0" w:after="0"/>
              <w:rPr>
                <w:lang w:val="en-AU"/>
              </w:rPr>
            </w:pPr>
            <w:r w:rsidRPr="000C7437">
              <w:rPr>
                <w:lang w:val="en-AU"/>
              </w:rPr>
              <w:t>TOTAL</w:t>
            </w:r>
          </w:p>
        </w:tc>
        <w:tc>
          <w:tcPr>
            <w:tcW w:w="1598" w:type="dxa"/>
            <w:tcBorders>
              <w:top w:val="single" w:sz="12" w:space="0" w:color="auto"/>
              <w:bottom w:val="single" w:sz="12" w:space="0" w:color="auto"/>
            </w:tcBorders>
            <w:noWrap/>
            <w:vAlign w:val="center"/>
          </w:tcPr>
          <w:p w14:paraId="74F2BD04" w14:textId="77777777" w:rsidR="00C01A50" w:rsidRPr="000C7437" w:rsidRDefault="00C01A50" w:rsidP="00B80EB7">
            <w:pPr>
              <w:spacing w:before="0" w:after="0"/>
              <w:jc w:val="right"/>
              <w:rPr>
                <w:lang w:val="en-AU"/>
              </w:rPr>
            </w:pPr>
            <w:r w:rsidRPr="000C7437">
              <w:rPr>
                <w:lang w:val="en-AU"/>
              </w:rPr>
              <w:t>100%</w:t>
            </w:r>
          </w:p>
        </w:tc>
        <w:tc>
          <w:tcPr>
            <w:tcW w:w="1720" w:type="dxa"/>
            <w:tcBorders>
              <w:top w:val="single" w:sz="12" w:space="0" w:color="auto"/>
              <w:bottom w:val="single" w:sz="12" w:space="0" w:color="auto"/>
              <w:right w:val="single" w:sz="12" w:space="0" w:color="auto"/>
            </w:tcBorders>
            <w:noWrap/>
            <w:vAlign w:val="center"/>
          </w:tcPr>
          <w:p w14:paraId="1F4A474E" w14:textId="77777777" w:rsidR="00C01A50" w:rsidRPr="000C7437" w:rsidRDefault="00C01A50" w:rsidP="00B80EB7">
            <w:pPr>
              <w:spacing w:before="0" w:after="0"/>
              <w:jc w:val="right"/>
              <w:rPr>
                <w:lang w:val="en-AU"/>
              </w:rPr>
            </w:pPr>
            <w:r w:rsidRPr="000C7437">
              <w:rPr>
                <w:lang w:val="en-AU"/>
              </w:rPr>
              <w:t>650</w:t>
            </w:r>
          </w:p>
        </w:tc>
      </w:tr>
    </w:tbl>
    <w:p w14:paraId="72C16FDE" w14:textId="77777777" w:rsidR="00C01A50" w:rsidRPr="000C7437" w:rsidRDefault="00C01A50" w:rsidP="00A17DEB"/>
    <w:p w14:paraId="01ED9F59" w14:textId="77777777" w:rsidR="0050165E" w:rsidRDefault="00C01A50" w:rsidP="00A17DEB">
      <w:r w:rsidRPr="000C7437">
        <w:t>No decision has been made on how to apportion the 450 GL of up-water between States or between the Northern and Southern Basins. For the HIGH water recovery scenario the 450 GL will be apportioned as per historical water use</w:t>
      </w:r>
      <w:r w:rsidRPr="000C7437">
        <w:rPr>
          <w:vertAlign w:val="superscript"/>
        </w:rPr>
        <w:footnoteReference w:id="26"/>
      </w:r>
      <w:r w:rsidRPr="000C7437">
        <w:t xml:space="preserve"> (</w:t>
      </w:r>
      <w:r w:rsidR="00053B52">
        <w:fldChar w:fldCharType="begin"/>
      </w:r>
      <w:r w:rsidR="00053B52">
        <w:instrText xml:space="preserve"> REF _Ref347079287 \h </w:instrText>
      </w:r>
      <w:r w:rsidR="00053B52">
        <w:fldChar w:fldCharType="separate"/>
      </w:r>
      <w:r w:rsidR="008E5D7A">
        <w:t xml:space="preserve">Table </w:t>
      </w:r>
      <w:r w:rsidR="008E5D7A">
        <w:rPr>
          <w:noProof/>
        </w:rPr>
        <w:t>23</w:t>
      </w:r>
      <w:r w:rsidR="00053B52">
        <w:fldChar w:fldCharType="end"/>
      </w:r>
      <w:r w:rsidRPr="000C7437">
        <w:t xml:space="preserve">). </w:t>
      </w:r>
    </w:p>
    <w:p w14:paraId="1406CB03" w14:textId="77777777" w:rsidR="0050165E" w:rsidRDefault="0050165E">
      <w:pPr>
        <w:spacing w:before="0" w:after="0" w:line="240" w:lineRule="auto"/>
        <w:jc w:val="left"/>
      </w:pPr>
      <w:r>
        <w:br w:type="page"/>
      </w:r>
    </w:p>
    <w:p w14:paraId="63A6F5FA" w14:textId="77777777" w:rsidR="00BB3AE7" w:rsidRPr="00BB3AE7" w:rsidRDefault="00BB3AE7" w:rsidP="00BB3AE7">
      <w:pPr>
        <w:pStyle w:val="Caption"/>
      </w:pPr>
      <w:bookmarkStart w:id="258" w:name="_Ref347079287"/>
      <w:r>
        <w:lastRenderedPageBreak/>
        <w:t xml:space="preserve">Table </w:t>
      </w:r>
      <w:r>
        <w:fldChar w:fldCharType="begin"/>
      </w:r>
      <w:r>
        <w:instrText xml:space="preserve"> SEQ Table \* ARABIC </w:instrText>
      </w:r>
      <w:r>
        <w:fldChar w:fldCharType="separate"/>
      </w:r>
      <w:r w:rsidR="008E5D7A">
        <w:rPr>
          <w:noProof/>
        </w:rPr>
        <w:t>23</w:t>
      </w:r>
      <w:r>
        <w:fldChar w:fldCharType="end"/>
      </w:r>
      <w:bookmarkEnd w:id="258"/>
      <w:r>
        <w:t xml:space="preserve">: </w:t>
      </w:r>
      <w:r w:rsidRPr="00BB3AE7">
        <w:t>Assume</w:t>
      </w:r>
      <w:r w:rsidR="00053B52">
        <w:t xml:space="preserve">d apportionment of 450 GL of </w:t>
      </w:r>
      <w:r w:rsidRPr="00BB3AE7">
        <w:t>water recovery from Efficiency Measures for the HIGH water recovery scenario</w:t>
      </w:r>
    </w:p>
    <w:tbl>
      <w:tblPr>
        <w:tblStyle w:val="TableGrid"/>
        <w:tblW w:w="0" w:type="auto"/>
        <w:jc w:val="center"/>
        <w:tblLook w:val="04A0" w:firstRow="1" w:lastRow="0" w:firstColumn="1" w:lastColumn="0" w:noHBand="0" w:noVBand="1"/>
      </w:tblPr>
      <w:tblGrid>
        <w:gridCol w:w="3096"/>
        <w:gridCol w:w="960"/>
        <w:gridCol w:w="1598"/>
        <w:gridCol w:w="2199"/>
      </w:tblGrid>
      <w:tr w:rsidR="00C01A50" w:rsidRPr="000C7437" w14:paraId="6B607B08" w14:textId="77777777">
        <w:trPr>
          <w:trHeight w:val="290"/>
          <w:jc w:val="center"/>
        </w:trPr>
        <w:tc>
          <w:tcPr>
            <w:tcW w:w="3096" w:type="dxa"/>
            <w:tcBorders>
              <w:top w:val="single" w:sz="12" w:space="0" w:color="auto"/>
              <w:left w:val="single" w:sz="12" w:space="0" w:color="auto"/>
              <w:bottom w:val="nil"/>
              <w:right w:val="single" w:sz="12" w:space="0" w:color="auto"/>
            </w:tcBorders>
            <w:noWrap/>
          </w:tcPr>
          <w:p w14:paraId="17375808" w14:textId="77777777" w:rsidR="00C01A50" w:rsidRPr="000C7437" w:rsidRDefault="00C01A50" w:rsidP="00B80EB7">
            <w:pPr>
              <w:spacing w:before="0" w:after="0"/>
              <w:rPr>
                <w:lang w:val="en-AU"/>
              </w:rPr>
            </w:pPr>
            <w:r w:rsidRPr="000C7437">
              <w:rPr>
                <w:lang w:val="en-AU"/>
              </w:rPr>
              <w:t> </w:t>
            </w:r>
          </w:p>
        </w:tc>
        <w:tc>
          <w:tcPr>
            <w:tcW w:w="960" w:type="dxa"/>
            <w:tcBorders>
              <w:top w:val="single" w:sz="12" w:space="0" w:color="auto"/>
              <w:left w:val="single" w:sz="12" w:space="0" w:color="auto"/>
              <w:bottom w:val="nil"/>
            </w:tcBorders>
            <w:shd w:val="clear" w:color="auto" w:fill="auto"/>
            <w:noWrap/>
            <w:vAlign w:val="center"/>
          </w:tcPr>
          <w:p w14:paraId="4138E713" w14:textId="77777777" w:rsidR="00C01A50" w:rsidRPr="000C7437" w:rsidRDefault="00C01A50" w:rsidP="00B80EB7">
            <w:pPr>
              <w:spacing w:before="0" w:after="0"/>
              <w:rPr>
                <w:lang w:val="en-AU"/>
              </w:rPr>
            </w:pPr>
            <w:r w:rsidRPr="000C7437">
              <w:rPr>
                <w:lang w:val="en-AU"/>
              </w:rPr>
              <w:t>BDL</w:t>
            </w:r>
          </w:p>
        </w:tc>
        <w:tc>
          <w:tcPr>
            <w:tcW w:w="1598" w:type="dxa"/>
            <w:tcBorders>
              <w:top w:val="single" w:sz="12" w:space="0" w:color="auto"/>
              <w:bottom w:val="nil"/>
            </w:tcBorders>
            <w:noWrap/>
            <w:vAlign w:val="center"/>
          </w:tcPr>
          <w:p w14:paraId="3F059846" w14:textId="77777777" w:rsidR="00C01A50" w:rsidRPr="000C7437" w:rsidRDefault="00C01A50" w:rsidP="00B80EB7">
            <w:pPr>
              <w:spacing w:before="0" w:after="0"/>
              <w:rPr>
                <w:lang w:val="en-AU"/>
              </w:rPr>
            </w:pPr>
            <w:r w:rsidRPr="000C7437">
              <w:rPr>
                <w:lang w:val="en-AU"/>
              </w:rPr>
              <w:t>Apportionment</w:t>
            </w:r>
          </w:p>
        </w:tc>
        <w:tc>
          <w:tcPr>
            <w:tcW w:w="2199" w:type="dxa"/>
            <w:tcBorders>
              <w:top w:val="single" w:sz="12" w:space="0" w:color="auto"/>
              <w:bottom w:val="nil"/>
              <w:right w:val="single" w:sz="12" w:space="0" w:color="auto"/>
            </w:tcBorders>
            <w:noWrap/>
            <w:vAlign w:val="center"/>
          </w:tcPr>
          <w:p w14:paraId="54AF7D23" w14:textId="77777777" w:rsidR="00C01A50" w:rsidRPr="000C7437" w:rsidRDefault="00C01A50" w:rsidP="00B80EB7">
            <w:pPr>
              <w:spacing w:before="0" w:after="0"/>
              <w:rPr>
                <w:lang w:val="en-AU"/>
              </w:rPr>
            </w:pPr>
            <w:r w:rsidRPr="000C7437">
              <w:rPr>
                <w:lang w:val="en-AU"/>
              </w:rPr>
              <w:t>Volume</w:t>
            </w:r>
          </w:p>
        </w:tc>
      </w:tr>
      <w:tr w:rsidR="00C01A50" w:rsidRPr="000C7437" w14:paraId="182E2AB4" w14:textId="77777777">
        <w:trPr>
          <w:trHeight w:val="300"/>
          <w:jc w:val="center"/>
        </w:trPr>
        <w:tc>
          <w:tcPr>
            <w:tcW w:w="3096" w:type="dxa"/>
            <w:tcBorders>
              <w:top w:val="nil"/>
              <w:left w:val="single" w:sz="12" w:space="0" w:color="auto"/>
              <w:bottom w:val="single" w:sz="12" w:space="0" w:color="auto"/>
              <w:right w:val="single" w:sz="12" w:space="0" w:color="auto"/>
            </w:tcBorders>
            <w:noWrap/>
          </w:tcPr>
          <w:p w14:paraId="6F5CE182" w14:textId="77777777" w:rsidR="00C01A50" w:rsidRPr="000C7437" w:rsidRDefault="00C01A50" w:rsidP="00B80EB7">
            <w:pPr>
              <w:spacing w:before="0" w:after="0"/>
              <w:rPr>
                <w:lang w:val="en-AU"/>
              </w:rPr>
            </w:pPr>
            <w:r w:rsidRPr="000C7437">
              <w:rPr>
                <w:lang w:val="en-AU"/>
              </w:rPr>
              <w:t> </w:t>
            </w:r>
          </w:p>
        </w:tc>
        <w:tc>
          <w:tcPr>
            <w:tcW w:w="960" w:type="dxa"/>
            <w:tcBorders>
              <w:top w:val="nil"/>
              <w:left w:val="single" w:sz="12" w:space="0" w:color="auto"/>
              <w:bottom w:val="single" w:sz="12" w:space="0" w:color="auto"/>
            </w:tcBorders>
            <w:noWrap/>
            <w:vAlign w:val="center"/>
          </w:tcPr>
          <w:p w14:paraId="59441EF4" w14:textId="77777777" w:rsidR="00C01A50" w:rsidRPr="000C7437" w:rsidRDefault="00C01A50" w:rsidP="00B80EB7">
            <w:pPr>
              <w:spacing w:before="0" w:after="0"/>
              <w:rPr>
                <w:lang w:val="en-AU"/>
              </w:rPr>
            </w:pPr>
            <w:r w:rsidRPr="000C7437">
              <w:rPr>
                <w:lang w:val="en-AU"/>
              </w:rPr>
              <w:t>(GL)</w:t>
            </w:r>
          </w:p>
        </w:tc>
        <w:tc>
          <w:tcPr>
            <w:tcW w:w="1598" w:type="dxa"/>
            <w:tcBorders>
              <w:top w:val="nil"/>
              <w:bottom w:val="single" w:sz="12" w:space="0" w:color="auto"/>
            </w:tcBorders>
            <w:noWrap/>
            <w:vAlign w:val="center"/>
          </w:tcPr>
          <w:p w14:paraId="256451AE" w14:textId="77777777" w:rsidR="00C01A50" w:rsidRPr="000C7437" w:rsidRDefault="00C01A50" w:rsidP="00B80EB7">
            <w:pPr>
              <w:spacing w:before="0" w:after="0"/>
              <w:rPr>
                <w:lang w:val="en-AU"/>
              </w:rPr>
            </w:pPr>
            <w:r w:rsidRPr="000C7437">
              <w:rPr>
                <w:lang w:val="en-AU"/>
              </w:rPr>
              <w:t>(%)</w:t>
            </w:r>
          </w:p>
        </w:tc>
        <w:tc>
          <w:tcPr>
            <w:tcW w:w="2199" w:type="dxa"/>
            <w:tcBorders>
              <w:top w:val="nil"/>
              <w:bottom w:val="single" w:sz="12" w:space="0" w:color="auto"/>
              <w:right w:val="single" w:sz="12" w:space="0" w:color="auto"/>
            </w:tcBorders>
            <w:noWrap/>
            <w:vAlign w:val="center"/>
          </w:tcPr>
          <w:p w14:paraId="149E4E4A" w14:textId="77777777" w:rsidR="00C01A50" w:rsidRPr="000C7437" w:rsidRDefault="00C01A50" w:rsidP="00B80EB7">
            <w:pPr>
              <w:spacing w:before="0" w:after="0"/>
              <w:rPr>
                <w:lang w:val="en-AU"/>
              </w:rPr>
            </w:pPr>
            <w:r w:rsidRPr="000C7437">
              <w:rPr>
                <w:lang w:val="en-AU"/>
              </w:rPr>
              <w:t>(GL)</w:t>
            </w:r>
          </w:p>
        </w:tc>
      </w:tr>
      <w:tr w:rsidR="00C01A50" w:rsidRPr="000C7437" w14:paraId="017B8B45" w14:textId="77777777">
        <w:trPr>
          <w:trHeight w:val="290"/>
          <w:jc w:val="center"/>
        </w:trPr>
        <w:tc>
          <w:tcPr>
            <w:tcW w:w="3096" w:type="dxa"/>
            <w:tcBorders>
              <w:top w:val="single" w:sz="12" w:space="0" w:color="auto"/>
              <w:left w:val="single" w:sz="12" w:space="0" w:color="auto"/>
              <w:right w:val="single" w:sz="12" w:space="0" w:color="auto"/>
            </w:tcBorders>
            <w:noWrap/>
          </w:tcPr>
          <w:p w14:paraId="3E28E93F" w14:textId="77777777" w:rsidR="00C01A50" w:rsidRPr="000C7437" w:rsidRDefault="00C01A50" w:rsidP="00B80EB7">
            <w:pPr>
              <w:spacing w:before="0" w:after="0"/>
              <w:rPr>
                <w:lang w:val="en-AU"/>
              </w:rPr>
            </w:pPr>
            <w:r w:rsidRPr="000C7437">
              <w:rPr>
                <w:lang w:val="en-AU"/>
              </w:rPr>
              <w:t>QLD</w:t>
            </w:r>
          </w:p>
        </w:tc>
        <w:tc>
          <w:tcPr>
            <w:tcW w:w="960" w:type="dxa"/>
            <w:tcBorders>
              <w:top w:val="single" w:sz="12" w:space="0" w:color="auto"/>
              <w:left w:val="single" w:sz="12" w:space="0" w:color="auto"/>
            </w:tcBorders>
            <w:noWrap/>
            <w:vAlign w:val="center"/>
          </w:tcPr>
          <w:p w14:paraId="4288F605" w14:textId="77777777" w:rsidR="00C01A50" w:rsidRPr="000C7437" w:rsidRDefault="00C01A50" w:rsidP="00B80EB7">
            <w:pPr>
              <w:spacing w:before="0" w:after="0"/>
              <w:jc w:val="right"/>
              <w:rPr>
                <w:lang w:val="en-AU"/>
              </w:rPr>
            </w:pPr>
            <w:r w:rsidRPr="000C7437">
              <w:rPr>
                <w:lang w:val="en-AU"/>
              </w:rPr>
              <w:t>2,306.9</w:t>
            </w:r>
          </w:p>
        </w:tc>
        <w:tc>
          <w:tcPr>
            <w:tcW w:w="960" w:type="dxa"/>
            <w:tcBorders>
              <w:top w:val="single" w:sz="12" w:space="0" w:color="auto"/>
            </w:tcBorders>
            <w:noWrap/>
            <w:vAlign w:val="center"/>
          </w:tcPr>
          <w:p w14:paraId="1B52F962" w14:textId="77777777" w:rsidR="00C01A50" w:rsidRPr="000C7437" w:rsidRDefault="00C01A50" w:rsidP="00B80EB7">
            <w:pPr>
              <w:spacing w:before="0" w:after="0"/>
              <w:jc w:val="right"/>
              <w:rPr>
                <w:lang w:val="en-AU"/>
              </w:rPr>
            </w:pPr>
            <w:r w:rsidRPr="000C7437">
              <w:rPr>
                <w:lang w:val="en-AU"/>
              </w:rPr>
              <w:t>16.9</w:t>
            </w:r>
          </w:p>
        </w:tc>
        <w:tc>
          <w:tcPr>
            <w:tcW w:w="2199" w:type="dxa"/>
            <w:tcBorders>
              <w:top w:val="single" w:sz="12" w:space="0" w:color="auto"/>
              <w:right w:val="single" w:sz="12" w:space="0" w:color="auto"/>
            </w:tcBorders>
            <w:noWrap/>
            <w:vAlign w:val="center"/>
          </w:tcPr>
          <w:p w14:paraId="5935D6BA" w14:textId="77777777" w:rsidR="00C01A50" w:rsidRPr="000C7437" w:rsidRDefault="00C01A50" w:rsidP="00B80EB7">
            <w:pPr>
              <w:spacing w:before="0" w:after="0"/>
              <w:jc w:val="right"/>
              <w:rPr>
                <w:lang w:val="en-AU"/>
              </w:rPr>
            </w:pPr>
            <w:r w:rsidRPr="000C7437">
              <w:rPr>
                <w:lang w:val="en-AU"/>
              </w:rPr>
              <w:t>76.2</w:t>
            </w:r>
          </w:p>
        </w:tc>
      </w:tr>
      <w:tr w:rsidR="00C01A50" w:rsidRPr="000C7437" w14:paraId="02F27275" w14:textId="77777777">
        <w:trPr>
          <w:trHeight w:val="290"/>
          <w:jc w:val="center"/>
        </w:trPr>
        <w:tc>
          <w:tcPr>
            <w:tcW w:w="3096" w:type="dxa"/>
            <w:tcBorders>
              <w:left w:val="single" w:sz="12" w:space="0" w:color="auto"/>
              <w:right w:val="single" w:sz="12" w:space="0" w:color="auto"/>
            </w:tcBorders>
            <w:noWrap/>
          </w:tcPr>
          <w:p w14:paraId="7B9A868B" w14:textId="77777777" w:rsidR="00C01A50" w:rsidRPr="000C7437" w:rsidRDefault="00C01A50" w:rsidP="00B80EB7">
            <w:pPr>
              <w:spacing w:before="0" w:after="0"/>
              <w:rPr>
                <w:lang w:val="en-AU"/>
              </w:rPr>
            </w:pPr>
            <w:r w:rsidRPr="000C7437">
              <w:rPr>
                <w:lang w:val="en-AU"/>
              </w:rPr>
              <w:t>NSW North</w:t>
            </w:r>
          </w:p>
        </w:tc>
        <w:tc>
          <w:tcPr>
            <w:tcW w:w="960" w:type="dxa"/>
            <w:tcBorders>
              <w:left w:val="single" w:sz="12" w:space="0" w:color="auto"/>
            </w:tcBorders>
            <w:noWrap/>
            <w:vAlign w:val="center"/>
          </w:tcPr>
          <w:p w14:paraId="72287057" w14:textId="77777777" w:rsidR="00C01A50" w:rsidRPr="000C7437" w:rsidRDefault="00C01A50" w:rsidP="00B80EB7">
            <w:pPr>
              <w:spacing w:before="0" w:after="0"/>
              <w:jc w:val="right"/>
              <w:rPr>
                <w:lang w:val="en-AU"/>
              </w:rPr>
            </w:pPr>
            <w:r w:rsidRPr="000C7437">
              <w:rPr>
                <w:lang w:val="en-AU"/>
              </w:rPr>
              <w:t>1,551.4</w:t>
            </w:r>
          </w:p>
        </w:tc>
        <w:tc>
          <w:tcPr>
            <w:tcW w:w="960" w:type="dxa"/>
            <w:noWrap/>
            <w:vAlign w:val="center"/>
          </w:tcPr>
          <w:p w14:paraId="146AA9ED" w14:textId="77777777" w:rsidR="00C01A50" w:rsidRPr="000C7437" w:rsidRDefault="00C01A50" w:rsidP="00B80EB7">
            <w:pPr>
              <w:spacing w:before="0" w:after="0"/>
              <w:jc w:val="right"/>
              <w:rPr>
                <w:lang w:val="en-AU"/>
              </w:rPr>
            </w:pPr>
            <w:r w:rsidRPr="000C7437">
              <w:rPr>
                <w:lang w:val="en-AU"/>
              </w:rPr>
              <w:t>11.4</w:t>
            </w:r>
          </w:p>
        </w:tc>
        <w:tc>
          <w:tcPr>
            <w:tcW w:w="2199" w:type="dxa"/>
            <w:tcBorders>
              <w:right w:val="single" w:sz="12" w:space="0" w:color="auto"/>
            </w:tcBorders>
            <w:noWrap/>
            <w:vAlign w:val="center"/>
          </w:tcPr>
          <w:p w14:paraId="5B05A75D" w14:textId="77777777" w:rsidR="00C01A50" w:rsidRPr="000C7437" w:rsidRDefault="00C01A50" w:rsidP="00B80EB7">
            <w:pPr>
              <w:spacing w:before="0" w:after="0"/>
              <w:jc w:val="right"/>
              <w:rPr>
                <w:lang w:val="en-AU"/>
              </w:rPr>
            </w:pPr>
            <w:r w:rsidRPr="000C7437">
              <w:rPr>
                <w:lang w:val="en-AU"/>
              </w:rPr>
              <w:t>51.2</w:t>
            </w:r>
          </w:p>
        </w:tc>
      </w:tr>
      <w:tr w:rsidR="00C01A50" w:rsidRPr="000C7437" w14:paraId="1512D548" w14:textId="77777777">
        <w:trPr>
          <w:trHeight w:val="290"/>
          <w:jc w:val="center"/>
        </w:trPr>
        <w:tc>
          <w:tcPr>
            <w:tcW w:w="3096" w:type="dxa"/>
            <w:tcBorders>
              <w:left w:val="single" w:sz="12" w:space="0" w:color="auto"/>
              <w:right w:val="single" w:sz="12" w:space="0" w:color="auto"/>
            </w:tcBorders>
            <w:noWrap/>
          </w:tcPr>
          <w:p w14:paraId="2A1D938D" w14:textId="77777777" w:rsidR="00C01A50" w:rsidRPr="000C7437" w:rsidRDefault="00C01A50" w:rsidP="00B80EB7">
            <w:pPr>
              <w:spacing w:before="0" w:after="0"/>
              <w:rPr>
                <w:lang w:val="en-AU"/>
              </w:rPr>
            </w:pPr>
            <w:r w:rsidRPr="000C7437">
              <w:rPr>
                <w:lang w:val="en-AU"/>
              </w:rPr>
              <w:t>ACT</w:t>
            </w:r>
          </w:p>
        </w:tc>
        <w:tc>
          <w:tcPr>
            <w:tcW w:w="960" w:type="dxa"/>
            <w:tcBorders>
              <w:left w:val="single" w:sz="12" w:space="0" w:color="auto"/>
            </w:tcBorders>
            <w:noWrap/>
            <w:vAlign w:val="center"/>
          </w:tcPr>
          <w:p w14:paraId="4BB23FAC" w14:textId="77777777" w:rsidR="00C01A50" w:rsidRPr="000C7437" w:rsidRDefault="00C01A50" w:rsidP="00B80EB7">
            <w:pPr>
              <w:spacing w:before="0" w:after="0"/>
              <w:jc w:val="right"/>
              <w:rPr>
                <w:lang w:val="en-AU"/>
              </w:rPr>
            </w:pPr>
            <w:r w:rsidRPr="000C7437">
              <w:rPr>
                <w:lang w:val="en-AU"/>
              </w:rPr>
              <w:t>52.5</w:t>
            </w:r>
          </w:p>
        </w:tc>
        <w:tc>
          <w:tcPr>
            <w:tcW w:w="960" w:type="dxa"/>
            <w:noWrap/>
            <w:vAlign w:val="center"/>
          </w:tcPr>
          <w:p w14:paraId="104183DA" w14:textId="77777777" w:rsidR="00C01A50" w:rsidRPr="000C7437" w:rsidRDefault="00C01A50" w:rsidP="00B80EB7">
            <w:pPr>
              <w:spacing w:before="0" w:after="0"/>
              <w:jc w:val="right"/>
              <w:rPr>
                <w:lang w:val="en-AU"/>
              </w:rPr>
            </w:pPr>
            <w:r w:rsidRPr="000C7437">
              <w:rPr>
                <w:lang w:val="en-AU"/>
              </w:rPr>
              <w:t>0.4</w:t>
            </w:r>
          </w:p>
        </w:tc>
        <w:tc>
          <w:tcPr>
            <w:tcW w:w="2199" w:type="dxa"/>
            <w:tcBorders>
              <w:right w:val="single" w:sz="12" w:space="0" w:color="auto"/>
            </w:tcBorders>
            <w:noWrap/>
            <w:vAlign w:val="center"/>
          </w:tcPr>
          <w:p w14:paraId="3C6BF7EB" w14:textId="77777777" w:rsidR="00C01A50" w:rsidRPr="000C7437" w:rsidRDefault="00C01A50" w:rsidP="00B80EB7">
            <w:pPr>
              <w:spacing w:before="0" w:after="0"/>
              <w:jc w:val="right"/>
              <w:rPr>
                <w:lang w:val="en-AU"/>
              </w:rPr>
            </w:pPr>
            <w:r w:rsidRPr="000C7437">
              <w:rPr>
                <w:lang w:val="en-AU"/>
              </w:rPr>
              <w:t>1.7</w:t>
            </w:r>
          </w:p>
        </w:tc>
      </w:tr>
      <w:tr w:rsidR="00C01A50" w:rsidRPr="000C7437" w14:paraId="68C44AAD" w14:textId="77777777">
        <w:trPr>
          <w:trHeight w:val="290"/>
          <w:jc w:val="center"/>
        </w:trPr>
        <w:tc>
          <w:tcPr>
            <w:tcW w:w="3096" w:type="dxa"/>
            <w:tcBorders>
              <w:left w:val="single" w:sz="12" w:space="0" w:color="auto"/>
              <w:right w:val="single" w:sz="12" w:space="0" w:color="auto"/>
            </w:tcBorders>
            <w:noWrap/>
          </w:tcPr>
          <w:p w14:paraId="0E8CD5A5" w14:textId="77777777" w:rsidR="00C01A50" w:rsidRPr="000C7437" w:rsidRDefault="00C01A50" w:rsidP="00B80EB7">
            <w:pPr>
              <w:spacing w:before="0" w:after="0"/>
              <w:rPr>
                <w:lang w:val="en-AU"/>
              </w:rPr>
            </w:pPr>
            <w:r w:rsidRPr="000C7437">
              <w:rPr>
                <w:lang w:val="en-AU"/>
              </w:rPr>
              <w:t>SA</w:t>
            </w:r>
          </w:p>
        </w:tc>
        <w:tc>
          <w:tcPr>
            <w:tcW w:w="960" w:type="dxa"/>
            <w:tcBorders>
              <w:left w:val="single" w:sz="12" w:space="0" w:color="auto"/>
            </w:tcBorders>
            <w:noWrap/>
            <w:vAlign w:val="center"/>
          </w:tcPr>
          <w:p w14:paraId="4BECCE0B" w14:textId="77777777" w:rsidR="00C01A50" w:rsidRPr="000C7437" w:rsidRDefault="00C01A50" w:rsidP="00B80EB7">
            <w:pPr>
              <w:spacing w:before="0" w:after="0"/>
              <w:jc w:val="right"/>
              <w:rPr>
                <w:lang w:val="en-AU"/>
              </w:rPr>
            </w:pPr>
            <w:r w:rsidRPr="000C7437">
              <w:rPr>
                <w:lang w:val="en-AU"/>
              </w:rPr>
              <w:t>700</w:t>
            </w:r>
          </w:p>
        </w:tc>
        <w:tc>
          <w:tcPr>
            <w:tcW w:w="1598" w:type="dxa"/>
            <w:noWrap/>
            <w:vAlign w:val="center"/>
          </w:tcPr>
          <w:p w14:paraId="56A95130" w14:textId="77777777" w:rsidR="00C01A50" w:rsidRPr="000C7437" w:rsidRDefault="00C01A50" w:rsidP="00B80EB7">
            <w:pPr>
              <w:spacing w:before="0" w:after="0"/>
              <w:jc w:val="right"/>
              <w:rPr>
                <w:lang w:val="en-AU"/>
              </w:rPr>
            </w:pPr>
            <w:r w:rsidRPr="000C7437">
              <w:rPr>
                <w:lang w:val="en-AU"/>
              </w:rPr>
              <w:t>5.1</w:t>
            </w:r>
          </w:p>
        </w:tc>
        <w:tc>
          <w:tcPr>
            <w:tcW w:w="2199" w:type="dxa"/>
            <w:tcBorders>
              <w:right w:val="single" w:sz="12" w:space="0" w:color="auto"/>
            </w:tcBorders>
            <w:noWrap/>
            <w:vAlign w:val="center"/>
          </w:tcPr>
          <w:p w14:paraId="389C8C6F" w14:textId="77777777" w:rsidR="00C01A50" w:rsidRPr="000C7437" w:rsidRDefault="00C01A50" w:rsidP="00B80EB7">
            <w:pPr>
              <w:spacing w:before="0" w:after="0"/>
              <w:jc w:val="right"/>
              <w:rPr>
                <w:lang w:val="en-AU"/>
              </w:rPr>
            </w:pPr>
            <w:r w:rsidRPr="000C7437">
              <w:rPr>
                <w:lang w:val="en-AU"/>
              </w:rPr>
              <w:t>23.1</w:t>
            </w:r>
          </w:p>
        </w:tc>
      </w:tr>
      <w:tr w:rsidR="00C01A50" w:rsidRPr="000C7437" w14:paraId="3A8560BB" w14:textId="77777777">
        <w:trPr>
          <w:trHeight w:val="290"/>
          <w:jc w:val="center"/>
        </w:trPr>
        <w:tc>
          <w:tcPr>
            <w:tcW w:w="3096" w:type="dxa"/>
            <w:tcBorders>
              <w:left w:val="single" w:sz="12" w:space="0" w:color="auto"/>
              <w:right w:val="single" w:sz="12" w:space="0" w:color="auto"/>
            </w:tcBorders>
            <w:noWrap/>
          </w:tcPr>
          <w:p w14:paraId="4D71AC35" w14:textId="77777777" w:rsidR="00C01A50" w:rsidRPr="000C7437" w:rsidRDefault="00C01A50" w:rsidP="00B80EB7">
            <w:pPr>
              <w:spacing w:before="0" w:after="0"/>
              <w:rPr>
                <w:lang w:val="en-AU"/>
              </w:rPr>
            </w:pPr>
            <w:r w:rsidRPr="000C7437">
              <w:rPr>
                <w:lang w:val="en-AU"/>
              </w:rPr>
              <w:t>NSW South including Lachlan</w:t>
            </w:r>
          </w:p>
        </w:tc>
        <w:tc>
          <w:tcPr>
            <w:tcW w:w="960" w:type="dxa"/>
            <w:tcBorders>
              <w:left w:val="single" w:sz="12" w:space="0" w:color="auto"/>
            </w:tcBorders>
            <w:noWrap/>
            <w:vAlign w:val="center"/>
          </w:tcPr>
          <w:p w14:paraId="1CE85389" w14:textId="77777777" w:rsidR="00C01A50" w:rsidRPr="000C7437" w:rsidRDefault="00C01A50" w:rsidP="00B80EB7">
            <w:pPr>
              <w:spacing w:before="0" w:after="0"/>
              <w:jc w:val="right"/>
              <w:rPr>
                <w:lang w:val="en-AU"/>
              </w:rPr>
            </w:pPr>
            <w:r w:rsidRPr="000C7437">
              <w:rPr>
                <w:lang w:val="en-AU"/>
              </w:rPr>
              <w:t>4,991.4</w:t>
            </w:r>
          </w:p>
        </w:tc>
        <w:tc>
          <w:tcPr>
            <w:tcW w:w="1598" w:type="dxa"/>
            <w:noWrap/>
            <w:vAlign w:val="center"/>
          </w:tcPr>
          <w:p w14:paraId="17D95FED" w14:textId="77777777" w:rsidR="00C01A50" w:rsidRPr="000C7437" w:rsidRDefault="00C01A50" w:rsidP="00B80EB7">
            <w:pPr>
              <w:spacing w:before="0" w:after="0"/>
              <w:jc w:val="right"/>
              <w:rPr>
                <w:lang w:val="en-AU"/>
              </w:rPr>
            </w:pPr>
            <w:r w:rsidRPr="000C7437">
              <w:rPr>
                <w:lang w:val="en-AU"/>
              </w:rPr>
              <w:t>36.6</w:t>
            </w:r>
          </w:p>
        </w:tc>
        <w:tc>
          <w:tcPr>
            <w:tcW w:w="2199" w:type="dxa"/>
            <w:tcBorders>
              <w:right w:val="single" w:sz="12" w:space="0" w:color="auto"/>
            </w:tcBorders>
            <w:noWrap/>
            <w:vAlign w:val="center"/>
          </w:tcPr>
          <w:p w14:paraId="0941C092" w14:textId="77777777" w:rsidR="00C01A50" w:rsidRPr="000C7437" w:rsidRDefault="00C01A50" w:rsidP="00B80EB7">
            <w:pPr>
              <w:spacing w:before="0" w:after="0"/>
              <w:jc w:val="right"/>
              <w:rPr>
                <w:lang w:val="en-AU"/>
              </w:rPr>
            </w:pPr>
            <w:r w:rsidRPr="000C7437">
              <w:rPr>
                <w:lang w:val="en-AU"/>
              </w:rPr>
              <w:t>164.9</w:t>
            </w:r>
          </w:p>
        </w:tc>
      </w:tr>
      <w:tr w:rsidR="00C01A50" w:rsidRPr="000C7437" w14:paraId="03B0BCF6" w14:textId="77777777">
        <w:trPr>
          <w:trHeight w:val="300"/>
          <w:jc w:val="center"/>
        </w:trPr>
        <w:tc>
          <w:tcPr>
            <w:tcW w:w="3096" w:type="dxa"/>
            <w:tcBorders>
              <w:left w:val="single" w:sz="12" w:space="0" w:color="auto"/>
              <w:bottom w:val="single" w:sz="12" w:space="0" w:color="auto"/>
              <w:right w:val="single" w:sz="12" w:space="0" w:color="auto"/>
            </w:tcBorders>
            <w:noWrap/>
          </w:tcPr>
          <w:p w14:paraId="29DCA88C" w14:textId="77777777" w:rsidR="00C01A50" w:rsidRPr="000C7437" w:rsidRDefault="00C01A50" w:rsidP="00B80EB7">
            <w:pPr>
              <w:spacing w:before="0" w:after="0"/>
              <w:rPr>
                <w:lang w:val="en-AU"/>
              </w:rPr>
            </w:pPr>
            <w:r>
              <w:rPr>
                <w:lang w:val="en-AU"/>
              </w:rPr>
              <w:t xml:space="preserve">Victoria including </w:t>
            </w:r>
            <w:r w:rsidRPr="000C7437">
              <w:rPr>
                <w:lang w:val="en-AU"/>
              </w:rPr>
              <w:t>Wimmera</w:t>
            </w:r>
          </w:p>
        </w:tc>
        <w:tc>
          <w:tcPr>
            <w:tcW w:w="960" w:type="dxa"/>
            <w:tcBorders>
              <w:left w:val="single" w:sz="12" w:space="0" w:color="auto"/>
              <w:bottom w:val="single" w:sz="12" w:space="0" w:color="auto"/>
            </w:tcBorders>
            <w:noWrap/>
            <w:vAlign w:val="center"/>
          </w:tcPr>
          <w:p w14:paraId="113AC8B2" w14:textId="77777777" w:rsidR="00C01A50" w:rsidRPr="000C7437" w:rsidRDefault="00C01A50" w:rsidP="00B80EB7">
            <w:pPr>
              <w:spacing w:before="0" w:after="0"/>
              <w:jc w:val="right"/>
              <w:rPr>
                <w:lang w:val="en-AU"/>
              </w:rPr>
            </w:pPr>
            <w:r w:rsidRPr="000C7437">
              <w:rPr>
                <w:lang w:val="en-AU"/>
              </w:rPr>
              <w:t>4,020.5</w:t>
            </w:r>
          </w:p>
        </w:tc>
        <w:tc>
          <w:tcPr>
            <w:tcW w:w="1598" w:type="dxa"/>
            <w:tcBorders>
              <w:bottom w:val="single" w:sz="12" w:space="0" w:color="auto"/>
            </w:tcBorders>
            <w:noWrap/>
            <w:vAlign w:val="center"/>
          </w:tcPr>
          <w:p w14:paraId="1732133B" w14:textId="77777777" w:rsidR="00C01A50" w:rsidRPr="000C7437" w:rsidRDefault="00C01A50" w:rsidP="00B80EB7">
            <w:pPr>
              <w:spacing w:before="0" w:after="0"/>
              <w:jc w:val="right"/>
              <w:rPr>
                <w:lang w:val="en-AU"/>
              </w:rPr>
            </w:pPr>
            <w:r w:rsidRPr="000C7437">
              <w:rPr>
                <w:lang w:val="en-AU"/>
              </w:rPr>
              <w:t>29.5</w:t>
            </w:r>
          </w:p>
        </w:tc>
        <w:tc>
          <w:tcPr>
            <w:tcW w:w="2199" w:type="dxa"/>
            <w:tcBorders>
              <w:bottom w:val="single" w:sz="12" w:space="0" w:color="auto"/>
              <w:right w:val="single" w:sz="12" w:space="0" w:color="auto"/>
            </w:tcBorders>
            <w:noWrap/>
            <w:vAlign w:val="center"/>
          </w:tcPr>
          <w:p w14:paraId="77188B9B" w14:textId="77777777" w:rsidR="00C01A50" w:rsidRPr="000C7437" w:rsidRDefault="00C01A50" w:rsidP="00B80EB7">
            <w:pPr>
              <w:spacing w:before="0" w:after="0"/>
              <w:jc w:val="right"/>
              <w:rPr>
                <w:lang w:val="en-AU"/>
              </w:rPr>
            </w:pPr>
            <w:r w:rsidRPr="000C7437">
              <w:rPr>
                <w:lang w:val="en-AU"/>
              </w:rPr>
              <w:t>132.8</w:t>
            </w:r>
          </w:p>
        </w:tc>
      </w:tr>
      <w:tr w:rsidR="00C01A50" w:rsidRPr="000C7437" w14:paraId="7341A437" w14:textId="77777777">
        <w:trPr>
          <w:trHeight w:val="300"/>
          <w:jc w:val="center"/>
        </w:trPr>
        <w:tc>
          <w:tcPr>
            <w:tcW w:w="3096" w:type="dxa"/>
            <w:tcBorders>
              <w:top w:val="single" w:sz="12" w:space="0" w:color="auto"/>
              <w:left w:val="single" w:sz="12" w:space="0" w:color="auto"/>
              <w:bottom w:val="single" w:sz="12" w:space="0" w:color="auto"/>
              <w:right w:val="single" w:sz="12" w:space="0" w:color="auto"/>
            </w:tcBorders>
            <w:noWrap/>
          </w:tcPr>
          <w:p w14:paraId="2E4DE264" w14:textId="77777777" w:rsidR="00C01A50" w:rsidRPr="000C7437" w:rsidRDefault="00C01A50" w:rsidP="00B80EB7">
            <w:pPr>
              <w:spacing w:before="0" w:after="0"/>
              <w:rPr>
                <w:lang w:val="en-AU"/>
              </w:rPr>
            </w:pPr>
            <w:r w:rsidRPr="000C7437">
              <w:rPr>
                <w:lang w:val="en-AU"/>
              </w:rPr>
              <w:t>TOTAL</w:t>
            </w:r>
          </w:p>
        </w:tc>
        <w:tc>
          <w:tcPr>
            <w:tcW w:w="960" w:type="dxa"/>
            <w:tcBorders>
              <w:top w:val="single" w:sz="12" w:space="0" w:color="auto"/>
              <w:left w:val="single" w:sz="12" w:space="0" w:color="auto"/>
              <w:bottom w:val="single" w:sz="12" w:space="0" w:color="auto"/>
            </w:tcBorders>
            <w:noWrap/>
            <w:vAlign w:val="center"/>
          </w:tcPr>
          <w:p w14:paraId="7CF2D291" w14:textId="77777777" w:rsidR="00C01A50" w:rsidRPr="000C7437" w:rsidRDefault="00C01A50" w:rsidP="00B80EB7">
            <w:pPr>
              <w:spacing w:before="0" w:after="0"/>
              <w:jc w:val="right"/>
              <w:rPr>
                <w:lang w:val="en-AU"/>
              </w:rPr>
            </w:pPr>
            <w:r w:rsidRPr="000C7437">
              <w:rPr>
                <w:lang w:val="en-AU"/>
              </w:rPr>
              <w:t>13,623</w:t>
            </w:r>
          </w:p>
        </w:tc>
        <w:tc>
          <w:tcPr>
            <w:tcW w:w="1598" w:type="dxa"/>
            <w:tcBorders>
              <w:top w:val="single" w:sz="12" w:space="0" w:color="auto"/>
              <w:bottom w:val="single" w:sz="12" w:space="0" w:color="auto"/>
            </w:tcBorders>
            <w:noWrap/>
            <w:vAlign w:val="center"/>
          </w:tcPr>
          <w:p w14:paraId="0A850661" w14:textId="77777777" w:rsidR="00C01A50" w:rsidRPr="000C7437" w:rsidRDefault="00C01A50" w:rsidP="00B80EB7">
            <w:pPr>
              <w:spacing w:before="0" w:after="0"/>
              <w:jc w:val="right"/>
              <w:rPr>
                <w:lang w:val="en-AU"/>
              </w:rPr>
            </w:pPr>
            <w:r w:rsidRPr="000C7437">
              <w:rPr>
                <w:lang w:val="en-AU"/>
              </w:rPr>
              <w:t>100%</w:t>
            </w:r>
          </w:p>
        </w:tc>
        <w:tc>
          <w:tcPr>
            <w:tcW w:w="2199" w:type="dxa"/>
            <w:tcBorders>
              <w:top w:val="single" w:sz="12" w:space="0" w:color="auto"/>
              <w:bottom w:val="single" w:sz="12" w:space="0" w:color="auto"/>
              <w:right w:val="single" w:sz="12" w:space="0" w:color="auto"/>
            </w:tcBorders>
            <w:noWrap/>
            <w:vAlign w:val="center"/>
          </w:tcPr>
          <w:p w14:paraId="2C527AE6" w14:textId="77777777" w:rsidR="00C01A50" w:rsidRPr="000C7437" w:rsidRDefault="00C01A50" w:rsidP="00B80EB7">
            <w:pPr>
              <w:spacing w:before="0" w:after="0"/>
              <w:jc w:val="right"/>
              <w:rPr>
                <w:lang w:val="en-AU"/>
              </w:rPr>
            </w:pPr>
            <w:r w:rsidRPr="000C7437">
              <w:rPr>
                <w:lang w:val="en-AU"/>
              </w:rPr>
              <w:t>450</w:t>
            </w:r>
          </w:p>
        </w:tc>
      </w:tr>
    </w:tbl>
    <w:p w14:paraId="3845C9F1" w14:textId="77777777" w:rsidR="00C01A50" w:rsidRPr="000C7437" w:rsidRDefault="00C01A50" w:rsidP="00A17DEB"/>
    <w:p w14:paraId="6860F50B" w14:textId="77777777" w:rsidR="00C01A50" w:rsidRPr="000C7437" w:rsidRDefault="00C01A50" w:rsidP="00A17DEB">
      <w:r w:rsidRPr="000C7437">
        <w:t>The Basin Plan defines the apportionment of water recovery for the status quo 2,750 GL</w:t>
      </w:r>
      <w:r w:rsidRPr="000C7437">
        <w:rPr>
          <w:vertAlign w:val="superscript"/>
        </w:rPr>
        <w:footnoteReference w:id="27"/>
      </w:r>
      <w:r w:rsidRPr="000C7437">
        <w:t>. This apportionment is used for the MEDIUM water recovery scenario (</w:t>
      </w:r>
      <w:r w:rsidR="00053B52">
        <w:fldChar w:fldCharType="begin"/>
      </w:r>
      <w:r w:rsidR="00053B52">
        <w:instrText xml:space="preserve"> REF _Ref347079436 \h </w:instrText>
      </w:r>
      <w:r w:rsidR="00053B52">
        <w:fldChar w:fldCharType="separate"/>
      </w:r>
      <w:r w:rsidR="008E5D7A">
        <w:t xml:space="preserve">Table </w:t>
      </w:r>
      <w:r w:rsidR="008E5D7A">
        <w:rPr>
          <w:noProof/>
        </w:rPr>
        <w:t>24</w:t>
      </w:r>
      <w:r w:rsidR="00053B52">
        <w:fldChar w:fldCharType="end"/>
      </w:r>
      <w:r w:rsidRPr="000C7437">
        <w:t xml:space="preserve">). </w:t>
      </w:r>
    </w:p>
    <w:p w14:paraId="6AA5A6AC" w14:textId="77777777" w:rsidR="00053B52" w:rsidRPr="00053B52" w:rsidRDefault="00053B52" w:rsidP="00053B52">
      <w:pPr>
        <w:pStyle w:val="Caption"/>
      </w:pPr>
      <w:bookmarkStart w:id="259" w:name="_Ref347079436"/>
      <w:r>
        <w:t xml:space="preserve">Table </w:t>
      </w:r>
      <w:r>
        <w:fldChar w:fldCharType="begin"/>
      </w:r>
      <w:r>
        <w:instrText xml:space="preserve"> SEQ Table \* ARABIC </w:instrText>
      </w:r>
      <w:r>
        <w:fldChar w:fldCharType="separate"/>
      </w:r>
      <w:r w:rsidR="008E5D7A">
        <w:rPr>
          <w:noProof/>
        </w:rPr>
        <w:t>24</w:t>
      </w:r>
      <w:r>
        <w:fldChar w:fldCharType="end"/>
      </w:r>
      <w:bookmarkEnd w:id="259"/>
      <w:r>
        <w:t xml:space="preserve">: </w:t>
      </w:r>
      <w:r w:rsidRPr="00053B52">
        <w:t>Assumed apportionment of water recovery for the MEDIUM water recovery scenario</w:t>
      </w:r>
    </w:p>
    <w:tbl>
      <w:tblPr>
        <w:tblStyle w:val="TableGrid"/>
        <w:tblW w:w="0" w:type="auto"/>
        <w:jc w:val="center"/>
        <w:tblLook w:val="04A0" w:firstRow="1" w:lastRow="0" w:firstColumn="1" w:lastColumn="0" w:noHBand="0" w:noVBand="1"/>
      </w:tblPr>
      <w:tblGrid>
        <w:gridCol w:w="3096"/>
        <w:gridCol w:w="1598"/>
      </w:tblGrid>
      <w:tr w:rsidR="00C01A50" w:rsidRPr="000C7437" w14:paraId="71FC2653" w14:textId="77777777">
        <w:trPr>
          <w:trHeight w:val="290"/>
          <w:jc w:val="center"/>
        </w:trPr>
        <w:tc>
          <w:tcPr>
            <w:tcW w:w="3096" w:type="dxa"/>
            <w:tcBorders>
              <w:top w:val="single" w:sz="12" w:space="0" w:color="auto"/>
              <w:left w:val="single" w:sz="12" w:space="0" w:color="auto"/>
              <w:bottom w:val="nil"/>
              <w:right w:val="single" w:sz="12" w:space="0" w:color="auto"/>
            </w:tcBorders>
            <w:noWrap/>
          </w:tcPr>
          <w:p w14:paraId="6FF8021A" w14:textId="77777777" w:rsidR="00C01A50" w:rsidRPr="000C7437" w:rsidRDefault="00C01A50" w:rsidP="00B80EB7">
            <w:pPr>
              <w:spacing w:before="0" w:after="0"/>
              <w:rPr>
                <w:lang w:val="en-AU"/>
              </w:rPr>
            </w:pPr>
            <w:r w:rsidRPr="000C7437">
              <w:rPr>
                <w:lang w:val="en-AU"/>
              </w:rPr>
              <w:t> </w:t>
            </w:r>
          </w:p>
        </w:tc>
        <w:tc>
          <w:tcPr>
            <w:tcW w:w="1598" w:type="dxa"/>
            <w:tcBorders>
              <w:top w:val="single" w:sz="12" w:space="0" w:color="auto"/>
              <w:bottom w:val="nil"/>
              <w:right w:val="single" w:sz="12" w:space="0" w:color="auto"/>
            </w:tcBorders>
            <w:noWrap/>
            <w:vAlign w:val="center"/>
          </w:tcPr>
          <w:p w14:paraId="187595AF" w14:textId="77777777" w:rsidR="00C01A50" w:rsidRPr="000C7437" w:rsidRDefault="00C01A50" w:rsidP="00B80EB7">
            <w:pPr>
              <w:spacing w:before="0" w:after="0"/>
              <w:rPr>
                <w:lang w:val="en-AU"/>
              </w:rPr>
            </w:pPr>
            <w:r w:rsidRPr="000C7437">
              <w:rPr>
                <w:lang w:val="en-AU"/>
              </w:rPr>
              <w:t>Required Recovery</w:t>
            </w:r>
          </w:p>
        </w:tc>
      </w:tr>
      <w:tr w:rsidR="00C01A50" w:rsidRPr="000C7437" w14:paraId="5865EB5E" w14:textId="77777777">
        <w:trPr>
          <w:trHeight w:val="300"/>
          <w:jc w:val="center"/>
        </w:trPr>
        <w:tc>
          <w:tcPr>
            <w:tcW w:w="3096" w:type="dxa"/>
            <w:tcBorders>
              <w:top w:val="nil"/>
              <w:left w:val="single" w:sz="12" w:space="0" w:color="auto"/>
              <w:bottom w:val="single" w:sz="12" w:space="0" w:color="auto"/>
              <w:right w:val="single" w:sz="12" w:space="0" w:color="auto"/>
            </w:tcBorders>
            <w:noWrap/>
          </w:tcPr>
          <w:p w14:paraId="7157307E" w14:textId="77777777" w:rsidR="00C01A50" w:rsidRPr="000C7437" w:rsidRDefault="00C01A50" w:rsidP="00B80EB7">
            <w:pPr>
              <w:spacing w:before="0" w:after="0"/>
              <w:rPr>
                <w:lang w:val="en-AU"/>
              </w:rPr>
            </w:pPr>
          </w:p>
        </w:tc>
        <w:tc>
          <w:tcPr>
            <w:tcW w:w="1598" w:type="dxa"/>
            <w:tcBorders>
              <w:top w:val="nil"/>
              <w:bottom w:val="single" w:sz="12" w:space="0" w:color="auto"/>
              <w:right w:val="single" w:sz="12" w:space="0" w:color="auto"/>
            </w:tcBorders>
            <w:noWrap/>
            <w:vAlign w:val="center"/>
          </w:tcPr>
          <w:p w14:paraId="38EC32CE" w14:textId="77777777" w:rsidR="00C01A50" w:rsidRPr="000C7437" w:rsidRDefault="00C01A50" w:rsidP="00B80EB7">
            <w:pPr>
              <w:spacing w:before="0" w:after="0"/>
              <w:rPr>
                <w:lang w:val="en-AU"/>
              </w:rPr>
            </w:pPr>
            <w:r w:rsidRPr="000C7437">
              <w:rPr>
                <w:lang w:val="en-AU"/>
              </w:rPr>
              <w:t>(GL)</w:t>
            </w:r>
          </w:p>
        </w:tc>
      </w:tr>
      <w:tr w:rsidR="00C01A50" w:rsidRPr="000C7437" w14:paraId="186D2881" w14:textId="77777777">
        <w:trPr>
          <w:trHeight w:val="265"/>
          <w:jc w:val="center"/>
        </w:trPr>
        <w:tc>
          <w:tcPr>
            <w:tcW w:w="3096" w:type="dxa"/>
            <w:tcBorders>
              <w:top w:val="single" w:sz="12" w:space="0" w:color="auto"/>
              <w:left w:val="single" w:sz="12" w:space="0" w:color="auto"/>
              <w:right w:val="single" w:sz="12" w:space="0" w:color="auto"/>
            </w:tcBorders>
            <w:noWrap/>
          </w:tcPr>
          <w:p w14:paraId="59034984" w14:textId="77777777" w:rsidR="00C01A50" w:rsidRPr="000C7437" w:rsidRDefault="00C01A50" w:rsidP="00B80EB7">
            <w:pPr>
              <w:spacing w:before="0" w:after="0"/>
              <w:rPr>
                <w:lang w:val="en-AU"/>
              </w:rPr>
            </w:pPr>
            <w:r w:rsidRPr="000C7437">
              <w:rPr>
                <w:lang w:val="en-AU"/>
              </w:rPr>
              <w:t>Qld</w:t>
            </w:r>
          </w:p>
        </w:tc>
        <w:tc>
          <w:tcPr>
            <w:tcW w:w="1598" w:type="dxa"/>
            <w:tcBorders>
              <w:top w:val="single" w:sz="12" w:space="0" w:color="auto"/>
              <w:right w:val="single" w:sz="12" w:space="0" w:color="auto"/>
            </w:tcBorders>
            <w:noWrap/>
            <w:vAlign w:val="center"/>
          </w:tcPr>
          <w:p w14:paraId="6E283B05" w14:textId="77777777" w:rsidR="00C01A50" w:rsidRPr="000C7437" w:rsidRDefault="00C01A50" w:rsidP="00B80EB7">
            <w:pPr>
              <w:spacing w:before="0" w:after="0"/>
              <w:jc w:val="right"/>
              <w:rPr>
                <w:lang w:val="en-AU"/>
              </w:rPr>
            </w:pPr>
            <w:r w:rsidRPr="000C7437">
              <w:rPr>
                <w:lang w:val="en-AU"/>
              </w:rPr>
              <w:t>174.5</w:t>
            </w:r>
          </w:p>
        </w:tc>
      </w:tr>
      <w:tr w:rsidR="00C01A50" w:rsidRPr="000C7437" w14:paraId="7B3ACD0E" w14:textId="77777777">
        <w:trPr>
          <w:trHeight w:val="290"/>
          <w:jc w:val="center"/>
        </w:trPr>
        <w:tc>
          <w:tcPr>
            <w:tcW w:w="3096" w:type="dxa"/>
            <w:tcBorders>
              <w:top w:val="single" w:sz="4" w:space="0" w:color="auto"/>
              <w:left w:val="single" w:sz="12" w:space="0" w:color="auto"/>
              <w:right w:val="single" w:sz="12" w:space="0" w:color="auto"/>
            </w:tcBorders>
            <w:noWrap/>
          </w:tcPr>
          <w:p w14:paraId="2EB78FBE" w14:textId="77777777" w:rsidR="00C01A50" w:rsidRPr="000C7437" w:rsidRDefault="00C01A50" w:rsidP="00B80EB7">
            <w:pPr>
              <w:spacing w:before="0" w:after="0"/>
              <w:rPr>
                <w:lang w:val="en-AU"/>
              </w:rPr>
            </w:pPr>
            <w:r w:rsidRPr="000C7437">
              <w:rPr>
                <w:lang w:val="en-AU"/>
              </w:rPr>
              <w:t>NSW North</w:t>
            </w:r>
          </w:p>
        </w:tc>
        <w:tc>
          <w:tcPr>
            <w:tcW w:w="1598" w:type="dxa"/>
            <w:tcBorders>
              <w:top w:val="single" w:sz="4" w:space="0" w:color="auto"/>
              <w:right w:val="single" w:sz="12" w:space="0" w:color="auto"/>
            </w:tcBorders>
            <w:noWrap/>
            <w:vAlign w:val="center"/>
          </w:tcPr>
          <w:p w14:paraId="53122C50" w14:textId="77777777" w:rsidR="00C01A50" w:rsidRPr="000C7437" w:rsidRDefault="00C01A50" w:rsidP="00B80EB7">
            <w:pPr>
              <w:spacing w:before="0" w:after="0"/>
              <w:jc w:val="right"/>
              <w:rPr>
                <w:lang w:val="en-AU"/>
              </w:rPr>
            </w:pPr>
            <w:r w:rsidRPr="000C7437">
              <w:rPr>
                <w:lang w:val="en-AU"/>
              </w:rPr>
              <w:t>215.5</w:t>
            </w:r>
          </w:p>
        </w:tc>
      </w:tr>
      <w:tr w:rsidR="00C01A50" w:rsidRPr="000C7437" w14:paraId="5A3C624B" w14:textId="77777777">
        <w:trPr>
          <w:trHeight w:val="290"/>
          <w:jc w:val="center"/>
        </w:trPr>
        <w:tc>
          <w:tcPr>
            <w:tcW w:w="3096" w:type="dxa"/>
            <w:tcBorders>
              <w:left w:val="single" w:sz="12" w:space="0" w:color="auto"/>
              <w:right w:val="single" w:sz="12" w:space="0" w:color="auto"/>
            </w:tcBorders>
            <w:noWrap/>
          </w:tcPr>
          <w:p w14:paraId="19D983AE" w14:textId="77777777" w:rsidR="00C01A50" w:rsidRPr="000C7437" w:rsidRDefault="00C01A50" w:rsidP="00B80EB7">
            <w:pPr>
              <w:spacing w:before="0" w:after="0"/>
              <w:rPr>
                <w:lang w:val="en-AU"/>
              </w:rPr>
            </w:pPr>
            <w:r w:rsidRPr="000C7437">
              <w:rPr>
                <w:lang w:val="en-AU"/>
              </w:rPr>
              <w:t>ACT</w:t>
            </w:r>
          </w:p>
        </w:tc>
        <w:tc>
          <w:tcPr>
            <w:tcW w:w="1598" w:type="dxa"/>
            <w:tcBorders>
              <w:right w:val="single" w:sz="12" w:space="0" w:color="auto"/>
            </w:tcBorders>
            <w:noWrap/>
            <w:vAlign w:val="center"/>
          </w:tcPr>
          <w:p w14:paraId="489D6BC6" w14:textId="77777777" w:rsidR="00C01A50" w:rsidRPr="000C7437" w:rsidRDefault="00C01A50" w:rsidP="00B80EB7">
            <w:pPr>
              <w:spacing w:before="0" w:after="0"/>
              <w:jc w:val="right"/>
              <w:rPr>
                <w:lang w:val="en-AU"/>
              </w:rPr>
            </w:pPr>
            <w:r w:rsidRPr="000C7437">
              <w:rPr>
                <w:lang w:val="en-AU"/>
              </w:rPr>
              <w:t>4.9</w:t>
            </w:r>
          </w:p>
        </w:tc>
      </w:tr>
      <w:tr w:rsidR="00C01A50" w:rsidRPr="000C7437" w14:paraId="259DC4C2" w14:textId="77777777">
        <w:trPr>
          <w:trHeight w:val="290"/>
          <w:jc w:val="center"/>
        </w:trPr>
        <w:tc>
          <w:tcPr>
            <w:tcW w:w="3096" w:type="dxa"/>
            <w:tcBorders>
              <w:left w:val="single" w:sz="12" w:space="0" w:color="auto"/>
              <w:right w:val="single" w:sz="12" w:space="0" w:color="auto"/>
            </w:tcBorders>
            <w:noWrap/>
          </w:tcPr>
          <w:p w14:paraId="5993CF81" w14:textId="77777777" w:rsidR="00C01A50" w:rsidRPr="000C7437" w:rsidRDefault="00C01A50" w:rsidP="00B80EB7">
            <w:pPr>
              <w:spacing w:before="0" w:after="0"/>
              <w:rPr>
                <w:lang w:val="en-AU"/>
              </w:rPr>
            </w:pPr>
            <w:r w:rsidRPr="000C7437">
              <w:rPr>
                <w:lang w:val="en-AU"/>
              </w:rPr>
              <w:t>SA</w:t>
            </w:r>
          </w:p>
        </w:tc>
        <w:tc>
          <w:tcPr>
            <w:tcW w:w="1598" w:type="dxa"/>
            <w:tcBorders>
              <w:right w:val="single" w:sz="12" w:space="0" w:color="auto"/>
            </w:tcBorders>
            <w:noWrap/>
            <w:vAlign w:val="center"/>
          </w:tcPr>
          <w:p w14:paraId="168C7629" w14:textId="77777777" w:rsidR="00C01A50" w:rsidRPr="000C7437" w:rsidRDefault="00C01A50" w:rsidP="00B80EB7">
            <w:pPr>
              <w:spacing w:before="0" w:after="0"/>
              <w:jc w:val="right"/>
              <w:rPr>
                <w:lang w:val="en-AU"/>
              </w:rPr>
            </w:pPr>
            <w:r w:rsidRPr="000C7437">
              <w:rPr>
                <w:lang w:val="en-AU"/>
              </w:rPr>
              <w:t>184</w:t>
            </w:r>
          </w:p>
        </w:tc>
      </w:tr>
      <w:tr w:rsidR="00C01A50" w:rsidRPr="000C7437" w14:paraId="06452A64" w14:textId="77777777">
        <w:trPr>
          <w:trHeight w:val="290"/>
          <w:jc w:val="center"/>
        </w:trPr>
        <w:tc>
          <w:tcPr>
            <w:tcW w:w="3096" w:type="dxa"/>
            <w:tcBorders>
              <w:left w:val="single" w:sz="12" w:space="0" w:color="auto"/>
              <w:right w:val="single" w:sz="12" w:space="0" w:color="auto"/>
            </w:tcBorders>
            <w:noWrap/>
          </w:tcPr>
          <w:p w14:paraId="3092135B" w14:textId="77777777" w:rsidR="00C01A50" w:rsidRPr="000C7437" w:rsidRDefault="00C01A50" w:rsidP="00B80EB7">
            <w:pPr>
              <w:spacing w:before="0" w:after="0"/>
              <w:rPr>
                <w:lang w:val="en-AU"/>
              </w:rPr>
            </w:pPr>
            <w:r w:rsidRPr="000C7437">
              <w:rPr>
                <w:lang w:val="en-AU"/>
              </w:rPr>
              <w:t>NSW South (including Lachlan)</w:t>
            </w:r>
          </w:p>
        </w:tc>
        <w:tc>
          <w:tcPr>
            <w:tcW w:w="1598" w:type="dxa"/>
            <w:tcBorders>
              <w:right w:val="single" w:sz="12" w:space="0" w:color="auto"/>
            </w:tcBorders>
            <w:noWrap/>
            <w:vAlign w:val="center"/>
          </w:tcPr>
          <w:p w14:paraId="6EFD4B78" w14:textId="77777777" w:rsidR="00C01A50" w:rsidRPr="000C7437" w:rsidRDefault="00C01A50" w:rsidP="00B80EB7">
            <w:pPr>
              <w:spacing w:before="0" w:after="0"/>
              <w:jc w:val="right"/>
              <w:rPr>
                <w:lang w:val="en-AU"/>
              </w:rPr>
            </w:pPr>
            <w:r w:rsidRPr="000C7437">
              <w:rPr>
                <w:lang w:val="en-AU"/>
              </w:rPr>
              <w:t>1,096</w:t>
            </w:r>
          </w:p>
        </w:tc>
      </w:tr>
      <w:tr w:rsidR="00C01A50" w:rsidRPr="000C7437" w14:paraId="3F52252E" w14:textId="77777777">
        <w:trPr>
          <w:trHeight w:val="300"/>
          <w:jc w:val="center"/>
        </w:trPr>
        <w:tc>
          <w:tcPr>
            <w:tcW w:w="3096" w:type="dxa"/>
            <w:tcBorders>
              <w:left w:val="single" w:sz="12" w:space="0" w:color="auto"/>
              <w:bottom w:val="single" w:sz="12" w:space="0" w:color="auto"/>
              <w:right w:val="single" w:sz="12" w:space="0" w:color="auto"/>
            </w:tcBorders>
            <w:noWrap/>
          </w:tcPr>
          <w:p w14:paraId="2677F21B" w14:textId="77777777" w:rsidR="00C01A50" w:rsidRPr="000C7437" w:rsidRDefault="00C01A50" w:rsidP="00B80EB7">
            <w:pPr>
              <w:spacing w:before="0" w:after="0"/>
              <w:rPr>
                <w:lang w:val="en-AU"/>
              </w:rPr>
            </w:pPr>
            <w:r w:rsidRPr="000C7437">
              <w:rPr>
                <w:lang w:val="en-AU"/>
              </w:rPr>
              <w:t>Victoria (including Wimmera)</w:t>
            </w:r>
          </w:p>
        </w:tc>
        <w:tc>
          <w:tcPr>
            <w:tcW w:w="1598" w:type="dxa"/>
            <w:tcBorders>
              <w:bottom w:val="single" w:sz="12" w:space="0" w:color="auto"/>
              <w:right w:val="single" w:sz="12" w:space="0" w:color="auto"/>
            </w:tcBorders>
            <w:noWrap/>
            <w:vAlign w:val="center"/>
          </w:tcPr>
          <w:p w14:paraId="628FBCFD" w14:textId="77777777" w:rsidR="00C01A50" w:rsidRPr="000C7437" w:rsidRDefault="00C01A50" w:rsidP="00B80EB7">
            <w:pPr>
              <w:spacing w:before="0" w:after="0"/>
              <w:jc w:val="right"/>
              <w:rPr>
                <w:lang w:val="en-AU"/>
              </w:rPr>
            </w:pPr>
            <w:r w:rsidRPr="000C7437">
              <w:rPr>
                <w:lang w:val="en-AU"/>
              </w:rPr>
              <w:t>1,075</w:t>
            </w:r>
          </w:p>
        </w:tc>
      </w:tr>
      <w:tr w:rsidR="00C01A50" w:rsidRPr="000C7437" w14:paraId="59972457" w14:textId="77777777">
        <w:trPr>
          <w:trHeight w:val="300"/>
          <w:jc w:val="center"/>
        </w:trPr>
        <w:tc>
          <w:tcPr>
            <w:tcW w:w="3096" w:type="dxa"/>
            <w:tcBorders>
              <w:top w:val="single" w:sz="12" w:space="0" w:color="auto"/>
              <w:left w:val="single" w:sz="12" w:space="0" w:color="auto"/>
              <w:bottom w:val="single" w:sz="12" w:space="0" w:color="auto"/>
              <w:right w:val="single" w:sz="12" w:space="0" w:color="auto"/>
            </w:tcBorders>
            <w:noWrap/>
          </w:tcPr>
          <w:p w14:paraId="4D69256F" w14:textId="77777777" w:rsidR="00C01A50" w:rsidRPr="000C7437" w:rsidRDefault="00C01A50" w:rsidP="00B80EB7">
            <w:pPr>
              <w:spacing w:before="0" w:after="0"/>
              <w:rPr>
                <w:lang w:val="en-AU"/>
              </w:rPr>
            </w:pPr>
            <w:r w:rsidRPr="000C7437">
              <w:rPr>
                <w:lang w:val="en-AU"/>
              </w:rPr>
              <w:t>TOTAL</w:t>
            </w:r>
          </w:p>
        </w:tc>
        <w:tc>
          <w:tcPr>
            <w:tcW w:w="1598" w:type="dxa"/>
            <w:tcBorders>
              <w:top w:val="single" w:sz="12" w:space="0" w:color="auto"/>
              <w:bottom w:val="single" w:sz="12" w:space="0" w:color="auto"/>
              <w:right w:val="single" w:sz="12" w:space="0" w:color="auto"/>
            </w:tcBorders>
            <w:noWrap/>
            <w:vAlign w:val="center"/>
          </w:tcPr>
          <w:p w14:paraId="55CDF75A" w14:textId="77777777" w:rsidR="00C01A50" w:rsidRPr="000C7437" w:rsidRDefault="00C01A50" w:rsidP="00B80EB7">
            <w:pPr>
              <w:spacing w:before="0" w:after="0"/>
              <w:jc w:val="right"/>
              <w:rPr>
                <w:lang w:val="en-AU"/>
              </w:rPr>
            </w:pPr>
            <w:r w:rsidRPr="000C7437">
              <w:rPr>
                <w:lang w:val="en-AU"/>
              </w:rPr>
              <w:t>2,750</w:t>
            </w:r>
          </w:p>
        </w:tc>
      </w:tr>
    </w:tbl>
    <w:p w14:paraId="165A05FC" w14:textId="77777777" w:rsidR="00C01A50" w:rsidRPr="000C7437" w:rsidRDefault="00C01A50" w:rsidP="00A17DEB"/>
    <w:p w14:paraId="16A44900" w14:textId="77777777" w:rsidR="004513DF" w:rsidRDefault="00053B52" w:rsidP="00A17DEB">
      <w:r>
        <w:fldChar w:fldCharType="begin"/>
      </w:r>
      <w:r>
        <w:instrText xml:space="preserve"> REF _Ref347079510 \h </w:instrText>
      </w:r>
      <w:r>
        <w:fldChar w:fldCharType="separate"/>
      </w:r>
      <w:r w:rsidR="008E5D7A">
        <w:t xml:space="preserve">Table </w:t>
      </w:r>
      <w:r w:rsidR="008E5D7A">
        <w:rPr>
          <w:noProof/>
        </w:rPr>
        <w:t>25</w:t>
      </w:r>
      <w:r>
        <w:fldChar w:fldCharType="end"/>
      </w:r>
      <w:r>
        <w:t xml:space="preserve"> </w:t>
      </w:r>
      <w:r w:rsidR="00C01A50" w:rsidRPr="000C7437">
        <w:t xml:space="preserve">shows required water recovery by State if the recommended LOW, MEDIUM and HIGH water recovery scenarios and proposed apportionments are used. For comparative purposes it also shows required water recovery if all the legally available 544 GL of offsets are obtained with no up-water. </w:t>
      </w:r>
    </w:p>
    <w:p w14:paraId="37913E2C" w14:textId="77777777" w:rsidR="004513DF" w:rsidRDefault="004513DF">
      <w:pPr>
        <w:spacing w:before="0" w:after="0" w:line="240" w:lineRule="auto"/>
        <w:jc w:val="left"/>
      </w:pPr>
      <w:r>
        <w:br w:type="page"/>
      </w:r>
    </w:p>
    <w:p w14:paraId="5A0AE82A" w14:textId="77777777" w:rsidR="00C01A50" w:rsidRPr="000C7437" w:rsidRDefault="00C01A50" w:rsidP="00A17DEB"/>
    <w:p w14:paraId="6F79665A" w14:textId="77777777" w:rsidR="00053B52" w:rsidRPr="00053B52" w:rsidRDefault="00053B52" w:rsidP="0050165E">
      <w:pPr>
        <w:pStyle w:val="Caption"/>
        <w:keepNext/>
      </w:pPr>
      <w:bookmarkStart w:id="260" w:name="_Ref347079510"/>
      <w:r>
        <w:t xml:space="preserve">Table </w:t>
      </w:r>
      <w:r>
        <w:fldChar w:fldCharType="begin"/>
      </w:r>
      <w:r>
        <w:instrText xml:space="preserve"> SEQ Table \* ARABIC </w:instrText>
      </w:r>
      <w:r>
        <w:fldChar w:fldCharType="separate"/>
      </w:r>
      <w:r w:rsidR="008E5D7A">
        <w:rPr>
          <w:noProof/>
        </w:rPr>
        <w:t>25</w:t>
      </w:r>
      <w:r>
        <w:fldChar w:fldCharType="end"/>
      </w:r>
      <w:bookmarkEnd w:id="260"/>
      <w:r w:rsidRPr="00053B52">
        <w:t>: Required water recovery for each State for the LOW, MEDIUM and HIGH water recovery scenarios</w:t>
      </w:r>
    </w:p>
    <w:tbl>
      <w:tblPr>
        <w:tblStyle w:val="TableGrid"/>
        <w:tblW w:w="9838" w:type="dxa"/>
        <w:jc w:val="center"/>
        <w:tblLook w:val="04A0" w:firstRow="1" w:lastRow="0" w:firstColumn="1" w:lastColumn="0" w:noHBand="0" w:noVBand="1"/>
      </w:tblPr>
      <w:tblGrid>
        <w:gridCol w:w="2127"/>
        <w:gridCol w:w="1984"/>
        <w:gridCol w:w="1985"/>
        <w:gridCol w:w="1849"/>
        <w:gridCol w:w="1893"/>
      </w:tblGrid>
      <w:tr w:rsidR="00C01A50" w:rsidRPr="000C7437" w14:paraId="0C0471CA" w14:textId="77777777">
        <w:trPr>
          <w:trHeight w:val="290"/>
          <w:jc w:val="center"/>
        </w:trPr>
        <w:tc>
          <w:tcPr>
            <w:tcW w:w="2127" w:type="dxa"/>
            <w:tcBorders>
              <w:top w:val="single" w:sz="12" w:space="0" w:color="auto"/>
              <w:left w:val="single" w:sz="12" w:space="0" w:color="auto"/>
              <w:bottom w:val="nil"/>
              <w:right w:val="single" w:sz="12" w:space="0" w:color="auto"/>
            </w:tcBorders>
            <w:noWrap/>
          </w:tcPr>
          <w:p w14:paraId="1F587565" w14:textId="77777777" w:rsidR="00C01A50" w:rsidRPr="000C7437" w:rsidRDefault="00C01A50" w:rsidP="00B80EB7">
            <w:pPr>
              <w:spacing w:before="0" w:after="0"/>
              <w:rPr>
                <w:lang w:val="en-AU"/>
              </w:rPr>
            </w:pPr>
            <w:r w:rsidRPr="000C7437">
              <w:rPr>
                <w:lang w:val="en-AU"/>
              </w:rPr>
              <w:t> </w:t>
            </w:r>
          </w:p>
        </w:tc>
        <w:tc>
          <w:tcPr>
            <w:tcW w:w="1984" w:type="dxa"/>
            <w:tcBorders>
              <w:top w:val="single" w:sz="12" w:space="0" w:color="auto"/>
              <w:bottom w:val="nil"/>
            </w:tcBorders>
            <w:vAlign w:val="center"/>
          </w:tcPr>
          <w:p w14:paraId="1F9C7058" w14:textId="77777777" w:rsidR="00C01A50" w:rsidRPr="000C7437" w:rsidRDefault="00C01A50" w:rsidP="00B80EB7">
            <w:pPr>
              <w:spacing w:before="0" w:after="0"/>
              <w:rPr>
                <w:lang w:val="en-AU"/>
              </w:rPr>
            </w:pPr>
            <w:r w:rsidRPr="000C7437">
              <w:rPr>
                <w:lang w:val="en-AU"/>
              </w:rPr>
              <w:t>BP Max available offsets scenario</w:t>
            </w:r>
          </w:p>
        </w:tc>
        <w:tc>
          <w:tcPr>
            <w:tcW w:w="1985" w:type="dxa"/>
            <w:tcBorders>
              <w:top w:val="single" w:sz="12" w:space="0" w:color="auto"/>
              <w:bottom w:val="nil"/>
            </w:tcBorders>
            <w:vAlign w:val="center"/>
          </w:tcPr>
          <w:p w14:paraId="4F8EB2D7" w14:textId="77777777" w:rsidR="00C01A50" w:rsidRPr="000C7437" w:rsidRDefault="00C01A50" w:rsidP="00B80EB7">
            <w:pPr>
              <w:spacing w:before="0" w:after="0"/>
              <w:rPr>
                <w:lang w:val="en-AU"/>
              </w:rPr>
            </w:pPr>
            <w:r w:rsidRPr="000C7437">
              <w:rPr>
                <w:lang w:val="en-AU"/>
              </w:rPr>
              <w:t xml:space="preserve">LOW water recovery scenario </w:t>
            </w:r>
          </w:p>
        </w:tc>
        <w:tc>
          <w:tcPr>
            <w:tcW w:w="1849" w:type="dxa"/>
            <w:tcBorders>
              <w:top w:val="single" w:sz="12" w:space="0" w:color="auto"/>
              <w:bottom w:val="nil"/>
              <w:right w:val="single" w:sz="4" w:space="0" w:color="auto"/>
            </w:tcBorders>
            <w:noWrap/>
            <w:vAlign w:val="center"/>
          </w:tcPr>
          <w:p w14:paraId="306FB7E6" w14:textId="77777777" w:rsidR="00C01A50" w:rsidRPr="000C7437" w:rsidRDefault="00C01A50" w:rsidP="00B80EB7">
            <w:pPr>
              <w:spacing w:before="0" w:after="0"/>
              <w:rPr>
                <w:lang w:val="en-AU"/>
              </w:rPr>
            </w:pPr>
            <w:r w:rsidRPr="000C7437">
              <w:rPr>
                <w:lang w:val="en-AU"/>
              </w:rPr>
              <w:t xml:space="preserve">MEDIUM water recovery scenario </w:t>
            </w:r>
          </w:p>
        </w:tc>
        <w:tc>
          <w:tcPr>
            <w:tcW w:w="1893" w:type="dxa"/>
            <w:tcBorders>
              <w:top w:val="single" w:sz="12" w:space="0" w:color="auto"/>
              <w:left w:val="single" w:sz="4" w:space="0" w:color="auto"/>
              <w:bottom w:val="nil"/>
              <w:right w:val="single" w:sz="12" w:space="0" w:color="auto"/>
            </w:tcBorders>
            <w:vAlign w:val="center"/>
          </w:tcPr>
          <w:p w14:paraId="48EECB92" w14:textId="77777777" w:rsidR="00C01A50" w:rsidRPr="000C7437" w:rsidRDefault="00C01A50" w:rsidP="00B80EB7">
            <w:pPr>
              <w:spacing w:before="0" w:after="0"/>
              <w:rPr>
                <w:lang w:val="en-AU"/>
              </w:rPr>
            </w:pPr>
            <w:r w:rsidRPr="000C7437">
              <w:rPr>
                <w:lang w:val="en-AU"/>
              </w:rPr>
              <w:t xml:space="preserve">HIGH water recovery scenario </w:t>
            </w:r>
          </w:p>
        </w:tc>
      </w:tr>
      <w:tr w:rsidR="00C01A50" w:rsidRPr="000C7437" w14:paraId="2C6DAE8A" w14:textId="77777777">
        <w:trPr>
          <w:trHeight w:val="300"/>
          <w:jc w:val="center"/>
        </w:trPr>
        <w:tc>
          <w:tcPr>
            <w:tcW w:w="2127" w:type="dxa"/>
            <w:tcBorders>
              <w:top w:val="nil"/>
              <w:left w:val="single" w:sz="12" w:space="0" w:color="auto"/>
              <w:bottom w:val="single" w:sz="12" w:space="0" w:color="auto"/>
              <w:right w:val="single" w:sz="12" w:space="0" w:color="auto"/>
            </w:tcBorders>
            <w:noWrap/>
          </w:tcPr>
          <w:p w14:paraId="218E0C61" w14:textId="77777777" w:rsidR="00C01A50" w:rsidRPr="000C7437" w:rsidRDefault="00C01A50" w:rsidP="00B80EB7">
            <w:pPr>
              <w:spacing w:before="0" w:after="0"/>
              <w:rPr>
                <w:lang w:val="en-AU"/>
              </w:rPr>
            </w:pPr>
            <w:r w:rsidRPr="000C7437">
              <w:rPr>
                <w:lang w:val="en-AU"/>
              </w:rPr>
              <w:t> </w:t>
            </w:r>
          </w:p>
        </w:tc>
        <w:tc>
          <w:tcPr>
            <w:tcW w:w="1984" w:type="dxa"/>
            <w:tcBorders>
              <w:top w:val="nil"/>
              <w:bottom w:val="single" w:sz="12" w:space="0" w:color="auto"/>
            </w:tcBorders>
            <w:vAlign w:val="center"/>
          </w:tcPr>
          <w:p w14:paraId="617DAF57" w14:textId="77777777" w:rsidR="00C01A50" w:rsidRPr="000C7437" w:rsidRDefault="00C01A50" w:rsidP="00B80EB7">
            <w:pPr>
              <w:spacing w:before="0" w:after="0"/>
              <w:rPr>
                <w:lang w:val="en-AU"/>
              </w:rPr>
            </w:pPr>
            <w:r w:rsidRPr="000C7437">
              <w:rPr>
                <w:lang w:val="en-AU"/>
              </w:rPr>
              <w:t>(GL)</w:t>
            </w:r>
          </w:p>
        </w:tc>
        <w:tc>
          <w:tcPr>
            <w:tcW w:w="1985" w:type="dxa"/>
            <w:tcBorders>
              <w:top w:val="nil"/>
              <w:bottom w:val="single" w:sz="12" w:space="0" w:color="auto"/>
            </w:tcBorders>
            <w:vAlign w:val="center"/>
          </w:tcPr>
          <w:p w14:paraId="2DBC8F19" w14:textId="77777777" w:rsidR="00C01A50" w:rsidRPr="000C7437" w:rsidRDefault="00C01A50" w:rsidP="00B80EB7">
            <w:pPr>
              <w:spacing w:before="0" w:after="0"/>
              <w:rPr>
                <w:lang w:val="en-AU"/>
              </w:rPr>
            </w:pPr>
            <w:r w:rsidRPr="000C7437">
              <w:rPr>
                <w:lang w:val="en-AU"/>
              </w:rPr>
              <w:t>(GL)</w:t>
            </w:r>
          </w:p>
        </w:tc>
        <w:tc>
          <w:tcPr>
            <w:tcW w:w="1849" w:type="dxa"/>
            <w:tcBorders>
              <w:top w:val="nil"/>
              <w:bottom w:val="single" w:sz="12" w:space="0" w:color="auto"/>
              <w:right w:val="single" w:sz="4" w:space="0" w:color="auto"/>
            </w:tcBorders>
            <w:noWrap/>
            <w:vAlign w:val="center"/>
          </w:tcPr>
          <w:p w14:paraId="35CA7A8A" w14:textId="77777777" w:rsidR="00C01A50" w:rsidRPr="000C7437" w:rsidRDefault="00C01A50" w:rsidP="00B80EB7">
            <w:pPr>
              <w:spacing w:before="0" w:after="0"/>
              <w:rPr>
                <w:lang w:val="en-AU"/>
              </w:rPr>
            </w:pPr>
            <w:r w:rsidRPr="000C7437">
              <w:rPr>
                <w:lang w:val="en-AU"/>
              </w:rPr>
              <w:t>(GL)</w:t>
            </w:r>
          </w:p>
        </w:tc>
        <w:tc>
          <w:tcPr>
            <w:tcW w:w="1893" w:type="dxa"/>
            <w:tcBorders>
              <w:top w:val="nil"/>
              <w:left w:val="single" w:sz="4" w:space="0" w:color="auto"/>
              <w:bottom w:val="single" w:sz="12" w:space="0" w:color="auto"/>
              <w:right w:val="single" w:sz="12" w:space="0" w:color="auto"/>
            </w:tcBorders>
            <w:vAlign w:val="center"/>
          </w:tcPr>
          <w:p w14:paraId="33CBCC69" w14:textId="77777777" w:rsidR="00C01A50" w:rsidRPr="000C7437" w:rsidRDefault="00C01A50" w:rsidP="00B80EB7">
            <w:pPr>
              <w:spacing w:before="0" w:after="0"/>
              <w:rPr>
                <w:lang w:val="en-AU"/>
              </w:rPr>
            </w:pPr>
            <w:r w:rsidRPr="000C7437">
              <w:rPr>
                <w:lang w:val="en-AU"/>
              </w:rPr>
              <w:t>(GL)</w:t>
            </w:r>
          </w:p>
        </w:tc>
      </w:tr>
      <w:tr w:rsidR="00C01A50" w:rsidRPr="000C7437" w14:paraId="4D57A2C0" w14:textId="77777777">
        <w:trPr>
          <w:trHeight w:val="265"/>
          <w:jc w:val="center"/>
        </w:trPr>
        <w:tc>
          <w:tcPr>
            <w:tcW w:w="2127" w:type="dxa"/>
            <w:tcBorders>
              <w:top w:val="single" w:sz="12" w:space="0" w:color="auto"/>
              <w:left w:val="single" w:sz="12" w:space="0" w:color="auto"/>
              <w:right w:val="single" w:sz="12" w:space="0" w:color="auto"/>
            </w:tcBorders>
            <w:noWrap/>
          </w:tcPr>
          <w:p w14:paraId="06CDA82C" w14:textId="77777777" w:rsidR="00C01A50" w:rsidRPr="000C7437" w:rsidRDefault="00C01A50" w:rsidP="00B80EB7">
            <w:pPr>
              <w:spacing w:before="0" w:after="0"/>
              <w:rPr>
                <w:lang w:val="en-AU"/>
              </w:rPr>
            </w:pPr>
            <w:r w:rsidRPr="000C7437">
              <w:rPr>
                <w:lang w:val="en-AU"/>
              </w:rPr>
              <w:t>Qld</w:t>
            </w:r>
          </w:p>
        </w:tc>
        <w:tc>
          <w:tcPr>
            <w:tcW w:w="1984" w:type="dxa"/>
            <w:tcBorders>
              <w:top w:val="single" w:sz="12" w:space="0" w:color="auto"/>
            </w:tcBorders>
          </w:tcPr>
          <w:p w14:paraId="1AB950C4" w14:textId="77777777" w:rsidR="00C01A50" w:rsidRPr="000C7437" w:rsidRDefault="00C01A50" w:rsidP="00B80EB7">
            <w:pPr>
              <w:spacing w:before="0" w:after="0"/>
              <w:jc w:val="right"/>
              <w:rPr>
                <w:lang w:val="en-AU"/>
              </w:rPr>
            </w:pPr>
            <w:r w:rsidRPr="000C7437">
              <w:rPr>
                <w:lang w:val="en-AU"/>
              </w:rPr>
              <w:t>176</w:t>
            </w:r>
          </w:p>
        </w:tc>
        <w:tc>
          <w:tcPr>
            <w:tcW w:w="1985" w:type="dxa"/>
            <w:tcBorders>
              <w:top w:val="single" w:sz="12" w:space="0" w:color="auto"/>
            </w:tcBorders>
          </w:tcPr>
          <w:p w14:paraId="525C2C32" w14:textId="77777777" w:rsidR="00C01A50" w:rsidRPr="000C7437" w:rsidRDefault="00C01A50" w:rsidP="00B80EB7">
            <w:pPr>
              <w:spacing w:before="0" w:after="0"/>
              <w:jc w:val="right"/>
              <w:rPr>
                <w:lang w:val="en-AU"/>
              </w:rPr>
            </w:pPr>
            <w:r w:rsidRPr="000C7437">
              <w:rPr>
                <w:lang w:val="en-AU"/>
              </w:rPr>
              <w:t>174.5</w:t>
            </w:r>
          </w:p>
        </w:tc>
        <w:tc>
          <w:tcPr>
            <w:tcW w:w="1849" w:type="dxa"/>
            <w:tcBorders>
              <w:top w:val="single" w:sz="12" w:space="0" w:color="auto"/>
              <w:right w:val="single" w:sz="4" w:space="0" w:color="auto"/>
            </w:tcBorders>
            <w:noWrap/>
            <w:vAlign w:val="center"/>
          </w:tcPr>
          <w:p w14:paraId="35184E76" w14:textId="77777777" w:rsidR="00C01A50" w:rsidRPr="000C7437" w:rsidRDefault="00C01A50" w:rsidP="00B80EB7">
            <w:pPr>
              <w:spacing w:before="0" w:after="0"/>
              <w:jc w:val="right"/>
              <w:rPr>
                <w:lang w:val="en-AU"/>
              </w:rPr>
            </w:pPr>
            <w:r w:rsidRPr="000C7437">
              <w:rPr>
                <w:lang w:val="en-AU"/>
              </w:rPr>
              <w:t>174.5</w:t>
            </w:r>
          </w:p>
        </w:tc>
        <w:tc>
          <w:tcPr>
            <w:tcW w:w="1893" w:type="dxa"/>
            <w:tcBorders>
              <w:top w:val="single" w:sz="12" w:space="0" w:color="auto"/>
              <w:left w:val="single" w:sz="4" w:space="0" w:color="auto"/>
              <w:right w:val="single" w:sz="12" w:space="0" w:color="auto"/>
            </w:tcBorders>
            <w:vAlign w:val="center"/>
          </w:tcPr>
          <w:p w14:paraId="0086C59C" w14:textId="77777777" w:rsidR="00C01A50" w:rsidRPr="000C7437" w:rsidRDefault="00C01A50" w:rsidP="00B80EB7">
            <w:pPr>
              <w:spacing w:before="0" w:after="0"/>
              <w:jc w:val="right"/>
              <w:rPr>
                <w:lang w:val="en-AU"/>
              </w:rPr>
            </w:pPr>
            <w:r w:rsidRPr="000C7437">
              <w:rPr>
                <w:lang w:val="en-AU"/>
              </w:rPr>
              <w:t>250.7</w:t>
            </w:r>
          </w:p>
        </w:tc>
      </w:tr>
      <w:tr w:rsidR="00C01A50" w:rsidRPr="000C7437" w14:paraId="061E255D" w14:textId="77777777">
        <w:trPr>
          <w:trHeight w:val="290"/>
          <w:jc w:val="center"/>
        </w:trPr>
        <w:tc>
          <w:tcPr>
            <w:tcW w:w="2127" w:type="dxa"/>
            <w:tcBorders>
              <w:top w:val="single" w:sz="4" w:space="0" w:color="auto"/>
              <w:left w:val="single" w:sz="12" w:space="0" w:color="auto"/>
              <w:right w:val="single" w:sz="12" w:space="0" w:color="auto"/>
            </w:tcBorders>
            <w:noWrap/>
          </w:tcPr>
          <w:p w14:paraId="360B789E" w14:textId="77777777" w:rsidR="00C01A50" w:rsidRPr="000C7437" w:rsidRDefault="00C01A50" w:rsidP="00B80EB7">
            <w:pPr>
              <w:spacing w:before="0" w:after="0"/>
              <w:rPr>
                <w:lang w:val="en-AU"/>
              </w:rPr>
            </w:pPr>
            <w:r w:rsidRPr="000C7437">
              <w:rPr>
                <w:lang w:val="en-AU"/>
              </w:rPr>
              <w:t xml:space="preserve">NSW Northern </w:t>
            </w:r>
          </w:p>
        </w:tc>
        <w:tc>
          <w:tcPr>
            <w:tcW w:w="1984" w:type="dxa"/>
            <w:tcBorders>
              <w:top w:val="single" w:sz="4" w:space="0" w:color="auto"/>
            </w:tcBorders>
          </w:tcPr>
          <w:p w14:paraId="711F14AB" w14:textId="77777777" w:rsidR="00C01A50" w:rsidRPr="000C7437" w:rsidRDefault="00C01A50" w:rsidP="00B80EB7">
            <w:pPr>
              <w:spacing w:before="0" w:after="0"/>
              <w:jc w:val="right"/>
              <w:rPr>
                <w:lang w:val="en-AU"/>
              </w:rPr>
            </w:pPr>
            <w:r w:rsidRPr="000C7437">
              <w:rPr>
                <w:lang w:val="en-AU"/>
              </w:rPr>
              <w:t>183</w:t>
            </w:r>
          </w:p>
        </w:tc>
        <w:tc>
          <w:tcPr>
            <w:tcW w:w="1985" w:type="dxa"/>
            <w:tcBorders>
              <w:top w:val="single" w:sz="4" w:space="0" w:color="auto"/>
            </w:tcBorders>
          </w:tcPr>
          <w:p w14:paraId="5068EB11" w14:textId="77777777" w:rsidR="00C01A50" w:rsidRPr="000C7437" w:rsidRDefault="00C01A50" w:rsidP="00B80EB7">
            <w:pPr>
              <w:spacing w:before="0" w:after="0"/>
              <w:jc w:val="right"/>
              <w:rPr>
                <w:lang w:val="en-AU"/>
              </w:rPr>
            </w:pPr>
            <w:r w:rsidRPr="000C7437">
              <w:rPr>
                <w:lang w:val="en-AU"/>
              </w:rPr>
              <w:t>177.8</w:t>
            </w:r>
          </w:p>
        </w:tc>
        <w:tc>
          <w:tcPr>
            <w:tcW w:w="1849" w:type="dxa"/>
            <w:tcBorders>
              <w:top w:val="single" w:sz="4" w:space="0" w:color="auto"/>
              <w:right w:val="single" w:sz="4" w:space="0" w:color="auto"/>
            </w:tcBorders>
            <w:noWrap/>
            <w:vAlign w:val="center"/>
          </w:tcPr>
          <w:p w14:paraId="640ECA42" w14:textId="77777777" w:rsidR="00C01A50" w:rsidRPr="000C7437" w:rsidRDefault="00C01A50" w:rsidP="00B80EB7">
            <w:pPr>
              <w:spacing w:before="0" w:after="0"/>
              <w:jc w:val="right"/>
              <w:rPr>
                <w:lang w:val="en-AU"/>
              </w:rPr>
            </w:pPr>
            <w:r w:rsidRPr="000C7437">
              <w:rPr>
                <w:lang w:val="en-AU"/>
              </w:rPr>
              <w:t>215.5</w:t>
            </w:r>
          </w:p>
        </w:tc>
        <w:tc>
          <w:tcPr>
            <w:tcW w:w="1893" w:type="dxa"/>
            <w:tcBorders>
              <w:left w:val="single" w:sz="4" w:space="0" w:color="auto"/>
              <w:right w:val="single" w:sz="12" w:space="0" w:color="auto"/>
            </w:tcBorders>
          </w:tcPr>
          <w:p w14:paraId="26723313" w14:textId="77777777" w:rsidR="00C01A50" w:rsidRPr="000C7437" w:rsidRDefault="00C01A50" w:rsidP="00B80EB7">
            <w:pPr>
              <w:spacing w:before="0" w:after="0"/>
              <w:jc w:val="right"/>
              <w:rPr>
                <w:lang w:val="en-AU"/>
              </w:rPr>
            </w:pPr>
            <w:r w:rsidRPr="000C7437">
              <w:rPr>
                <w:lang w:val="en-AU"/>
              </w:rPr>
              <w:t>266.7</w:t>
            </w:r>
          </w:p>
        </w:tc>
      </w:tr>
      <w:tr w:rsidR="00C01A50" w:rsidRPr="000C7437" w14:paraId="755AE1C9" w14:textId="77777777">
        <w:trPr>
          <w:trHeight w:val="290"/>
          <w:jc w:val="center"/>
        </w:trPr>
        <w:tc>
          <w:tcPr>
            <w:tcW w:w="2127" w:type="dxa"/>
            <w:tcBorders>
              <w:left w:val="single" w:sz="12" w:space="0" w:color="auto"/>
              <w:right w:val="single" w:sz="12" w:space="0" w:color="auto"/>
            </w:tcBorders>
            <w:noWrap/>
          </w:tcPr>
          <w:p w14:paraId="4D8C22DF" w14:textId="77777777" w:rsidR="00C01A50" w:rsidRPr="000C7437" w:rsidRDefault="00C01A50" w:rsidP="00B80EB7">
            <w:pPr>
              <w:spacing w:before="0" w:after="0"/>
              <w:rPr>
                <w:lang w:val="en-AU"/>
              </w:rPr>
            </w:pPr>
            <w:r w:rsidRPr="000C7437">
              <w:rPr>
                <w:lang w:val="en-AU"/>
              </w:rPr>
              <w:t>ACT</w:t>
            </w:r>
          </w:p>
        </w:tc>
        <w:tc>
          <w:tcPr>
            <w:tcW w:w="1984" w:type="dxa"/>
          </w:tcPr>
          <w:p w14:paraId="1422A6CC" w14:textId="77777777" w:rsidR="00C01A50" w:rsidRPr="000C7437" w:rsidRDefault="00C01A50" w:rsidP="00B80EB7">
            <w:pPr>
              <w:spacing w:before="0" w:after="0"/>
              <w:jc w:val="right"/>
              <w:rPr>
                <w:lang w:val="en-AU"/>
              </w:rPr>
            </w:pPr>
            <w:r w:rsidRPr="000C7437">
              <w:rPr>
                <w:lang w:val="en-AU"/>
              </w:rPr>
              <w:t>4.9</w:t>
            </w:r>
          </w:p>
        </w:tc>
        <w:tc>
          <w:tcPr>
            <w:tcW w:w="1985" w:type="dxa"/>
          </w:tcPr>
          <w:p w14:paraId="10659529" w14:textId="77777777" w:rsidR="00C01A50" w:rsidRPr="000C7437" w:rsidRDefault="00C01A50" w:rsidP="00B80EB7">
            <w:pPr>
              <w:spacing w:before="0" w:after="0"/>
              <w:jc w:val="right"/>
              <w:rPr>
                <w:lang w:val="en-AU"/>
              </w:rPr>
            </w:pPr>
            <w:r w:rsidRPr="000C7437">
              <w:rPr>
                <w:lang w:val="en-AU"/>
              </w:rPr>
              <w:t>4.9</w:t>
            </w:r>
          </w:p>
        </w:tc>
        <w:tc>
          <w:tcPr>
            <w:tcW w:w="1849" w:type="dxa"/>
            <w:tcBorders>
              <w:right w:val="single" w:sz="4" w:space="0" w:color="auto"/>
            </w:tcBorders>
            <w:noWrap/>
            <w:vAlign w:val="center"/>
          </w:tcPr>
          <w:p w14:paraId="24181073" w14:textId="77777777" w:rsidR="00C01A50" w:rsidRPr="000C7437" w:rsidRDefault="00C01A50" w:rsidP="00B80EB7">
            <w:pPr>
              <w:spacing w:before="0" w:after="0"/>
              <w:jc w:val="right"/>
              <w:rPr>
                <w:lang w:val="en-AU"/>
              </w:rPr>
            </w:pPr>
            <w:r w:rsidRPr="000C7437">
              <w:rPr>
                <w:lang w:val="en-AU"/>
              </w:rPr>
              <w:t>4.9</w:t>
            </w:r>
          </w:p>
        </w:tc>
        <w:tc>
          <w:tcPr>
            <w:tcW w:w="1893" w:type="dxa"/>
            <w:tcBorders>
              <w:left w:val="single" w:sz="4" w:space="0" w:color="auto"/>
              <w:right w:val="single" w:sz="12" w:space="0" w:color="auto"/>
            </w:tcBorders>
          </w:tcPr>
          <w:p w14:paraId="4A3BDB5A" w14:textId="77777777" w:rsidR="00C01A50" w:rsidRPr="000C7437" w:rsidRDefault="00C01A50" w:rsidP="00B80EB7">
            <w:pPr>
              <w:spacing w:before="0" w:after="0"/>
              <w:jc w:val="right"/>
              <w:rPr>
                <w:lang w:val="en-AU"/>
              </w:rPr>
            </w:pPr>
            <w:r w:rsidRPr="000C7437">
              <w:rPr>
                <w:lang w:val="en-AU"/>
              </w:rPr>
              <w:t>6.6</w:t>
            </w:r>
          </w:p>
        </w:tc>
      </w:tr>
      <w:tr w:rsidR="00C01A50" w:rsidRPr="000C7437" w14:paraId="3ADF0EAF" w14:textId="77777777">
        <w:trPr>
          <w:trHeight w:val="290"/>
          <w:jc w:val="center"/>
        </w:trPr>
        <w:tc>
          <w:tcPr>
            <w:tcW w:w="2127" w:type="dxa"/>
            <w:tcBorders>
              <w:left w:val="single" w:sz="12" w:space="0" w:color="auto"/>
              <w:right w:val="single" w:sz="12" w:space="0" w:color="auto"/>
            </w:tcBorders>
            <w:noWrap/>
          </w:tcPr>
          <w:p w14:paraId="3A94D0E9" w14:textId="77777777" w:rsidR="00C01A50" w:rsidRPr="000C7437" w:rsidRDefault="00C01A50" w:rsidP="00B80EB7">
            <w:pPr>
              <w:spacing w:before="0" w:after="0"/>
              <w:rPr>
                <w:lang w:val="en-AU"/>
              </w:rPr>
            </w:pPr>
            <w:r w:rsidRPr="000C7437">
              <w:rPr>
                <w:lang w:val="en-AU"/>
              </w:rPr>
              <w:t>SA</w:t>
            </w:r>
          </w:p>
        </w:tc>
        <w:tc>
          <w:tcPr>
            <w:tcW w:w="1984" w:type="dxa"/>
          </w:tcPr>
          <w:p w14:paraId="7A1F3BE7" w14:textId="77777777" w:rsidR="00C01A50" w:rsidRPr="000C7437" w:rsidRDefault="00C01A50" w:rsidP="00B80EB7">
            <w:pPr>
              <w:spacing w:before="0" w:after="0"/>
              <w:jc w:val="right"/>
              <w:rPr>
                <w:lang w:val="en-AU"/>
              </w:rPr>
            </w:pPr>
            <w:r w:rsidRPr="000C7437">
              <w:rPr>
                <w:lang w:val="en-AU"/>
              </w:rPr>
              <w:t>140</w:t>
            </w:r>
          </w:p>
        </w:tc>
        <w:tc>
          <w:tcPr>
            <w:tcW w:w="1985" w:type="dxa"/>
          </w:tcPr>
          <w:p w14:paraId="1B4A1524" w14:textId="77777777" w:rsidR="00C01A50" w:rsidRPr="000C7437" w:rsidRDefault="00C01A50" w:rsidP="00B80EB7">
            <w:pPr>
              <w:spacing w:before="0" w:after="0"/>
              <w:jc w:val="right"/>
              <w:rPr>
                <w:lang w:val="en-AU"/>
              </w:rPr>
            </w:pPr>
            <w:r w:rsidRPr="000C7437">
              <w:rPr>
                <w:lang w:val="en-AU"/>
              </w:rPr>
              <w:t>131.5</w:t>
            </w:r>
          </w:p>
        </w:tc>
        <w:tc>
          <w:tcPr>
            <w:tcW w:w="1849" w:type="dxa"/>
            <w:tcBorders>
              <w:right w:val="single" w:sz="4" w:space="0" w:color="auto"/>
            </w:tcBorders>
            <w:noWrap/>
            <w:vAlign w:val="center"/>
          </w:tcPr>
          <w:p w14:paraId="0419C240" w14:textId="77777777" w:rsidR="00C01A50" w:rsidRPr="000C7437" w:rsidRDefault="00C01A50" w:rsidP="00B80EB7">
            <w:pPr>
              <w:spacing w:before="0" w:after="0"/>
              <w:jc w:val="right"/>
              <w:rPr>
                <w:lang w:val="en-AU"/>
              </w:rPr>
            </w:pPr>
            <w:r w:rsidRPr="000C7437">
              <w:rPr>
                <w:lang w:val="en-AU"/>
              </w:rPr>
              <w:t>184</w:t>
            </w:r>
          </w:p>
        </w:tc>
        <w:tc>
          <w:tcPr>
            <w:tcW w:w="1893" w:type="dxa"/>
            <w:tcBorders>
              <w:left w:val="single" w:sz="4" w:space="0" w:color="auto"/>
              <w:right w:val="single" w:sz="12" w:space="0" w:color="auto"/>
            </w:tcBorders>
          </w:tcPr>
          <w:p w14:paraId="6B3DBF41" w14:textId="77777777" w:rsidR="00C01A50" w:rsidRPr="000C7437" w:rsidRDefault="00C01A50" w:rsidP="00B80EB7">
            <w:pPr>
              <w:spacing w:before="0" w:after="0"/>
              <w:jc w:val="right"/>
              <w:rPr>
                <w:lang w:val="en-AU"/>
              </w:rPr>
            </w:pPr>
            <w:r w:rsidRPr="000C7437">
              <w:rPr>
                <w:lang w:val="en-AU"/>
              </w:rPr>
              <w:t>207.1</w:t>
            </w:r>
          </w:p>
        </w:tc>
      </w:tr>
      <w:tr w:rsidR="00C01A50" w:rsidRPr="000C7437" w14:paraId="3DAA69ED" w14:textId="77777777">
        <w:trPr>
          <w:trHeight w:val="290"/>
          <w:jc w:val="center"/>
        </w:trPr>
        <w:tc>
          <w:tcPr>
            <w:tcW w:w="2127" w:type="dxa"/>
            <w:tcBorders>
              <w:left w:val="single" w:sz="12" w:space="0" w:color="auto"/>
              <w:right w:val="single" w:sz="12" w:space="0" w:color="auto"/>
            </w:tcBorders>
            <w:noWrap/>
          </w:tcPr>
          <w:p w14:paraId="1A4322F9" w14:textId="77777777" w:rsidR="00C01A50" w:rsidRPr="000C7437" w:rsidRDefault="00C01A50" w:rsidP="00B80EB7">
            <w:pPr>
              <w:spacing w:before="0" w:after="0"/>
              <w:rPr>
                <w:lang w:val="en-AU"/>
              </w:rPr>
            </w:pPr>
            <w:r w:rsidRPr="000C7437">
              <w:rPr>
                <w:lang w:val="en-AU"/>
              </w:rPr>
              <w:t>NSW South including Lachlan</w:t>
            </w:r>
          </w:p>
        </w:tc>
        <w:tc>
          <w:tcPr>
            <w:tcW w:w="1984" w:type="dxa"/>
            <w:vAlign w:val="center"/>
          </w:tcPr>
          <w:p w14:paraId="1CA1644E" w14:textId="77777777" w:rsidR="00C01A50" w:rsidRPr="000C7437" w:rsidRDefault="00C01A50" w:rsidP="00B80EB7">
            <w:pPr>
              <w:spacing w:before="0" w:after="0"/>
              <w:jc w:val="right"/>
              <w:rPr>
                <w:lang w:val="en-AU"/>
              </w:rPr>
            </w:pPr>
            <w:r w:rsidRPr="000C7437">
              <w:rPr>
                <w:lang w:val="en-AU"/>
              </w:rPr>
              <w:t>853</w:t>
            </w:r>
          </w:p>
        </w:tc>
        <w:tc>
          <w:tcPr>
            <w:tcW w:w="1985" w:type="dxa"/>
            <w:vAlign w:val="center"/>
          </w:tcPr>
          <w:p w14:paraId="7691C080" w14:textId="77777777" w:rsidR="00C01A50" w:rsidRPr="000C7437" w:rsidRDefault="00C01A50" w:rsidP="00B80EB7">
            <w:pPr>
              <w:spacing w:before="0" w:after="0"/>
              <w:jc w:val="right"/>
              <w:rPr>
                <w:lang w:val="en-AU"/>
              </w:rPr>
            </w:pPr>
            <w:r w:rsidRPr="000C7437">
              <w:rPr>
                <w:lang w:val="en-AU"/>
              </w:rPr>
              <w:t>805.7</w:t>
            </w:r>
          </w:p>
        </w:tc>
        <w:tc>
          <w:tcPr>
            <w:tcW w:w="1849" w:type="dxa"/>
            <w:tcBorders>
              <w:right w:val="single" w:sz="4" w:space="0" w:color="auto"/>
            </w:tcBorders>
            <w:noWrap/>
            <w:vAlign w:val="center"/>
          </w:tcPr>
          <w:p w14:paraId="5092E93B" w14:textId="77777777" w:rsidR="00C01A50" w:rsidRPr="000C7437" w:rsidRDefault="00C01A50" w:rsidP="00B80EB7">
            <w:pPr>
              <w:spacing w:before="0" w:after="0"/>
              <w:jc w:val="right"/>
              <w:rPr>
                <w:lang w:val="en-AU"/>
              </w:rPr>
            </w:pPr>
            <w:r w:rsidRPr="000C7437">
              <w:rPr>
                <w:lang w:val="en-AU"/>
              </w:rPr>
              <w:t>1,096</w:t>
            </w:r>
          </w:p>
        </w:tc>
        <w:tc>
          <w:tcPr>
            <w:tcW w:w="1893" w:type="dxa"/>
            <w:tcBorders>
              <w:left w:val="single" w:sz="4" w:space="0" w:color="auto"/>
              <w:right w:val="single" w:sz="12" w:space="0" w:color="auto"/>
            </w:tcBorders>
            <w:vAlign w:val="center"/>
          </w:tcPr>
          <w:p w14:paraId="2F0A6AA8" w14:textId="77777777" w:rsidR="00C01A50" w:rsidRPr="000C7437" w:rsidRDefault="00C01A50" w:rsidP="00B80EB7">
            <w:pPr>
              <w:spacing w:before="0" w:after="0"/>
              <w:jc w:val="right"/>
              <w:rPr>
                <w:lang w:val="en-AU"/>
              </w:rPr>
            </w:pPr>
            <w:r w:rsidRPr="000C7437">
              <w:rPr>
                <w:lang w:val="en-AU"/>
              </w:rPr>
              <w:t>1,260.9</w:t>
            </w:r>
          </w:p>
        </w:tc>
      </w:tr>
      <w:tr w:rsidR="00C01A50" w:rsidRPr="000C7437" w14:paraId="0010963D" w14:textId="77777777">
        <w:trPr>
          <w:trHeight w:val="300"/>
          <w:jc w:val="center"/>
        </w:trPr>
        <w:tc>
          <w:tcPr>
            <w:tcW w:w="2127" w:type="dxa"/>
            <w:tcBorders>
              <w:left w:val="single" w:sz="12" w:space="0" w:color="auto"/>
              <w:bottom w:val="single" w:sz="12" w:space="0" w:color="auto"/>
              <w:right w:val="single" w:sz="12" w:space="0" w:color="auto"/>
            </w:tcBorders>
            <w:noWrap/>
          </w:tcPr>
          <w:p w14:paraId="4DAE7A18" w14:textId="77777777" w:rsidR="00C01A50" w:rsidRPr="000C7437" w:rsidRDefault="00C01A50" w:rsidP="00B80EB7">
            <w:pPr>
              <w:spacing w:before="0" w:after="0"/>
              <w:rPr>
                <w:lang w:val="en-AU"/>
              </w:rPr>
            </w:pPr>
            <w:r w:rsidRPr="000C7437">
              <w:rPr>
                <w:lang w:val="en-AU"/>
              </w:rPr>
              <w:t>Victoria including Wimmera</w:t>
            </w:r>
          </w:p>
        </w:tc>
        <w:tc>
          <w:tcPr>
            <w:tcW w:w="1984" w:type="dxa"/>
            <w:tcBorders>
              <w:bottom w:val="single" w:sz="12" w:space="0" w:color="auto"/>
            </w:tcBorders>
            <w:vAlign w:val="center"/>
          </w:tcPr>
          <w:p w14:paraId="398ED21F" w14:textId="77777777" w:rsidR="00C01A50" w:rsidRPr="000C7437" w:rsidRDefault="00C01A50" w:rsidP="00B80EB7">
            <w:pPr>
              <w:spacing w:before="0" w:after="0"/>
              <w:jc w:val="right"/>
              <w:rPr>
                <w:lang w:val="en-AU"/>
              </w:rPr>
            </w:pPr>
            <w:r w:rsidRPr="000C7437">
              <w:rPr>
                <w:lang w:val="en-AU"/>
              </w:rPr>
              <w:t>849</w:t>
            </w:r>
          </w:p>
        </w:tc>
        <w:tc>
          <w:tcPr>
            <w:tcW w:w="1985" w:type="dxa"/>
            <w:tcBorders>
              <w:bottom w:val="single" w:sz="12" w:space="0" w:color="auto"/>
            </w:tcBorders>
            <w:vAlign w:val="center"/>
          </w:tcPr>
          <w:p w14:paraId="371FBC37" w14:textId="77777777" w:rsidR="00C01A50" w:rsidRPr="000C7437" w:rsidRDefault="00C01A50" w:rsidP="00B80EB7">
            <w:pPr>
              <w:spacing w:before="0" w:after="0"/>
              <w:jc w:val="right"/>
              <w:rPr>
                <w:lang w:val="en-AU"/>
              </w:rPr>
            </w:pPr>
            <w:r w:rsidRPr="000C7437">
              <w:rPr>
                <w:lang w:val="en-AU"/>
              </w:rPr>
              <w:t>805.4</w:t>
            </w:r>
          </w:p>
        </w:tc>
        <w:tc>
          <w:tcPr>
            <w:tcW w:w="1849" w:type="dxa"/>
            <w:tcBorders>
              <w:bottom w:val="single" w:sz="12" w:space="0" w:color="auto"/>
              <w:right w:val="single" w:sz="4" w:space="0" w:color="auto"/>
            </w:tcBorders>
            <w:noWrap/>
            <w:vAlign w:val="center"/>
          </w:tcPr>
          <w:p w14:paraId="5784525C" w14:textId="77777777" w:rsidR="00C01A50" w:rsidRPr="000C7437" w:rsidRDefault="00C01A50" w:rsidP="00B80EB7">
            <w:pPr>
              <w:spacing w:before="0" w:after="0"/>
              <w:jc w:val="right"/>
              <w:rPr>
                <w:lang w:val="en-AU"/>
              </w:rPr>
            </w:pPr>
            <w:r w:rsidRPr="000C7437">
              <w:rPr>
                <w:lang w:val="en-AU"/>
              </w:rPr>
              <w:t>1,075</w:t>
            </w:r>
          </w:p>
        </w:tc>
        <w:tc>
          <w:tcPr>
            <w:tcW w:w="1893" w:type="dxa"/>
            <w:tcBorders>
              <w:left w:val="single" w:sz="4" w:space="0" w:color="auto"/>
              <w:bottom w:val="single" w:sz="12" w:space="0" w:color="auto"/>
              <w:right w:val="single" w:sz="12" w:space="0" w:color="auto"/>
            </w:tcBorders>
            <w:vAlign w:val="center"/>
          </w:tcPr>
          <w:p w14:paraId="0A587F19" w14:textId="77777777" w:rsidR="00C01A50" w:rsidRPr="000C7437" w:rsidRDefault="00C01A50" w:rsidP="00B80EB7">
            <w:pPr>
              <w:spacing w:before="0" w:after="0"/>
              <w:jc w:val="right"/>
              <w:rPr>
                <w:lang w:val="en-AU"/>
              </w:rPr>
            </w:pPr>
            <w:r w:rsidRPr="000C7437">
              <w:rPr>
                <w:lang w:val="en-AU"/>
              </w:rPr>
              <w:t>1,207.8</w:t>
            </w:r>
          </w:p>
        </w:tc>
      </w:tr>
      <w:tr w:rsidR="00C01A50" w:rsidRPr="000C7437" w14:paraId="7F7E1314" w14:textId="77777777">
        <w:trPr>
          <w:trHeight w:val="300"/>
          <w:jc w:val="center"/>
        </w:trPr>
        <w:tc>
          <w:tcPr>
            <w:tcW w:w="2127" w:type="dxa"/>
            <w:tcBorders>
              <w:top w:val="single" w:sz="12" w:space="0" w:color="auto"/>
              <w:left w:val="single" w:sz="12" w:space="0" w:color="auto"/>
              <w:bottom w:val="single" w:sz="12" w:space="0" w:color="auto"/>
              <w:right w:val="single" w:sz="12" w:space="0" w:color="auto"/>
            </w:tcBorders>
            <w:noWrap/>
          </w:tcPr>
          <w:p w14:paraId="17603F76" w14:textId="77777777" w:rsidR="00C01A50" w:rsidRPr="000C7437" w:rsidRDefault="00C01A50" w:rsidP="00B80EB7">
            <w:pPr>
              <w:spacing w:before="0" w:after="0"/>
              <w:rPr>
                <w:lang w:val="en-AU"/>
              </w:rPr>
            </w:pPr>
            <w:r w:rsidRPr="000C7437">
              <w:rPr>
                <w:lang w:val="en-AU"/>
              </w:rPr>
              <w:t>TOTAL</w:t>
            </w:r>
          </w:p>
        </w:tc>
        <w:tc>
          <w:tcPr>
            <w:tcW w:w="1984" w:type="dxa"/>
            <w:tcBorders>
              <w:top w:val="single" w:sz="12" w:space="0" w:color="auto"/>
              <w:bottom w:val="single" w:sz="12" w:space="0" w:color="auto"/>
            </w:tcBorders>
          </w:tcPr>
          <w:p w14:paraId="626F462B" w14:textId="77777777" w:rsidR="00C01A50" w:rsidRPr="000C7437" w:rsidRDefault="00C01A50" w:rsidP="00B80EB7">
            <w:pPr>
              <w:spacing w:before="0" w:after="0"/>
              <w:jc w:val="right"/>
              <w:rPr>
                <w:lang w:val="en-AU"/>
              </w:rPr>
            </w:pPr>
            <w:r w:rsidRPr="000C7437">
              <w:rPr>
                <w:lang w:val="en-AU"/>
              </w:rPr>
              <w:t>2,206</w:t>
            </w:r>
          </w:p>
        </w:tc>
        <w:tc>
          <w:tcPr>
            <w:tcW w:w="1985" w:type="dxa"/>
            <w:tcBorders>
              <w:top w:val="single" w:sz="12" w:space="0" w:color="auto"/>
              <w:bottom w:val="single" w:sz="12" w:space="0" w:color="auto"/>
            </w:tcBorders>
          </w:tcPr>
          <w:p w14:paraId="61E3BEDF" w14:textId="77777777" w:rsidR="00C01A50" w:rsidRPr="000C7437" w:rsidRDefault="00C01A50" w:rsidP="00B80EB7">
            <w:pPr>
              <w:spacing w:before="0" w:after="0"/>
              <w:jc w:val="right"/>
              <w:rPr>
                <w:lang w:val="en-AU"/>
              </w:rPr>
            </w:pPr>
            <w:r w:rsidRPr="000C7437">
              <w:rPr>
                <w:lang w:val="en-AU"/>
              </w:rPr>
              <w:t>2,100</w:t>
            </w:r>
          </w:p>
        </w:tc>
        <w:tc>
          <w:tcPr>
            <w:tcW w:w="1849" w:type="dxa"/>
            <w:tcBorders>
              <w:top w:val="single" w:sz="12" w:space="0" w:color="auto"/>
              <w:bottom w:val="single" w:sz="12" w:space="0" w:color="auto"/>
              <w:right w:val="single" w:sz="4" w:space="0" w:color="auto"/>
            </w:tcBorders>
            <w:noWrap/>
            <w:vAlign w:val="center"/>
          </w:tcPr>
          <w:p w14:paraId="791E642C" w14:textId="77777777" w:rsidR="00C01A50" w:rsidRPr="000C7437" w:rsidRDefault="00C01A50" w:rsidP="00B80EB7">
            <w:pPr>
              <w:spacing w:before="0" w:after="0"/>
              <w:jc w:val="right"/>
              <w:rPr>
                <w:lang w:val="en-AU"/>
              </w:rPr>
            </w:pPr>
            <w:r w:rsidRPr="000C7437">
              <w:rPr>
                <w:lang w:val="en-AU"/>
              </w:rPr>
              <w:t>2,750</w:t>
            </w:r>
          </w:p>
        </w:tc>
        <w:tc>
          <w:tcPr>
            <w:tcW w:w="1893" w:type="dxa"/>
            <w:tcBorders>
              <w:top w:val="single" w:sz="12" w:space="0" w:color="auto"/>
              <w:left w:val="single" w:sz="4" w:space="0" w:color="auto"/>
              <w:bottom w:val="single" w:sz="12" w:space="0" w:color="auto"/>
              <w:right w:val="single" w:sz="12" w:space="0" w:color="auto"/>
            </w:tcBorders>
          </w:tcPr>
          <w:p w14:paraId="1DF5F328" w14:textId="77777777" w:rsidR="00C01A50" w:rsidRPr="000C7437" w:rsidRDefault="00C01A50" w:rsidP="00B80EB7">
            <w:pPr>
              <w:spacing w:before="0" w:after="0"/>
              <w:jc w:val="right"/>
              <w:rPr>
                <w:lang w:val="en-AU"/>
              </w:rPr>
            </w:pPr>
            <w:r w:rsidRPr="000C7437">
              <w:rPr>
                <w:lang w:val="en-AU"/>
              </w:rPr>
              <w:t>3,200</w:t>
            </w:r>
          </w:p>
        </w:tc>
      </w:tr>
    </w:tbl>
    <w:p w14:paraId="22AEE665" w14:textId="77777777" w:rsidR="00C01A50" w:rsidRPr="000C7437" w:rsidRDefault="00C01A50" w:rsidP="00A17DEB"/>
    <w:p w14:paraId="2AC97B8C" w14:textId="77777777" w:rsidR="00C01A50" w:rsidRPr="000C7437" w:rsidRDefault="00C01A50" w:rsidP="00A17DEB">
      <w:pPr>
        <w:rPr>
          <w:i/>
        </w:rPr>
      </w:pPr>
      <w:r w:rsidRPr="000C7437">
        <w:rPr>
          <w:i/>
        </w:rPr>
        <w:t>Additional water recovery volumes</w:t>
      </w:r>
    </w:p>
    <w:p w14:paraId="0E956EF2" w14:textId="77777777" w:rsidR="00C01A50" w:rsidRPr="000C7437" w:rsidRDefault="00C01A50" w:rsidP="00A17DEB">
      <w:r w:rsidRPr="000C7437">
        <w:t xml:space="preserve">The MDBA and Commonwealth both provide regular updates on contracted water recovery. </w:t>
      </w:r>
      <w:r>
        <w:fldChar w:fldCharType="begin"/>
      </w:r>
      <w:r>
        <w:instrText xml:space="preserve"> REF _Ref342383977 \h </w:instrText>
      </w:r>
      <w:r>
        <w:fldChar w:fldCharType="separate"/>
      </w:r>
      <w:r w:rsidR="008E5D7A">
        <w:t xml:space="preserve">Table </w:t>
      </w:r>
      <w:r w:rsidR="008E5D7A">
        <w:rPr>
          <w:noProof/>
        </w:rPr>
        <w:t>26</w:t>
      </w:r>
      <w:r>
        <w:fldChar w:fldCharType="end"/>
      </w:r>
      <w:r w:rsidRPr="000C7437">
        <w:t xml:space="preserve"> presents contracted water recovery at 30 June 2016 from MDBA (2016</w:t>
      </w:r>
      <w:r w:rsidR="00B33EBA">
        <w:t>b</w:t>
      </w:r>
      <w:r w:rsidRPr="000C7437">
        <w:t>) and corresponding estimates of additional water recovery required under the LOW, MEDIUM and HIGH water recovery scenarios. It is important to note that not all entitlements from contracted water recovery have been transferred to the environment. For example in Victoria around 200 GL of entitlements (</w:t>
      </w:r>
      <w:r>
        <w:t>LTAAY</w:t>
      </w:r>
      <w:r w:rsidRPr="000C7437">
        <w:t>) from contracted projects still need to be transferred to the Commonwealth. However, this assessment of additional water recovery assume</w:t>
      </w:r>
      <w:r>
        <w:t>s</w:t>
      </w:r>
      <w:r w:rsidRPr="000C7437">
        <w:t xml:space="preserve"> that contracted water recovery represents water already recovered. </w:t>
      </w:r>
    </w:p>
    <w:p w14:paraId="15CDFF86" w14:textId="77777777" w:rsidR="00C01A50" w:rsidRPr="000C7437" w:rsidRDefault="00C01A50" w:rsidP="00A17DEB">
      <w:r w:rsidRPr="000C7437">
        <w:t>Under the LOW water recovery scenario contracted water recovery in Victoria and SA already exceeds requirements. An additional 68.2 GL need</w:t>
      </w:r>
      <w:r>
        <w:t>s</w:t>
      </w:r>
      <w:r w:rsidRPr="000C7437">
        <w:t xml:space="preserve"> to be recovered from NSW in the </w:t>
      </w:r>
      <w:r>
        <w:t>sMDB</w:t>
      </w:r>
      <w:r w:rsidRPr="000C7437">
        <w:t xml:space="preserve">. </w:t>
      </w:r>
    </w:p>
    <w:p w14:paraId="1AD087B5" w14:textId="77777777" w:rsidR="00C01A50" w:rsidRPr="000C7437" w:rsidRDefault="00C01A50" w:rsidP="00A17DEB">
      <w:r w:rsidRPr="000C7437">
        <w:t>Under the MEDIUM water recovery scenario an additional 650.5 GL need</w:t>
      </w:r>
      <w:r>
        <w:t>s</w:t>
      </w:r>
      <w:r w:rsidRPr="000C7437">
        <w:t xml:space="preserve"> to be sourced from the </w:t>
      </w:r>
      <w:r>
        <w:t>sMDB</w:t>
      </w:r>
      <w:r w:rsidRPr="000C7437">
        <w:t xml:space="preserve">. </w:t>
      </w:r>
    </w:p>
    <w:p w14:paraId="4CF2DDEE" w14:textId="77777777" w:rsidR="00C01A50" w:rsidRDefault="00C01A50" w:rsidP="00A17DEB">
      <w:r w:rsidRPr="000C7437">
        <w:t>Under the High water recovery sce</w:t>
      </w:r>
      <w:r>
        <w:t>n</w:t>
      </w:r>
      <w:r w:rsidRPr="000C7437">
        <w:t>ario an additional 973 GL need</w:t>
      </w:r>
      <w:r>
        <w:t>s</w:t>
      </w:r>
      <w:r w:rsidRPr="000C7437">
        <w:t xml:space="preserve"> to be sourced from the Southern Basin. </w:t>
      </w:r>
    </w:p>
    <w:p w14:paraId="1C38CFA0" w14:textId="77777777" w:rsidR="00C01A50" w:rsidRDefault="00C01A50">
      <w:pPr>
        <w:spacing w:before="0" w:after="0" w:line="240" w:lineRule="auto"/>
        <w:jc w:val="left"/>
      </w:pPr>
      <w:r>
        <w:br w:type="page"/>
      </w:r>
    </w:p>
    <w:p w14:paraId="4A81F0A3" w14:textId="77777777" w:rsidR="00C01A50" w:rsidRPr="000C7437" w:rsidRDefault="00C01A50" w:rsidP="00A17DEB"/>
    <w:p w14:paraId="75F969F0" w14:textId="77777777" w:rsidR="00C01A50" w:rsidRPr="0099386E" w:rsidRDefault="00C01A50" w:rsidP="0099386E">
      <w:pPr>
        <w:pStyle w:val="Caption"/>
        <w:rPr>
          <w:iCs/>
          <w:lang w:val="en-AU"/>
        </w:rPr>
      </w:pPr>
      <w:bookmarkStart w:id="261" w:name="_Ref342383977"/>
      <w:r>
        <w:t xml:space="preserve">Table </w:t>
      </w:r>
      <w:r>
        <w:fldChar w:fldCharType="begin"/>
      </w:r>
      <w:r>
        <w:instrText xml:space="preserve"> SEQ Table \* ARABIC </w:instrText>
      </w:r>
      <w:r>
        <w:fldChar w:fldCharType="separate"/>
      </w:r>
      <w:r w:rsidR="008E5D7A">
        <w:rPr>
          <w:noProof/>
        </w:rPr>
        <w:t>26</w:t>
      </w:r>
      <w:r>
        <w:fldChar w:fldCharType="end"/>
      </w:r>
      <w:bookmarkEnd w:id="261"/>
      <w:r>
        <w:t xml:space="preserve">: </w:t>
      </w:r>
      <w:r w:rsidRPr="0099386E">
        <w:rPr>
          <w:iCs/>
          <w:lang w:val="en-AU"/>
        </w:rPr>
        <w:t>Contracted water recovery at 30 June 2016 (Source: MDBA</w:t>
      </w:r>
      <w:r w:rsidR="00E95A5F">
        <w:rPr>
          <w:iCs/>
          <w:lang w:val="en-AU"/>
        </w:rPr>
        <w:t>,</w:t>
      </w:r>
      <w:r w:rsidRPr="0099386E">
        <w:rPr>
          <w:iCs/>
          <w:lang w:val="en-AU"/>
        </w:rPr>
        <w:t xml:space="preserve"> 2016</w:t>
      </w:r>
      <w:r w:rsidR="00E95A5F">
        <w:rPr>
          <w:iCs/>
          <w:lang w:val="en-AU"/>
        </w:rPr>
        <w:t>b</w:t>
      </w:r>
      <w:r w:rsidRPr="0099386E">
        <w:rPr>
          <w:iCs/>
          <w:lang w:val="en-AU"/>
        </w:rPr>
        <w:t xml:space="preserve">) and estimated volumes of additional water recovery required under the LOW, MEDIUM and HIGH water recovery scenarios. </w:t>
      </w:r>
    </w:p>
    <w:tbl>
      <w:tblPr>
        <w:tblStyle w:val="TableGrid"/>
        <w:tblW w:w="9838" w:type="dxa"/>
        <w:jc w:val="center"/>
        <w:tblLook w:val="04A0" w:firstRow="1" w:lastRow="0" w:firstColumn="1" w:lastColumn="0" w:noHBand="0" w:noVBand="1"/>
      </w:tblPr>
      <w:tblGrid>
        <w:gridCol w:w="2127"/>
        <w:gridCol w:w="1984"/>
        <w:gridCol w:w="1828"/>
        <w:gridCol w:w="2006"/>
        <w:gridCol w:w="1893"/>
      </w:tblGrid>
      <w:tr w:rsidR="00C01A50" w:rsidRPr="000C7437" w14:paraId="4AEED53B" w14:textId="77777777">
        <w:trPr>
          <w:trHeight w:val="290"/>
          <w:jc w:val="center"/>
        </w:trPr>
        <w:tc>
          <w:tcPr>
            <w:tcW w:w="2127" w:type="dxa"/>
            <w:tcBorders>
              <w:top w:val="single" w:sz="12" w:space="0" w:color="auto"/>
              <w:left w:val="single" w:sz="12" w:space="0" w:color="auto"/>
              <w:bottom w:val="nil"/>
              <w:right w:val="single" w:sz="12" w:space="0" w:color="auto"/>
            </w:tcBorders>
            <w:noWrap/>
          </w:tcPr>
          <w:p w14:paraId="7C621C63" w14:textId="77777777" w:rsidR="00C01A50" w:rsidRPr="000C7437" w:rsidRDefault="00C01A50" w:rsidP="00B80EB7">
            <w:pPr>
              <w:spacing w:before="0" w:after="0"/>
              <w:rPr>
                <w:lang w:val="en-AU"/>
              </w:rPr>
            </w:pPr>
            <w:r w:rsidRPr="000C7437">
              <w:rPr>
                <w:lang w:val="en-AU"/>
              </w:rPr>
              <w:t> </w:t>
            </w:r>
          </w:p>
        </w:tc>
        <w:tc>
          <w:tcPr>
            <w:tcW w:w="1984" w:type="dxa"/>
            <w:tcBorders>
              <w:top w:val="single" w:sz="12" w:space="0" w:color="auto"/>
              <w:bottom w:val="nil"/>
            </w:tcBorders>
            <w:vAlign w:val="center"/>
          </w:tcPr>
          <w:p w14:paraId="5AE7FA13" w14:textId="77777777" w:rsidR="00C01A50" w:rsidRPr="000C7437" w:rsidRDefault="00C01A50" w:rsidP="00B80EB7">
            <w:pPr>
              <w:spacing w:before="0" w:after="0"/>
              <w:rPr>
                <w:lang w:val="en-AU"/>
              </w:rPr>
            </w:pPr>
          </w:p>
        </w:tc>
        <w:tc>
          <w:tcPr>
            <w:tcW w:w="1828" w:type="dxa"/>
            <w:tcBorders>
              <w:top w:val="single" w:sz="12" w:space="0" w:color="auto"/>
              <w:bottom w:val="single" w:sz="4" w:space="0" w:color="auto"/>
            </w:tcBorders>
            <w:vAlign w:val="center"/>
          </w:tcPr>
          <w:p w14:paraId="10718B57" w14:textId="77777777" w:rsidR="00C01A50" w:rsidRPr="000C7437" w:rsidRDefault="00C01A50" w:rsidP="00B80EB7">
            <w:pPr>
              <w:spacing w:before="0" w:after="0"/>
              <w:rPr>
                <w:lang w:val="en-AU"/>
              </w:rPr>
            </w:pPr>
            <w:r w:rsidRPr="000C7437">
              <w:rPr>
                <w:lang w:val="en-AU"/>
              </w:rPr>
              <w:t>LOW Scenario</w:t>
            </w:r>
          </w:p>
        </w:tc>
        <w:tc>
          <w:tcPr>
            <w:tcW w:w="2006" w:type="dxa"/>
            <w:tcBorders>
              <w:top w:val="single" w:sz="12" w:space="0" w:color="auto"/>
              <w:bottom w:val="single" w:sz="4" w:space="0" w:color="auto"/>
              <w:right w:val="single" w:sz="4" w:space="0" w:color="auto"/>
            </w:tcBorders>
            <w:noWrap/>
            <w:vAlign w:val="center"/>
          </w:tcPr>
          <w:p w14:paraId="6EFB3350" w14:textId="77777777" w:rsidR="00C01A50" w:rsidRPr="000C7437" w:rsidRDefault="00C01A50" w:rsidP="00B80EB7">
            <w:pPr>
              <w:spacing w:before="0" w:after="0"/>
              <w:rPr>
                <w:lang w:val="en-AU"/>
              </w:rPr>
            </w:pPr>
            <w:r w:rsidRPr="000C7437">
              <w:rPr>
                <w:lang w:val="en-AU"/>
              </w:rPr>
              <w:t xml:space="preserve">MEDIUM Scenario </w:t>
            </w:r>
          </w:p>
        </w:tc>
        <w:tc>
          <w:tcPr>
            <w:tcW w:w="1893" w:type="dxa"/>
            <w:tcBorders>
              <w:top w:val="single" w:sz="12" w:space="0" w:color="auto"/>
              <w:left w:val="single" w:sz="4" w:space="0" w:color="auto"/>
              <w:bottom w:val="single" w:sz="4" w:space="0" w:color="auto"/>
              <w:right w:val="single" w:sz="12" w:space="0" w:color="auto"/>
            </w:tcBorders>
            <w:vAlign w:val="center"/>
          </w:tcPr>
          <w:p w14:paraId="35EC726F" w14:textId="77777777" w:rsidR="00C01A50" w:rsidRPr="000C7437" w:rsidRDefault="00C01A50" w:rsidP="00B80EB7">
            <w:pPr>
              <w:spacing w:before="0" w:after="0"/>
              <w:rPr>
                <w:lang w:val="en-AU"/>
              </w:rPr>
            </w:pPr>
            <w:r w:rsidRPr="000C7437">
              <w:rPr>
                <w:lang w:val="en-AU"/>
              </w:rPr>
              <w:t>HIGH Scenario</w:t>
            </w:r>
          </w:p>
        </w:tc>
      </w:tr>
      <w:tr w:rsidR="00C01A50" w:rsidRPr="000C7437" w14:paraId="4D41D075" w14:textId="77777777">
        <w:trPr>
          <w:trHeight w:val="300"/>
          <w:jc w:val="center"/>
        </w:trPr>
        <w:tc>
          <w:tcPr>
            <w:tcW w:w="2127" w:type="dxa"/>
            <w:tcBorders>
              <w:top w:val="nil"/>
              <w:left w:val="single" w:sz="12" w:space="0" w:color="auto"/>
              <w:bottom w:val="single" w:sz="12" w:space="0" w:color="auto"/>
              <w:right w:val="single" w:sz="12" w:space="0" w:color="auto"/>
            </w:tcBorders>
            <w:noWrap/>
          </w:tcPr>
          <w:p w14:paraId="47770828" w14:textId="77777777" w:rsidR="00C01A50" w:rsidRPr="000C7437" w:rsidRDefault="00C01A50" w:rsidP="00B80EB7">
            <w:pPr>
              <w:spacing w:before="0" w:after="0"/>
              <w:rPr>
                <w:lang w:val="en-AU"/>
              </w:rPr>
            </w:pPr>
            <w:r w:rsidRPr="000C7437">
              <w:rPr>
                <w:lang w:val="en-AU"/>
              </w:rPr>
              <w:t> </w:t>
            </w:r>
          </w:p>
        </w:tc>
        <w:tc>
          <w:tcPr>
            <w:tcW w:w="1984" w:type="dxa"/>
            <w:tcBorders>
              <w:top w:val="nil"/>
              <w:bottom w:val="single" w:sz="12" w:space="0" w:color="auto"/>
            </w:tcBorders>
            <w:vAlign w:val="center"/>
          </w:tcPr>
          <w:p w14:paraId="3C80CA90" w14:textId="77777777" w:rsidR="00C01A50" w:rsidRPr="000C7437" w:rsidRDefault="00C01A50" w:rsidP="00B80EB7">
            <w:pPr>
              <w:spacing w:before="0" w:after="0"/>
              <w:rPr>
                <w:lang w:val="en-AU"/>
              </w:rPr>
            </w:pPr>
            <w:r w:rsidRPr="000C7437">
              <w:rPr>
                <w:lang w:val="en-AU"/>
              </w:rPr>
              <w:t>Contracted water recovery</w:t>
            </w:r>
          </w:p>
          <w:p w14:paraId="33E7BC99" w14:textId="77777777" w:rsidR="00C01A50" w:rsidRPr="000C7437" w:rsidRDefault="00C01A50" w:rsidP="00B80EB7">
            <w:pPr>
              <w:spacing w:before="0" w:after="0"/>
              <w:rPr>
                <w:lang w:val="en-AU"/>
              </w:rPr>
            </w:pPr>
            <w:r w:rsidRPr="000C7437">
              <w:rPr>
                <w:lang w:val="en-AU"/>
              </w:rPr>
              <w:t>(GL)</w:t>
            </w:r>
          </w:p>
        </w:tc>
        <w:tc>
          <w:tcPr>
            <w:tcW w:w="1828" w:type="dxa"/>
            <w:tcBorders>
              <w:top w:val="single" w:sz="4" w:space="0" w:color="auto"/>
              <w:bottom w:val="single" w:sz="12" w:space="0" w:color="auto"/>
            </w:tcBorders>
            <w:vAlign w:val="center"/>
          </w:tcPr>
          <w:p w14:paraId="5C3AFB98" w14:textId="77777777" w:rsidR="00C01A50" w:rsidRPr="000C7437" w:rsidRDefault="00C01A50" w:rsidP="00B80EB7">
            <w:pPr>
              <w:spacing w:before="0" w:after="0"/>
              <w:rPr>
                <w:lang w:val="en-AU"/>
              </w:rPr>
            </w:pPr>
            <w:r w:rsidRPr="000C7437">
              <w:rPr>
                <w:lang w:val="en-AU"/>
              </w:rPr>
              <w:t xml:space="preserve">Water to be recovered </w:t>
            </w:r>
          </w:p>
          <w:p w14:paraId="5DD2D108" w14:textId="77777777" w:rsidR="00C01A50" w:rsidRPr="000C7437" w:rsidRDefault="00C01A50" w:rsidP="00B80EB7">
            <w:pPr>
              <w:spacing w:before="0" w:after="0"/>
              <w:rPr>
                <w:lang w:val="en-AU"/>
              </w:rPr>
            </w:pPr>
            <w:r w:rsidRPr="000C7437">
              <w:rPr>
                <w:lang w:val="en-AU"/>
              </w:rPr>
              <w:t>(GL)</w:t>
            </w:r>
          </w:p>
        </w:tc>
        <w:tc>
          <w:tcPr>
            <w:tcW w:w="2006" w:type="dxa"/>
            <w:tcBorders>
              <w:top w:val="single" w:sz="4" w:space="0" w:color="auto"/>
              <w:bottom w:val="single" w:sz="12" w:space="0" w:color="auto"/>
              <w:right w:val="single" w:sz="4" w:space="0" w:color="auto"/>
            </w:tcBorders>
            <w:noWrap/>
            <w:vAlign w:val="center"/>
          </w:tcPr>
          <w:p w14:paraId="7BA9FF70" w14:textId="77777777" w:rsidR="00C01A50" w:rsidRPr="000C7437" w:rsidRDefault="00C01A50" w:rsidP="00B80EB7">
            <w:pPr>
              <w:spacing w:before="0" w:after="0"/>
              <w:rPr>
                <w:lang w:val="en-AU"/>
              </w:rPr>
            </w:pPr>
            <w:r w:rsidRPr="000C7437">
              <w:rPr>
                <w:lang w:val="en-AU"/>
              </w:rPr>
              <w:t xml:space="preserve">Water to be recovered </w:t>
            </w:r>
          </w:p>
          <w:p w14:paraId="43B95C3B" w14:textId="77777777" w:rsidR="00C01A50" w:rsidRPr="000C7437" w:rsidRDefault="00C01A50" w:rsidP="00B80EB7">
            <w:pPr>
              <w:spacing w:before="0" w:after="0"/>
              <w:rPr>
                <w:lang w:val="en-AU"/>
              </w:rPr>
            </w:pPr>
            <w:r w:rsidRPr="000C7437">
              <w:rPr>
                <w:lang w:val="en-AU"/>
              </w:rPr>
              <w:t>(GL)</w:t>
            </w:r>
          </w:p>
        </w:tc>
        <w:tc>
          <w:tcPr>
            <w:tcW w:w="1893" w:type="dxa"/>
            <w:tcBorders>
              <w:top w:val="single" w:sz="4" w:space="0" w:color="auto"/>
              <w:left w:val="single" w:sz="4" w:space="0" w:color="auto"/>
              <w:bottom w:val="single" w:sz="12" w:space="0" w:color="auto"/>
              <w:right w:val="single" w:sz="12" w:space="0" w:color="auto"/>
            </w:tcBorders>
            <w:vAlign w:val="center"/>
          </w:tcPr>
          <w:p w14:paraId="391416AE" w14:textId="77777777" w:rsidR="00C01A50" w:rsidRPr="000C7437" w:rsidRDefault="00C01A50" w:rsidP="00B80EB7">
            <w:pPr>
              <w:spacing w:before="0" w:after="0"/>
              <w:rPr>
                <w:lang w:val="en-AU"/>
              </w:rPr>
            </w:pPr>
            <w:r w:rsidRPr="000C7437">
              <w:rPr>
                <w:lang w:val="en-AU"/>
              </w:rPr>
              <w:t xml:space="preserve">Water to be recovered </w:t>
            </w:r>
          </w:p>
          <w:p w14:paraId="52B6E37B" w14:textId="77777777" w:rsidR="00C01A50" w:rsidRPr="000C7437" w:rsidRDefault="00C01A50" w:rsidP="00B80EB7">
            <w:pPr>
              <w:spacing w:before="0" w:after="0"/>
              <w:rPr>
                <w:lang w:val="en-AU"/>
              </w:rPr>
            </w:pPr>
            <w:r w:rsidRPr="000C7437">
              <w:rPr>
                <w:lang w:val="en-AU"/>
              </w:rPr>
              <w:t>(GL)</w:t>
            </w:r>
          </w:p>
        </w:tc>
      </w:tr>
      <w:tr w:rsidR="00C01A50" w:rsidRPr="000C7437" w14:paraId="17178F72" w14:textId="77777777">
        <w:trPr>
          <w:trHeight w:val="265"/>
          <w:jc w:val="center"/>
        </w:trPr>
        <w:tc>
          <w:tcPr>
            <w:tcW w:w="2127" w:type="dxa"/>
            <w:tcBorders>
              <w:top w:val="single" w:sz="12" w:space="0" w:color="auto"/>
              <w:left w:val="single" w:sz="12" w:space="0" w:color="auto"/>
              <w:right w:val="single" w:sz="12" w:space="0" w:color="auto"/>
            </w:tcBorders>
            <w:noWrap/>
          </w:tcPr>
          <w:p w14:paraId="70E6EC1F" w14:textId="77777777" w:rsidR="00C01A50" w:rsidRPr="000C7437" w:rsidRDefault="00C01A50" w:rsidP="00B80EB7">
            <w:pPr>
              <w:spacing w:before="0" w:after="0"/>
              <w:rPr>
                <w:lang w:val="en-AU"/>
              </w:rPr>
            </w:pPr>
            <w:r w:rsidRPr="000C7437">
              <w:rPr>
                <w:lang w:val="en-AU"/>
              </w:rPr>
              <w:t>Qld</w:t>
            </w:r>
          </w:p>
        </w:tc>
        <w:tc>
          <w:tcPr>
            <w:tcW w:w="1984" w:type="dxa"/>
            <w:tcBorders>
              <w:top w:val="single" w:sz="12" w:space="0" w:color="auto"/>
            </w:tcBorders>
          </w:tcPr>
          <w:p w14:paraId="65FD565F" w14:textId="77777777" w:rsidR="00C01A50" w:rsidRPr="000C7437" w:rsidRDefault="00C01A50" w:rsidP="00B80EB7">
            <w:pPr>
              <w:spacing w:before="0" w:after="0"/>
              <w:jc w:val="right"/>
              <w:rPr>
                <w:lang w:val="en-AU"/>
              </w:rPr>
            </w:pPr>
            <w:r w:rsidRPr="000C7437">
              <w:rPr>
                <w:lang w:val="en-AU"/>
              </w:rPr>
              <w:t>87</w:t>
            </w:r>
          </w:p>
        </w:tc>
        <w:tc>
          <w:tcPr>
            <w:tcW w:w="1828" w:type="dxa"/>
            <w:tcBorders>
              <w:top w:val="single" w:sz="12" w:space="0" w:color="auto"/>
            </w:tcBorders>
          </w:tcPr>
          <w:p w14:paraId="42E7771E" w14:textId="77777777" w:rsidR="00C01A50" w:rsidRPr="000C7437" w:rsidRDefault="00C01A50" w:rsidP="00B80EB7">
            <w:pPr>
              <w:spacing w:before="0" w:after="0"/>
              <w:jc w:val="right"/>
              <w:rPr>
                <w:lang w:val="en-AU"/>
              </w:rPr>
            </w:pPr>
            <w:r w:rsidRPr="000C7437">
              <w:rPr>
                <w:lang w:val="en-AU"/>
              </w:rPr>
              <w:t>87.5</w:t>
            </w:r>
          </w:p>
        </w:tc>
        <w:tc>
          <w:tcPr>
            <w:tcW w:w="2006" w:type="dxa"/>
            <w:tcBorders>
              <w:top w:val="single" w:sz="12" w:space="0" w:color="auto"/>
              <w:right w:val="single" w:sz="4" w:space="0" w:color="auto"/>
            </w:tcBorders>
            <w:noWrap/>
            <w:vAlign w:val="center"/>
          </w:tcPr>
          <w:p w14:paraId="44D1965C" w14:textId="77777777" w:rsidR="00C01A50" w:rsidRPr="000C7437" w:rsidRDefault="00C01A50" w:rsidP="00B80EB7">
            <w:pPr>
              <w:spacing w:before="0" w:after="0"/>
              <w:jc w:val="right"/>
              <w:rPr>
                <w:lang w:val="en-AU"/>
              </w:rPr>
            </w:pPr>
            <w:r w:rsidRPr="000C7437">
              <w:rPr>
                <w:lang w:val="en-AU"/>
              </w:rPr>
              <w:t>87.5</w:t>
            </w:r>
          </w:p>
        </w:tc>
        <w:tc>
          <w:tcPr>
            <w:tcW w:w="1893" w:type="dxa"/>
            <w:tcBorders>
              <w:top w:val="single" w:sz="12" w:space="0" w:color="auto"/>
              <w:left w:val="single" w:sz="4" w:space="0" w:color="auto"/>
              <w:right w:val="single" w:sz="12" w:space="0" w:color="auto"/>
            </w:tcBorders>
            <w:vAlign w:val="center"/>
          </w:tcPr>
          <w:p w14:paraId="378226CE" w14:textId="77777777" w:rsidR="00C01A50" w:rsidRPr="000C7437" w:rsidRDefault="00C01A50" w:rsidP="00B80EB7">
            <w:pPr>
              <w:spacing w:before="0" w:after="0"/>
              <w:jc w:val="right"/>
              <w:rPr>
                <w:lang w:val="en-AU"/>
              </w:rPr>
            </w:pPr>
            <w:r w:rsidRPr="000C7437">
              <w:rPr>
                <w:lang w:val="en-AU"/>
              </w:rPr>
              <w:t>163.7</w:t>
            </w:r>
          </w:p>
        </w:tc>
      </w:tr>
      <w:tr w:rsidR="00C01A50" w:rsidRPr="000C7437" w14:paraId="2581319E" w14:textId="77777777">
        <w:trPr>
          <w:trHeight w:val="290"/>
          <w:jc w:val="center"/>
        </w:trPr>
        <w:tc>
          <w:tcPr>
            <w:tcW w:w="2127" w:type="dxa"/>
            <w:tcBorders>
              <w:top w:val="single" w:sz="4" w:space="0" w:color="auto"/>
              <w:left w:val="single" w:sz="12" w:space="0" w:color="auto"/>
              <w:right w:val="single" w:sz="12" w:space="0" w:color="auto"/>
            </w:tcBorders>
            <w:noWrap/>
          </w:tcPr>
          <w:p w14:paraId="7DE6BD63" w14:textId="77777777" w:rsidR="00C01A50" w:rsidRPr="000C7437" w:rsidRDefault="00C01A50" w:rsidP="00B80EB7">
            <w:pPr>
              <w:spacing w:before="0" w:after="0"/>
              <w:rPr>
                <w:lang w:val="en-AU"/>
              </w:rPr>
            </w:pPr>
            <w:r w:rsidRPr="000C7437">
              <w:rPr>
                <w:lang w:val="en-AU"/>
              </w:rPr>
              <w:t xml:space="preserve">NSW Northern </w:t>
            </w:r>
          </w:p>
        </w:tc>
        <w:tc>
          <w:tcPr>
            <w:tcW w:w="1984" w:type="dxa"/>
            <w:tcBorders>
              <w:top w:val="single" w:sz="4" w:space="0" w:color="auto"/>
            </w:tcBorders>
          </w:tcPr>
          <w:p w14:paraId="17FC68EB" w14:textId="77777777" w:rsidR="00C01A50" w:rsidRPr="000C7437" w:rsidRDefault="00C01A50" w:rsidP="00B80EB7">
            <w:pPr>
              <w:spacing w:before="0" w:after="0"/>
              <w:jc w:val="right"/>
              <w:rPr>
                <w:lang w:val="en-AU"/>
              </w:rPr>
            </w:pPr>
            <w:r w:rsidRPr="000C7437">
              <w:rPr>
                <w:lang w:val="en-AU"/>
              </w:rPr>
              <w:t>185.9</w:t>
            </w:r>
          </w:p>
        </w:tc>
        <w:tc>
          <w:tcPr>
            <w:tcW w:w="1828" w:type="dxa"/>
            <w:tcBorders>
              <w:top w:val="single" w:sz="4" w:space="0" w:color="auto"/>
            </w:tcBorders>
          </w:tcPr>
          <w:p w14:paraId="4951ACDA" w14:textId="77777777" w:rsidR="00C01A50" w:rsidRPr="000C7437" w:rsidRDefault="00C01A50" w:rsidP="00B80EB7">
            <w:pPr>
              <w:spacing w:before="0" w:after="0"/>
              <w:jc w:val="right"/>
              <w:rPr>
                <w:lang w:val="en-AU"/>
              </w:rPr>
            </w:pPr>
            <w:r w:rsidRPr="000C7437">
              <w:rPr>
                <w:lang w:val="en-AU"/>
              </w:rPr>
              <w:t>(8.1)</w:t>
            </w:r>
          </w:p>
        </w:tc>
        <w:tc>
          <w:tcPr>
            <w:tcW w:w="2006" w:type="dxa"/>
            <w:tcBorders>
              <w:top w:val="single" w:sz="4" w:space="0" w:color="auto"/>
              <w:right w:val="single" w:sz="4" w:space="0" w:color="auto"/>
            </w:tcBorders>
            <w:noWrap/>
            <w:vAlign w:val="center"/>
          </w:tcPr>
          <w:p w14:paraId="5D610AD9" w14:textId="77777777" w:rsidR="00C01A50" w:rsidRPr="000C7437" w:rsidRDefault="00C01A50" w:rsidP="00B80EB7">
            <w:pPr>
              <w:spacing w:before="0" w:after="0"/>
              <w:jc w:val="right"/>
              <w:rPr>
                <w:lang w:val="en-AU"/>
              </w:rPr>
            </w:pPr>
            <w:r w:rsidRPr="000C7437">
              <w:rPr>
                <w:lang w:val="en-AU"/>
              </w:rPr>
              <w:t>29.6</w:t>
            </w:r>
          </w:p>
        </w:tc>
        <w:tc>
          <w:tcPr>
            <w:tcW w:w="1893" w:type="dxa"/>
            <w:tcBorders>
              <w:left w:val="single" w:sz="4" w:space="0" w:color="auto"/>
              <w:right w:val="single" w:sz="12" w:space="0" w:color="auto"/>
            </w:tcBorders>
          </w:tcPr>
          <w:p w14:paraId="6EEA16FF" w14:textId="77777777" w:rsidR="00C01A50" w:rsidRPr="000C7437" w:rsidRDefault="00C01A50" w:rsidP="00B80EB7">
            <w:pPr>
              <w:spacing w:before="0" w:after="0"/>
              <w:jc w:val="right"/>
              <w:rPr>
                <w:lang w:val="en-AU"/>
              </w:rPr>
            </w:pPr>
            <w:r w:rsidRPr="000C7437">
              <w:rPr>
                <w:lang w:val="en-AU"/>
              </w:rPr>
              <w:t>80.8</w:t>
            </w:r>
          </w:p>
        </w:tc>
      </w:tr>
      <w:tr w:rsidR="00C01A50" w:rsidRPr="000C7437" w14:paraId="6B969A99" w14:textId="77777777">
        <w:trPr>
          <w:trHeight w:val="290"/>
          <w:jc w:val="center"/>
        </w:trPr>
        <w:tc>
          <w:tcPr>
            <w:tcW w:w="2127" w:type="dxa"/>
            <w:tcBorders>
              <w:left w:val="single" w:sz="12" w:space="0" w:color="auto"/>
              <w:right w:val="single" w:sz="12" w:space="0" w:color="auto"/>
            </w:tcBorders>
            <w:noWrap/>
          </w:tcPr>
          <w:p w14:paraId="68595356" w14:textId="77777777" w:rsidR="00C01A50" w:rsidRPr="000C7437" w:rsidRDefault="00C01A50" w:rsidP="00B80EB7">
            <w:pPr>
              <w:spacing w:before="0" w:after="0"/>
              <w:rPr>
                <w:lang w:val="en-AU"/>
              </w:rPr>
            </w:pPr>
            <w:r w:rsidRPr="000C7437">
              <w:rPr>
                <w:lang w:val="en-AU"/>
              </w:rPr>
              <w:t>ACT</w:t>
            </w:r>
          </w:p>
        </w:tc>
        <w:tc>
          <w:tcPr>
            <w:tcW w:w="1984" w:type="dxa"/>
          </w:tcPr>
          <w:p w14:paraId="45DEFB62" w14:textId="77777777" w:rsidR="00C01A50" w:rsidRPr="000C7437" w:rsidRDefault="00C01A50" w:rsidP="00B80EB7">
            <w:pPr>
              <w:spacing w:before="0" w:after="0"/>
              <w:jc w:val="right"/>
              <w:rPr>
                <w:lang w:val="en-AU"/>
              </w:rPr>
            </w:pPr>
            <w:r w:rsidRPr="000C7437">
              <w:rPr>
                <w:lang w:val="en-AU"/>
              </w:rPr>
              <w:t>4.9</w:t>
            </w:r>
          </w:p>
        </w:tc>
        <w:tc>
          <w:tcPr>
            <w:tcW w:w="1828" w:type="dxa"/>
          </w:tcPr>
          <w:p w14:paraId="165EC315" w14:textId="77777777" w:rsidR="00C01A50" w:rsidRPr="000C7437" w:rsidRDefault="00C01A50" w:rsidP="00B80EB7">
            <w:pPr>
              <w:spacing w:before="0" w:after="0"/>
              <w:jc w:val="right"/>
              <w:rPr>
                <w:lang w:val="en-AU"/>
              </w:rPr>
            </w:pPr>
            <w:r w:rsidRPr="000C7437">
              <w:rPr>
                <w:lang w:val="en-AU"/>
              </w:rPr>
              <w:t>0</w:t>
            </w:r>
          </w:p>
        </w:tc>
        <w:tc>
          <w:tcPr>
            <w:tcW w:w="2006" w:type="dxa"/>
            <w:tcBorders>
              <w:right w:val="single" w:sz="4" w:space="0" w:color="auto"/>
            </w:tcBorders>
            <w:noWrap/>
            <w:vAlign w:val="center"/>
          </w:tcPr>
          <w:p w14:paraId="4C6EC65C" w14:textId="77777777" w:rsidR="00C01A50" w:rsidRPr="000C7437" w:rsidRDefault="00C01A50" w:rsidP="00B80EB7">
            <w:pPr>
              <w:spacing w:before="0" w:after="0"/>
              <w:jc w:val="right"/>
              <w:rPr>
                <w:lang w:val="en-AU"/>
              </w:rPr>
            </w:pPr>
            <w:r w:rsidRPr="000C7437">
              <w:rPr>
                <w:lang w:val="en-AU"/>
              </w:rPr>
              <w:t>0</w:t>
            </w:r>
          </w:p>
        </w:tc>
        <w:tc>
          <w:tcPr>
            <w:tcW w:w="1893" w:type="dxa"/>
            <w:tcBorders>
              <w:left w:val="single" w:sz="4" w:space="0" w:color="auto"/>
              <w:right w:val="single" w:sz="12" w:space="0" w:color="auto"/>
            </w:tcBorders>
          </w:tcPr>
          <w:p w14:paraId="50BC8712" w14:textId="77777777" w:rsidR="00C01A50" w:rsidRPr="000C7437" w:rsidRDefault="00C01A50" w:rsidP="00B80EB7">
            <w:pPr>
              <w:spacing w:before="0" w:after="0"/>
              <w:jc w:val="right"/>
              <w:rPr>
                <w:lang w:val="en-AU"/>
              </w:rPr>
            </w:pPr>
            <w:r w:rsidRPr="000C7437">
              <w:rPr>
                <w:lang w:val="en-AU"/>
              </w:rPr>
              <w:t>1.7</w:t>
            </w:r>
          </w:p>
        </w:tc>
      </w:tr>
      <w:tr w:rsidR="00C01A50" w:rsidRPr="000C7437" w14:paraId="2D0B9E9A" w14:textId="77777777">
        <w:trPr>
          <w:trHeight w:val="290"/>
          <w:jc w:val="center"/>
        </w:trPr>
        <w:tc>
          <w:tcPr>
            <w:tcW w:w="2127" w:type="dxa"/>
            <w:tcBorders>
              <w:left w:val="single" w:sz="12" w:space="0" w:color="auto"/>
              <w:right w:val="single" w:sz="12" w:space="0" w:color="auto"/>
            </w:tcBorders>
            <w:noWrap/>
          </w:tcPr>
          <w:p w14:paraId="0BB5D05A" w14:textId="77777777" w:rsidR="00C01A50" w:rsidRPr="000C7437" w:rsidRDefault="00C01A50" w:rsidP="00B80EB7">
            <w:pPr>
              <w:spacing w:before="0" w:after="0"/>
              <w:rPr>
                <w:lang w:val="en-AU"/>
              </w:rPr>
            </w:pPr>
            <w:r w:rsidRPr="000C7437">
              <w:rPr>
                <w:lang w:val="en-AU"/>
              </w:rPr>
              <w:t>SA</w:t>
            </w:r>
          </w:p>
        </w:tc>
        <w:tc>
          <w:tcPr>
            <w:tcW w:w="1984" w:type="dxa"/>
          </w:tcPr>
          <w:p w14:paraId="5906CE68" w14:textId="77777777" w:rsidR="00C01A50" w:rsidRPr="000C7437" w:rsidRDefault="00C01A50" w:rsidP="00B80EB7">
            <w:pPr>
              <w:spacing w:before="0" w:after="0"/>
              <w:jc w:val="right"/>
              <w:rPr>
                <w:lang w:val="en-AU"/>
              </w:rPr>
            </w:pPr>
            <w:r w:rsidRPr="000C7437">
              <w:rPr>
                <w:lang w:val="en-AU"/>
              </w:rPr>
              <w:t>143.9</w:t>
            </w:r>
          </w:p>
        </w:tc>
        <w:tc>
          <w:tcPr>
            <w:tcW w:w="1828" w:type="dxa"/>
          </w:tcPr>
          <w:p w14:paraId="75295115" w14:textId="77777777" w:rsidR="00C01A50" w:rsidRPr="000C7437" w:rsidRDefault="00C01A50" w:rsidP="00B80EB7">
            <w:pPr>
              <w:spacing w:before="0" w:after="0"/>
              <w:jc w:val="right"/>
              <w:rPr>
                <w:lang w:val="en-AU"/>
              </w:rPr>
            </w:pPr>
            <w:r w:rsidRPr="000C7437">
              <w:rPr>
                <w:lang w:val="en-AU"/>
              </w:rPr>
              <w:t>(12.4)</w:t>
            </w:r>
          </w:p>
        </w:tc>
        <w:tc>
          <w:tcPr>
            <w:tcW w:w="2006" w:type="dxa"/>
            <w:tcBorders>
              <w:right w:val="single" w:sz="4" w:space="0" w:color="auto"/>
            </w:tcBorders>
            <w:noWrap/>
            <w:vAlign w:val="center"/>
          </w:tcPr>
          <w:p w14:paraId="4D1882A5" w14:textId="77777777" w:rsidR="00C01A50" w:rsidRPr="000C7437" w:rsidRDefault="00C01A50" w:rsidP="00B80EB7">
            <w:pPr>
              <w:spacing w:before="0" w:after="0"/>
              <w:jc w:val="right"/>
              <w:rPr>
                <w:lang w:val="en-AU"/>
              </w:rPr>
            </w:pPr>
            <w:r w:rsidRPr="000C7437">
              <w:rPr>
                <w:lang w:val="en-AU"/>
              </w:rPr>
              <w:t>40.1</w:t>
            </w:r>
          </w:p>
        </w:tc>
        <w:tc>
          <w:tcPr>
            <w:tcW w:w="1893" w:type="dxa"/>
            <w:tcBorders>
              <w:left w:val="single" w:sz="4" w:space="0" w:color="auto"/>
              <w:right w:val="single" w:sz="12" w:space="0" w:color="auto"/>
            </w:tcBorders>
          </w:tcPr>
          <w:p w14:paraId="4058E30F" w14:textId="77777777" w:rsidR="00C01A50" w:rsidRPr="000C7437" w:rsidRDefault="00C01A50" w:rsidP="00B80EB7">
            <w:pPr>
              <w:spacing w:before="0" w:after="0"/>
              <w:jc w:val="right"/>
              <w:rPr>
                <w:lang w:val="en-AU"/>
              </w:rPr>
            </w:pPr>
            <w:r w:rsidRPr="000C7437">
              <w:rPr>
                <w:lang w:val="en-AU"/>
              </w:rPr>
              <w:t>63.2</w:t>
            </w:r>
          </w:p>
        </w:tc>
      </w:tr>
      <w:tr w:rsidR="00C01A50" w:rsidRPr="000C7437" w14:paraId="3A1D9CF9" w14:textId="77777777">
        <w:trPr>
          <w:trHeight w:val="290"/>
          <w:jc w:val="center"/>
        </w:trPr>
        <w:tc>
          <w:tcPr>
            <w:tcW w:w="2127" w:type="dxa"/>
            <w:tcBorders>
              <w:left w:val="single" w:sz="12" w:space="0" w:color="auto"/>
              <w:right w:val="single" w:sz="12" w:space="0" w:color="auto"/>
            </w:tcBorders>
            <w:noWrap/>
          </w:tcPr>
          <w:p w14:paraId="31D03FDB" w14:textId="77777777" w:rsidR="00C01A50" w:rsidRPr="000C7437" w:rsidRDefault="00C01A50" w:rsidP="00B80EB7">
            <w:pPr>
              <w:spacing w:before="0" w:after="0"/>
              <w:rPr>
                <w:lang w:val="en-AU"/>
              </w:rPr>
            </w:pPr>
            <w:r w:rsidRPr="000C7437">
              <w:rPr>
                <w:lang w:val="en-AU"/>
              </w:rPr>
              <w:t>NSW South including Lachlan</w:t>
            </w:r>
          </w:p>
        </w:tc>
        <w:tc>
          <w:tcPr>
            <w:tcW w:w="1984" w:type="dxa"/>
            <w:vAlign w:val="center"/>
          </w:tcPr>
          <w:p w14:paraId="1D2E7A18" w14:textId="77777777" w:rsidR="00C01A50" w:rsidRPr="000C7437" w:rsidRDefault="00C01A50" w:rsidP="00B80EB7">
            <w:pPr>
              <w:spacing w:before="0" w:after="0"/>
              <w:jc w:val="right"/>
              <w:rPr>
                <w:i/>
                <w:iCs/>
                <w:lang w:val="en-AU"/>
              </w:rPr>
            </w:pPr>
            <w:r w:rsidRPr="000C7437">
              <w:rPr>
                <w:lang w:val="en-AU"/>
              </w:rPr>
              <w:t>738</w:t>
            </w:r>
          </w:p>
        </w:tc>
        <w:tc>
          <w:tcPr>
            <w:tcW w:w="1828" w:type="dxa"/>
            <w:vAlign w:val="center"/>
          </w:tcPr>
          <w:p w14:paraId="1B0EB3C7" w14:textId="77777777" w:rsidR="00C01A50" w:rsidRPr="000C7437" w:rsidRDefault="00C01A50" w:rsidP="00B80EB7">
            <w:pPr>
              <w:spacing w:before="0" w:after="0"/>
              <w:jc w:val="right"/>
              <w:rPr>
                <w:lang w:val="en-AU"/>
              </w:rPr>
            </w:pPr>
            <w:r w:rsidRPr="000C7437">
              <w:rPr>
                <w:lang w:val="en-AU"/>
              </w:rPr>
              <w:t>68.2</w:t>
            </w:r>
          </w:p>
        </w:tc>
        <w:tc>
          <w:tcPr>
            <w:tcW w:w="2006" w:type="dxa"/>
            <w:tcBorders>
              <w:right w:val="single" w:sz="4" w:space="0" w:color="auto"/>
            </w:tcBorders>
            <w:noWrap/>
            <w:vAlign w:val="center"/>
          </w:tcPr>
          <w:p w14:paraId="1E139098" w14:textId="77777777" w:rsidR="00C01A50" w:rsidRPr="000C7437" w:rsidRDefault="00C01A50" w:rsidP="00B80EB7">
            <w:pPr>
              <w:spacing w:before="0" w:after="0"/>
              <w:jc w:val="right"/>
              <w:rPr>
                <w:lang w:val="en-AU"/>
              </w:rPr>
            </w:pPr>
            <w:r w:rsidRPr="000C7437">
              <w:rPr>
                <w:lang w:val="en-AU"/>
              </w:rPr>
              <w:t>358.5</w:t>
            </w:r>
          </w:p>
        </w:tc>
        <w:tc>
          <w:tcPr>
            <w:tcW w:w="1893" w:type="dxa"/>
            <w:tcBorders>
              <w:left w:val="single" w:sz="4" w:space="0" w:color="auto"/>
              <w:right w:val="single" w:sz="12" w:space="0" w:color="auto"/>
            </w:tcBorders>
            <w:vAlign w:val="center"/>
          </w:tcPr>
          <w:p w14:paraId="6F9ECCA4" w14:textId="77777777" w:rsidR="00C01A50" w:rsidRPr="000C7437" w:rsidRDefault="00C01A50" w:rsidP="00B80EB7">
            <w:pPr>
              <w:spacing w:before="0" w:after="0"/>
              <w:jc w:val="right"/>
              <w:rPr>
                <w:lang w:val="en-AU"/>
              </w:rPr>
            </w:pPr>
            <w:r w:rsidRPr="000C7437">
              <w:rPr>
                <w:lang w:val="en-AU"/>
              </w:rPr>
              <w:t>523.4</w:t>
            </w:r>
          </w:p>
        </w:tc>
      </w:tr>
      <w:tr w:rsidR="00C01A50" w:rsidRPr="000C7437" w14:paraId="7D1B4C01" w14:textId="77777777">
        <w:trPr>
          <w:trHeight w:val="300"/>
          <w:jc w:val="center"/>
        </w:trPr>
        <w:tc>
          <w:tcPr>
            <w:tcW w:w="2127" w:type="dxa"/>
            <w:tcBorders>
              <w:left w:val="single" w:sz="12" w:space="0" w:color="auto"/>
              <w:bottom w:val="single" w:sz="12" w:space="0" w:color="auto"/>
              <w:right w:val="single" w:sz="12" w:space="0" w:color="auto"/>
            </w:tcBorders>
            <w:noWrap/>
          </w:tcPr>
          <w:p w14:paraId="1D1BDDCB" w14:textId="77777777" w:rsidR="00C01A50" w:rsidRPr="000C7437" w:rsidRDefault="00C01A50" w:rsidP="00B80EB7">
            <w:pPr>
              <w:spacing w:before="0" w:after="0"/>
              <w:rPr>
                <w:lang w:val="en-AU"/>
              </w:rPr>
            </w:pPr>
            <w:r w:rsidRPr="000C7437">
              <w:rPr>
                <w:lang w:val="en-AU"/>
              </w:rPr>
              <w:t>Victoria including Wimmera</w:t>
            </w:r>
          </w:p>
        </w:tc>
        <w:tc>
          <w:tcPr>
            <w:tcW w:w="1984" w:type="dxa"/>
            <w:tcBorders>
              <w:bottom w:val="single" w:sz="12" w:space="0" w:color="auto"/>
            </w:tcBorders>
            <w:vAlign w:val="center"/>
          </w:tcPr>
          <w:p w14:paraId="51186659" w14:textId="77777777" w:rsidR="00C01A50" w:rsidRPr="000C7437" w:rsidRDefault="00C01A50" w:rsidP="00B80EB7">
            <w:pPr>
              <w:spacing w:before="0" w:after="0"/>
              <w:jc w:val="right"/>
              <w:rPr>
                <w:lang w:val="en-AU"/>
              </w:rPr>
            </w:pPr>
            <w:r w:rsidRPr="000C7437">
              <w:rPr>
                <w:lang w:val="en-AU"/>
              </w:rPr>
              <w:t>823</w:t>
            </w:r>
          </w:p>
        </w:tc>
        <w:tc>
          <w:tcPr>
            <w:tcW w:w="1828" w:type="dxa"/>
            <w:tcBorders>
              <w:bottom w:val="single" w:sz="12" w:space="0" w:color="auto"/>
            </w:tcBorders>
            <w:vAlign w:val="center"/>
          </w:tcPr>
          <w:p w14:paraId="301B479D" w14:textId="77777777" w:rsidR="00C01A50" w:rsidRPr="000C7437" w:rsidRDefault="00C01A50" w:rsidP="00B80EB7">
            <w:pPr>
              <w:spacing w:before="0" w:after="0"/>
              <w:jc w:val="right"/>
              <w:rPr>
                <w:lang w:val="en-AU"/>
              </w:rPr>
            </w:pPr>
            <w:r w:rsidRPr="000C7437">
              <w:rPr>
                <w:lang w:val="en-AU"/>
              </w:rPr>
              <w:t>(17.7)</w:t>
            </w:r>
          </w:p>
        </w:tc>
        <w:tc>
          <w:tcPr>
            <w:tcW w:w="2006" w:type="dxa"/>
            <w:tcBorders>
              <w:bottom w:val="single" w:sz="12" w:space="0" w:color="auto"/>
              <w:right w:val="single" w:sz="4" w:space="0" w:color="auto"/>
            </w:tcBorders>
            <w:noWrap/>
            <w:vAlign w:val="center"/>
          </w:tcPr>
          <w:p w14:paraId="21971F5D" w14:textId="77777777" w:rsidR="00C01A50" w:rsidRPr="000C7437" w:rsidRDefault="00C01A50" w:rsidP="00B80EB7">
            <w:pPr>
              <w:spacing w:before="0" w:after="0"/>
              <w:jc w:val="right"/>
              <w:rPr>
                <w:lang w:val="en-AU"/>
              </w:rPr>
            </w:pPr>
            <w:r w:rsidRPr="000C7437">
              <w:rPr>
                <w:lang w:val="en-AU"/>
              </w:rPr>
              <w:t>251.9</w:t>
            </w:r>
          </w:p>
        </w:tc>
        <w:tc>
          <w:tcPr>
            <w:tcW w:w="1893" w:type="dxa"/>
            <w:tcBorders>
              <w:left w:val="single" w:sz="4" w:space="0" w:color="auto"/>
              <w:bottom w:val="single" w:sz="12" w:space="0" w:color="auto"/>
              <w:right w:val="single" w:sz="12" w:space="0" w:color="auto"/>
            </w:tcBorders>
            <w:vAlign w:val="center"/>
          </w:tcPr>
          <w:p w14:paraId="3D9AF7A5" w14:textId="77777777" w:rsidR="00C01A50" w:rsidRPr="000C7437" w:rsidRDefault="00C01A50" w:rsidP="00B80EB7">
            <w:pPr>
              <w:spacing w:before="0" w:after="0"/>
              <w:jc w:val="right"/>
              <w:rPr>
                <w:lang w:val="en-AU"/>
              </w:rPr>
            </w:pPr>
            <w:r w:rsidRPr="000C7437">
              <w:rPr>
                <w:lang w:val="en-AU"/>
              </w:rPr>
              <w:t>384.7</w:t>
            </w:r>
          </w:p>
        </w:tc>
      </w:tr>
      <w:tr w:rsidR="00C01A50" w:rsidRPr="000C7437" w14:paraId="1E0C2B4E" w14:textId="77777777">
        <w:trPr>
          <w:trHeight w:val="300"/>
          <w:jc w:val="center"/>
        </w:trPr>
        <w:tc>
          <w:tcPr>
            <w:tcW w:w="2127" w:type="dxa"/>
            <w:tcBorders>
              <w:top w:val="single" w:sz="12" w:space="0" w:color="auto"/>
              <w:left w:val="single" w:sz="12" w:space="0" w:color="auto"/>
              <w:bottom w:val="single" w:sz="12" w:space="0" w:color="auto"/>
              <w:right w:val="single" w:sz="12" w:space="0" w:color="auto"/>
            </w:tcBorders>
            <w:noWrap/>
          </w:tcPr>
          <w:p w14:paraId="1B3FC51E" w14:textId="77777777" w:rsidR="00C01A50" w:rsidRPr="000C7437" w:rsidRDefault="00C01A50" w:rsidP="00B80EB7">
            <w:pPr>
              <w:spacing w:before="0" w:after="0"/>
              <w:rPr>
                <w:lang w:val="en-AU"/>
              </w:rPr>
            </w:pPr>
            <w:r w:rsidRPr="000C7437">
              <w:rPr>
                <w:lang w:val="en-AU"/>
              </w:rPr>
              <w:t>TOTAL</w:t>
            </w:r>
          </w:p>
        </w:tc>
        <w:tc>
          <w:tcPr>
            <w:tcW w:w="1984" w:type="dxa"/>
            <w:tcBorders>
              <w:top w:val="single" w:sz="12" w:space="0" w:color="auto"/>
              <w:bottom w:val="single" w:sz="12" w:space="0" w:color="auto"/>
            </w:tcBorders>
          </w:tcPr>
          <w:p w14:paraId="7879C206" w14:textId="77777777" w:rsidR="00C01A50" w:rsidRPr="000C7437" w:rsidRDefault="00C01A50" w:rsidP="00B80EB7">
            <w:pPr>
              <w:spacing w:before="0" w:after="0"/>
              <w:jc w:val="right"/>
              <w:rPr>
                <w:lang w:val="en-AU"/>
              </w:rPr>
            </w:pPr>
            <w:r w:rsidRPr="000C7437">
              <w:rPr>
                <w:lang w:val="en-AU"/>
              </w:rPr>
              <w:t>1,982</w:t>
            </w:r>
          </w:p>
        </w:tc>
        <w:tc>
          <w:tcPr>
            <w:tcW w:w="1828" w:type="dxa"/>
            <w:tcBorders>
              <w:top w:val="single" w:sz="12" w:space="0" w:color="auto"/>
              <w:bottom w:val="single" w:sz="12" w:space="0" w:color="auto"/>
            </w:tcBorders>
          </w:tcPr>
          <w:p w14:paraId="72154DDF" w14:textId="77777777" w:rsidR="00C01A50" w:rsidRPr="000C7437" w:rsidRDefault="00C01A50" w:rsidP="00B80EB7">
            <w:pPr>
              <w:spacing w:before="0" w:after="0"/>
              <w:jc w:val="right"/>
              <w:rPr>
                <w:lang w:val="en-AU"/>
              </w:rPr>
            </w:pPr>
            <w:r>
              <w:rPr>
                <w:lang w:val="en-AU"/>
              </w:rPr>
              <w:t xml:space="preserve">155.7* </w:t>
            </w:r>
          </w:p>
        </w:tc>
        <w:tc>
          <w:tcPr>
            <w:tcW w:w="2006" w:type="dxa"/>
            <w:tcBorders>
              <w:top w:val="single" w:sz="12" w:space="0" w:color="auto"/>
              <w:bottom w:val="single" w:sz="12" w:space="0" w:color="auto"/>
              <w:right w:val="single" w:sz="4" w:space="0" w:color="auto"/>
            </w:tcBorders>
            <w:noWrap/>
            <w:vAlign w:val="center"/>
          </w:tcPr>
          <w:p w14:paraId="36596138" w14:textId="77777777" w:rsidR="00C01A50" w:rsidRPr="000C7437" w:rsidRDefault="00C01A50" w:rsidP="00B80EB7">
            <w:pPr>
              <w:spacing w:before="0" w:after="0"/>
              <w:jc w:val="right"/>
              <w:rPr>
                <w:lang w:val="en-AU"/>
              </w:rPr>
            </w:pPr>
            <w:r w:rsidRPr="000C7437">
              <w:rPr>
                <w:lang w:val="en-AU"/>
              </w:rPr>
              <w:t>768</w:t>
            </w:r>
          </w:p>
        </w:tc>
        <w:tc>
          <w:tcPr>
            <w:tcW w:w="1893" w:type="dxa"/>
            <w:tcBorders>
              <w:top w:val="single" w:sz="12" w:space="0" w:color="auto"/>
              <w:left w:val="single" w:sz="4" w:space="0" w:color="auto"/>
              <w:bottom w:val="single" w:sz="12" w:space="0" w:color="auto"/>
              <w:right w:val="single" w:sz="12" w:space="0" w:color="auto"/>
            </w:tcBorders>
          </w:tcPr>
          <w:p w14:paraId="1DF368E7" w14:textId="77777777" w:rsidR="00C01A50" w:rsidRPr="000C7437" w:rsidRDefault="00C01A50" w:rsidP="00B80EB7">
            <w:pPr>
              <w:spacing w:before="0" w:after="0"/>
              <w:jc w:val="right"/>
              <w:rPr>
                <w:lang w:val="en-AU"/>
              </w:rPr>
            </w:pPr>
            <w:r w:rsidRPr="000C7437">
              <w:rPr>
                <w:lang w:val="en-AU"/>
              </w:rPr>
              <w:t>1,218</w:t>
            </w:r>
          </w:p>
        </w:tc>
      </w:tr>
    </w:tbl>
    <w:p w14:paraId="53E60A74" w14:textId="77777777" w:rsidR="00C01A50" w:rsidRDefault="00C01A50" w:rsidP="00A17DEB">
      <w:r>
        <w:t>Notes:</w:t>
      </w:r>
    </w:p>
    <w:p w14:paraId="3B2BEA0B" w14:textId="77777777" w:rsidR="00C01A50" w:rsidRDefault="00C01A50" w:rsidP="00A17DEB">
      <w:pPr>
        <w:ind w:left="720"/>
      </w:pPr>
      <w:r>
        <w:t>*Excludes over recovery volumes in NSW Northern, SA and Victoria</w:t>
      </w:r>
    </w:p>
    <w:p w14:paraId="1EBE8309" w14:textId="77777777" w:rsidR="00C01A50" w:rsidRPr="000C7437" w:rsidRDefault="00C01A50" w:rsidP="00A17DEB"/>
    <w:p w14:paraId="0DB5BE59" w14:textId="77777777" w:rsidR="00C01A50" w:rsidRPr="000C7437" w:rsidRDefault="00C01A50" w:rsidP="00A17DEB">
      <w:pPr>
        <w:rPr>
          <w:i/>
        </w:rPr>
      </w:pPr>
      <w:r w:rsidRPr="000C7437">
        <w:rPr>
          <w:i/>
        </w:rPr>
        <w:t xml:space="preserve">Additional water recovery methods and entitlements </w:t>
      </w:r>
    </w:p>
    <w:p w14:paraId="10541A27" w14:textId="77777777" w:rsidR="00C01A50" w:rsidRPr="000C7437" w:rsidRDefault="00C01A50" w:rsidP="00A17DEB">
      <w:r w:rsidRPr="000C7437">
        <w:t xml:space="preserve">The methods used to recover additional water entitlements for the MEDIUM and HIGH water recovery scenarios is important as it determines whether the consumptive pool is reduced or not and the level of investment in ‘structural adjustment’. </w:t>
      </w:r>
    </w:p>
    <w:p w14:paraId="057BF807" w14:textId="77777777" w:rsidR="00C01A50" w:rsidRPr="000C7437" w:rsidRDefault="00C01A50" w:rsidP="00A17DEB">
      <w:r w:rsidRPr="000C7437">
        <w:t xml:space="preserve">It is assumed that additional recovery for the MEDIUM scenario will be done using water market purchases. </w:t>
      </w:r>
    </w:p>
    <w:p w14:paraId="7FE6DE4F" w14:textId="77777777" w:rsidR="00C01A50" w:rsidRPr="000C7437" w:rsidRDefault="00C01A50" w:rsidP="00A17DEB">
      <w:r w:rsidRPr="000C7437">
        <w:t xml:space="preserve">It is assumed that additional recovery for the HIGH scenario will be done using water market purchase up to 2,750 GL and farm efficiency investment from 2750 GL to 3,200 GL. </w:t>
      </w:r>
    </w:p>
    <w:p w14:paraId="56EB7EA0" w14:textId="77777777" w:rsidR="00C01A50" w:rsidRPr="000C7437" w:rsidRDefault="00C01A50" w:rsidP="00A17DEB">
      <w:r w:rsidRPr="000C7437">
        <w:t xml:space="preserve">The types of entitlement acquired through water recovery is also important, especially in Victoria, where HRWS are critical to the high value agricultural production in the horticulture and dairy sectors. </w:t>
      </w:r>
    </w:p>
    <w:p w14:paraId="236598C4" w14:textId="77777777" w:rsidR="00C01A50" w:rsidRPr="000C7437" w:rsidRDefault="00C01A50" w:rsidP="00A17DEB">
      <w:r w:rsidRPr="000C7437">
        <w:t>As a proportion of total water purchases (LT</w:t>
      </w:r>
      <w:r>
        <w:t>AAY</w:t>
      </w:r>
      <w:r w:rsidRPr="000C7437">
        <w:t>) in Victoria to date, HRWSs represent 99% and 98% of purchases in the Victorian Murray and Goulburn systems. 98% of water purchases from Victoria have come from the Murray and Goulburn systems (DAWR</w:t>
      </w:r>
      <w:r w:rsidR="00077C29">
        <w:t>,</w:t>
      </w:r>
      <w:r w:rsidRPr="000C7437">
        <w:t xml:space="preserve"> 2016</w:t>
      </w:r>
      <w:r w:rsidR="00077C29">
        <w:t>b</w:t>
      </w:r>
      <w:r w:rsidRPr="000C7437">
        <w:t xml:space="preserve">). </w:t>
      </w:r>
    </w:p>
    <w:p w14:paraId="0BA26C7A" w14:textId="77777777" w:rsidR="00C01A50" w:rsidRPr="000C7437" w:rsidRDefault="00C01A50" w:rsidP="00A17DEB">
      <w:r w:rsidRPr="000C7437">
        <w:t>As a proportion of total water purchase (LT</w:t>
      </w:r>
      <w:r>
        <w:t>AAY</w:t>
      </w:r>
      <w:r w:rsidRPr="000C7437">
        <w:t>) in NSW to date, General Security entitlements represent 94% of purchases. Over 99% of purchases have occurred in the Murray and Murrumbidgee systems (DAWR</w:t>
      </w:r>
      <w:r w:rsidR="00077C29">
        <w:t>,</w:t>
      </w:r>
      <w:r w:rsidRPr="000C7437">
        <w:t xml:space="preserve"> 2016</w:t>
      </w:r>
      <w:r w:rsidR="00077C29">
        <w:t>b</w:t>
      </w:r>
      <w:r w:rsidRPr="000C7437">
        <w:t xml:space="preserve">). </w:t>
      </w:r>
    </w:p>
    <w:p w14:paraId="71282C8E" w14:textId="77777777" w:rsidR="00C01A50" w:rsidRPr="000C7437" w:rsidRDefault="00C01A50" w:rsidP="00A17DEB">
      <w:r w:rsidRPr="000C7437">
        <w:lastRenderedPageBreak/>
        <w:t>All water purchases in SA have been High Security entitlements from the Murray system (DAWR</w:t>
      </w:r>
      <w:r w:rsidR="00FF7AFA">
        <w:t>,</w:t>
      </w:r>
      <w:r w:rsidRPr="000C7437">
        <w:t xml:space="preserve"> 2016</w:t>
      </w:r>
      <w:r w:rsidR="00FF7AFA">
        <w:t>b</w:t>
      </w:r>
      <w:r w:rsidRPr="000C7437">
        <w:t xml:space="preserve">). </w:t>
      </w:r>
    </w:p>
    <w:p w14:paraId="2D42322E" w14:textId="77777777" w:rsidR="00C01A50" w:rsidRPr="000C7437" w:rsidRDefault="00C01A50" w:rsidP="00A17DEB">
      <w:r w:rsidRPr="000C7437">
        <w:t>It is assumed that additional water purchases in:</w:t>
      </w:r>
    </w:p>
    <w:p w14:paraId="5F8BEC72" w14:textId="77777777" w:rsidR="00C01A50" w:rsidRPr="000C7437" w:rsidRDefault="00C01A50" w:rsidP="00302BD9">
      <w:pPr>
        <w:pStyle w:val="ListParagraph"/>
        <w:numPr>
          <w:ilvl w:val="0"/>
          <w:numId w:val="25"/>
        </w:numPr>
      </w:pPr>
      <w:r w:rsidRPr="000C7437">
        <w:t>Victoria will be HRWS from the Murray (55%) and Goulburn (45%) systems</w:t>
      </w:r>
    </w:p>
    <w:p w14:paraId="15FAB42C" w14:textId="77777777" w:rsidR="00C01A50" w:rsidRPr="000C7437" w:rsidRDefault="00C01A50" w:rsidP="00302BD9">
      <w:pPr>
        <w:pStyle w:val="ListParagraph"/>
        <w:numPr>
          <w:ilvl w:val="0"/>
          <w:numId w:val="25"/>
        </w:numPr>
      </w:pPr>
      <w:r w:rsidRPr="000C7437">
        <w:t>NSW will be General Security entitlements from the Murray (63%) and Murrumbidgee (37%) systems</w:t>
      </w:r>
    </w:p>
    <w:p w14:paraId="4DDEBEE5" w14:textId="77777777" w:rsidR="00C01A50" w:rsidRPr="000C7437" w:rsidRDefault="00C01A50" w:rsidP="00302BD9">
      <w:pPr>
        <w:pStyle w:val="ListParagraph"/>
        <w:numPr>
          <w:ilvl w:val="0"/>
          <w:numId w:val="25"/>
        </w:numPr>
      </w:pPr>
      <w:r w:rsidRPr="000C7437">
        <w:t>SA will be High Security entitlements from the Murray system</w:t>
      </w:r>
      <w:r>
        <w:t xml:space="preserve"> </w:t>
      </w:r>
    </w:p>
    <w:p w14:paraId="754E38E5" w14:textId="77777777" w:rsidR="00C01A50" w:rsidRPr="000C7437" w:rsidRDefault="00C01A50" w:rsidP="00A17DEB">
      <w:r w:rsidRPr="000C7437">
        <w:t xml:space="preserve">Farm efficiency infrastructure programs in Victoria to date have predominantly acquired HRWS from the Goulburn and Murray systems. </w:t>
      </w:r>
    </w:p>
    <w:p w14:paraId="54E9A3FF" w14:textId="77777777" w:rsidR="00C01A50" w:rsidRPr="000C7437" w:rsidRDefault="00C01A50" w:rsidP="00A17DEB">
      <w:r w:rsidRPr="000C7437">
        <w:t>It is assumed that water recovery from farm efficiency programs in:</w:t>
      </w:r>
    </w:p>
    <w:p w14:paraId="224562C0" w14:textId="77777777" w:rsidR="00C01A50" w:rsidRPr="000C7437" w:rsidRDefault="00C01A50" w:rsidP="00302BD9">
      <w:pPr>
        <w:pStyle w:val="ListParagraph"/>
        <w:numPr>
          <w:ilvl w:val="0"/>
          <w:numId w:val="26"/>
        </w:numPr>
      </w:pPr>
      <w:r w:rsidRPr="000C7437">
        <w:t xml:space="preserve">Victoria will be HRWSs from the Murray and Goulburn systems in the same proportion to purchases </w:t>
      </w:r>
    </w:p>
    <w:p w14:paraId="5AEA35EB" w14:textId="77777777" w:rsidR="00C01A50" w:rsidRPr="000C7437" w:rsidRDefault="00C01A50" w:rsidP="00302BD9">
      <w:pPr>
        <w:pStyle w:val="ListParagraph"/>
        <w:numPr>
          <w:ilvl w:val="0"/>
          <w:numId w:val="26"/>
        </w:numPr>
      </w:pPr>
      <w:r w:rsidRPr="000C7437">
        <w:t xml:space="preserve">NSW will be </w:t>
      </w:r>
      <w:r>
        <w:t>General Security entitlements</w:t>
      </w:r>
      <w:r w:rsidRPr="000C7437">
        <w:t xml:space="preserve"> from the Murray and Murrumbidgee systems in the same proportion to purchases</w:t>
      </w:r>
    </w:p>
    <w:p w14:paraId="66234DDD" w14:textId="77777777" w:rsidR="00C01A50" w:rsidRPr="000C7437" w:rsidRDefault="00C01A50" w:rsidP="00302BD9">
      <w:pPr>
        <w:pStyle w:val="ListParagraph"/>
        <w:numPr>
          <w:ilvl w:val="0"/>
          <w:numId w:val="26"/>
        </w:numPr>
      </w:pPr>
      <w:r w:rsidRPr="000C7437">
        <w:t xml:space="preserve">SA will be </w:t>
      </w:r>
      <w:r>
        <w:t>High Security entitlements</w:t>
      </w:r>
      <w:r w:rsidRPr="000C7437">
        <w:t xml:space="preserve"> from the Murray system </w:t>
      </w:r>
    </w:p>
    <w:p w14:paraId="736EFACA" w14:textId="77777777" w:rsidR="00C01A50" w:rsidRPr="000C7437" w:rsidRDefault="00C01A50" w:rsidP="00302BD9">
      <w:pPr>
        <w:pStyle w:val="ListParagraph"/>
        <w:numPr>
          <w:ilvl w:val="0"/>
          <w:numId w:val="26"/>
        </w:numPr>
      </w:pPr>
      <w:r w:rsidRPr="000C7437">
        <w:t>ACT will not recover the 1.7 GL of up-water apportioned to them</w:t>
      </w:r>
      <w:r>
        <w:t>.</w:t>
      </w:r>
    </w:p>
    <w:p w14:paraId="0397F99E" w14:textId="77777777" w:rsidR="00C01A50" w:rsidRPr="000C7437" w:rsidRDefault="00C01A50" w:rsidP="00A17DEB">
      <w:r w:rsidRPr="000C7437">
        <w:t xml:space="preserve">The Long Term Diversion Limit Equivalent factors </w:t>
      </w:r>
      <w:r>
        <w:t xml:space="preserve">used </w:t>
      </w:r>
      <w:r w:rsidRPr="000C7437">
        <w:t xml:space="preserve">to convert recovery volumes to entitlement are taken from those agreed to by the Murray-Darling Basin Ministerial Council in November 2011 (v2.05). </w:t>
      </w:r>
    </w:p>
    <w:p w14:paraId="784FDAF7" w14:textId="77777777" w:rsidR="00C01A50" w:rsidRPr="000C7437" w:rsidRDefault="00C01A50" w:rsidP="00A17DEB">
      <w:r w:rsidRPr="000C7437">
        <w:t xml:space="preserve">Based on the above assumptions the additional water recovery by water system, recovery method and entitlement type for the LOW, MEDIUM and HIGH water recovery scenarios is presented in </w:t>
      </w:r>
      <w:r w:rsidR="00053B52">
        <w:fldChar w:fldCharType="begin"/>
      </w:r>
      <w:r w:rsidR="00053B52">
        <w:instrText xml:space="preserve"> REF _Ref347079559 \h </w:instrText>
      </w:r>
      <w:r w:rsidR="00053B52">
        <w:fldChar w:fldCharType="separate"/>
      </w:r>
      <w:r w:rsidR="008E5D7A">
        <w:t xml:space="preserve">Table </w:t>
      </w:r>
      <w:r w:rsidR="008E5D7A">
        <w:rPr>
          <w:noProof/>
        </w:rPr>
        <w:t>27</w:t>
      </w:r>
      <w:r w:rsidR="00053B52">
        <w:fldChar w:fldCharType="end"/>
      </w:r>
      <w:r w:rsidR="00053B52">
        <w:t>.</w:t>
      </w:r>
    </w:p>
    <w:p w14:paraId="2A903B41" w14:textId="77777777" w:rsidR="00C01A50" w:rsidRPr="000C7437" w:rsidRDefault="00C01A50" w:rsidP="00A17DEB"/>
    <w:p w14:paraId="7A3DFA76" w14:textId="77777777" w:rsidR="00C01A50" w:rsidRPr="0099386E" w:rsidRDefault="00C01A50" w:rsidP="0099386E">
      <w:pPr>
        <w:pStyle w:val="Caption"/>
        <w:rPr>
          <w:iCs/>
          <w:lang w:val="en-AU"/>
        </w:rPr>
      </w:pPr>
      <w:bookmarkStart w:id="262" w:name="_Ref347079559"/>
      <w:r>
        <w:t xml:space="preserve">Table </w:t>
      </w:r>
      <w:r>
        <w:fldChar w:fldCharType="begin"/>
      </w:r>
      <w:r>
        <w:instrText xml:space="preserve"> SEQ Table \* ARABIC </w:instrText>
      </w:r>
      <w:r>
        <w:fldChar w:fldCharType="separate"/>
      </w:r>
      <w:r w:rsidR="008E5D7A">
        <w:rPr>
          <w:noProof/>
        </w:rPr>
        <w:t>27</w:t>
      </w:r>
      <w:r>
        <w:fldChar w:fldCharType="end"/>
      </w:r>
      <w:bookmarkEnd w:id="262"/>
      <w:r>
        <w:t xml:space="preserve">: </w:t>
      </w:r>
      <w:r w:rsidRPr="0099386E">
        <w:rPr>
          <w:iCs/>
          <w:lang w:val="en-AU"/>
        </w:rPr>
        <w:t>Additional water recovery by water system, recovery method and entitlement type for LOW, MEDIUM and HIGH water recovery scenarios (entitlement volume not LTAAY)</w:t>
      </w:r>
    </w:p>
    <w:tbl>
      <w:tblPr>
        <w:tblStyle w:val="TableGrid"/>
        <w:tblW w:w="9067" w:type="dxa"/>
        <w:tblInd w:w="284" w:type="dxa"/>
        <w:tblLayout w:type="fixed"/>
        <w:tblLook w:val="04A0" w:firstRow="1" w:lastRow="0" w:firstColumn="1" w:lastColumn="0" w:noHBand="0" w:noVBand="1"/>
      </w:tblPr>
      <w:tblGrid>
        <w:gridCol w:w="709"/>
        <w:gridCol w:w="1701"/>
        <w:gridCol w:w="1415"/>
        <w:gridCol w:w="1048"/>
        <w:gridCol w:w="1080"/>
        <w:gridCol w:w="1134"/>
        <w:gridCol w:w="1134"/>
        <w:gridCol w:w="846"/>
      </w:tblGrid>
      <w:tr w:rsidR="00C01A50" w:rsidRPr="000C7437" w14:paraId="0F6BC57B" w14:textId="77777777">
        <w:tc>
          <w:tcPr>
            <w:tcW w:w="709" w:type="dxa"/>
            <w:tcBorders>
              <w:top w:val="nil"/>
              <w:left w:val="nil"/>
              <w:bottom w:val="single" w:sz="12" w:space="0" w:color="auto"/>
              <w:right w:val="nil"/>
            </w:tcBorders>
          </w:tcPr>
          <w:p w14:paraId="36BE7681" w14:textId="77777777" w:rsidR="00C01A50" w:rsidRPr="000C7437" w:rsidRDefault="00C01A50" w:rsidP="00B80EB7">
            <w:pPr>
              <w:spacing w:before="0" w:after="0"/>
            </w:pPr>
          </w:p>
        </w:tc>
        <w:tc>
          <w:tcPr>
            <w:tcW w:w="1701" w:type="dxa"/>
            <w:tcBorders>
              <w:top w:val="nil"/>
              <w:left w:val="nil"/>
              <w:bottom w:val="single" w:sz="12" w:space="0" w:color="auto"/>
              <w:right w:val="nil"/>
            </w:tcBorders>
          </w:tcPr>
          <w:p w14:paraId="43D51399" w14:textId="77777777" w:rsidR="00C01A50" w:rsidRPr="000C7437" w:rsidRDefault="00C01A50" w:rsidP="00B80EB7">
            <w:pPr>
              <w:spacing w:before="0" w:after="0"/>
            </w:pPr>
          </w:p>
        </w:tc>
        <w:tc>
          <w:tcPr>
            <w:tcW w:w="1415" w:type="dxa"/>
            <w:tcBorders>
              <w:top w:val="nil"/>
              <w:left w:val="nil"/>
              <w:bottom w:val="single" w:sz="12" w:space="0" w:color="auto"/>
              <w:right w:val="single" w:sz="12" w:space="0" w:color="auto"/>
            </w:tcBorders>
          </w:tcPr>
          <w:p w14:paraId="605D9B2A" w14:textId="77777777" w:rsidR="00C01A50" w:rsidRPr="000C7437" w:rsidRDefault="00C01A50" w:rsidP="00B80EB7">
            <w:pPr>
              <w:spacing w:before="0" w:after="0"/>
            </w:pPr>
          </w:p>
        </w:tc>
        <w:tc>
          <w:tcPr>
            <w:tcW w:w="1048" w:type="dxa"/>
            <w:tcBorders>
              <w:top w:val="single" w:sz="12" w:space="0" w:color="auto"/>
              <w:left w:val="single" w:sz="12" w:space="0" w:color="auto"/>
              <w:bottom w:val="single" w:sz="12" w:space="0" w:color="auto"/>
              <w:right w:val="single" w:sz="12" w:space="0" w:color="auto"/>
            </w:tcBorders>
            <w:vAlign w:val="center"/>
          </w:tcPr>
          <w:p w14:paraId="02167826" w14:textId="77777777" w:rsidR="00C01A50" w:rsidRPr="000C7437" w:rsidRDefault="00C01A50" w:rsidP="00B80EB7">
            <w:pPr>
              <w:spacing w:before="0" w:after="0"/>
              <w:rPr>
                <w:b/>
              </w:rPr>
            </w:pPr>
            <w:r w:rsidRPr="000C7437">
              <w:rPr>
                <w:b/>
              </w:rPr>
              <w:t>LOW</w:t>
            </w:r>
          </w:p>
        </w:tc>
        <w:tc>
          <w:tcPr>
            <w:tcW w:w="1080" w:type="dxa"/>
            <w:tcBorders>
              <w:top w:val="single" w:sz="12" w:space="0" w:color="auto"/>
              <w:left w:val="single" w:sz="12" w:space="0" w:color="auto"/>
              <w:bottom w:val="single" w:sz="12" w:space="0" w:color="auto"/>
              <w:right w:val="single" w:sz="12" w:space="0" w:color="auto"/>
            </w:tcBorders>
            <w:vAlign w:val="center"/>
          </w:tcPr>
          <w:p w14:paraId="330BEDC5" w14:textId="77777777" w:rsidR="00C01A50" w:rsidRPr="000C7437" w:rsidRDefault="00C01A50" w:rsidP="00B80EB7">
            <w:pPr>
              <w:spacing w:before="0" w:after="0"/>
              <w:rPr>
                <w:b/>
              </w:rPr>
            </w:pPr>
            <w:r w:rsidRPr="000C7437">
              <w:rPr>
                <w:b/>
              </w:rPr>
              <w:t>MEDIUM</w:t>
            </w:r>
          </w:p>
        </w:tc>
        <w:tc>
          <w:tcPr>
            <w:tcW w:w="1134" w:type="dxa"/>
            <w:tcBorders>
              <w:top w:val="single" w:sz="12" w:space="0" w:color="auto"/>
              <w:left w:val="single" w:sz="12" w:space="0" w:color="auto"/>
              <w:bottom w:val="single" w:sz="12" w:space="0" w:color="auto"/>
              <w:right w:val="nil"/>
            </w:tcBorders>
            <w:vAlign w:val="center"/>
          </w:tcPr>
          <w:p w14:paraId="6BAD7F99" w14:textId="77777777" w:rsidR="00C01A50" w:rsidRPr="000C7437" w:rsidRDefault="00C01A50" w:rsidP="00B80EB7">
            <w:pPr>
              <w:spacing w:before="0" w:after="0"/>
              <w:rPr>
                <w:b/>
              </w:rPr>
            </w:pPr>
          </w:p>
        </w:tc>
        <w:tc>
          <w:tcPr>
            <w:tcW w:w="1134" w:type="dxa"/>
            <w:tcBorders>
              <w:top w:val="single" w:sz="12" w:space="0" w:color="auto"/>
              <w:left w:val="nil"/>
              <w:bottom w:val="single" w:sz="12" w:space="0" w:color="auto"/>
              <w:right w:val="nil"/>
            </w:tcBorders>
            <w:vAlign w:val="center"/>
          </w:tcPr>
          <w:p w14:paraId="7A050A0A" w14:textId="77777777" w:rsidR="00C01A50" w:rsidRPr="000C7437" w:rsidRDefault="00C01A50" w:rsidP="00B80EB7">
            <w:pPr>
              <w:spacing w:before="0" w:after="0"/>
              <w:rPr>
                <w:b/>
              </w:rPr>
            </w:pPr>
            <w:r w:rsidRPr="000C7437">
              <w:rPr>
                <w:b/>
              </w:rPr>
              <w:t>HIGH</w:t>
            </w:r>
          </w:p>
        </w:tc>
        <w:tc>
          <w:tcPr>
            <w:tcW w:w="846" w:type="dxa"/>
            <w:tcBorders>
              <w:top w:val="single" w:sz="12" w:space="0" w:color="auto"/>
              <w:left w:val="nil"/>
              <w:bottom w:val="single" w:sz="12" w:space="0" w:color="auto"/>
              <w:right w:val="single" w:sz="12" w:space="0" w:color="auto"/>
            </w:tcBorders>
            <w:vAlign w:val="center"/>
          </w:tcPr>
          <w:p w14:paraId="2E5F0C68" w14:textId="77777777" w:rsidR="00C01A50" w:rsidRPr="000C7437" w:rsidRDefault="00C01A50" w:rsidP="00B80EB7">
            <w:pPr>
              <w:spacing w:before="0" w:after="0"/>
              <w:rPr>
                <w:b/>
              </w:rPr>
            </w:pPr>
          </w:p>
        </w:tc>
      </w:tr>
      <w:tr w:rsidR="00C01A50" w:rsidRPr="000C7437" w14:paraId="7C2A43B5" w14:textId="77777777">
        <w:tc>
          <w:tcPr>
            <w:tcW w:w="709" w:type="dxa"/>
            <w:tcBorders>
              <w:top w:val="single" w:sz="12" w:space="0" w:color="auto"/>
              <w:left w:val="single" w:sz="12" w:space="0" w:color="auto"/>
              <w:bottom w:val="single" w:sz="12" w:space="0" w:color="auto"/>
            </w:tcBorders>
          </w:tcPr>
          <w:p w14:paraId="3483AF0A" w14:textId="77777777" w:rsidR="00C01A50" w:rsidRPr="000C7437" w:rsidRDefault="00C01A50" w:rsidP="00B80EB7">
            <w:pPr>
              <w:spacing w:before="0" w:after="0"/>
              <w:rPr>
                <w:b/>
              </w:rPr>
            </w:pPr>
            <w:r w:rsidRPr="000C7437">
              <w:rPr>
                <w:b/>
              </w:rPr>
              <w:t>State</w:t>
            </w:r>
          </w:p>
        </w:tc>
        <w:tc>
          <w:tcPr>
            <w:tcW w:w="1701" w:type="dxa"/>
            <w:tcBorders>
              <w:top w:val="single" w:sz="12" w:space="0" w:color="auto"/>
              <w:bottom w:val="single" w:sz="12" w:space="0" w:color="auto"/>
            </w:tcBorders>
          </w:tcPr>
          <w:p w14:paraId="3ADEE4AE" w14:textId="77777777" w:rsidR="00C01A50" w:rsidRPr="000C7437" w:rsidRDefault="00C01A50" w:rsidP="00B80EB7">
            <w:pPr>
              <w:spacing w:before="0" w:after="0"/>
              <w:rPr>
                <w:b/>
              </w:rPr>
            </w:pPr>
            <w:r w:rsidRPr="000C7437">
              <w:rPr>
                <w:b/>
              </w:rPr>
              <w:t xml:space="preserve">System </w:t>
            </w:r>
          </w:p>
        </w:tc>
        <w:tc>
          <w:tcPr>
            <w:tcW w:w="1415" w:type="dxa"/>
            <w:tcBorders>
              <w:top w:val="single" w:sz="12" w:space="0" w:color="auto"/>
              <w:bottom w:val="single" w:sz="12" w:space="0" w:color="auto"/>
              <w:right w:val="single" w:sz="12" w:space="0" w:color="auto"/>
            </w:tcBorders>
          </w:tcPr>
          <w:p w14:paraId="13F7BD15" w14:textId="77777777" w:rsidR="00C01A50" w:rsidRPr="000C7437" w:rsidRDefault="00C01A50" w:rsidP="00B80EB7">
            <w:pPr>
              <w:spacing w:before="0" w:after="0"/>
              <w:rPr>
                <w:b/>
              </w:rPr>
            </w:pPr>
            <w:r w:rsidRPr="000C7437">
              <w:rPr>
                <w:b/>
              </w:rPr>
              <w:t>Entitlement type</w:t>
            </w:r>
          </w:p>
        </w:tc>
        <w:tc>
          <w:tcPr>
            <w:tcW w:w="1048" w:type="dxa"/>
            <w:tcBorders>
              <w:top w:val="single" w:sz="12" w:space="0" w:color="auto"/>
              <w:left w:val="single" w:sz="12" w:space="0" w:color="auto"/>
              <w:bottom w:val="single" w:sz="12" w:space="0" w:color="auto"/>
              <w:right w:val="single" w:sz="12" w:space="0" w:color="auto"/>
            </w:tcBorders>
            <w:vAlign w:val="center"/>
          </w:tcPr>
          <w:p w14:paraId="221D8840" w14:textId="77777777" w:rsidR="00C01A50" w:rsidRPr="000C7437" w:rsidRDefault="00C01A50" w:rsidP="00B80EB7">
            <w:pPr>
              <w:spacing w:before="0" w:after="0"/>
              <w:rPr>
                <w:b/>
              </w:rPr>
            </w:pPr>
            <w:r w:rsidRPr="000C7437">
              <w:rPr>
                <w:b/>
              </w:rPr>
              <w:t>Purchase</w:t>
            </w:r>
          </w:p>
          <w:p w14:paraId="6200CCE0" w14:textId="77777777" w:rsidR="00C01A50" w:rsidRPr="000C7437" w:rsidRDefault="00C01A50" w:rsidP="00B80EB7">
            <w:pPr>
              <w:spacing w:before="0" w:after="0"/>
              <w:rPr>
                <w:b/>
              </w:rPr>
            </w:pPr>
            <w:r w:rsidRPr="000C7437">
              <w:rPr>
                <w:b/>
              </w:rPr>
              <w:t>(GL)</w:t>
            </w:r>
          </w:p>
        </w:tc>
        <w:tc>
          <w:tcPr>
            <w:tcW w:w="1080" w:type="dxa"/>
            <w:tcBorders>
              <w:top w:val="single" w:sz="12" w:space="0" w:color="auto"/>
              <w:left w:val="single" w:sz="12" w:space="0" w:color="auto"/>
              <w:bottom w:val="single" w:sz="12" w:space="0" w:color="auto"/>
              <w:right w:val="single" w:sz="12" w:space="0" w:color="auto"/>
            </w:tcBorders>
            <w:vAlign w:val="center"/>
          </w:tcPr>
          <w:p w14:paraId="53C08E1B" w14:textId="77777777" w:rsidR="00C01A50" w:rsidRPr="000C7437" w:rsidRDefault="00C01A50" w:rsidP="00B80EB7">
            <w:pPr>
              <w:spacing w:before="0" w:after="0"/>
              <w:rPr>
                <w:b/>
              </w:rPr>
            </w:pPr>
            <w:r w:rsidRPr="000C7437">
              <w:rPr>
                <w:b/>
              </w:rPr>
              <w:t>Purchase</w:t>
            </w:r>
          </w:p>
          <w:p w14:paraId="1D188EC2" w14:textId="77777777" w:rsidR="00C01A50" w:rsidRPr="000C7437" w:rsidRDefault="00C01A50" w:rsidP="00B80EB7">
            <w:pPr>
              <w:spacing w:before="0" w:after="0"/>
              <w:rPr>
                <w:b/>
              </w:rPr>
            </w:pPr>
            <w:r w:rsidRPr="000C7437">
              <w:rPr>
                <w:b/>
              </w:rPr>
              <w:t>(GL)</w:t>
            </w:r>
          </w:p>
        </w:tc>
        <w:tc>
          <w:tcPr>
            <w:tcW w:w="1134" w:type="dxa"/>
            <w:tcBorders>
              <w:top w:val="single" w:sz="12" w:space="0" w:color="auto"/>
              <w:left w:val="single" w:sz="12" w:space="0" w:color="auto"/>
              <w:bottom w:val="single" w:sz="12" w:space="0" w:color="auto"/>
            </w:tcBorders>
            <w:vAlign w:val="center"/>
          </w:tcPr>
          <w:p w14:paraId="52295FFF" w14:textId="77777777" w:rsidR="00C01A50" w:rsidRPr="000C7437" w:rsidRDefault="00C01A50" w:rsidP="00B80EB7">
            <w:pPr>
              <w:spacing w:before="0" w:after="0"/>
              <w:rPr>
                <w:b/>
              </w:rPr>
            </w:pPr>
            <w:r w:rsidRPr="000C7437">
              <w:rPr>
                <w:b/>
              </w:rPr>
              <w:t>Purchase</w:t>
            </w:r>
          </w:p>
          <w:p w14:paraId="1854AA55" w14:textId="77777777" w:rsidR="00C01A50" w:rsidRPr="000C7437" w:rsidRDefault="00C01A50" w:rsidP="00B80EB7">
            <w:pPr>
              <w:spacing w:before="0" w:after="0"/>
              <w:rPr>
                <w:b/>
              </w:rPr>
            </w:pPr>
            <w:r w:rsidRPr="000C7437">
              <w:rPr>
                <w:b/>
              </w:rPr>
              <w:t>(GL)</w:t>
            </w:r>
          </w:p>
        </w:tc>
        <w:tc>
          <w:tcPr>
            <w:tcW w:w="1134" w:type="dxa"/>
            <w:tcBorders>
              <w:top w:val="single" w:sz="12" w:space="0" w:color="auto"/>
              <w:bottom w:val="single" w:sz="12" w:space="0" w:color="auto"/>
            </w:tcBorders>
            <w:vAlign w:val="center"/>
          </w:tcPr>
          <w:p w14:paraId="0317398D" w14:textId="77777777" w:rsidR="00C01A50" w:rsidRPr="000C7437" w:rsidRDefault="00C01A50" w:rsidP="00B80EB7">
            <w:pPr>
              <w:spacing w:before="0" w:after="0"/>
              <w:rPr>
                <w:b/>
              </w:rPr>
            </w:pPr>
            <w:r w:rsidRPr="000C7437">
              <w:rPr>
                <w:b/>
              </w:rPr>
              <w:t>Farm Efficiency</w:t>
            </w:r>
          </w:p>
          <w:p w14:paraId="2D079251" w14:textId="77777777" w:rsidR="00C01A50" w:rsidRPr="000C7437" w:rsidRDefault="00C01A50" w:rsidP="00B80EB7">
            <w:pPr>
              <w:spacing w:before="0" w:after="0"/>
              <w:rPr>
                <w:b/>
              </w:rPr>
            </w:pPr>
            <w:r w:rsidRPr="000C7437">
              <w:rPr>
                <w:b/>
              </w:rPr>
              <w:t>(GL)</w:t>
            </w:r>
          </w:p>
        </w:tc>
        <w:tc>
          <w:tcPr>
            <w:tcW w:w="846" w:type="dxa"/>
            <w:tcBorders>
              <w:top w:val="single" w:sz="12" w:space="0" w:color="auto"/>
              <w:bottom w:val="single" w:sz="12" w:space="0" w:color="auto"/>
              <w:right w:val="single" w:sz="12" w:space="0" w:color="auto"/>
            </w:tcBorders>
            <w:vAlign w:val="center"/>
          </w:tcPr>
          <w:p w14:paraId="1684FAD5" w14:textId="77777777" w:rsidR="00C01A50" w:rsidRPr="000C7437" w:rsidRDefault="00C01A50" w:rsidP="00B80EB7">
            <w:pPr>
              <w:spacing w:before="0" w:after="0"/>
              <w:rPr>
                <w:b/>
              </w:rPr>
            </w:pPr>
            <w:r w:rsidRPr="000C7437">
              <w:rPr>
                <w:b/>
              </w:rPr>
              <w:t>TOTAL</w:t>
            </w:r>
          </w:p>
          <w:p w14:paraId="069779DA" w14:textId="77777777" w:rsidR="00C01A50" w:rsidRPr="000C7437" w:rsidRDefault="00C01A50" w:rsidP="00B80EB7">
            <w:pPr>
              <w:spacing w:before="0" w:after="0"/>
              <w:rPr>
                <w:b/>
              </w:rPr>
            </w:pPr>
            <w:r w:rsidRPr="000C7437">
              <w:rPr>
                <w:b/>
              </w:rPr>
              <w:t>(GL)</w:t>
            </w:r>
          </w:p>
        </w:tc>
      </w:tr>
      <w:tr w:rsidR="00C01A50" w:rsidRPr="000C7437" w14:paraId="061E9B7B" w14:textId="77777777">
        <w:tc>
          <w:tcPr>
            <w:tcW w:w="709" w:type="dxa"/>
            <w:tcBorders>
              <w:top w:val="single" w:sz="12" w:space="0" w:color="auto"/>
              <w:left w:val="single" w:sz="12" w:space="0" w:color="auto"/>
              <w:bottom w:val="nil"/>
            </w:tcBorders>
          </w:tcPr>
          <w:p w14:paraId="7C747AB3" w14:textId="77777777" w:rsidR="00C01A50" w:rsidRPr="000C7437" w:rsidRDefault="00C01A50" w:rsidP="00B80EB7">
            <w:pPr>
              <w:spacing w:before="0" w:after="0"/>
            </w:pPr>
            <w:r w:rsidRPr="000C7437">
              <w:t>Vic</w:t>
            </w:r>
          </w:p>
        </w:tc>
        <w:tc>
          <w:tcPr>
            <w:tcW w:w="1701" w:type="dxa"/>
            <w:tcBorders>
              <w:top w:val="single" w:sz="12" w:space="0" w:color="auto"/>
            </w:tcBorders>
          </w:tcPr>
          <w:p w14:paraId="1B942049" w14:textId="77777777" w:rsidR="00C01A50" w:rsidRPr="000C7437" w:rsidRDefault="00C01A50" w:rsidP="00B80EB7">
            <w:pPr>
              <w:spacing w:before="0" w:after="0"/>
            </w:pPr>
            <w:r w:rsidRPr="000C7437">
              <w:t>Murray</w:t>
            </w:r>
          </w:p>
        </w:tc>
        <w:tc>
          <w:tcPr>
            <w:tcW w:w="1415" w:type="dxa"/>
            <w:tcBorders>
              <w:top w:val="single" w:sz="12" w:space="0" w:color="auto"/>
              <w:right w:val="single" w:sz="12" w:space="0" w:color="auto"/>
            </w:tcBorders>
          </w:tcPr>
          <w:p w14:paraId="1CA762B8" w14:textId="77777777" w:rsidR="00C01A50" w:rsidRPr="000C7437" w:rsidRDefault="00C01A50" w:rsidP="00B80EB7">
            <w:pPr>
              <w:spacing w:before="0" w:after="0"/>
            </w:pPr>
            <w:r w:rsidRPr="000C7437">
              <w:t>HRWS</w:t>
            </w:r>
          </w:p>
        </w:tc>
        <w:tc>
          <w:tcPr>
            <w:tcW w:w="1048" w:type="dxa"/>
            <w:tcBorders>
              <w:top w:val="single" w:sz="12" w:space="0" w:color="auto"/>
              <w:left w:val="single" w:sz="12" w:space="0" w:color="auto"/>
              <w:right w:val="single" w:sz="12" w:space="0" w:color="auto"/>
            </w:tcBorders>
            <w:vAlign w:val="center"/>
          </w:tcPr>
          <w:p w14:paraId="5C82EA49" w14:textId="77777777" w:rsidR="00C01A50" w:rsidRPr="000C7437" w:rsidRDefault="00C01A50" w:rsidP="00B80EB7">
            <w:pPr>
              <w:spacing w:before="0" w:after="0"/>
              <w:rPr>
                <w:lang w:val="en-AU"/>
              </w:rPr>
            </w:pPr>
            <w:r w:rsidRPr="000C7437">
              <w:rPr>
                <w:lang w:val="en-AU"/>
              </w:rPr>
              <w:t>0.0</w:t>
            </w:r>
          </w:p>
        </w:tc>
        <w:tc>
          <w:tcPr>
            <w:tcW w:w="1080" w:type="dxa"/>
            <w:tcBorders>
              <w:top w:val="single" w:sz="12" w:space="0" w:color="auto"/>
              <w:left w:val="single" w:sz="12" w:space="0" w:color="auto"/>
              <w:right w:val="single" w:sz="12" w:space="0" w:color="auto"/>
            </w:tcBorders>
            <w:vAlign w:val="center"/>
          </w:tcPr>
          <w:p w14:paraId="2562CA43" w14:textId="77777777" w:rsidR="00C01A50" w:rsidRPr="000C7437" w:rsidRDefault="00C01A50" w:rsidP="00B80EB7">
            <w:pPr>
              <w:spacing w:before="0" w:after="0"/>
              <w:rPr>
                <w:lang w:val="en-AU"/>
              </w:rPr>
            </w:pPr>
            <w:r w:rsidRPr="000C7437">
              <w:rPr>
                <w:lang w:val="en-AU"/>
              </w:rPr>
              <w:t>145.8</w:t>
            </w:r>
          </w:p>
        </w:tc>
        <w:tc>
          <w:tcPr>
            <w:tcW w:w="1134" w:type="dxa"/>
            <w:tcBorders>
              <w:top w:val="single" w:sz="12" w:space="0" w:color="auto"/>
              <w:left w:val="single" w:sz="12" w:space="0" w:color="auto"/>
            </w:tcBorders>
            <w:vAlign w:val="center"/>
          </w:tcPr>
          <w:p w14:paraId="59F63AB7" w14:textId="77777777" w:rsidR="00C01A50" w:rsidRPr="000C7437" w:rsidRDefault="00C01A50" w:rsidP="00B80EB7">
            <w:pPr>
              <w:spacing w:before="0" w:after="0"/>
              <w:rPr>
                <w:lang w:val="en-AU"/>
              </w:rPr>
            </w:pPr>
            <w:r w:rsidRPr="000C7437">
              <w:rPr>
                <w:lang w:val="en-AU"/>
              </w:rPr>
              <w:t>145.8</w:t>
            </w:r>
          </w:p>
        </w:tc>
        <w:tc>
          <w:tcPr>
            <w:tcW w:w="1134" w:type="dxa"/>
            <w:tcBorders>
              <w:top w:val="single" w:sz="12" w:space="0" w:color="auto"/>
            </w:tcBorders>
            <w:vAlign w:val="center"/>
          </w:tcPr>
          <w:p w14:paraId="5637582B" w14:textId="77777777" w:rsidR="00C01A50" w:rsidRPr="000C7437" w:rsidRDefault="00C01A50" w:rsidP="00B80EB7">
            <w:pPr>
              <w:spacing w:before="0" w:after="0"/>
              <w:rPr>
                <w:lang w:val="en-AU"/>
              </w:rPr>
            </w:pPr>
            <w:r w:rsidRPr="000C7437">
              <w:rPr>
                <w:lang w:val="en-AU"/>
              </w:rPr>
              <w:t>76.9</w:t>
            </w:r>
          </w:p>
        </w:tc>
        <w:tc>
          <w:tcPr>
            <w:tcW w:w="846" w:type="dxa"/>
            <w:tcBorders>
              <w:top w:val="single" w:sz="12" w:space="0" w:color="auto"/>
              <w:right w:val="single" w:sz="12" w:space="0" w:color="auto"/>
            </w:tcBorders>
            <w:vAlign w:val="center"/>
          </w:tcPr>
          <w:p w14:paraId="243E53B9" w14:textId="77777777" w:rsidR="00C01A50" w:rsidRPr="000C7437" w:rsidRDefault="00C01A50" w:rsidP="00B80EB7">
            <w:pPr>
              <w:spacing w:before="0" w:after="0"/>
              <w:rPr>
                <w:lang w:val="en-AU"/>
              </w:rPr>
            </w:pPr>
            <w:r w:rsidRPr="000C7437">
              <w:rPr>
                <w:lang w:val="en-AU"/>
              </w:rPr>
              <w:t>222.7</w:t>
            </w:r>
          </w:p>
        </w:tc>
      </w:tr>
      <w:tr w:rsidR="00C01A50" w:rsidRPr="000C7437" w14:paraId="76CC6A91" w14:textId="77777777">
        <w:tc>
          <w:tcPr>
            <w:tcW w:w="709" w:type="dxa"/>
            <w:tcBorders>
              <w:top w:val="nil"/>
              <w:left w:val="single" w:sz="12" w:space="0" w:color="auto"/>
              <w:bottom w:val="single" w:sz="4" w:space="0" w:color="auto"/>
            </w:tcBorders>
          </w:tcPr>
          <w:p w14:paraId="5F3F64CB" w14:textId="77777777" w:rsidR="00C01A50" w:rsidRPr="000C7437" w:rsidRDefault="00C01A50" w:rsidP="00B80EB7">
            <w:pPr>
              <w:spacing w:before="0" w:after="0"/>
            </w:pPr>
          </w:p>
        </w:tc>
        <w:tc>
          <w:tcPr>
            <w:tcW w:w="1701" w:type="dxa"/>
            <w:tcBorders>
              <w:bottom w:val="single" w:sz="4" w:space="0" w:color="auto"/>
            </w:tcBorders>
          </w:tcPr>
          <w:p w14:paraId="1E0AB8E8" w14:textId="77777777" w:rsidR="00C01A50" w:rsidRPr="000C7437" w:rsidRDefault="00C01A50" w:rsidP="00B80EB7">
            <w:pPr>
              <w:spacing w:before="0" w:after="0"/>
            </w:pPr>
            <w:r w:rsidRPr="000C7437">
              <w:t>Goulburn</w:t>
            </w:r>
          </w:p>
        </w:tc>
        <w:tc>
          <w:tcPr>
            <w:tcW w:w="1415" w:type="dxa"/>
            <w:tcBorders>
              <w:bottom w:val="single" w:sz="4" w:space="0" w:color="auto"/>
              <w:right w:val="single" w:sz="12" w:space="0" w:color="auto"/>
            </w:tcBorders>
          </w:tcPr>
          <w:p w14:paraId="1C646B1C" w14:textId="77777777" w:rsidR="00C01A50" w:rsidRPr="000C7437" w:rsidRDefault="00C01A50" w:rsidP="00B80EB7">
            <w:pPr>
              <w:spacing w:before="0" w:after="0"/>
            </w:pPr>
            <w:r w:rsidRPr="000C7437">
              <w:t>HRWS</w:t>
            </w:r>
          </w:p>
        </w:tc>
        <w:tc>
          <w:tcPr>
            <w:tcW w:w="1048" w:type="dxa"/>
            <w:tcBorders>
              <w:left w:val="single" w:sz="12" w:space="0" w:color="auto"/>
              <w:bottom w:val="single" w:sz="4" w:space="0" w:color="auto"/>
              <w:right w:val="single" w:sz="12" w:space="0" w:color="auto"/>
            </w:tcBorders>
            <w:vAlign w:val="center"/>
          </w:tcPr>
          <w:p w14:paraId="536DC7F2" w14:textId="77777777" w:rsidR="00C01A50" w:rsidRPr="000C7437" w:rsidRDefault="00C01A50" w:rsidP="00B80EB7">
            <w:pPr>
              <w:spacing w:before="0" w:after="0"/>
              <w:rPr>
                <w:lang w:val="en-AU"/>
              </w:rPr>
            </w:pPr>
            <w:r w:rsidRPr="000C7437">
              <w:rPr>
                <w:lang w:val="en-AU"/>
              </w:rPr>
              <w:t>0.0</w:t>
            </w:r>
          </w:p>
        </w:tc>
        <w:tc>
          <w:tcPr>
            <w:tcW w:w="1080" w:type="dxa"/>
            <w:tcBorders>
              <w:left w:val="single" w:sz="12" w:space="0" w:color="auto"/>
              <w:bottom w:val="single" w:sz="4" w:space="0" w:color="auto"/>
              <w:right w:val="single" w:sz="12" w:space="0" w:color="auto"/>
            </w:tcBorders>
            <w:vAlign w:val="center"/>
          </w:tcPr>
          <w:p w14:paraId="359C604A" w14:textId="77777777" w:rsidR="00C01A50" w:rsidRPr="000C7437" w:rsidRDefault="00C01A50" w:rsidP="00B80EB7">
            <w:pPr>
              <w:spacing w:before="0" w:after="0"/>
              <w:rPr>
                <w:lang w:val="en-AU"/>
              </w:rPr>
            </w:pPr>
            <w:r w:rsidRPr="000C7437">
              <w:rPr>
                <w:lang w:val="en-AU"/>
              </w:rPr>
              <w:t>119.3</w:t>
            </w:r>
          </w:p>
        </w:tc>
        <w:tc>
          <w:tcPr>
            <w:tcW w:w="1134" w:type="dxa"/>
            <w:tcBorders>
              <w:left w:val="single" w:sz="12" w:space="0" w:color="auto"/>
              <w:bottom w:val="single" w:sz="4" w:space="0" w:color="auto"/>
            </w:tcBorders>
            <w:vAlign w:val="center"/>
          </w:tcPr>
          <w:p w14:paraId="4B26B466" w14:textId="77777777" w:rsidR="00C01A50" w:rsidRPr="000C7437" w:rsidRDefault="00C01A50" w:rsidP="00B80EB7">
            <w:pPr>
              <w:spacing w:before="0" w:after="0"/>
              <w:rPr>
                <w:lang w:val="en-AU"/>
              </w:rPr>
            </w:pPr>
            <w:r w:rsidRPr="000C7437">
              <w:rPr>
                <w:lang w:val="en-AU"/>
              </w:rPr>
              <w:t>119.3</w:t>
            </w:r>
          </w:p>
        </w:tc>
        <w:tc>
          <w:tcPr>
            <w:tcW w:w="1134" w:type="dxa"/>
            <w:tcBorders>
              <w:bottom w:val="single" w:sz="4" w:space="0" w:color="auto"/>
            </w:tcBorders>
            <w:vAlign w:val="center"/>
          </w:tcPr>
          <w:p w14:paraId="26E38BC4" w14:textId="77777777" w:rsidR="00C01A50" w:rsidRPr="000C7437" w:rsidRDefault="00C01A50" w:rsidP="00B80EB7">
            <w:pPr>
              <w:spacing w:before="0" w:after="0"/>
              <w:rPr>
                <w:lang w:val="en-AU"/>
              </w:rPr>
            </w:pPr>
            <w:r w:rsidRPr="000C7437">
              <w:rPr>
                <w:lang w:val="en-AU"/>
              </w:rPr>
              <w:t>62.9</w:t>
            </w:r>
          </w:p>
        </w:tc>
        <w:tc>
          <w:tcPr>
            <w:tcW w:w="846" w:type="dxa"/>
            <w:tcBorders>
              <w:bottom w:val="single" w:sz="4" w:space="0" w:color="auto"/>
              <w:right w:val="single" w:sz="12" w:space="0" w:color="auto"/>
            </w:tcBorders>
            <w:vAlign w:val="center"/>
          </w:tcPr>
          <w:p w14:paraId="0275A876" w14:textId="77777777" w:rsidR="00C01A50" w:rsidRPr="000C7437" w:rsidRDefault="00C01A50" w:rsidP="00B80EB7">
            <w:pPr>
              <w:spacing w:before="0" w:after="0"/>
              <w:rPr>
                <w:lang w:val="en-AU"/>
              </w:rPr>
            </w:pPr>
            <w:r w:rsidRPr="000C7437">
              <w:rPr>
                <w:lang w:val="en-AU"/>
              </w:rPr>
              <w:t>182.2</w:t>
            </w:r>
          </w:p>
        </w:tc>
      </w:tr>
      <w:tr w:rsidR="00C01A50" w:rsidRPr="000C7437" w14:paraId="6A3A4676" w14:textId="77777777">
        <w:tc>
          <w:tcPr>
            <w:tcW w:w="709" w:type="dxa"/>
            <w:tcBorders>
              <w:top w:val="single" w:sz="4" w:space="0" w:color="auto"/>
              <w:left w:val="single" w:sz="12" w:space="0" w:color="auto"/>
              <w:bottom w:val="nil"/>
            </w:tcBorders>
          </w:tcPr>
          <w:p w14:paraId="1B212342" w14:textId="77777777" w:rsidR="00C01A50" w:rsidRPr="000C7437" w:rsidRDefault="00C01A50" w:rsidP="00B80EB7">
            <w:pPr>
              <w:spacing w:before="0" w:after="0"/>
            </w:pPr>
            <w:r w:rsidRPr="000C7437">
              <w:t>NSW</w:t>
            </w:r>
          </w:p>
        </w:tc>
        <w:tc>
          <w:tcPr>
            <w:tcW w:w="1701" w:type="dxa"/>
            <w:tcBorders>
              <w:top w:val="single" w:sz="4" w:space="0" w:color="auto"/>
            </w:tcBorders>
          </w:tcPr>
          <w:p w14:paraId="615258A4" w14:textId="77777777" w:rsidR="00C01A50" w:rsidRPr="000C7437" w:rsidRDefault="00C01A50" w:rsidP="00B80EB7">
            <w:pPr>
              <w:spacing w:before="0" w:after="0"/>
            </w:pPr>
            <w:r w:rsidRPr="000C7437">
              <w:t>Murray</w:t>
            </w:r>
          </w:p>
        </w:tc>
        <w:tc>
          <w:tcPr>
            <w:tcW w:w="1415" w:type="dxa"/>
            <w:tcBorders>
              <w:top w:val="single" w:sz="4" w:space="0" w:color="auto"/>
              <w:right w:val="single" w:sz="12" w:space="0" w:color="auto"/>
            </w:tcBorders>
          </w:tcPr>
          <w:p w14:paraId="2F1F783A" w14:textId="77777777" w:rsidR="00C01A50" w:rsidRPr="000C7437" w:rsidRDefault="00C01A50" w:rsidP="00B80EB7">
            <w:pPr>
              <w:spacing w:before="0" w:after="0"/>
            </w:pPr>
            <w:r w:rsidRPr="000C7437">
              <w:t xml:space="preserve">General </w:t>
            </w:r>
          </w:p>
        </w:tc>
        <w:tc>
          <w:tcPr>
            <w:tcW w:w="1048" w:type="dxa"/>
            <w:tcBorders>
              <w:top w:val="single" w:sz="4" w:space="0" w:color="auto"/>
              <w:left w:val="single" w:sz="12" w:space="0" w:color="auto"/>
              <w:right w:val="single" w:sz="12" w:space="0" w:color="auto"/>
            </w:tcBorders>
            <w:vAlign w:val="center"/>
          </w:tcPr>
          <w:p w14:paraId="65540B15" w14:textId="77777777" w:rsidR="00C01A50" w:rsidRPr="000C7437" w:rsidRDefault="00C01A50" w:rsidP="00B80EB7">
            <w:pPr>
              <w:spacing w:before="0" w:after="0"/>
              <w:rPr>
                <w:lang w:val="en-AU"/>
              </w:rPr>
            </w:pPr>
            <w:r w:rsidRPr="000C7437">
              <w:rPr>
                <w:lang w:val="en-AU"/>
              </w:rPr>
              <w:t>53.1</w:t>
            </w:r>
          </w:p>
        </w:tc>
        <w:tc>
          <w:tcPr>
            <w:tcW w:w="1080" w:type="dxa"/>
            <w:tcBorders>
              <w:top w:val="single" w:sz="4" w:space="0" w:color="auto"/>
              <w:left w:val="single" w:sz="12" w:space="0" w:color="auto"/>
              <w:right w:val="single" w:sz="12" w:space="0" w:color="auto"/>
            </w:tcBorders>
            <w:vAlign w:val="center"/>
          </w:tcPr>
          <w:p w14:paraId="6439FF71" w14:textId="77777777" w:rsidR="00C01A50" w:rsidRPr="000C7437" w:rsidRDefault="00C01A50" w:rsidP="00B80EB7">
            <w:pPr>
              <w:spacing w:before="0" w:after="0"/>
              <w:rPr>
                <w:lang w:val="en-AU"/>
              </w:rPr>
            </w:pPr>
            <w:r w:rsidRPr="000C7437">
              <w:rPr>
                <w:lang w:val="en-AU"/>
              </w:rPr>
              <w:t>278.8</w:t>
            </w:r>
          </w:p>
        </w:tc>
        <w:tc>
          <w:tcPr>
            <w:tcW w:w="1134" w:type="dxa"/>
            <w:tcBorders>
              <w:top w:val="single" w:sz="4" w:space="0" w:color="auto"/>
              <w:left w:val="single" w:sz="12" w:space="0" w:color="auto"/>
            </w:tcBorders>
            <w:vAlign w:val="center"/>
          </w:tcPr>
          <w:p w14:paraId="20097196" w14:textId="77777777" w:rsidR="00C01A50" w:rsidRPr="000C7437" w:rsidRDefault="00C01A50" w:rsidP="00B80EB7">
            <w:pPr>
              <w:spacing w:before="0" w:after="0"/>
              <w:rPr>
                <w:lang w:val="en-AU"/>
              </w:rPr>
            </w:pPr>
            <w:r w:rsidRPr="000C7437">
              <w:rPr>
                <w:lang w:val="en-AU"/>
              </w:rPr>
              <w:t>278.8</w:t>
            </w:r>
          </w:p>
        </w:tc>
        <w:tc>
          <w:tcPr>
            <w:tcW w:w="1134" w:type="dxa"/>
            <w:tcBorders>
              <w:top w:val="single" w:sz="4" w:space="0" w:color="auto"/>
            </w:tcBorders>
            <w:vAlign w:val="center"/>
          </w:tcPr>
          <w:p w14:paraId="255751AC" w14:textId="77777777" w:rsidR="00C01A50" w:rsidRPr="000C7437" w:rsidRDefault="00C01A50" w:rsidP="00B80EB7">
            <w:pPr>
              <w:spacing w:before="0" w:after="0"/>
              <w:rPr>
                <w:lang w:val="en-AU"/>
              </w:rPr>
            </w:pPr>
            <w:r w:rsidRPr="000C7437">
              <w:rPr>
                <w:lang w:val="en-AU"/>
              </w:rPr>
              <w:t>128.2</w:t>
            </w:r>
          </w:p>
        </w:tc>
        <w:tc>
          <w:tcPr>
            <w:tcW w:w="846" w:type="dxa"/>
            <w:tcBorders>
              <w:top w:val="single" w:sz="4" w:space="0" w:color="auto"/>
              <w:right w:val="single" w:sz="12" w:space="0" w:color="auto"/>
            </w:tcBorders>
            <w:vAlign w:val="center"/>
          </w:tcPr>
          <w:p w14:paraId="21E50695" w14:textId="77777777" w:rsidR="00C01A50" w:rsidRPr="000C7437" w:rsidRDefault="00C01A50" w:rsidP="00B80EB7">
            <w:pPr>
              <w:spacing w:before="0" w:after="0"/>
              <w:rPr>
                <w:lang w:val="en-AU"/>
              </w:rPr>
            </w:pPr>
            <w:r w:rsidRPr="000C7437">
              <w:rPr>
                <w:lang w:val="en-AU"/>
              </w:rPr>
              <w:t>407.1</w:t>
            </w:r>
          </w:p>
        </w:tc>
      </w:tr>
      <w:tr w:rsidR="00C01A50" w:rsidRPr="000C7437" w14:paraId="25764054" w14:textId="77777777">
        <w:tc>
          <w:tcPr>
            <w:tcW w:w="709" w:type="dxa"/>
            <w:tcBorders>
              <w:top w:val="nil"/>
              <w:left w:val="single" w:sz="12" w:space="0" w:color="auto"/>
              <w:bottom w:val="single" w:sz="4" w:space="0" w:color="auto"/>
            </w:tcBorders>
          </w:tcPr>
          <w:p w14:paraId="58AE0FE2" w14:textId="77777777" w:rsidR="00C01A50" w:rsidRPr="000C7437" w:rsidRDefault="00C01A50" w:rsidP="00B80EB7">
            <w:pPr>
              <w:spacing w:before="0" w:after="0"/>
            </w:pPr>
          </w:p>
        </w:tc>
        <w:tc>
          <w:tcPr>
            <w:tcW w:w="1701" w:type="dxa"/>
            <w:tcBorders>
              <w:bottom w:val="single" w:sz="4" w:space="0" w:color="auto"/>
            </w:tcBorders>
          </w:tcPr>
          <w:p w14:paraId="28A423F9" w14:textId="77777777" w:rsidR="00C01A50" w:rsidRPr="000C7437" w:rsidRDefault="00C01A50" w:rsidP="00B80EB7">
            <w:pPr>
              <w:spacing w:before="0" w:after="0"/>
            </w:pPr>
            <w:r w:rsidRPr="000C7437">
              <w:t>Murrumbidgee</w:t>
            </w:r>
          </w:p>
        </w:tc>
        <w:tc>
          <w:tcPr>
            <w:tcW w:w="1415" w:type="dxa"/>
            <w:tcBorders>
              <w:bottom w:val="single" w:sz="4" w:space="0" w:color="auto"/>
              <w:right w:val="single" w:sz="12" w:space="0" w:color="auto"/>
            </w:tcBorders>
          </w:tcPr>
          <w:p w14:paraId="3C04DD40" w14:textId="77777777" w:rsidR="00C01A50" w:rsidRPr="000C7437" w:rsidRDefault="00C01A50" w:rsidP="00B80EB7">
            <w:pPr>
              <w:spacing w:before="0" w:after="0"/>
            </w:pPr>
            <w:r w:rsidRPr="000C7437">
              <w:t>General</w:t>
            </w:r>
          </w:p>
        </w:tc>
        <w:tc>
          <w:tcPr>
            <w:tcW w:w="1048" w:type="dxa"/>
            <w:tcBorders>
              <w:left w:val="single" w:sz="12" w:space="0" w:color="auto"/>
              <w:bottom w:val="single" w:sz="4" w:space="0" w:color="auto"/>
              <w:right w:val="single" w:sz="12" w:space="0" w:color="auto"/>
            </w:tcBorders>
            <w:vAlign w:val="center"/>
          </w:tcPr>
          <w:p w14:paraId="21A8B944" w14:textId="77777777" w:rsidR="00C01A50" w:rsidRPr="000C7437" w:rsidRDefault="00C01A50" w:rsidP="00B80EB7">
            <w:pPr>
              <w:spacing w:before="0" w:after="0"/>
              <w:rPr>
                <w:lang w:val="en-AU"/>
              </w:rPr>
            </w:pPr>
            <w:r w:rsidRPr="000C7437">
              <w:rPr>
                <w:lang w:val="en-AU"/>
              </w:rPr>
              <w:t>39.4</w:t>
            </w:r>
          </w:p>
        </w:tc>
        <w:tc>
          <w:tcPr>
            <w:tcW w:w="1080" w:type="dxa"/>
            <w:tcBorders>
              <w:left w:val="single" w:sz="12" w:space="0" w:color="auto"/>
              <w:bottom w:val="single" w:sz="4" w:space="0" w:color="auto"/>
              <w:right w:val="single" w:sz="12" w:space="0" w:color="auto"/>
            </w:tcBorders>
            <w:vAlign w:val="center"/>
          </w:tcPr>
          <w:p w14:paraId="60D83773" w14:textId="77777777" w:rsidR="00C01A50" w:rsidRPr="000C7437" w:rsidRDefault="00C01A50" w:rsidP="00B80EB7">
            <w:pPr>
              <w:spacing w:before="0" w:after="0"/>
              <w:rPr>
                <w:lang w:val="en-AU"/>
              </w:rPr>
            </w:pPr>
            <w:r w:rsidRPr="000C7437">
              <w:rPr>
                <w:lang w:val="en-AU"/>
              </w:rPr>
              <w:t>207.3</w:t>
            </w:r>
          </w:p>
        </w:tc>
        <w:tc>
          <w:tcPr>
            <w:tcW w:w="1134" w:type="dxa"/>
            <w:tcBorders>
              <w:left w:val="single" w:sz="12" w:space="0" w:color="auto"/>
              <w:bottom w:val="single" w:sz="4" w:space="0" w:color="auto"/>
            </w:tcBorders>
            <w:vAlign w:val="center"/>
          </w:tcPr>
          <w:p w14:paraId="61D41722" w14:textId="77777777" w:rsidR="00C01A50" w:rsidRPr="000C7437" w:rsidRDefault="00C01A50" w:rsidP="00B80EB7">
            <w:pPr>
              <w:spacing w:before="0" w:after="0"/>
              <w:rPr>
                <w:lang w:val="en-AU"/>
              </w:rPr>
            </w:pPr>
            <w:r w:rsidRPr="000C7437">
              <w:rPr>
                <w:lang w:val="en-AU"/>
              </w:rPr>
              <w:t>207.3</w:t>
            </w:r>
          </w:p>
        </w:tc>
        <w:tc>
          <w:tcPr>
            <w:tcW w:w="1134" w:type="dxa"/>
            <w:tcBorders>
              <w:bottom w:val="single" w:sz="4" w:space="0" w:color="auto"/>
            </w:tcBorders>
            <w:vAlign w:val="center"/>
          </w:tcPr>
          <w:p w14:paraId="208863D2" w14:textId="77777777" w:rsidR="00C01A50" w:rsidRPr="000C7437" w:rsidRDefault="00C01A50" w:rsidP="00B80EB7">
            <w:pPr>
              <w:spacing w:before="0" w:after="0"/>
              <w:rPr>
                <w:lang w:val="en-AU"/>
              </w:rPr>
            </w:pPr>
            <w:r w:rsidRPr="000C7437">
              <w:rPr>
                <w:lang w:val="en-AU"/>
              </w:rPr>
              <w:t>95.3</w:t>
            </w:r>
          </w:p>
        </w:tc>
        <w:tc>
          <w:tcPr>
            <w:tcW w:w="846" w:type="dxa"/>
            <w:tcBorders>
              <w:bottom w:val="single" w:sz="4" w:space="0" w:color="auto"/>
              <w:right w:val="single" w:sz="12" w:space="0" w:color="auto"/>
            </w:tcBorders>
            <w:vAlign w:val="center"/>
          </w:tcPr>
          <w:p w14:paraId="2B6A3B6B" w14:textId="77777777" w:rsidR="00C01A50" w:rsidRPr="000C7437" w:rsidRDefault="00C01A50" w:rsidP="00B80EB7">
            <w:pPr>
              <w:spacing w:before="0" w:after="0"/>
              <w:rPr>
                <w:lang w:val="en-AU"/>
              </w:rPr>
            </w:pPr>
            <w:r w:rsidRPr="000C7437">
              <w:rPr>
                <w:lang w:val="en-AU"/>
              </w:rPr>
              <w:t>302.6</w:t>
            </w:r>
          </w:p>
        </w:tc>
      </w:tr>
      <w:tr w:rsidR="00C01A50" w:rsidRPr="000C7437" w14:paraId="12219CA8" w14:textId="77777777">
        <w:tc>
          <w:tcPr>
            <w:tcW w:w="709" w:type="dxa"/>
            <w:tcBorders>
              <w:top w:val="single" w:sz="4" w:space="0" w:color="auto"/>
              <w:left w:val="single" w:sz="12" w:space="0" w:color="auto"/>
              <w:bottom w:val="single" w:sz="12" w:space="0" w:color="auto"/>
            </w:tcBorders>
          </w:tcPr>
          <w:p w14:paraId="448EA2CB" w14:textId="77777777" w:rsidR="00C01A50" w:rsidRPr="000C7437" w:rsidRDefault="00C01A50" w:rsidP="00B80EB7">
            <w:pPr>
              <w:spacing w:before="0" w:after="0"/>
            </w:pPr>
            <w:r w:rsidRPr="000C7437">
              <w:t>SA</w:t>
            </w:r>
          </w:p>
        </w:tc>
        <w:tc>
          <w:tcPr>
            <w:tcW w:w="1701" w:type="dxa"/>
            <w:tcBorders>
              <w:top w:val="single" w:sz="4" w:space="0" w:color="auto"/>
              <w:bottom w:val="single" w:sz="12" w:space="0" w:color="auto"/>
            </w:tcBorders>
          </w:tcPr>
          <w:p w14:paraId="2F081C24" w14:textId="77777777" w:rsidR="00C01A50" w:rsidRPr="000C7437" w:rsidRDefault="00C01A50" w:rsidP="00B80EB7">
            <w:pPr>
              <w:spacing w:before="0" w:after="0"/>
            </w:pPr>
            <w:r w:rsidRPr="000C7437">
              <w:t>Murray</w:t>
            </w:r>
          </w:p>
        </w:tc>
        <w:tc>
          <w:tcPr>
            <w:tcW w:w="1415" w:type="dxa"/>
            <w:tcBorders>
              <w:top w:val="single" w:sz="4" w:space="0" w:color="auto"/>
              <w:bottom w:val="single" w:sz="12" w:space="0" w:color="auto"/>
              <w:right w:val="single" w:sz="12" w:space="0" w:color="auto"/>
            </w:tcBorders>
          </w:tcPr>
          <w:p w14:paraId="652C551C" w14:textId="77777777" w:rsidR="00C01A50" w:rsidRPr="000C7437" w:rsidRDefault="00C01A50" w:rsidP="00B80EB7">
            <w:pPr>
              <w:spacing w:before="0" w:after="0"/>
            </w:pPr>
            <w:r w:rsidRPr="000C7437">
              <w:t>High</w:t>
            </w:r>
          </w:p>
        </w:tc>
        <w:tc>
          <w:tcPr>
            <w:tcW w:w="1048" w:type="dxa"/>
            <w:tcBorders>
              <w:top w:val="single" w:sz="4" w:space="0" w:color="auto"/>
              <w:left w:val="single" w:sz="12" w:space="0" w:color="auto"/>
              <w:bottom w:val="single" w:sz="12" w:space="0" w:color="auto"/>
              <w:right w:val="single" w:sz="12" w:space="0" w:color="auto"/>
            </w:tcBorders>
            <w:vAlign w:val="center"/>
          </w:tcPr>
          <w:p w14:paraId="70CA10AD" w14:textId="77777777" w:rsidR="00C01A50" w:rsidRPr="000C7437" w:rsidRDefault="00C01A50" w:rsidP="00B80EB7">
            <w:pPr>
              <w:spacing w:before="0" w:after="0"/>
              <w:rPr>
                <w:lang w:val="en-AU"/>
              </w:rPr>
            </w:pPr>
            <w:r w:rsidRPr="000C7437">
              <w:rPr>
                <w:lang w:val="en-AU"/>
              </w:rPr>
              <w:t>0.0</w:t>
            </w:r>
          </w:p>
        </w:tc>
        <w:tc>
          <w:tcPr>
            <w:tcW w:w="1080" w:type="dxa"/>
            <w:tcBorders>
              <w:top w:val="single" w:sz="4" w:space="0" w:color="auto"/>
              <w:left w:val="single" w:sz="12" w:space="0" w:color="auto"/>
              <w:bottom w:val="single" w:sz="12" w:space="0" w:color="auto"/>
              <w:right w:val="single" w:sz="12" w:space="0" w:color="auto"/>
            </w:tcBorders>
            <w:vAlign w:val="center"/>
          </w:tcPr>
          <w:p w14:paraId="12EEA035" w14:textId="77777777" w:rsidR="00C01A50" w:rsidRPr="000C7437" w:rsidRDefault="00C01A50" w:rsidP="00B80EB7">
            <w:pPr>
              <w:spacing w:before="0" w:after="0"/>
              <w:rPr>
                <w:lang w:val="en-AU"/>
              </w:rPr>
            </w:pPr>
            <w:r w:rsidRPr="000C7437">
              <w:rPr>
                <w:lang w:val="en-AU"/>
              </w:rPr>
              <w:t>44.6</w:t>
            </w:r>
          </w:p>
        </w:tc>
        <w:tc>
          <w:tcPr>
            <w:tcW w:w="1134" w:type="dxa"/>
            <w:tcBorders>
              <w:top w:val="single" w:sz="4" w:space="0" w:color="auto"/>
              <w:left w:val="single" w:sz="12" w:space="0" w:color="auto"/>
              <w:bottom w:val="single" w:sz="12" w:space="0" w:color="auto"/>
            </w:tcBorders>
            <w:vAlign w:val="center"/>
          </w:tcPr>
          <w:p w14:paraId="6784BF55" w14:textId="77777777" w:rsidR="00C01A50" w:rsidRPr="000C7437" w:rsidRDefault="00C01A50" w:rsidP="00B80EB7">
            <w:pPr>
              <w:spacing w:before="0" w:after="0"/>
              <w:rPr>
                <w:lang w:val="en-AU"/>
              </w:rPr>
            </w:pPr>
            <w:r w:rsidRPr="000C7437">
              <w:rPr>
                <w:lang w:val="en-AU"/>
              </w:rPr>
              <w:t>44.6</w:t>
            </w:r>
          </w:p>
        </w:tc>
        <w:tc>
          <w:tcPr>
            <w:tcW w:w="1134" w:type="dxa"/>
            <w:tcBorders>
              <w:top w:val="single" w:sz="4" w:space="0" w:color="auto"/>
              <w:bottom w:val="single" w:sz="12" w:space="0" w:color="auto"/>
            </w:tcBorders>
            <w:vAlign w:val="center"/>
          </w:tcPr>
          <w:p w14:paraId="6AAD14EA" w14:textId="77777777" w:rsidR="00C01A50" w:rsidRPr="000C7437" w:rsidRDefault="00C01A50" w:rsidP="00B80EB7">
            <w:pPr>
              <w:spacing w:before="0" w:after="0"/>
              <w:rPr>
                <w:lang w:val="en-AU"/>
              </w:rPr>
            </w:pPr>
            <w:r w:rsidRPr="000C7437">
              <w:rPr>
                <w:lang w:val="en-AU"/>
              </w:rPr>
              <w:t>25.7</w:t>
            </w:r>
          </w:p>
        </w:tc>
        <w:tc>
          <w:tcPr>
            <w:tcW w:w="846" w:type="dxa"/>
            <w:tcBorders>
              <w:top w:val="single" w:sz="4" w:space="0" w:color="auto"/>
              <w:bottom w:val="single" w:sz="12" w:space="0" w:color="auto"/>
              <w:right w:val="single" w:sz="12" w:space="0" w:color="auto"/>
            </w:tcBorders>
            <w:vAlign w:val="center"/>
          </w:tcPr>
          <w:p w14:paraId="0D084A93" w14:textId="77777777" w:rsidR="00C01A50" w:rsidRPr="000C7437" w:rsidRDefault="00C01A50" w:rsidP="00B80EB7">
            <w:pPr>
              <w:spacing w:before="0" w:after="0"/>
              <w:rPr>
                <w:lang w:val="en-AU"/>
              </w:rPr>
            </w:pPr>
            <w:r w:rsidRPr="000C7437">
              <w:rPr>
                <w:lang w:val="en-AU"/>
              </w:rPr>
              <w:t>70.2</w:t>
            </w:r>
          </w:p>
        </w:tc>
      </w:tr>
    </w:tbl>
    <w:p w14:paraId="2E8395CD" w14:textId="77777777" w:rsidR="00C01A50" w:rsidRDefault="00C01A50" w:rsidP="00A17DEB">
      <w:pPr>
        <w:spacing w:before="0" w:after="0" w:line="240" w:lineRule="auto"/>
        <w:rPr>
          <w:lang w:val="en-AU"/>
        </w:rPr>
      </w:pPr>
    </w:p>
    <w:p w14:paraId="091698DE" w14:textId="77777777" w:rsidR="00C01A50" w:rsidRPr="00493A62" w:rsidRDefault="00C01A50" w:rsidP="00A17DEB">
      <w:pPr>
        <w:rPr>
          <w:i/>
          <w:lang w:val="en-AU"/>
        </w:rPr>
      </w:pPr>
      <w:r>
        <w:rPr>
          <w:i/>
          <w:lang w:val="en-AU"/>
        </w:rPr>
        <w:t xml:space="preserve">sMDB irrigation water availability </w:t>
      </w:r>
    </w:p>
    <w:p w14:paraId="42F32363" w14:textId="77777777" w:rsidR="00C01A50" w:rsidRDefault="00C01A50" w:rsidP="00A17DEB">
      <w:pPr>
        <w:spacing w:before="0" w:after="0" w:line="240" w:lineRule="auto"/>
        <w:rPr>
          <w:lang w:val="en-AU"/>
        </w:rPr>
      </w:pPr>
      <w:r>
        <w:rPr>
          <w:lang w:val="en-AU"/>
        </w:rPr>
        <w:t xml:space="preserve">Based on the above analysis water availability for irrigation in the sMDB before the Basin Plan (30 June 2007), currently (October 2016) and at the completion of Basin Plan water recovery for the three water </w:t>
      </w:r>
      <w:r>
        <w:rPr>
          <w:lang w:val="en-AU"/>
        </w:rPr>
        <w:lastRenderedPageBreak/>
        <w:t xml:space="preserve">recovery scenarios is present in Table X (LTAAY) and Table Y (entitlement volume). The volumes are for the major entitlements in the sMDB: </w:t>
      </w:r>
    </w:p>
    <w:p w14:paraId="04A16349" w14:textId="77777777" w:rsidR="00C01A50" w:rsidRDefault="00C01A50" w:rsidP="00302BD9">
      <w:pPr>
        <w:pStyle w:val="ListParagraph"/>
        <w:numPr>
          <w:ilvl w:val="0"/>
          <w:numId w:val="30"/>
        </w:numPr>
        <w:spacing w:before="0" w:after="0" w:line="240" w:lineRule="auto"/>
        <w:rPr>
          <w:lang w:val="en-AU"/>
        </w:rPr>
      </w:pPr>
      <w:r>
        <w:rPr>
          <w:lang w:val="en-AU"/>
        </w:rPr>
        <w:t>Victorian HRWS</w:t>
      </w:r>
    </w:p>
    <w:p w14:paraId="3E6AA496" w14:textId="77777777" w:rsidR="00C01A50" w:rsidRDefault="00C01A50" w:rsidP="00302BD9">
      <w:pPr>
        <w:pStyle w:val="ListParagraph"/>
        <w:numPr>
          <w:ilvl w:val="0"/>
          <w:numId w:val="30"/>
        </w:numPr>
        <w:spacing w:before="0" w:after="0" w:line="240" w:lineRule="auto"/>
        <w:rPr>
          <w:lang w:val="en-AU"/>
        </w:rPr>
      </w:pPr>
      <w:r>
        <w:rPr>
          <w:lang w:val="en-AU"/>
        </w:rPr>
        <w:t>Victorian LRWS</w:t>
      </w:r>
    </w:p>
    <w:p w14:paraId="1C38E9C2" w14:textId="77777777" w:rsidR="00C01A50" w:rsidRDefault="00C01A50" w:rsidP="00302BD9">
      <w:pPr>
        <w:pStyle w:val="ListParagraph"/>
        <w:numPr>
          <w:ilvl w:val="0"/>
          <w:numId w:val="30"/>
        </w:numPr>
        <w:spacing w:before="0" w:after="0" w:line="240" w:lineRule="auto"/>
        <w:rPr>
          <w:lang w:val="en-AU"/>
        </w:rPr>
      </w:pPr>
      <w:r>
        <w:rPr>
          <w:lang w:val="en-AU"/>
        </w:rPr>
        <w:t>NSW High security</w:t>
      </w:r>
    </w:p>
    <w:p w14:paraId="4E6C7418" w14:textId="77777777" w:rsidR="00C01A50" w:rsidRDefault="00C01A50" w:rsidP="00302BD9">
      <w:pPr>
        <w:pStyle w:val="ListParagraph"/>
        <w:numPr>
          <w:ilvl w:val="0"/>
          <w:numId w:val="30"/>
        </w:numPr>
        <w:spacing w:before="0" w:after="0" w:line="240" w:lineRule="auto"/>
        <w:rPr>
          <w:lang w:val="en-AU"/>
        </w:rPr>
      </w:pPr>
      <w:r>
        <w:rPr>
          <w:lang w:val="en-AU"/>
        </w:rPr>
        <w:t>NSW General security</w:t>
      </w:r>
    </w:p>
    <w:p w14:paraId="31AE9489" w14:textId="77777777" w:rsidR="00C01A50" w:rsidRPr="004F53D2" w:rsidRDefault="00C01A50" w:rsidP="00A17DEB">
      <w:pPr>
        <w:pStyle w:val="ListParagraph"/>
        <w:numPr>
          <w:ilvl w:val="0"/>
          <w:numId w:val="30"/>
        </w:numPr>
        <w:spacing w:before="0" w:after="0" w:line="240" w:lineRule="auto"/>
        <w:rPr>
          <w:lang w:val="en-AU"/>
        </w:rPr>
      </w:pPr>
      <w:r>
        <w:rPr>
          <w:lang w:val="en-AU"/>
        </w:rPr>
        <w:t>SA High security</w:t>
      </w:r>
    </w:p>
    <w:p w14:paraId="1185211E" w14:textId="77777777" w:rsidR="00C01A50" w:rsidRPr="00B1181A" w:rsidRDefault="00C01A50" w:rsidP="00A17DEB">
      <w:pPr>
        <w:pStyle w:val="Caption"/>
      </w:pPr>
      <w:bookmarkStart w:id="263" w:name="_Ref467616952"/>
      <w:r>
        <w:t xml:space="preserve">Table </w:t>
      </w:r>
      <w:r>
        <w:fldChar w:fldCharType="begin"/>
      </w:r>
      <w:r>
        <w:instrText xml:space="preserve"> SEQ Table \* ARABIC </w:instrText>
      </w:r>
      <w:r>
        <w:fldChar w:fldCharType="separate"/>
      </w:r>
      <w:r w:rsidR="008E5D7A">
        <w:rPr>
          <w:noProof/>
        </w:rPr>
        <w:t>28</w:t>
      </w:r>
      <w:r>
        <w:fldChar w:fldCharType="end"/>
      </w:r>
      <w:bookmarkEnd w:id="263"/>
      <w:r w:rsidR="001D5F13">
        <w:t>:</w:t>
      </w:r>
      <w:r>
        <w:t xml:space="preserve"> </w:t>
      </w:r>
      <w:r w:rsidRPr="00F94347">
        <w:t>Water availability for irrigation from the five major entitlement types in the sMDB pre and post Basin Plan for three water recovery scen</w:t>
      </w:r>
      <w:r>
        <w:t>arios</w:t>
      </w:r>
      <w:r w:rsidRPr="00493A62">
        <w:rPr>
          <w:vertAlign w:val="superscript"/>
        </w:rPr>
        <w:t>1</w:t>
      </w:r>
      <w:r>
        <w:t>. Figures are in GL LTAAY</w:t>
      </w:r>
    </w:p>
    <w:tbl>
      <w:tblPr>
        <w:tblW w:w="5000" w:type="pct"/>
        <w:tblLook w:val="04A0" w:firstRow="1" w:lastRow="0" w:firstColumn="1" w:lastColumn="0" w:noHBand="0" w:noVBand="1"/>
      </w:tblPr>
      <w:tblGrid>
        <w:gridCol w:w="2337"/>
        <w:gridCol w:w="1558"/>
        <w:gridCol w:w="833"/>
        <w:gridCol w:w="912"/>
        <w:gridCol w:w="1170"/>
        <w:gridCol w:w="1170"/>
        <w:gridCol w:w="1168"/>
      </w:tblGrid>
      <w:tr w:rsidR="00C01A50" w:rsidRPr="00823FB0" w14:paraId="51ADBD3A" w14:textId="77777777" w:rsidTr="004513DF">
        <w:trPr>
          <w:trHeight w:val="585"/>
        </w:trPr>
        <w:tc>
          <w:tcPr>
            <w:tcW w:w="874" w:type="pct"/>
            <w:tcBorders>
              <w:top w:val="single" w:sz="12" w:space="0" w:color="auto"/>
              <w:left w:val="single" w:sz="12" w:space="0" w:color="auto"/>
              <w:bottom w:val="single" w:sz="12" w:space="0" w:color="auto"/>
              <w:right w:val="single" w:sz="4" w:space="0" w:color="auto"/>
            </w:tcBorders>
            <w:shd w:val="clear" w:color="auto" w:fill="auto"/>
            <w:noWrap/>
            <w:vAlign w:val="center"/>
          </w:tcPr>
          <w:p w14:paraId="3B542B1B" w14:textId="77777777" w:rsidR="00C01A50" w:rsidRPr="00823FB0" w:rsidRDefault="00C01A50" w:rsidP="00B80EB7">
            <w:pPr>
              <w:spacing w:after="0" w:line="240" w:lineRule="auto"/>
              <w:rPr>
                <w:b/>
                <w:bCs/>
                <w:color w:val="000000"/>
                <w:lang w:eastAsia="en-AU"/>
              </w:rPr>
            </w:pPr>
            <w:r w:rsidRPr="00823FB0">
              <w:rPr>
                <w:b/>
                <w:bCs/>
                <w:color w:val="000000"/>
                <w:lang w:eastAsia="en-AU"/>
              </w:rPr>
              <w:t>SDL Resource Unit</w:t>
            </w:r>
          </w:p>
        </w:tc>
        <w:tc>
          <w:tcPr>
            <w:tcW w:w="617" w:type="pct"/>
            <w:tcBorders>
              <w:top w:val="single" w:sz="12" w:space="0" w:color="auto"/>
              <w:left w:val="nil"/>
              <w:bottom w:val="single" w:sz="12" w:space="0" w:color="auto"/>
              <w:right w:val="nil"/>
            </w:tcBorders>
            <w:shd w:val="clear" w:color="auto" w:fill="auto"/>
            <w:vAlign w:val="center"/>
          </w:tcPr>
          <w:p w14:paraId="27066EEC"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Entitlement type</w:t>
            </w:r>
          </w:p>
        </w:tc>
        <w:tc>
          <w:tcPr>
            <w:tcW w:w="619" w:type="pct"/>
            <w:tcBorders>
              <w:top w:val="single" w:sz="12" w:space="0" w:color="auto"/>
              <w:left w:val="single" w:sz="12" w:space="0" w:color="auto"/>
              <w:bottom w:val="single" w:sz="12" w:space="0" w:color="auto"/>
              <w:right w:val="single" w:sz="4" w:space="0" w:color="auto"/>
            </w:tcBorders>
            <w:shd w:val="clear" w:color="auto" w:fill="auto"/>
            <w:vAlign w:val="center"/>
          </w:tcPr>
          <w:p w14:paraId="3CDA0B7B" w14:textId="77777777" w:rsidR="00C01A50" w:rsidRDefault="00C01A50" w:rsidP="00B80EB7">
            <w:pPr>
              <w:spacing w:after="0" w:line="240" w:lineRule="auto"/>
              <w:jc w:val="center"/>
              <w:rPr>
                <w:b/>
                <w:bCs/>
                <w:color w:val="000000"/>
                <w:lang w:eastAsia="en-AU"/>
              </w:rPr>
            </w:pPr>
            <w:r w:rsidRPr="00823FB0">
              <w:rPr>
                <w:b/>
                <w:bCs/>
                <w:color w:val="000000"/>
                <w:lang w:eastAsia="en-AU"/>
              </w:rPr>
              <w:t>Pre Basin Plan</w:t>
            </w:r>
          </w:p>
          <w:p w14:paraId="13F74CEC"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(30 June 2007)</w:t>
            </w:r>
            <w:r>
              <w:rPr>
                <w:b/>
                <w:bCs/>
                <w:color w:val="000000"/>
                <w:vertAlign w:val="superscript"/>
                <w:lang w:eastAsia="en-AU"/>
              </w:rPr>
              <w:t>2</w:t>
            </w:r>
          </w:p>
        </w:tc>
        <w:tc>
          <w:tcPr>
            <w:tcW w:w="482" w:type="pct"/>
            <w:tcBorders>
              <w:top w:val="single" w:sz="12" w:space="0" w:color="auto"/>
              <w:left w:val="nil"/>
              <w:bottom w:val="single" w:sz="12" w:space="0" w:color="auto"/>
              <w:right w:val="single" w:sz="4" w:space="0" w:color="auto"/>
            </w:tcBorders>
            <w:shd w:val="clear" w:color="auto" w:fill="auto"/>
            <w:vAlign w:val="center"/>
          </w:tcPr>
          <w:p w14:paraId="114EA80B" w14:textId="77777777" w:rsidR="00C01A50" w:rsidRDefault="00C01A50" w:rsidP="00B80EB7">
            <w:pPr>
              <w:spacing w:after="0" w:line="240" w:lineRule="auto"/>
              <w:jc w:val="center"/>
              <w:rPr>
                <w:b/>
                <w:bCs/>
                <w:color w:val="000000"/>
                <w:lang w:eastAsia="en-AU"/>
              </w:rPr>
            </w:pPr>
            <w:r>
              <w:rPr>
                <w:b/>
                <w:bCs/>
                <w:color w:val="000000"/>
                <w:lang w:eastAsia="en-AU"/>
              </w:rPr>
              <w:t>Current</w:t>
            </w:r>
          </w:p>
          <w:p w14:paraId="11916B37" w14:textId="77777777" w:rsidR="00C01A50" w:rsidRPr="00823FB0" w:rsidRDefault="00C01A50" w:rsidP="00B80EB7">
            <w:pPr>
              <w:spacing w:after="0" w:line="240" w:lineRule="auto"/>
              <w:jc w:val="center"/>
              <w:rPr>
                <w:b/>
                <w:bCs/>
                <w:color w:val="000000"/>
                <w:lang w:eastAsia="en-AU"/>
              </w:rPr>
            </w:pPr>
            <w:r>
              <w:rPr>
                <w:b/>
                <w:bCs/>
                <w:color w:val="000000"/>
                <w:lang w:eastAsia="en-AU"/>
              </w:rPr>
              <w:t>(</w:t>
            </w:r>
            <w:r w:rsidRPr="00823FB0">
              <w:rPr>
                <w:b/>
                <w:bCs/>
                <w:color w:val="000000"/>
                <w:lang w:eastAsia="en-AU"/>
              </w:rPr>
              <w:t>Oct 2016)</w:t>
            </w:r>
            <w:r>
              <w:rPr>
                <w:b/>
                <w:bCs/>
                <w:color w:val="000000"/>
                <w:vertAlign w:val="superscript"/>
                <w:lang w:eastAsia="en-AU"/>
              </w:rPr>
              <w:t>3</w:t>
            </w:r>
          </w:p>
        </w:tc>
        <w:tc>
          <w:tcPr>
            <w:tcW w:w="803" w:type="pct"/>
            <w:tcBorders>
              <w:top w:val="single" w:sz="12" w:space="0" w:color="auto"/>
              <w:left w:val="nil"/>
              <w:bottom w:val="single" w:sz="12" w:space="0" w:color="auto"/>
              <w:right w:val="single" w:sz="4" w:space="0" w:color="auto"/>
            </w:tcBorders>
            <w:shd w:val="clear" w:color="auto" w:fill="auto"/>
            <w:vAlign w:val="center"/>
          </w:tcPr>
          <w:p w14:paraId="12CADFD2" w14:textId="77777777" w:rsidR="00C01A50" w:rsidRDefault="00C01A50" w:rsidP="00B80EB7">
            <w:pPr>
              <w:spacing w:after="0" w:line="240" w:lineRule="auto"/>
              <w:jc w:val="center"/>
              <w:rPr>
                <w:b/>
                <w:bCs/>
                <w:color w:val="000000"/>
                <w:lang w:eastAsia="en-AU"/>
              </w:rPr>
            </w:pPr>
            <w:r w:rsidRPr="00823FB0">
              <w:rPr>
                <w:b/>
                <w:bCs/>
                <w:color w:val="000000"/>
                <w:lang w:eastAsia="en-AU"/>
              </w:rPr>
              <w:t>LOW</w:t>
            </w:r>
          </w:p>
          <w:p w14:paraId="0BF92FAB" w14:textId="77777777" w:rsidR="00C01A50" w:rsidRPr="00823FB0" w:rsidRDefault="00C01A50" w:rsidP="00B80EB7">
            <w:pPr>
              <w:spacing w:after="0" w:line="240" w:lineRule="auto"/>
              <w:jc w:val="center"/>
              <w:rPr>
                <w:b/>
                <w:bCs/>
                <w:color w:val="000000"/>
                <w:lang w:eastAsia="en-AU"/>
              </w:rPr>
            </w:pPr>
            <w:r>
              <w:rPr>
                <w:b/>
                <w:bCs/>
                <w:color w:val="000000"/>
                <w:lang w:eastAsia="en-AU"/>
              </w:rPr>
              <w:t>(2,100 GL recovery)</w:t>
            </w:r>
          </w:p>
        </w:tc>
        <w:tc>
          <w:tcPr>
            <w:tcW w:w="803" w:type="pct"/>
            <w:tcBorders>
              <w:top w:val="single" w:sz="12" w:space="0" w:color="auto"/>
              <w:left w:val="nil"/>
              <w:bottom w:val="single" w:sz="12" w:space="0" w:color="auto"/>
              <w:right w:val="single" w:sz="4" w:space="0" w:color="auto"/>
            </w:tcBorders>
            <w:shd w:val="clear" w:color="auto" w:fill="auto"/>
            <w:vAlign w:val="center"/>
          </w:tcPr>
          <w:p w14:paraId="71A66552" w14:textId="77777777" w:rsidR="00C01A50" w:rsidRDefault="00C01A50" w:rsidP="00B80EB7">
            <w:pPr>
              <w:spacing w:after="0" w:line="240" w:lineRule="auto"/>
              <w:jc w:val="center"/>
              <w:rPr>
                <w:b/>
                <w:bCs/>
                <w:color w:val="000000"/>
                <w:lang w:eastAsia="en-AU"/>
              </w:rPr>
            </w:pPr>
            <w:r w:rsidRPr="00823FB0">
              <w:rPr>
                <w:b/>
                <w:bCs/>
                <w:color w:val="000000"/>
                <w:lang w:eastAsia="en-AU"/>
              </w:rPr>
              <w:t>MEDIUM</w:t>
            </w:r>
          </w:p>
          <w:p w14:paraId="1789EF75" w14:textId="77777777" w:rsidR="00C01A50" w:rsidRPr="00823FB0" w:rsidRDefault="00C01A50" w:rsidP="00B80EB7">
            <w:pPr>
              <w:spacing w:after="0" w:line="240" w:lineRule="auto"/>
              <w:jc w:val="center"/>
              <w:rPr>
                <w:b/>
                <w:bCs/>
                <w:color w:val="000000"/>
                <w:lang w:eastAsia="en-AU"/>
              </w:rPr>
            </w:pPr>
            <w:r>
              <w:rPr>
                <w:b/>
                <w:bCs/>
                <w:color w:val="000000"/>
                <w:lang w:eastAsia="en-AU"/>
              </w:rPr>
              <w:t>(2,750 GL recovery)</w:t>
            </w:r>
          </w:p>
        </w:tc>
        <w:tc>
          <w:tcPr>
            <w:tcW w:w="803" w:type="pct"/>
            <w:tcBorders>
              <w:top w:val="single" w:sz="12" w:space="0" w:color="auto"/>
              <w:left w:val="nil"/>
              <w:bottom w:val="single" w:sz="12" w:space="0" w:color="auto"/>
              <w:right w:val="single" w:sz="12" w:space="0" w:color="auto"/>
            </w:tcBorders>
            <w:shd w:val="clear" w:color="auto" w:fill="auto"/>
            <w:vAlign w:val="center"/>
          </w:tcPr>
          <w:p w14:paraId="21B407F0" w14:textId="77777777" w:rsidR="00C01A50" w:rsidRDefault="00C01A50" w:rsidP="00B80EB7">
            <w:pPr>
              <w:spacing w:after="0" w:line="240" w:lineRule="auto"/>
              <w:jc w:val="center"/>
              <w:rPr>
                <w:b/>
                <w:bCs/>
                <w:color w:val="000000"/>
                <w:lang w:eastAsia="en-AU"/>
              </w:rPr>
            </w:pPr>
            <w:r w:rsidRPr="00823FB0">
              <w:rPr>
                <w:b/>
                <w:bCs/>
                <w:color w:val="000000"/>
                <w:lang w:eastAsia="en-AU"/>
              </w:rPr>
              <w:t>HIGH</w:t>
            </w:r>
          </w:p>
          <w:p w14:paraId="12A15104" w14:textId="77777777" w:rsidR="00C01A50" w:rsidRPr="00823FB0" w:rsidRDefault="00C01A50" w:rsidP="00B80EB7">
            <w:pPr>
              <w:spacing w:after="0" w:line="240" w:lineRule="auto"/>
              <w:jc w:val="center"/>
              <w:rPr>
                <w:b/>
                <w:bCs/>
                <w:color w:val="000000"/>
                <w:lang w:eastAsia="en-AU"/>
              </w:rPr>
            </w:pPr>
            <w:r>
              <w:rPr>
                <w:b/>
                <w:bCs/>
                <w:color w:val="000000"/>
                <w:lang w:eastAsia="en-AU"/>
              </w:rPr>
              <w:t>(3,200 GL recovery)</w:t>
            </w:r>
          </w:p>
        </w:tc>
      </w:tr>
      <w:tr w:rsidR="00C01A50" w:rsidRPr="00823FB0" w14:paraId="06E30236" w14:textId="77777777" w:rsidTr="004513DF">
        <w:trPr>
          <w:trHeight w:val="293"/>
        </w:trPr>
        <w:tc>
          <w:tcPr>
            <w:tcW w:w="874" w:type="pct"/>
            <w:tcBorders>
              <w:top w:val="nil"/>
              <w:left w:val="single" w:sz="12" w:space="0" w:color="auto"/>
              <w:bottom w:val="nil"/>
              <w:right w:val="single" w:sz="4" w:space="0" w:color="auto"/>
            </w:tcBorders>
            <w:shd w:val="clear" w:color="auto" w:fill="auto"/>
            <w:noWrap/>
            <w:vAlign w:val="center"/>
          </w:tcPr>
          <w:p w14:paraId="11412B72" w14:textId="77777777" w:rsidR="00C01A50" w:rsidRPr="00823FB0" w:rsidRDefault="00C01A50" w:rsidP="00B80EB7">
            <w:pPr>
              <w:spacing w:after="0" w:line="240" w:lineRule="auto"/>
              <w:rPr>
                <w:color w:val="000000"/>
                <w:sz w:val="20"/>
                <w:lang w:eastAsia="en-AU"/>
              </w:rPr>
            </w:pPr>
            <w:r w:rsidRPr="00823FB0">
              <w:rPr>
                <w:color w:val="000000"/>
                <w:sz w:val="20"/>
                <w:lang w:eastAsia="en-AU"/>
              </w:rPr>
              <w:t>Southern Basin NSW Zone</w:t>
            </w:r>
          </w:p>
        </w:tc>
        <w:tc>
          <w:tcPr>
            <w:tcW w:w="617" w:type="pct"/>
            <w:tcBorders>
              <w:top w:val="nil"/>
              <w:left w:val="nil"/>
              <w:bottom w:val="nil"/>
              <w:right w:val="nil"/>
            </w:tcBorders>
            <w:shd w:val="clear" w:color="auto" w:fill="auto"/>
            <w:noWrap/>
            <w:vAlign w:val="center"/>
          </w:tcPr>
          <w:p w14:paraId="0C2C71EF" w14:textId="77777777" w:rsidR="00C01A50" w:rsidRPr="00823FB0" w:rsidRDefault="00C01A50" w:rsidP="00B80EB7">
            <w:pPr>
              <w:spacing w:after="0" w:line="240" w:lineRule="auto"/>
              <w:rPr>
                <w:color w:val="000000"/>
                <w:sz w:val="20"/>
                <w:lang w:eastAsia="en-AU"/>
              </w:rPr>
            </w:pPr>
            <w:r w:rsidRPr="00823FB0">
              <w:rPr>
                <w:color w:val="000000"/>
                <w:sz w:val="20"/>
                <w:lang w:eastAsia="en-AU"/>
              </w:rPr>
              <w:t>High</w:t>
            </w:r>
          </w:p>
        </w:tc>
        <w:tc>
          <w:tcPr>
            <w:tcW w:w="619" w:type="pct"/>
            <w:tcBorders>
              <w:top w:val="nil"/>
              <w:left w:val="single" w:sz="12" w:space="0" w:color="auto"/>
              <w:bottom w:val="nil"/>
              <w:right w:val="single" w:sz="4" w:space="0" w:color="auto"/>
            </w:tcBorders>
            <w:shd w:val="clear" w:color="auto" w:fill="auto"/>
            <w:noWrap/>
            <w:vAlign w:val="center"/>
          </w:tcPr>
          <w:p w14:paraId="201B962C" w14:textId="77777777" w:rsidR="00C01A50" w:rsidRPr="00823FB0" w:rsidRDefault="00C01A50" w:rsidP="00B80EB7">
            <w:pPr>
              <w:spacing w:after="0" w:line="240" w:lineRule="auto"/>
              <w:jc w:val="center"/>
              <w:rPr>
                <w:color w:val="000000"/>
                <w:lang w:eastAsia="en-AU"/>
              </w:rPr>
            </w:pPr>
            <w:r w:rsidRPr="00823FB0">
              <w:rPr>
                <w:color w:val="000000"/>
                <w:lang w:eastAsia="en-AU"/>
              </w:rPr>
              <w:t>474</w:t>
            </w:r>
          </w:p>
        </w:tc>
        <w:tc>
          <w:tcPr>
            <w:tcW w:w="482" w:type="pct"/>
            <w:tcBorders>
              <w:top w:val="nil"/>
              <w:left w:val="nil"/>
              <w:bottom w:val="single" w:sz="4" w:space="0" w:color="auto"/>
              <w:right w:val="single" w:sz="4" w:space="0" w:color="auto"/>
            </w:tcBorders>
            <w:shd w:val="clear" w:color="auto" w:fill="auto"/>
            <w:noWrap/>
            <w:vAlign w:val="center"/>
          </w:tcPr>
          <w:p w14:paraId="5D5CE03D" w14:textId="77777777" w:rsidR="00C01A50" w:rsidRPr="00823FB0" w:rsidRDefault="00C01A50" w:rsidP="00B80EB7">
            <w:pPr>
              <w:spacing w:after="0" w:line="240" w:lineRule="auto"/>
              <w:jc w:val="center"/>
              <w:rPr>
                <w:color w:val="000000"/>
                <w:lang w:eastAsia="en-AU"/>
              </w:rPr>
            </w:pPr>
            <w:r w:rsidRPr="00823FB0">
              <w:rPr>
                <w:color w:val="000000"/>
                <w:lang w:eastAsia="en-AU"/>
              </w:rPr>
              <w:t>530</w:t>
            </w:r>
          </w:p>
        </w:tc>
        <w:tc>
          <w:tcPr>
            <w:tcW w:w="803" w:type="pct"/>
            <w:tcBorders>
              <w:top w:val="nil"/>
              <w:left w:val="nil"/>
              <w:bottom w:val="single" w:sz="4" w:space="0" w:color="auto"/>
              <w:right w:val="single" w:sz="4" w:space="0" w:color="auto"/>
            </w:tcBorders>
            <w:shd w:val="clear" w:color="auto" w:fill="auto"/>
            <w:noWrap/>
            <w:vAlign w:val="center"/>
          </w:tcPr>
          <w:p w14:paraId="4F135E39" w14:textId="77777777" w:rsidR="00C01A50" w:rsidRPr="00823FB0" w:rsidRDefault="00C01A50" w:rsidP="00B80EB7">
            <w:pPr>
              <w:spacing w:after="0" w:line="240" w:lineRule="auto"/>
              <w:jc w:val="center"/>
              <w:rPr>
                <w:color w:val="000000"/>
                <w:lang w:eastAsia="en-AU"/>
              </w:rPr>
            </w:pPr>
            <w:r w:rsidRPr="00823FB0">
              <w:rPr>
                <w:color w:val="000000"/>
                <w:lang w:eastAsia="en-AU"/>
              </w:rPr>
              <w:t>530</w:t>
            </w:r>
          </w:p>
        </w:tc>
        <w:tc>
          <w:tcPr>
            <w:tcW w:w="803" w:type="pct"/>
            <w:tcBorders>
              <w:top w:val="nil"/>
              <w:left w:val="nil"/>
              <w:bottom w:val="single" w:sz="4" w:space="0" w:color="auto"/>
              <w:right w:val="single" w:sz="4" w:space="0" w:color="auto"/>
            </w:tcBorders>
            <w:shd w:val="clear" w:color="auto" w:fill="auto"/>
            <w:noWrap/>
            <w:vAlign w:val="center"/>
          </w:tcPr>
          <w:p w14:paraId="35129749" w14:textId="77777777" w:rsidR="00C01A50" w:rsidRPr="00823FB0" w:rsidRDefault="00C01A50" w:rsidP="00B80EB7">
            <w:pPr>
              <w:spacing w:after="0" w:line="240" w:lineRule="auto"/>
              <w:jc w:val="center"/>
              <w:rPr>
                <w:color w:val="000000"/>
                <w:lang w:eastAsia="en-AU"/>
              </w:rPr>
            </w:pPr>
            <w:r w:rsidRPr="00823FB0">
              <w:rPr>
                <w:color w:val="000000"/>
                <w:lang w:eastAsia="en-AU"/>
              </w:rPr>
              <w:t>530</w:t>
            </w:r>
          </w:p>
        </w:tc>
        <w:tc>
          <w:tcPr>
            <w:tcW w:w="803" w:type="pct"/>
            <w:tcBorders>
              <w:top w:val="nil"/>
              <w:left w:val="nil"/>
              <w:bottom w:val="single" w:sz="4" w:space="0" w:color="auto"/>
              <w:right w:val="single" w:sz="12" w:space="0" w:color="auto"/>
            </w:tcBorders>
            <w:shd w:val="clear" w:color="auto" w:fill="auto"/>
            <w:noWrap/>
            <w:vAlign w:val="center"/>
          </w:tcPr>
          <w:p w14:paraId="2542988C" w14:textId="77777777" w:rsidR="00C01A50" w:rsidRPr="00823FB0" w:rsidRDefault="00C01A50" w:rsidP="00B80EB7">
            <w:pPr>
              <w:spacing w:after="0" w:line="240" w:lineRule="auto"/>
              <w:jc w:val="center"/>
              <w:rPr>
                <w:color w:val="000000"/>
                <w:lang w:eastAsia="en-AU"/>
              </w:rPr>
            </w:pPr>
            <w:r w:rsidRPr="00823FB0">
              <w:rPr>
                <w:color w:val="000000"/>
                <w:lang w:eastAsia="en-AU"/>
              </w:rPr>
              <w:t>530</w:t>
            </w:r>
          </w:p>
        </w:tc>
      </w:tr>
      <w:tr w:rsidR="00C01A50" w:rsidRPr="00823FB0" w14:paraId="19FCFD2D" w14:textId="77777777" w:rsidTr="004513DF">
        <w:trPr>
          <w:trHeight w:val="285"/>
        </w:trPr>
        <w:tc>
          <w:tcPr>
            <w:tcW w:w="874" w:type="pct"/>
            <w:tcBorders>
              <w:top w:val="nil"/>
              <w:left w:val="single" w:sz="12" w:space="0" w:color="auto"/>
              <w:bottom w:val="single" w:sz="4" w:space="0" w:color="auto"/>
              <w:right w:val="single" w:sz="4" w:space="0" w:color="auto"/>
            </w:tcBorders>
            <w:shd w:val="clear" w:color="auto" w:fill="auto"/>
            <w:noWrap/>
            <w:vAlign w:val="center"/>
          </w:tcPr>
          <w:p w14:paraId="4DD892CE" w14:textId="77777777" w:rsidR="00C01A50" w:rsidRPr="00823FB0" w:rsidRDefault="00C01A50" w:rsidP="00B80EB7">
            <w:pPr>
              <w:spacing w:after="0" w:line="240" w:lineRule="auto"/>
              <w:rPr>
                <w:color w:val="000000"/>
                <w:sz w:val="20"/>
                <w:lang w:eastAsia="en-AU"/>
              </w:rPr>
            </w:pPr>
            <w:r w:rsidRPr="00823FB0">
              <w:rPr>
                <w:color w:val="000000"/>
                <w:sz w:val="20"/>
                <w:lang w:eastAsia="en-AU"/>
              </w:rPr>
              <w:t> </w:t>
            </w:r>
          </w:p>
        </w:tc>
        <w:tc>
          <w:tcPr>
            <w:tcW w:w="617" w:type="pct"/>
            <w:tcBorders>
              <w:top w:val="single" w:sz="4" w:space="0" w:color="auto"/>
              <w:left w:val="nil"/>
              <w:bottom w:val="single" w:sz="4" w:space="0" w:color="auto"/>
              <w:right w:val="nil"/>
            </w:tcBorders>
            <w:shd w:val="clear" w:color="auto" w:fill="auto"/>
            <w:noWrap/>
            <w:vAlign w:val="center"/>
          </w:tcPr>
          <w:p w14:paraId="0884C3BA" w14:textId="77777777" w:rsidR="00C01A50" w:rsidRPr="00823FB0" w:rsidRDefault="00C01A50" w:rsidP="00B80EB7">
            <w:pPr>
              <w:spacing w:after="0" w:line="240" w:lineRule="auto"/>
              <w:rPr>
                <w:color w:val="000000"/>
                <w:sz w:val="20"/>
                <w:lang w:eastAsia="en-AU"/>
              </w:rPr>
            </w:pPr>
            <w:r w:rsidRPr="00823FB0">
              <w:rPr>
                <w:color w:val="000000"/>
                <w:sz w:val="20"/>
                <w:lang w:eastAsia="en-AU"/>
              </w:rPr>
              <w:t xml:space="preserve">General Security </w:t>
            </w:r>
          </w:p>
        </w:tc>
        <w:tc>
          <w:tcPr>
            <w:tcW w:w="619"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85576B5" w14:textId="77777777" w:rsidR="00C01A50" w:rsidRPr="00823FB0" w:rsidRDefault="00C01A50" w:rsidP="00B80EB7">
            <w:pPr>
              <w:spacing w:after="0" w:line="240" w:lineRule="auto"/>
              <w:jc w:val="center"/>
              <w:rPr>
                <w:color w:val="000000"/>
                <w:lang w:eastAsia="en-AU"/>
              </w:rPr>
            </w:pPr>
            <w:r w:rsidRPr="00823FB0">
              <w:rPr>
                <w:color w:val="000000"/>
                <w:lang w:eastAsia="en-AU"/>
              </w:rPr>
              <w:t>2,609</w:t>
            </w:r>
          </w:p>
        </w:tc>
        <w:tc>
          <w:tcPr>
            <w:tcW w:w="482" w:type="pct"/>
            <w:tcBorders>
              <w:top w:val="nil"/>
              <w:left w:val="nil"/>
              <w:bottom w:val="single" w:sz="4" w:space="0" w:color="auto"/>
              <w:right w:val="single" w:sz="4" w:space="0" w:color="auto"/>
            </w:tcBorders>
            <w:shd w:val="clear" w:color="auto" w:fill="auto"/>
            <w:noWrap/>
            <w:vAlign w:val="center"/>
          </w:tcPr>
          <w:p w14:paraId="31B7EA2D" w14:textId="77777777" w:rsidR="00C01A50" w:rsidRPr="00823FB0" w:rsidRDefault="00C01A50" w:rsidP="00B80EB7">
            <w:pPr>
              <w:spacing w:after="0" w:line="240" w:lineRule="auto"/>
              <w:jc w:val="center"/>
              <w:rPr>
                <w:color w:val="000000"/>
                <w:lang w:eastAsia="en-AU"/>
              </w:rPr>
            </w:pPr>
            <w:r w:rsidRPr="00823FB0">
              <w:rPr>
                <w:color w:val="000000"/>
                <w:lang w:eastAsia="en-AU"/>
              </w:rPr>
              <w:t>1,921</w:t>
            </w:r>
          </w:p>
        </w:tc>
        <w:tc>
          <w:tcPr>
            <w:tcW w:w="803" w:type="pct"/>
            <w:tcBorders>
              <w:top w:val="nil"/>
              <w:left w:val="nil"/>
              <w:bottom w:val="single" w:sz="4" w:space="0" w:color="auto"/>
              <w:right w:val="single" w:sz="4" w:space="0" w:color="auto"/>
            </w:tcBorders>
            <w:shd w:val="clear" w:color="auto" w:fill="auto"/>
            <w:noWrap/>
            <w:vAlign w:val="center"/>
          </w:tcPr>
          <w:p w14:paraId="779F93D1" w14:textId="77777777" w:rsidR="00C01A50" w:rsidRPr="00823FB0" w:rsidRDefault="00C01A50" w:rsidP="00B80EB7">
            <w:pPr>
              <w:spacing w:after="0" w:line="240" w:lineRule="auto"/>
              <w:jc w:val="center"/>
              <w:rPr>
                <w:color w:val="000000"/>
                <w:lang w:eastAsia="en-AU"/>
              </w:rPr>
            </w:pPr>
            <w:r w:rsidRPr="00823FB0">
              <w:rPr>
                <w:color w:val="000000"/>
                <w:lang w:eastAsia="en-AU"/>
              </w:rPr>
              <w:t>1,853</w:t>
            </w:r>
          </w:p>
        </w:tc>
        <w:tc>
          <w:tcPr>
            <w:tcW w:w="803" w:type="pct"/>
            <w:tcBorders>
              <w:top w:val="nil"/>
              <w:left w:val="nil"/>
              <w:bottom w:val="single" w:sz="4" w:space="0" w:color="auto"/>
              <w:right w:val="single" w:sz="4" w:space="0" w:color="auto"/>
            </w:tcBorders>
            <w:shd w:val="clear" w:color="auto" w:fill="auto"/>
            <w:noWrap/>
            <w:vAlign w:val="center"/>
          </w:tcPr>
          <w:p w14:paraId="3FF6A01A" w14:textId="77777777" w:rsidR="00C01A50" w:rsidRPr="00823FB0" w:rsidRDefault="00C01A50" w:rsidP="00B80EB7">
            <w:pPr>
              <w:spacing w:after="0" w:line="240" w:lineRule="auto"/>
              <w:jc w:val="center"/>
              <w:rPr>
                <w:color w:val="000000"/>
                <w:lang w:eastAsia="en-AU"/>
              </w:rPr>
            </w:pPr>
            <w:r>
              <w:rPr>
                <w:color w:val="000000"/>
                <w:lang w:eastAsia="en-AU"/>
              </w:rPr>
              <w:t>1,563</w:t>
            </w:r>
          </w:p>
        </w:tc>
        <w:tc>
          <w:tcPr>
            <w:tcW w:w="803" w:type="pct"/>
            <w:tcBorders>
              <w:top w:val="nil"/>
              <w:left w:val="nil"/>
              <w:bottom w:val="single" w:sz="4" w:space="0" w:color="auto"/>
              <w:right w:val="single" w:sz="12" w:space="0" w:color="auto"/>
            </w:tcBorders>
            <w:shd w:val="clear" w:color="auto" w:fill="auto"/>
            <w:noWrap/>
            <w:vAlign w:val="center"/>
          </w:tcPr>
          <w:p w14:paraId="7368E3ED" w14:textId="77777777" w:rsidR="00C01A50" w:rsidRPr="00823FB0" w:rsidRDefault="00C01A50" w:rsidP="00B80EB7">
            <w:pPr>
              <w:spacing w:after="0" w:line="240" w:lineRule="auto"/>
              <w:jc w:val="center"/>
              <w:rPr>
                <w:color w:val="000000"/>
                <w:lang w:eastAsia="en-AU"/>
              </w:rPr>
            </w:pPr>
            <w:r w:rsidRPr="00823FB0">
              <w:rPr>
                <w:color w:val="000000"/>
                <w:lang w:eastAsia="en-AU"/>
              </w:rPr>
              <w:t>1,398</w:t>
            </w:r>
          </w:p>
        </w:tc>
      </w:tr>
      <w:tr w:rsidR="00C01A50" w:rsidRPr="00823FB0" w14:paraId="4C0538CC" w14:textId="77777777" w:rsidTr="004513DF">
        <w:trPr>
          <w:trHeight w:val="285"/>
        </w:trPr>
        <w:tc>
          <w:tcPr>
            <w:tcW w:w="874" w:type="pct"/>
            <w:tcBorders>
              <w:top w:val="nil"/>
              <w:left w:val="single" w:sz="12" w:space="0" w:color="auto"/>
              <w:bottom w:val="nil"/>
              <w:right w:val="single" w:sz="4" w:space="0" w:color="auto"/>
            </w:tcBorders>
            <w:shd w:val="clear" w:color="auto" w:fill="auto"/>
            <w:noWrap/>
            <w:vAlign w:val="center"/>
          </w:tcPr>
          <w:p w14:paraId="1989676A" w14:textId="77777777" w:rsidR="00C01A50" w:rsidRPr="00823FB0" w:rsidRDefault="00C01A50" w:rsidP="00B80EB7">
            <w:pPr>
              <w:spacing w:after="0" w:line="240" w:lineRule="auto"/>
              <w:rPr>
                <w:color w:val="000000"/>
                <w:sz w:val="20"/>
                <w:lang w:eastAsia="en-AU"/>
              </w:rPr>
            </w:pPr>
            <w:r w:rsidRPr="00823FB0">
              <w:rPr>
                <w:color w:val="000000"/>
                <w:sz w:val="20"/>
                <w:lang w:eastAsia="en-AU"/>
              </w:rPr>
              <w:t>Southern Basin Vic Zone</w:t>
            </w:r>
          </w:p>
        </w:tc>
        <w:tc>
          <w:tcPr>
            <w:tcW w:w="617" w:type="pct"/>
            <w:tcBorders>
              <w:top w:val="nil"/>
              <w:left w:val="nil"/>
              <w:bottom w:val="single" w:sz="4" w:space="0" w:color="auto"/>
              <w:right w:val="single" w:sz="12" w:space="0" w:color="auto"/>
            </w:tcBorders>
            <w:shd w:val="clear" w:color="auto" w:fill="auto"/>
            <w:noWrap/>
            <w:vAlign w:val="center"/>
          </w:tcPr>
          <w:p w14:paraId="47510C99" w14:textId="77777777" w:rsidR="00C01A50" w:rsidRPr="00823FB0" w:rsidRDefault="00C01A50" w:rsidP="00B80EB7">
            <w:pPr>
              <w:spacing w:after="0" w:line="240" w:lineRule="auto"/>
              <w:rPr>
                <w:color w:val="000000"/>
                <w:sz w:val="20"/>
                <w:lang w:eastAsia="en-AU"/>
              </w:rPr>
            </w:pPr>
            <w:r w:rsidRPr="00823FB0">
              <w:rPr>
                <w:color w:val="000000"/>
                <w:sz w:val="20"/>
                <w:lang w:eastAsia="en-AU"/>
              </w:rPr>
              <w:t>HRWS</w:t>
            </w:r>
          </w:p>
        </w:tc>
        <w:tc>
          <w:tcPr>
            <w:tcW w:w="619" w:type="pct"/>
            <w:tcBorders>
              <w:top w:val="nil"/>
              <w:left w:val="nil"/>
              <w:bottom w:val="single" w:sz="4" w:space="0" w:color="auto"/>
              <w:right w:val="single" w:sz="4" w:space="0" w:color="auto"/>
            </w:tcBorders>
            <w:shd w:val="clear" w:color="auto" w:fill="auto"/>
            <w:noWrap/>
            <w:vAlign w:val="center"/>
          </w:tcPr>
          <w:p w14:paraId="0B5D212D" w14:textId="77777777" w:rsidR="00C01A50" w:rsidRPr="00823FB0" w:rsidRDefault="00C01A50" w:rsidP="00B80EB7">
            <w:pPr>
              <w:spacing w:after="0" w:line="240" w:lineRule="auto"/>
              <w:jc w:val="center"/>
              <w:rPr>
                <w:color w:val="000000"/>
                <w:lang w:eastAsia="en-AU"/>
              </w:rPr>
            </w:pPr>
            <w:r w:rsidRPr="00823FB0">
              <w:rPr>
                <w:color w:val="000000"/>
                <w:lang w:eastAsia="en-AU"/>
              </w:rPr>
              <w:t>2,160</w:t>
            </w:r>
          </w:p>
        </w:tc>
        <w:tc>
          <w:tcPr>
            <w:tcW w:w="482" w:type="pct"/>
            <w:tcBorders>
              <w:top w:val="nil"/>
              <w:left w:val="nil"/>
              <w:bottom w:val="single" w:sz="4" w:space="0" w:color="auto"/>
              <w:right w:val="single" w:sz="4" w:space="0" w:color="auto"/>
            </w:tcBorders>
            <w:shd w:val="clear" w:color="auto" w:fill="auto"/>
            <w:noWrap/>
            <w:vAlign w:val="center"/>
          </w:tcPr>
          <w:p w14:paraId="0ECE7BCA" w14:textId="77777777" w:rsidR="00C01A50" w:rsidRPr="00823FB0" w:rsidRDefault="00C01A50" w:rsidP="00B80EB7">
            <w:pPr>
              <w:spacing w:after="0" w:line="240" w:lineRule="auto"/>
              <w:jc w:val="center"/>
              <w:rPr>
                <w:color w:val="000000"/>
                <w:lang w:eastAsia="en-AU"/>
              </w:rPr>
            </w:pPr>
            <w:r w:rsidRPr="00823FB0">
              <w:rPr>
                <w:color w:val="000000"/>
                <w:lang w:eastAsia="en-AU"/>
              </w:rPr>
              <w:t>1,662</w:t>
            </w:r>
          </w:p>
        </w:tc>
        <w:tc>
          <w:tcPr>
            <w:tcW w:w="803" w:type="pct"/>
            <w:tcBorders>
              <w:top w:val="nil"/>
              <w:left w:val="nil"/>
              <w:bottom w:val="single" w:sz="4" w:space="0" w:color="auto"/>
              <w:right w:val="single" w:sz="4" w:space="0" w:color="auto"/>
            </w:tcBorders>
            <w:shd w:val="clear" w:color="auto" w:fill="auto"/>
            <w:noWrap/>
            <w:vAlign w:val="center"/>
          </w:tcPr>
          <w:p w14:paraId="226FAFF4" w14:textId="77777777" w:rsidR="00C01A50" w:rsidRPr="00823FB0" w:rsidRDefault="00C01A50" w:rsidP="00B80EB7">
            <w:pPr>
              <w:spacing w:after="0" w:line="240" w:lineRule="auto"/>
              <w:jc w:val="center"/>
              <w:rPr>
                <w:color w:val="000000"/>
                <w:lang w:eastAsia="en-AU"/>
              </w:rPr>
            </w:pPr>
            <w:r w:rsidRPr="00823FB0">
              <w:rPr>
                <w:color w:val="000000"/>
                <w:lang w:eastAsia="en-AU"/>
              </w:rPr>
              <w:t>1,662</w:t>
            </w:r>
          </w:p>
        </w:tc>
        <w:tc>
          <w:tcPr>
            <w:tcW w:w="803" w:type="pct"/>
            <w:tcBorders>
              <w:top w:val="nil"/>
              <w:left w:val="nil"/>
              <w:bottom w:val="single" w:sz="4" w:space="0" w:color="auto"/>
              <w:right w:val="single" w:sz="4" w:space="0" w:color="auto"/>
            </w:tcBorders>
            <w:shd w:val="clear" w:color="auto" w:fill="auto"/>
            <w:noWrap/>
            <w:vAlign w:val="center"/>
          </w:tcPr>
          <w:p w14:paraId="31BDE6A1" w14:textId="77777777" w:rsidR="00C01A50" w:rsidRPr="00823FB0" w:rsidRDefault="00C01A50" w:rsidP="00B80EB7">
            <w:pPr>
              <w:spacing w:after="0" w:line="240" w:lineRule="auto"/>
              <w:jc w:val="center"/>
              <w:rPr>
                <w:color w:val="000000"/>
                <w:lang w:eastAsia="en-AU"/>
              </w:rPr>
            </w:pPr>
            <w:r w:rsidRPr="00823FB0">
              <w:rPr>
                <w:color w:val="000000"/>
                <w:lang w:eastAsia="en-AU"/>
              </w:rPr>
              <w:t>1,410</w:t>
            </w:r>
          </w:p>
        </w:tc>
        <w:tc>
          <w:tcPr>
            <w:tcW w:w="803" w:type="pct"/>
            <w:tcBorders>
              <w:top w:val="nil"/>
              <w:left w:val="nil"/>
              <w:bottom w:val="single" w:sz="4" w:space="0" w:color="auto"/>
              <w:right w:val="single" w:sz="12" w:space="0" w:color="auto"/>
            </w:tcBorders>
            <w:shd w:val="clear" w:color="auto" w:fill="auto"/>
            <w:noWrap/>
            <w:vAlign w:val="center"/>
          </w:tcPr>
          <w:p w14:paraId="5D4570CC" w14:textId="77777777" w:rsidR="00C01A50" w:rsidRPr="00823FB0" w:rsidRDefault="00C01A50" w:rsidP="00B80EB7">
            <w:pPr>
              <w:spacing w:after="0" w:line="240" w:lineRule="auto"/>
              <w:jc w:val="center"/>
              <w:rPr>
                <w:color w:val="000000"/>
                <w:lang w:eastAsia="en-AU"/>
              </w:rPr>
            </w:pPr>
            <w:r w:rsidRPr="00823FB0">
              <w:rPr>
                <w:color w:val="000000"/>
                <w:lang w:eastAsia="en-AU"/>
              </w:rPr>
              <w:t>1,277</w:t>
            </w:r>
          </w:p>
        </w:tc>
      </w:tr>
      <w:tr w:rsidR="00C01A50" w:rsidRPr="00823FB0" w14:paraId="541CC7FC" w14:textId="77777777" w:rsidTr="004513DF">
        <w:trPr>
          <w:trHeight w:val="285"/>
        </w:trPr>
        <w:tc>
          <w:tcPr>
            <w:tcW w:w="874" w:type="pct"/>
            <w:tcBorders>
              <w:top w:val="nil"/>
              <w:left w:val="single" w:sz="12" w:space="0" w:color="auto"/>
              <w:bottom w:val="nil"/>
              <w:right w:val="single" w:sz="4" w:space="0" w:color="auto"/>
            </w:tcBorders>
            <w:shd w:val="clear" w:color="auto" w:fill="auto"/>
            <w:noWrap/>
            <w:vAlign w:val="center"/>
          </w:tcPr>
          <w:p w14:paraId="7F60B928" w14:textId="77777777" w:rsidR="00C01A50" w:rsidRPr="00823FB0" w:rsidRDefault="00C01A50" w:rsidP="00B80EB7">
            <w:pPr>
              <w:spacing w:after="0" w:line="240" w:lineRule="auto"/>
              <w:rPr>
                <w:color w:val="000000"/>
                <w:sz w:val="20"/>
                <w:lang w:eastAsia="en-AU"/>
              </w:rPr>
            </w:pPr>
            <w:r w:rsidRPr="00823FB0">
              <w:rPr>
                <w:color w:val="000000"/>
                <w:sz w:val="20"/>
                <w:lang w:eastAsia="en-AU"/>
              </w:rPr>
              <w:t> </w:t>
            </w:r>
          </w:p>
        </w:tc>
        <w:tc>
          <w:tcPr>
            <w:tcW w:w="617" w:type="pct"/>
            <w:tcBorders>
              <w:top w:val="nil"/>
              <w:left w:val="nil"/>
              <w:bottom w:val="nil"/>
              <w:right w:val="nil"/>
            </w:tcBorders>
            <w:shd w:val="clear" w:color="auto" w:fill="auto"/>
            <w:noWrap/>
            <w:vAlign w:val="center"/>
          </w:tcPr>
          <w:p w14:paraId="3CAC2593" w14:textId="77777777" w:rsidR="00C01A50" w:rsidRPr="00823FB0" w:rsidRDefault="00C01A50" w:rsidP="00B80EB7">
            <w:pPr>
              <w:spacing w:after="0" w:line="240" w:lineRule="auto"/>
              <w:rPr>
                <w:color w:val="000000"/>
                <w:sz w:val="20"/>
                <w:lang w:eastAsia="en-AU"/>
              </w:rPr>
            </w:pPr>
            <w:r w:rsidRPr="00823FB0">
              <w:rPr>
                <w:color w:val="000000"/>
                <w:sz w:val="20"/>
                <w:lang w:eastAsia="en-AU"/>
              </w:rPr>
              <w:t>LRWS</w:t>
            </w:r>
          </w:p>
        </w:tc>
        <w:tc>
          <w:tcPr>
            <w:tcW w:w="619" w:type="pct"/>
            <w:tcBorders>
              <w:top w:val="nil"/>
              <w:left w:val="single" w:sz="12" w:space="0" w:color="auto"/>
              <w:bottom w:val="nil"/>
              <w:right w:val="single" w:sz="4" w:space="0" w:color="auto"/>
            </w:tcBorders>
            <w:shd w:val="clear" w:color="auto" w:fill="auto"/>
            <w:noWrap/>
            <w:vAlign w:val="center"/>
          </w:tcPr>
          <w:p w14:paraId="332A3D90" w14:textId="77777777" w:rsidR="00C01A50" w:rsidRPr="00823FB0" w:rsidRDefault="00C01A50" w:rsidP="00B80EB7">
            <w:pPr>
              <w:spacing w:after="0" w:line="240" w:lineRule="auto"/>
              <w:jc w:val="center"/>
              <w:rPr>
                <w:color w:val="000000"/>
                <w:lang w:eastAsia="en-AU"/>
              </w:rPr>
            </w:pPr>
            <w:r w:rsidRPr="00823FB0">
              <w:rPr>
                <w:color w:val="000000"/>
                <w:lang w:eastAsia="en-AU"/>
              </w:rPr>
              <w:t>241</w:t>
            </w:r>
          </w:p>
        </w:tc>
        <w:tc>
          <w:tcPr>
            <w:tcW w:w="482" w:type="pct"/>
            <w:tcBorders>
              <w:top w:val="nil"/>
              <w:left w:val="nil"/>
              <w:bottom w:val="nil"/>
              <w:right w:val="single" w:sz="4" w:space="0" w:color="auto"/>
            </w:tcBorders>
            <w:shd w:val="clear" w:color="auto" w:fill="auto"/>
            <w:noWrap/>
            <w:vAlign w:val="center"/>
          </w:tcPr>
          <w:p w14:paraId="768889E3" w14:textId="77777777" w:rsidR="00C01A50" w:rsidRPr="00823FB0" w:rsidRDefault="00C01A50" w:rsidP="00B80EB7">
            <w:pPr>
              <w:spacing w:after="0" w:line="240" w:lineRule="auto"/>
              <w:jc w:val="center"/>
              <w:rPr>
                <w:color w:val="000000"/>
                <w:lang w:eastAsia="en-AU"/>
              </w:rPr>
            </w:pPr>
            <w:r w:rsidRPr="00823FB0">
              <w:rPr>
                <w:color w:val="000000"/>
                <w:lang w:eastAsia="en-AU"/>
              </w:rPr>
              <w:t>227</w:t>
            </w:r>
          </w:p>
        </w:tc>
        <w:tc>
          <w:tcPr>
            <w:tcW w:w="803" w:type="pct"/>
            <w:tcBorders>
              <w:top w:val="nil"/>
              <w:left w:val="nil"/>
              <w:bottom w:val="single" w:sz="4" w:space="0" w:color="auto"/>
              <w:right w:val="single" w:sz="4" w:space="0" w:color="auto"/>
            </w:tcBorders>
            <w:shd w:val="clear" w:color="auto" w:fill="auto"/>
            <w:noWrap/>
            <w:vAlign w:val="center"/>
          </w:tcPr>
          <w:p w14:paraId="6F1EBBBA" w14:textId="77777777" w:rsidR="00C01A50" w:rsidRPr="00823FB0" w:rsidRDefault="00C01A50" w:rsidP="00B80EB7">
            <w:pPr>
              <w:spacing w:after="0" w:line="240" w:lineRule="auto"/>
              <w:jc w:val="center"/>
              <w:rPr>
                <w:color w:val="000000"/>
                <w:lang w:eastAsia="en-AU"/>
              </w:rPr>
            </w:pPr>
            <w:r w:rsidRPr="00823FB0">
              <w:rPr>
                <w:color w:val="000000"/>
                <w:lang w:eastAsia="en-AU"/>
              </w:rPr>
              <w:t>227</w:t>
            </w:r>
          </w:p>
        </w:tc>
        <w:tc>
          <w:tcPr>
            <w:tcW w:w="803" w:type="pct"/>
            <w:tcBorders>
              <w:top w:val="nil"/>
              <w:left w:val="nil"/>
              <w:bottom w:val="single" w:sz="4" w:space="0" w:color="auto"/>
              <w:right w:val="single" w:sz="4" w:space="0" w:color="auto"/>
            </w:tcBorders>
            <w:shd w:val="clear" w:color="auto" w:fill="auto"/>
            <w:noWrap/>
            <w:vAlign w:val="center"/>
          </w:tcPr>
          <w:p w14:paraId="0914CEED" w14:textId="77777777" w:rsidR="00C01A50" w:rsidRPr="00823FB0" w:rsidRDefault="00C01A50" w:rsidP="00B80EB7">
            <w:pPr>
              <w:spacing w:after="0" w:line="240" w:lineRule="auto"/>
              <w:jc w:val="center"/>
              <w:rPr>
                <w:color w:val="000000"/>
                <w:lang w:eastAsia="en-AU"/>
              </w:rPr>
            </w:pPr>
            <w:r w:rsidRPr="00823FB0">
              <w:rPr>
                <w:color w:val="000000"/>
                <w:lang w:eastAsia="en-AU"/>
              </w:rPr>
              <w:t>227</w:t>
            </w:r>
          </w:p>
        </w:tc>
        <w:tc>
          <w:tcPr>
            <w:tcW w:w="803" w:type="pct"/>
            <w:tcBorders>
              <w:top w:val="nil"/>
              <w:left w:val="nil"/>
              <w:bottom w:val="single" w:sz="4" w:space="0" w:color="auto"/>
              <w:right w:val="single" w:sz="12" w:space="0" w:color="auto"/>
            </w:tcBorders>
            <w:shd w:val="clear" w:color="auto" w:fill="auto"/>
            <w:noWrap/>
            <w:vAlign w:val="center"/>
          </w:tcPr>
          <w:p w14:paraId="7E53136A" w14:textId="77777777" w:rsidR="00C01A50" w:rsidRPr="00823FB0" w:rsidRDefault="00C01A50" w:rsidP="00B80EB7">
            <w:pPr>
              <w:spacing w:after="0" w:line="240" w:lineRule="auto"/>
              <w:jc w:val="center"/>
              <w:rPr>
                <w:color w:val="000000"/>
                <w:lang w:eastAsia="en-AU"/>
              </w:rPr>
            </w:pPr>
            <w:r w:rsidRPr="00823FB0">
              <w:rPr>
                <w:color w:val="000000"/>
                <w:lang w:eastAsia="en-AU"/>
              </w:rPr>
              <w:t>227</w:t>
            </w:r>
          </w:p>
        </w:tc>
      </w:tr>
      <w:tr w:rsidR="00C01A50" w:rsidRPr="00823FB0" w14:paraId="2FA9B0C1" w14:textId="77777777" w:rsidTr="004513DF">
        <w:trPr>
          <w:trHeight w:val="293"/>
        </w:trPr>
        <w:tc>
          <w:tcPr>
            <w:tcW w:w="874" w:type="pct"/>
            <w:tcBorders>
              <w:top w:val="single" w:sz="4" w:space="0" w:color="auto"/>
              <w:left w:val="single" w:sz="12" w:space="0" w:color="auto"/>
              <w:bottom w:val="single" w:sz="12" w:space="0" w:color="auto"/>
              <w:right w:val="single" w:sz="4" w:space="0" w:color="auto"/>
            </w:tcBorders>
            <w:shd w:val="clear" w:color="auto" w:fill="auto"/>
            <w:noWrap/>
            <w:vAlign w:val="center"/>
          </w:tcPr>
          <w:p w14:paraId="6F30FFC3" w14:textId="77777777" w:rsidR="00C01A50" w:rsidRPr="00823FB0" w:rsidRDefault="00C01A50" w:rsidP="00B80EB7">
            <w:pPr>
              <w:spacing w:after="0" w:line="240" w:lineRule="auto"/>
              <w:rPr>
                <w:color w:val="000000"/>
                <w:sz w:val="20"/>
                <w:lang w:eastAsia="en-AU"/>
              </w:rPr>
            </w:pPr>
            <w:r w:rsidRPr="00823FB0">
              <w:rPr>
                <w:color w:val="000000"/>
                <w:sz w:val="20"/>
                <w:lang w:eastAsia="en-AU"/>
              </w:rPr>
              <w:t>Southern Basin SA Zone</w:t>
            </w:r>
          </w:p>
        </w:tc>
        <w:tc>
          <w:tcPr>
            <w:tcW w:w="617" w:type="pct"/>
            <w:tcBorders>
              <w:top w:val="single" w:sz="4" w:space="0" w:color="auto"/>
              <w:left w:val="nil"/>
              <w:bottom w:val="single" w:sz="12" w:space="0" w:color="auto"/>
              <w:right w:val="single" w:sz="12" w:space="0" w:color="auto"/>
            </w:tcBorders>
            <w:shd w:val="clear" w:color="auto" w:fill="auto"/>
            <w:noWrap/>
            <w:vAlign w:val="center"/>
          </w:tcPr>
          <w:p w14:paraId="45D0C749" w14:textId="77777777" w:rsidR="00C01A50" w:rsidRPr="00823FB0" w:rsidRDefault="00C01A50" w:rsidP="00B80EB7">
            <w:pPr>
              <w:spacing w:after="0" w:line="240" w:lineRule="auto"/>
              <w:rPr>
                <w:color w:val="000000"/>
                <w:sz w:val="20"/>
                <w:lang w:eastAsia="en-AU"/>
              </w:rPr>
            </w:pPr>
            <w:r w:rsidRPr="00823FB0">
              <w:rPr>
                <w:color w:val="000000"/>
                <w:sz w:val="20"/>
                <w:lang w:eastAsia="en-AU"/>
              </w:rPr>
              <w:t xml:space="preserve">High </w:t>
            </w:r>
          </w:p>
        </w:tc>
        <w:tc>
          <w:tcPr>
            <w:tcW w:w="619" w:type="pct"/>
            <w:tcBorders>
              <w:top w:val="single" w:sz="4" w:space="0" w:color="auto"/>
              <w:left w:val="nil"/>
              <w:bottom w:val="single" w:sz="12" w:space="0" w:color="auto"/>
              <w:right w:val="single" w:sz="4" w:space="0" w:color="auto"/>
            </w:tcBorders>
            <w:shd w:val="clear" w:color="auto" w:fill="auto"/>
            <w:noWrap/>
            <w:vAlign w:val="center"/>
          </w:tcPr>
          <w:p w14:paraId="757A27A3" w14:textId="77777777" w:rsidR="00C01A50" w:rsidRPr="00823FB0" w:rsidRDefault="00C01A50" w:rsidP="00B80EB7">
            <w:pPr>
              <w:spacing w:after="0" w:line="240" w:lineRule="auto"/>
              <w:jc w:val="center"/>
              <w:rPr>
                <w:color w:val="000000"/>
                <w:lang w:eastAsia="en-AU"/>
              </w:rPr>
            </w:pPr>
            <w:r w:rsidRPr="00823FB0">
              <w:rPr>
                <w:color w:val="000000"/>
                <w:lang w:eastAsia="en-AU"/>
              </w:rPr>
              <w:t>509</w:t>
            </w:r>
          </w:p>
        </w:tc>
        <w:tc>
          <w:tcPr>
            <w:tcW w:w="482" w:type="pct"/>
            <w:tcBorders>
              <w:top w:val="single" w:sz="4" w:space="0" w:color="auto"/>
              <w:left w:val="nil"/>
              <w:bottom w:val="single" w:sz="12" w:space="0" w:color="auto"/>
              <w:right w:val="single" w:sz="4" w:space="0" w:color="auto"/>
            </w:tcBorders>
            <w:shd w:val="clear" w:color="auto" w:fill="auto"/>
            <w:noWrap/>
            <w:vAlign w:val="center"/>
          </w:tcPr>
          <w:p w14:paraId="6A4F9C89" w14:textId="77777777" w:rsidR="00C01A50" w:rsidRPr="00823FB0" w:rsidRDefault="00C01A50" w:rsidP="00B80EB7">
            <w:pPr>
              <w:spacing w:after="0" w:line="240" w:lineRule="auto"/>
              <w:jc w:val="center"/>
              <w:rPr>
                <w:color w:val="000000"/>
                <w:lang w:eastAsia="en-AU"/>
              </w:rPr>
            </w:pPr>
            <w:r w:rsidRPr="00823FB0">
              <w:rPr>
                <w:color w:val="000000"/>
                <w:lang w:eastAsia="en-AU"/>
              </w:rPr>
              <w:t>419</w:t>
            </w:r>
          </w:p>
        </w:tc>
        <w:tc>
          <w:tcPr>
            <w:tcW w:w="803" w:type="pct"/>
            <w:tcBorders>
              <w:top w:val="nil"/>
              <w:left w:val="nil"/>
              <w:bottom w:val="single" w:sz="12" w:space="0" w:color="auto"/>
              <w:right w:val="single" w:sz="4" w:space="0" w:color="auto"/>
            </w:tcBorders>
            <w:shd w:val="clear" w:color="auto" w:fill="auto"/>
            <w:noWrap/>
            <w:vAlign w:val="center"/>
          </w:tcPr>
          <w:p w14:paraId="0B352B95" w14:textId="77777777" w:rsidR="00C01A50" w:rsidRPr="00823FB0" w:rsidRDefault="00C01A50" w:rsidP="00B80EB7">
            <w:pPr>
              <w:spacing w:after="0" w:line="240" w:lineRule="auto"/>
              <w:jc w:val="center"/>
              <w:rPr>
                <w:color w:val="000000"/>
                <w:lang w:eastAsia="en-AU"/>
              </w:rPr>
            </w:pPr>
            <w:r w:rsidRPr="00823FB0">
              <w:rPr>
                <w:color w:val="000000"/>
                <w:lang w:eastAsia="en-AU"/>
              </w:rPr>
              <w:t>419</w:t>
            </w:r>
          </w:p>
        </w:tc>
        <w:tc>
          <w:tcPr>
            <w:tcW w:w="803" w:type="pct"/>
            <w:tcBorders>
              <w:top w:val="nil"/>
              <w:left w:val="nil"/>
              <w:bottom w:val="nil"/>
              <w:right w:val="single" w:sz="4" w:space="0" w:color="auto"/>
            </w:tcBorders>
            <w:shd w:val="clear" w:color="auto" w:fill="auto"/>
            <w:noWrap/>
            <w:vAlign w:val="center"/>
          </w:tcPr>
          <w:p w14:paraId="11D5B79E" w14:textId="77777777" w:rsidR="00C01A50" w:rsidRPr="00823FB0" w:rsidRDefault="00C01A50" w:rsidP="00B80EB7">
            <w:pPr>
              <w:spacing w:after="0" w:line="240" w:lineRule="auto"/>
              <w:jc w:val="center"/>
              <w:rPr>
                <w:color w:val="000000"/>
                <w:lang w:eastAsia="en-AU"/>
              </w:rPr>
            </w:pPr>
            <w:r w:rsidRPr="00823FB0">
              <w:rPr>
                <w:color w:val="000000"/>
                <w:lang w:eastAsia="en-AU"/>
              </w:rPr>
              <w:t>378</w:t>
            </w:r>
          </w:p>
        </w:tc>
        <w:tc>
          <w:tcPr>
            <w:tcW w:w="803" w:type="pct"/>
            <w:tcBorders>
              <w:top w:val="nil"/>
              <w:left w:val="nil"/>
              <w:bottom w:val="nil"/>
              <w:right w:val="single" w:sz="12" w:space="0" w:color="auto"/>
            </w:tcBorders>
            <w:shd w:val="clear" w:color="auto" w:fill="auto"/>
            <w:noWrap/>
            <w:vAlign w:val="center"/>
          </w:tcPr>
          <w:p w14:paraId="4EF1DC9F" w14:textId="77777777" w:rsidR="00C01A50" w:rsidRPr="00823FB0" w:rsidRDefault="00C01A50" w:rsidP="00B80EB7">
            <w:pPr>
              <w:spacing w:after="0" w:line="240" w:lineRule="auto"/>
              <w:jc w:val="center"/>
              <w:rPr>
                <w:color w:val="000000"/>
                <w:lang w:eastAsia="en-AU"/>
              </w:rPr>
            </w:pPr>
            <w:r w:rsidRPr="00823FB0">
              <w:rPr>
                <w:color w:val="000000"/>
                <w:lang w:eastAsia="en-AU"/>
              </w:rPr>
              <w:t>355</w:t>
            </w:r>
          </w:p>
        </w:tc>
      </w:tr>
      <w:tr w:rsidR="00C01A50" w:rsidRPr="00823FB0" w14:paraId="75FF6D8B" w14:textId="77777777" w:rsidTr="004513DF">
        <w:trPr>
          <w:trHeight w:val="300"/>
        </w:trPr>
        <w:tc>
          <w:tcPr>
            <w:tcW w:w="874" w:type="pct"/>
            <w:tcBorders>
              <w:top w:val="nil"/>
              <w:left w:val="single" w:sz="12" w:space="0" w:color="auto"/>
              <w:bottom w:val="single" w:sz="12" w:space="0" w:color="auto"/>
              <w:right w:val="nil"/>
            </w:tcBorders>
            <w:shd w:val="clear" w:color="auto" w:fill="auto"/>
            <w:noWrap/>
            <w:vAlign w:val="center"/>
          </w:tcPr>
          <w:p w14:paraId="1BEEB2A8" w14:textId="77777777" w:rsidR="00C01A50" w:rsidRPr="00823FB0" w:rsidRDefault="00C01A50" w:rsidP="00B80EB7">
            <w:pPr>
              <w:spacing w:after="0" w:line="240" w:lineRule="auto"/>
              <w:rPr>
                <w:b/>
                <w:bCs/>
                <w:color w:val="000000"/>
                <w:sz w:val="20"/>
                <w:lang w:eastAsia="en-AU"/>
              </w:rPr>
            </w:pPr>
            <w:r w:rsidRPr="00823FB0">
              <w:rPr>
                <w:b/>
                <w:bCs/>
                <w:color w:val="000000"/>
                <w:sz w:val="20"/>
                <w:lang w:eastAsia="en-AU"/>
              </w:rPr>
              <w:t xml:space="preserve">Southern Basin Total </w:t>
            </w:r>
          </w:p>
        </w:tc>
        <w:tc>
          <w:tcPr>
            <w:tcW w:w="617" w:type="pct"/>
            <w:tcBorders>
              <w:top w:val="nil"/>
              <w:left w:val="nil"/>
              <w:bottom w:val="single" w:sz="12" w:space="0" w:color="auto"/>
              <w:right w:val="nil"/>
            </w:tcBorders>
            <w:shd w:val="clear" w:color="auto" w:fill="auto"/>
            <w:noWrap/>
            <w:vAlign w:val="center"/>
          </w:tcPr>
          <w:p w14:paraId="2F48A901" w14:textId="77777777" w:rsidR="00C01A50" w:rsidRPr="00823FB0" w:rsidRDefault="00C01A50" w:rsidP="00B80EB7">
            <w:pPr>
              <w:spacing w:after="0" w:line="240" w:lineRule="auto"/>
              <w:rPr>
                <w:b/>
                <w:bCs/>
                <w:color w:val="000000"/>
                <w:sz w:val="20"/>
                <w:lang w:eastAsia="en-AU"/>
              </w:rPr>
            </w:pPr>
            <w:r w:rsidRPr="00823FB0">
              <w:rPr>
                <w:b/>
                <w:bCs/>
                <w:color w:val="000000"/>
                <w:sz w:val="20"/>
                <w:lang w:eastAsia="en-AU"/>
              </w:rPr>
              <w:t> </w:t>
            </w:r>
          </w:p>
        </w:tc>
        <w:tc>
          <w:tcPr>
            <w:tcW w:w="619" w:type="pct"/>
            <w:tcBorders>
              <w:top w:val="nil"/>
              <w:left w:val="single" w:sz="12" w:space="0" w:color="auto"/>
              <w:bottom w:val="single" w:sz="12" w:space="0" w:color="auto"/>
              <w:right w:val="single" w:sz="4" w:space="0" w:color="auto"/>
            </w:tcBorders>
            <w:shd w:val="clear" w:color="auto" w:fill="auto"/>
            <w:noWrap/>
            <w:vAlign w:val="center"/>
          </w:tcPr>
          <w:p w14:paraId="11885A44"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5,993</w:t>
            </w:r>
          </w:p>
        </w:tc>
        <w:tc>
          <w:tcPr>
            <w:tcW w:w="482" w:type="pct"/>
            <w:tcBorders>
              <w:top w:val="nil"/>
              <w:left w:val="nil"/>
              <w:bottom w:val="single" w:sz="12" w:space="0" w:color="auto"/>
              <w:right w:val="single" w:sz="4" w:space="0" w:color="auto"/>
            </w:tcBorders>
            <w:shd w:val="clear" w:color="auto" w:fill="auto"/>
            <w:noWrap/>
            <w:vAlign w:val="center"/>
          </w:tcPr>
          <w:p w14:paraId="36FBA072"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4,758</w:t>
            </w:r>
          </w:p>
        </w:tc>
        <w:tc>
          <w:tcPr>
            <w:tcW w:w="803" w:type="pct"/>
            <w:tcBorders>
              <w:top w:val="nil"/>
              <w:left w:val="nil"/>
              <w:bottom w:val="single" w:sz="12" w:space="0" w:color="auto"/>
              <w:right w:val="single" w:sz="4" w:space="0" w:color="auto"/>
            </w:tcBorders>
            <w:shd w:val="clear" w:color="auto" w:fill="auto"/>
            <w:noWrap/>
            <w:vAlign w:val="center"/>
          </w:tcPr>
          <w:p w14:paraId="6E4702AA"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4,690</w:t>
            </w:r>
          </w:p>
        </w:tc>
        <w:tc>
          <w:tcPr>
            <w:tcW w:w="803" w:type="pct"/>
            <w:tcBorders>
              <w:top w:val="single" w:sz="12" w:space="0" w:color="auto"/>
              <w:left w:val="nil"/>
              <w:bottom w:val="single" w:sz="12" w:space="0" w:color="auto"/>
              <w:right w:val="single" w:sz="4" w:space="0" w:color="auto"/>
            </w:tcBorders>
            <w:shd w:val="clear" w:color="auto" w:fill="auto"/>
            <w:noWrap/>
            <w:vAlign w:val="center"/>
          </w:tcPr>
          <w:p w14:paraId="353E1803" w14:textId="77777777" w:rsidR="00C01A50" w:rsidRPr="00823FB0" w:rsidRDefault="00C01A50" w:rsidP="00B80EB7">
            <w:pPr>
              <w:spacing w:after="0" w:line="240" w:lineRule="auto"/>
              <w:jc w:val="center"/>
              <w:rPr>
                <w:b/>
                <w:bCs/>
                <w:color w:val="000000"/>
                <w:lang w:eastAsia="en-AU"/>
              </w:rPr>
            </w:pPr>
            <w:r>
              <w:rPr>
                <w:b/>
                <w:bCs/>
                <w:color w:val="000000"/>
                <w:lang w:eastAsia="en-AU"/>
              </w:rPr>
              <w:t>4,107</w:t>
            </w:r>
          </w:p>
        </w:tc>
        <w:tc>
          <w:tcPr>
            <w:tcW w:w="803" w:type="pct"/>
            <w:tcBorders>
              <w:top w:val="single" w:sz="12" w:space="0" w:color="auto"/>
              <w:left w:val="nil"/>
              <w:bottom w:val="single" w:sz="12" w:space="0" w:color="auto"/>
              <w:right w:val="single" w:sz="12" w:space="0" w:color="auto"/>
            </w:tcBorders>
            <w:shd w:val="clear" w:color="auto" w:fill="auto"/>
            <w:noWrap/>
            <w:vAlign w:val="center"/>
          </w:tcPr>
          <w:p w14:paraId="2A2C066E"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3,787</w:t>
            </w:r>
          </w:p>
        </w:tc>
      </w:tr>
      <w:tr w:rsidR="00C01A50" w:rsidRPr="00823FB0" w14:paraId="5048E4F7" w14:textId="77777777" w:rsidTr="004513DF">
        <w:trPr>
          <w:trHeight w:val="300"/>
        </w:trPr>
        <w:tc>
          <w:tcPr>
            <w:tcW w:w="1491" w:type="pct"/>
            <w:gridSpan w:val="2"/>
            <w:tcBorders>
              <w:top w:val="nil"/>
              <w:left w:val="single" w:sz="12" w:space="0" w:color="auto"/>
              <w:bottom w:val="single" w:sz="12" w:space="0" w:color="auto"/>
              <w:right w:val="nil"/>
            </w:tcBorders>
            <w:shd w:val="clear" w:color="auto" w:fill="auto"/>
            <w:noWrap/>
            <w:vAlign w:val="center"/>
          </w:tcPr>
          <w:p w14:paraId="631A678D" w14:textId="77777777" w:rsidR="00C01A50" w:rsidRPr="00823FB0" w:rsidRDefault="00C01A50" w:rsidP="00B80EB7">
            <w:pPr>
              <w:spacing w:after="0" w:line="240" w:lineRule="auto"/>
              <w:rPr>
                <w:b/>
                <w:bCs/>
                <w:color w:val="000000"/>
                <w:sz w:val="20"/>
                <w:lang w:eastAsia="en-AU"/>
              </w:rPr>
            </w:pPr>
            <w:r>
              <w:rPr>
                <w:b/>
                <w:bCs/>
                <w:color w:val="000000"/>
                <w:sz w:val="20"/>
                <w:lang w:eastAsia="en-AU"/>
              </w:rPr>
              <w:t>Decrease from 30 June 2007 (GL)</w:t>
            </w:r>
          </w:p>
        </w:tc>
        <w:tc>
          <w:tcPr>
            <w:tcW w:w="619" w:type="pct"/>
            <w:tcBorders>
              <w:top w:val="nil"/>
              <w:left w:val="single" w:sz="12" w:space="0" w:color="auto"/>
              <w:bottom w:val="single" w:sz="12" w:space="0" w:color="auto"/>
              <w:right w:val="single" w:sz="4" w:space="0" w:color="auto"/>
            </w:tcBorders>
            <w:shd w:val="clear" w:color="auto" w:fill="auto"/>
            <w:noWrap/>
            <w:vAlign w:val="center"/>
          </w:tcPr>
          <w:p w14:paraId="07038862" w14:textId="77777777" w:rsidR="00C01A50" w:rsidRPr="00823FB0" w:rsidRDefault="00C01A50" w:rsidP="00B80EB7">
            <w:pPr>
              <w:spacing w:after="0" w:line="240" w:lineRule="auto"/>
              <w:jc w:val="center"/>
              <w:rPr>
                <w:b/>
                <w:bCs/>
                <w:color w:val="000000"/>
                <w:lang w:eastAsia="en-AU"/>
              </w:rPr>
            </w:pPr>
            <w:r>
              <w:rPr>
                <w:b/>
                <w:bCs/>
                <w:color w:val="000000"/>
                <w:lang w:eastAsia="en-AU"/>
              </w:rPr>
              <w:t>0</w:t>
            </w:r>
          </w:p>
        </w:tc>
        <w:tc>
          <w:tcPr>
            <w:tcW w:w="482" w:type="pct"/>
            <w:tcBorders>
              <w:top w:val="nil"/>
              <w:left w:val="nil"/>
              <w:bottom w:val="single" w:sz="12" w:space="0" w:color="auto"/>
              <w:right w:val="single" w:sz="4" w:space="0" w:color="auto"/>
            </w:tcBorders>
            <w:shd w:val="clear" w:color="auto" w:fill="auto"/>
            <w:noWrap/>
            <w:vAlign w:val="center"/>
          </w:tcPr>
          <w:p w14:paraId="2D93CA41" w14:textId="77777777" w:rsidR="00C01A50" w:rsidRPr="00823FB0" w:rsidRDefault="00C01A50" w:rsidP="00B80EB7">
            <w:pPr>
              <w:spacing w:after="0" w:line="240" w:lineRule="auto"/>
              <w:jc w:val="center"/>
              <w:rPr>
                <w:b/>
                <w:bCs/>
                <w:color w:val="000000"/>
                <w:lang w:eastAsia="en-AU"/>
              </w:rPr>
            </w:pPr>
            <w:r>
              <w:rPr>
                <w:b/>
                <w:bCs/>
                <w:color w:val="000000"/>
                <w:lang w:eastAsia="en-AU"/>
              </w:rPr>
              <w:t>1,236</w:t>
            </w:r>
          </w:p>
        </w:tc>
        <w:tc>
          <w:tcPr>
            <w:tcW w:w="803" w:type="pct"/>
            <w:tcBorders>
              <w:top w:val="nil"/>
              <w:left w:val="nil"/>
              <w:bottom w:val="single" w:sz="12" w:space="0" w:color="auto"/>
              <w:right w:val="single" w:sz="4" w:space="0" w:color="auto"/>
            </w:tcBorders>
            <w:shd w:val="clear" w:color="auto" w:fill="auto"/>
            <w:noWrap/>
            <w:vAlign w:val="center"/>
          </w:tcPr>
          <w:p w14:paraId="19C2F15D" w14:textId="77777777" w:rsidR="00C01A50" w:rsidRPr="00823FB0" w:rsidRDefault="00C01A50" w:rsidP="00B80EB7">
            <w:pPr>
              <w:spacing w:after="0" w:line="240" w:lineRule="auto"/>
              <w:jc w:val="center"/>
              <w:rPr>
                <w:b/>
                <w:bCs/>
                <w:color w:val="000000"/>
                <w:lang w:eastAsia="en-AU"/>
              </w:rPr>
            </w:pPr>
            <w:r>
              <w:rPr>
                <w:b/>
                <w:bCs/>
                <w:color w:val="000000"/>
                <w:lang w:eastAsia="en-AU"/>
              </w:rPr>
              <w:t>1,304</w:t>
            </w:r>
          </w:p>
        </w:tc>
        <w:tc>
          <w:tcPr>
            <w:tcW w:w="803" w:type="pct"/>
            <w:tcBorders>
              <w:top w:val="single" w:sz="12" w:space="0" w:color="auto"/>
              <w:left w:val="nil"/>
              <w:bottom w:val="single" w:sz="12" w:space="0" w:color="auto"/>
              <w:right w:val="single" w:sz="4" w:space="0" w:color="auto"/>
            </w:tcBorders>
            <w:shd w:val="clear" w:color="auto" w:fill="auto"/>
            <w:noWrap/>
            <w:vAlign w:val="center"/>
          </w:tcPr>
          <w:p w14:paraId="66B236C7" w14:textId="77777777" w:rsidR="00C01A50" w:rsidRPr="00823FB0" w:rsidRDefault="00C01A50" w:rsidP="00B80EB7">
            <w:pPr>
              <w:spacing w:after="0" w:line="240" w:lineRule="auto"/>
              <w:jc w:val="center"/>
              <w:rPr>
                <w:b/>
                <w:bCs/>
                <w:color w:val="000000"/>
                <w:lang w:eastAsia="en-AU"/>
              </w:rPr>
            </w:pPr>
            <w:r>
              <w:rPr>
                <w:b/>
                <w:bCs/>
                <w:color w:val="000000"/>
                <w:lang w:eastAsia="en-AU"/>
              </w:rPr>
              <w:t>1,886</w:t>
            </w:r>
          </w:p>
        </w:tc>
        <w:tc>
          <w:tcPr>
            <w:tcW w:w="803" w:type="pct"/>
            <w:tcBorders>
              <w:top w:val="single" w:sz="12" w:space="0" w:color="auto"/>
              <w:left w:val="nil"/>
              <w:bottom w:val="single" w:sz="12" w:space="0" w:color="auto"/>
              <w:right w:val="single" w:sz="12" w:space="0" w:color="auto"/>
            </w:tcBorders>
            <w:shd w:val="clear" w:color="auto" w:fill="auto"/>
            <w:noWrap/>
            <w:vAlign w:val="center"/>
          </w:tcPr>
          <w:p w14:paraId="5DEC60C2" w14:textId="77777777" w:rsidR="00C01A50" w:rsidRPr="00823FB0" w:rsidRDefault="00C01A50" w:rsidP="00B80EB7">
            <w:pPr>
              <w:spacing w:after="0" w:line="240" w:lineRule="auto"/>
              <w:jc w:val="center"/>
              <w:rPr>
                <w:b/>
                <w:bCs/>
                <w:color w:val="000000"/>
                <w:lang w:eastAsia="en-AU"/>
              </w:rPr>
            </w:pPr>
            <w:r>
              <w:rPr>
                <w:b/>
                <w:bCs/>
                <w:color w:val="000000"/>
                <w:lang w:eastAsia="en-AU"/>
              </w:rPr>
              <w:t>2,207</w:t>
            </w:r>
          </w:p>
        </w:tc>
      </w:tr>
      <w:tr w:rsidR="00C01A50" w:rsidRPr="00823FB0" w14:paraId="7F9B2ABF" w14:textId="77777777" w:rsidTr="004513DF">
        <w:trPr>
          <w:trHeight w:val="300"/>
        </w:trPr>
        <w:tc>
          <w:tcPr>
            <w:tcW w:w="1491" w:type="pct"/>
            <w:gridSpan w:val="2"/>
            <w:tcBorders>
              <w:top w:val="single" w:sz="12" w:space="0" w:color="auto"/>
              <w:left w:val="single" w:sz="12" w:space="0" w:color="auto"/>
              <w:bottom w:val="single" w:sz="12" w:space="0" w:color="auto"/>
              <w:right w:val="single" w:sz="12" w:space="0" w:color="000000"/>
            </w:tcBorders>
            <w:shd w:val="clear" w:color="auto" w:fill="auto"/>
            <w:noWrap/>
            <w:vAlign w:val="center"/>
          </w:tcPr>
          <w:p w14:paraId="1784C68D" w14:textId="77777777" w:rsidR="00C01A50" w:rsidRPr="00823FB0" w:rsidRDefault="00C01A50" w:rsidP="00B80EB7">
            <w:pPr>
              <w:spacing w:after="0" w:line="240" w:lineRule="auto"/>
              <w:rPr>
                <w:b/>
                <w:bCs/>
                <w:color w:val="000000"/>
                <w:sz w:val="20"/>
                <w:lang w:eastAsia="en-AU"/>
              </w:rPr>
            </w:pPr>
            <w:r w:rsidRPr="00823FB0">
              <w:rPr>
                <w:b/>
                <w:bCs/>
                <w:color w:val="000000"/>
                <w:sz w:val="20"/>
                <w:lang w:eastAsia="en-AU"/>
              </w:rPr>
              <w:t>Decrease from 30 June 2007</w:t>
            </w:r>
            <w:r>
              <w:rPr>
                <w:b/>
                <w:bCs/>
                <w:color w:val="000000"/>
                <w:sz w:val="20"/>
                <w:lang w:eastAsia="en-AU"/>
              </w:rPr>
              <w:t xml:space="preserve"> (%)</w:t>
            </w:r>
          </w:p>
        </w:tc>
        <w:tc>
          <w:tcPr>
            <w:tcW w:w="619" w:type="pct"/>
            <w:tcBorders>
              <w:top w:val="nil"/>
              <w:left w:val="nil"/>
              <w:bottom w:val="single" w:sz="12" w:space="0" w:color="auto"/>
              <w:right w:val="single" w:sz="4" w:space="0" w:color="auto"/>
            </w:tcBorders>
            <w:shd w:val="clear" w:color="auto" w:fill="auto"/>
            <w:noWrap/>
            <w:vAlign w:val="center"/>
          </w:tcPr>
          <w:p w14:paraId="5BC1DB80"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0</w:t>
            </w:r>
          </w:p>
        </w:tc>
        <w:tc>
          <w:tcPr>
            <w:tcW w:w="482" w:type="pct"/>
            <w:tcBorders>
              <w:top w:val="nil"/>
              <w:left w:val="nil"/>
              <w:bottom w:val="single" w:sz="12" w:space="0" w:color="auto"/>
              <w:right w:val="single" w:sz="4" w:space="0" w:color="auto"/>
            </w:tcBorders>
            <w:shd w:val="clear" w:color="auto" w:fill="auto"/>
            <w:noWrap/>
            <w:vAlign w:val="center"/>
          </w:tcPr>
          <w:p w14:paraId="370E93E5"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21%</w:t>
            </w:r>
          </w:p>
        </w:tc>
        <w:tc>
          <w:tcPr>
            <w:tcW w:w="803" w:type="pct"/>
            <w:tcBorders>
              <w:top w:val="nil"/>
              <w:left w:val="nil"/>
              <w:bottom w:val="single" w:sz="12" w:space="0" w:color="auto"/>
              <w:right w:val="single" w:sz="4" w:space="0" w:color="auto"/>
            </w:tcBorders>
            <w:shd w:val="clear" w:color="auto" w:fill="auto"/>
            <w:noWrap/>
            <w:vAlign w:val="center"/>
          </w:tcPr>
          <w:p w14:paraId="454C7C3A"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22%</w:t>
            </w:r>
          </w:p>
        </w:tc>
        <w:tc>
          <w:tcPr>
            <w:tcW w:w="803" w:type="pct"/>
            <w:tcBorders>
              <w:top w:val="nil"/>
              <w:left w:val="nil"/>
              <w:bottom w:val="single" w:sz="12" w:space="0" w:color="auto"/>
              <w:right w:val="single" w:sz="4" w:space="0" w:color="auto"/>
            </w:tcBorders>
            <w:shd w:val="clear" w:color="auto" w:fill="auto"/>
            <w:noWrap/>
            <w:vAlign w:val="center"/>
          </w:tcPr>
          <w:p w14:paraId="22469437" w14:textId="77777777" w:rsidR="00C01A50" w:rsidRPr="00823FB0" w:rsidRDefault="00C01A50" w:rsidP="00B80EB7">
            <w:pPr>
              <w:spacing w:after="0" w:line="240" w:lineRule="auto"/>
              <w:jc w:val="center"/>
              <w:rPr>
                <w:b/>
                <w:bCs/>
                <w:color w:val="000000"/>
                <w:lang w:eastAsia="en-AU"/>
              </w:rPr>
            </w:pPr>
            <w:r>
              <w:rPr>
                <w:b/>
                <w:bCs/>
                <w:color w:val="000000"/>
                <w:lang w:eastAsia="en-AU"/>
              </w:rPr>
              <w:t>33</w:t>
            </w:r>
            <w:r w:rsidRPr="00823FB0">
              <w:rPr>
                <w:b/>
                <w:bCs/>
                <w:color w:val="000000"/>
                <w:lang w:eastAsia="en-AU"/>
              </w:rPr>
              <w:t>%</w:t>
            </w:r>
          </w:p>
        </w:tc>
        <w:tc>
          <w:tcPr>
            <w:tcW w:w="803" w:type="pct"/>
            <w:tcBorders>
              <w:top w:val="nil"/>
              <w:left w:val="nil"/>
              <w:bottom w:val="single" w:sz="12" w:space="0" w:color="auto"/>
              <w:right w:val="single" w:sz="12" w:space="0" w:color="auto"/>
            </w:tcBorders>
            <w:shd w:val="clear" w:color="auto" w:fill="auto"/>
            <w:noWrap/>
            <w:vAlign w:val="center"/>
          </w:tcPr>
          <w:p w14:paraId="08B0BEFA"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37%</w:t>
            </w:r>
          </w:p>
        </w:tc>
      </w:tr>
    </w:tbl>
    <w:p w14:paraId="7EC3EED9" w14:textId="77777777" w:rsidR="00C01A50" w:rsidRDefault="00C01A50" w:rsidP="00A17DEB">
      <w:r>
        <w:t>Notes:</w:t>
      </w:r>
    </w:p>
    <w:p w14:paraId="3DAEF8A3" w14:textId="77777777" w:rsidR="00C01A50" w:rsidRDefault="00C01A50" w:rsidP="00302BD9">
      <w:pPr>
        <w:pStyle w:val="ListParagraph"/>
        <w:numPr>
          <w:ilvl w:val="0"/>
          <w:numId w:val="27"/>
        </w:numPr>
        <w:spacing w:before="0" w:after="160" w:line="259" w:lineRule="auto"/>
      </w:pPr>
      <w:r>
        <w:t xml:space="preserve">LTDLE volumes determined using </w:t>
      </w:r>
      <w:r w:rsidRPr="00286DDE">
        <w:t>‘Long Term Diversion Limit Equivalents Factors for Entitl</w:t>
      </w:r>
      <w:r>
        <w:t>ements in Murray-Darling Basin V</w:t>
      </w:r>
      <w:r w:rsidRPr="00286DDE">
        <w:t>alleys, 29 November 2011 version 2.05’</w:t>
      </w:r>
    </w:p>
    <w:p w14:paraId="7C855E27" w14:textId="77777777" w:rsidR="00C01A50" w:rsidRDefault="00C01A50" w:rsidP="00302BD9">
      <w:pPr>
        <w:pStyle w:val="ListParagraph"/>
        <w:numPr>
          <w:ilvl w:val="0"/>
          <w:numId w:val="27"/>
        </w:numPr>
        <w:spacing w:before="0" w:after="160" w:line="259" w:lineRule="auto"/>
      </w:pPr>
      <w:r>
        <w:t>NSW:</w:t>
      </w:r>
    </w:p>
    <w:p w14:paraId="2379EF50" w14:textId="77777777" w:rsidR="00C01A50" w:rsidRPr="00286DDE" w:rsidRDefault="00C01A50" w:rsidP="00302BD9">
      <w:pPr>
        <w:pStyle w:val="ListParagraph"/>
        <w:numPr>
          <w:ilvl w:val="0"/>
          <w:numId w:val="28"/>
        </w:numPr>
        <w:spacing w:before="0" w:after="160" w:line="259" w:lineRule="auto"/>
        <w:rPr>
          <w:rStyle w:val="Hyperlink"/>
        </w:rPr>
      </w:pPr>
      <w:r>
        <w:t xml:space="preserve">High and General Security entitlement volumes for the Murray and Lower Darling were taken from - </w:t>
      </w:r>
      <w:r w:rsidRPr="00D812C2">
        <w:t>Water Sharing Plan for New South Wales Murray and Lower Darling Regulated Rivers Water Sources 2003</w:t>
      </w:r>
      <w:r>
        <w:t>. Viewed</w:t>
      </w:r>
      <w:r w:rsidRPr="00D812C2">
        <w:t xml:space="preserve"> on 20 Oct</w:t>
      </w:r>
      <w:r>
        <w:t>ober</w:t>
      </w:r>
      <w:r w:rsidRPr="00D812C2">
        <w:t xml:space="preserve"> 2016 at </w:t>
      </w:r>
      <w:hyperlink r:id="rId112" w:anchor="/view/regulation/2003/186/part6" w:history="1">
        <w:r w:rsidRPr="00714C1A">
          <w:rPr>
            <w:rStyle w:val="Hyperlink"/>
          </w:rPr>
          <w:t>http://www.legislation.nsw.gov.au/#/view/regulation/2003/186/part6</w:t>
        </w:r>
      </w:hyperlink>
      <w:r>
        <w:rPr>
          <w:rStyle w:val="Hyperlink"/>
        </w:rPr>
        <w:t xml:space="preserve"> </w:t>
      </w:r>
    </w:p>
    <w:p w14:paraId="17DE8E55" w14:textId="77777777" w:rsidR="00C01A50" w:rsidRDefault="00C01A50" w:rsidP="00302BD9">
      <w:pPr>
        <w:pStyle w:val="ListParagraph"/>
        <w:numPr>
          <w:ilvl w:val="0"/>
          <w:numId w:val="28"/>
        </w:numPr>
        <w:spacing w:before="0" w:after="160" w:line="259" w:lineRule="auto"/>
      </w:pPr>
      <w:r>
        <w:t xml:space="preserve">High and General Security entitlement volumes for the Murrumbidgee were taken from - </w:t>
      </w:r>
      <w:r w:rsidRPr="00D812C2">
        <w:t>Water Sharing Plan for the Murrumbidgee Regulated Rivers Water Source 2003</w:t>
      </w:r>
      <w:r>
        <w:t>. Viewed</w:t>
      </w:r>
      <w:r w:rsidRPr="00D812C2">
        <w:t xml:space="preserve"> on 20 Oct</w:t>
      </w:r>
      <w:r>
        <w:t>ober</w:t>
      </w:r>
      <w:r w:rsidRPr="00D812C2">
        <w:t xml:space="preserve"> 2016 at </w:t>
      </w:r>
      <w:hyperlink r:id="rId113" w:history="1">
        <w:r w:rsidRPr="00E70D88">
          <w:rPr>
            <w:rStyle w:val="Hyperlink"/>
          </w:rPr>
          <w:t>https://jade.io/article/281013</w:t>
        </w:r>
      </w:hyperlink>
    </w:p>
    <w:p w14:paraId="5007042E" w14:textId="77777777" w:rsidR="00C01A50" w:rsidRDefault="00C01A50" w:rsidP="00302BD9">
      <w:pPr>
        <w:pStyle w:val="ListParagraph"/>
        <w:numPr>
          <w:ilvl w:val="0"/>
          <w:numId w:val="28"/>
        </w:numPr>
        <w:spacing w:before="0" w:after="160" w:line="259" w:lineRule="auto"/>
      </w:pPr>
      <w:r>
        <w:t xml:space="preserve">Environmental holdings were subtracted from total available entitlements. Volumes of environmental entitlements held at or before 30 June 2007 were taken from the NSW </w:t>
      </w:r>
      <w:r>
        <w:lastRenderedPageBreak/>
        <w:t xml:space="preserve">Environmental water register. Viewed 19 October at </w:t>
      </w:r>
      <w:hyperlink r:id="rId114" w:history="1">
        <w:r w:rsidRPr="00E70D88">
          <w:rPr>
            <w:rStyle w:val="Hyperlink"/>
          </w:rPr>
          <w:t>http://ewr.water.nsw.gov.au/ewr/main/ersearchAEWByLoc</w:t>
        </w:r>
      </w:hyperlink>
      <w:r>
        <w:t xml:space="preserve"> </w:t>
      </w:r>
    </w:p>
    <w:p w14:paraId="3838467B" w14:textId="77777777" w:rsidR="00C01A50" w:rsidRDefault="00C01A50" w:rsidP="00A17DEB">
      <w:pPr>
        <w:ind w:left="720"/>
      </w:pPr>
      <w:r>
        <w:t xml:space="preserve">Victorian HRWS and LRWS entitlement volume pre Basin Plan taken from the following sources (no adjustment was made for environmental water holdings): </w:t>
      </w:r>
    </w:p>
    <w:p w14:paraId="61F4BA7E" w14:textId="77777777" w:rsidR="00C01A50" w:rsidRDefault="00C01A50" w:rsidP="00302BD9">
      <w:pPr>
        <w:pStyle w:val="ListParagraph"/>
        <w:numPr>
          <w:ilvl w:val="0"/>
          <w:numId w:val="28"/>
        </w:numPr>
        <w:spacing w:before="0" w:after="160" w:line="259" w:lineRule="auto"/>
      </w:pPr>
      <w:r w:rsidRPr="00DF60A0">
        <w:t>Bulk Entitlement (Broken System - Goulburn-Murray Water) Conversion Order 2004, Conversion Amending Notice 2007</w:t>
      </w:r>
    </w:p>
    <w:p w14:paraId="04A35D80" w14:textId="77777777" w:rsidR="00C01A50" w:rsidRDefault="00C01A50" w:rsidP="00302BD9">
      <w:pPr>
        <w:pStyle w:val="ListParagraph"/>
        <w:numPr>
          <w:ilvl w:val="0"/>
          <w:numId w:val="28"/>
        </w:numPr>
        <w:spacing w:before="0" w:after="160" w:line="259" w:lineRule="auto"/>
      </w:pPr>
      <w:r w:rsidRPr="00DF60A0">
        <w:t>Bulk Entitlement (Campaspe System - Goulburn-Murray Water) Conversion Order 2000, Conversion Amending Notice 2007</w:t>
      </w:r>
    </w:p>
    <w:p w14:paraId="0A46B64B" w14:textId="77777777" w:rsidR="00C01A50" w:rsidRDefault="00C01A50" w:rsidP="00302BD9">
      <w:pPr>
        <w:pStyle w:val="ListParagraph"/>
        <w:numPr>
          <w:ilvl w:val="0"/>
          <w:numId w:val="28"/>
        </w:numPr>
        <w:spacing w:before="0" w:after="160" w:line="259" w:lineRule="auto"/>
      </w:pPr>
      <w:r>
        <w:t>B</w:t>
      </w:r>
      <w:r w:rsidRPr="00DF60A0">
        <w:t>ulk Entitlement (Eildon-Goulburn Weir) Conversion Order 1995, Conversion Amending Notice 2007</w:t>
      </w:r>
    </w:p>
    <w:p w14:paraId="55CC16F7" w14:textId="77777777" w:rsidR="00C01A50" w:rsidRDefault="00C01A50" w:rsidP="00302BD9">
      <w:pPr>
        <w:pStyle w:val="ListParagraph"/>
        <w:numPr>
          <w:ilvl w:val="0"/>
          <w:numId w:val="28"/>
        </w:numPr>
        <w:spacing w:before="0" w:after="160" w:line="259" w:lineRule="auto"/>
      </w:pPr>
      <w:r w:rsidRPr="00DF60A0">
        <w:t>Bulk Entitlement (Loddon System - Goulburn-Murray Water) Conversion Order 2005, Conversion Amending Notice 2007</w:t>
      </w:r>
    </w:p>
    <w:p w14:paraId="1199D2A8" w14:textId="77777777" w:rsidR="00C01A50" w:rsidRDefault="00C01A50" w:rsidP="00302BD9">
      <w:pPr>
        <w:pStyle w:val="ListParagraph"/>
        <w:numPr>
          <w:ilvl w:val="0"/>
          <w:numId w:val="28"/>
        </w:numPr>
        <w:spacing w:before="0" w:after="160" w:line="259" w:lineRule="auto"/>
      </w:pPr>
      <w:r w:rsidRPr="00DF60A0">
        <w:t>Bulk Entitlement (Ovens System - Goulburn-Murray Water) Conversion Order 2004, Conversion Amending Notice 2007</w:t>
      </w:r>
    </w:p>
    <w:p w14:paraId="5533311A" w14:textId="77777777" w:rsidR="00C01A50" w:rsidRDefault="00C01A50" w:rsidP="00302BD9">
      <w:pPr>
        <w:pStyle w:val="ListParagraph"/>
        <w:numPr>
          <w:ilvl w:val="0"/>
          <w:numId w:val="28"/>
        </w:numPr>
        <w:spacing w:before="0" w:after="160" w:line="259" w:lineRule="auto"/>
      </w:pPr>
      <w:r w:rsidRPr="00DF60A0">
        <w:t>Bulk Entitlement (River Murray - Goulburn-Murray Water) Conversion Order 1999, Conversion Amending Notice 2007</w:t>
      </w:r>
    </w:p>
    <w:p w14:paraId="27EF8385" w14:textId="77777777" w:rsidR="00C01A50" w:rsidRDefault="00C01A50" w:rsidP="00A17DEB">
      <w:pPr>
        <w:ind w:left="720"/>
      </w:pPr>
      <w:r>
        <w:t xml:space="preserve">SA High reliability entitlement volume pre Basin Plan taken from </w:t>
      </w:r>
      <w:r w:rsidRPr="00DF60A0">
        <w:t>Draft Water Allocation Plan for the River Murray Prescribed Watercourse, Table 3, page 17</w:t>
      </w:r>
      <w:r>
        <w:t>. No adjustment was made for environmental water held in the irrigation pools.</w:t>
      </w:r>
      <w:r w:rsidRPr="00D812C2">
        <w:t xml:space="preserve"> </w:t>
      </w:r>
    </w:p>
    <w:p w14:paraId="2A954D53" w14:textId="77777777" w:rsidR="00C01A50" w:rsidRDefault="00C01A50" w:rsidP="00302BD9">
      <w:pPr>
        <w:pStyle w:val="ListParagraph"/>
        <w:numPr>
          <w:ilvl w:val="0"/>
          <w:numId w:val="27"/>
        </w:numPr>
        <w:spacing w:before="0" w:after="160" w:line="259" w:lineRule="auto"/>
      </w:pPr>
      <w:r>
        <w:t xml:space="preserve">The difference between water availability for irrigation on 30 June 2007 and October 2016 is mainly attributable to water recovery for the Basin Plan. </w:t>
      </w:r>
      <w:r w:rsidRPr="00A3490E">
        <w:t>191 GL (LTAAY) in NSW and 30 GL (LTAAY) in Victoria was recovered for Snowy and Living Murray Initiatives during this time meaning that 1,015 GL (LTAAY) is attributable to Basin Plan water recovery.</w:t>
      </w:r>
      <w:r>
        <w:t xml:space="preserve"> This water recovery volume also needs to be subtracted from the LOW, MEDIUM and HIGH water recovery scenarios to obtain the decrease in the consumptive pool attributable to the Basin Plan.    </w:t>
      </w:r>
    </w:p>
    <w:p w14:paraId="3CC431FC" w14:textId="77777777" w:rsidR="00C01A50" w:rsidRDefault="00C01A50" w:rsidP="00A17DEB">
      <w:pPr>
        <w:ind w:left="720"/>
      </w:pPr>
      <w:r>
        <w:t xml:space="preserve">Conversely, there are significant volumes of contracted water recovery that is yet to be transferred to the CEWO that would further decrease water availability for irrigation. The volume is not known (but CEWO holds 1,712 GL) </w:t>
      </w:r>
    </w:p>
    <w:p w14:paraId="4DBE594D" w14:textId="77777777" w:rsidR="00C01A50" w:rsidRDefault="00C01A50" w:rsidP="00A17DEB">
      <w:pPr>
        <w:ind w:left="720"/>
      </w:pPr>
      <w:r>
        <w:t xml:space="preserve">Conversely, a significant volume of NSW supplementary entitlement (around 175 GL (LTAAY)) has been recovered for Basin Plan purposes. This recovery is not included in the table. Nor is the NSW conveyance entitlements held by the CEWO. </w:t>
      </w:r>
    </w:p>
    <w:p w14:paraId="1A74C720" w14:textId="77777777" w:rsidR="00C01A50" w:rsidRDefault="00C01A50" w:rsidP="00A17DEB">
      <w:pPr>
        <w:ind w:left="720"/>
      </w:pPr>
      <w:r>
        <w:t>NSW:</w:t>
      </w:r>
    </w:p>
    <w:p w14:paraId="0D07DC89" w14:textId="77777777" w:rsidR="00C01A50" w:rsidRPr="00F9091E" w:rsidRDefault="00C01A50" w:rsidP="00302BD9">
      <w:pPr>
        <w:pStyle w:val="ListParagraph"/>
        <w:numPr>
          <w:ilvl w:val="0"/>
          <w:numId w:val="28"/>
        </w:numPr>
        <w:spacing w:before="0" w:after="160" w:line="259" w:lineRule="auto"/>
        <w:rPr>
          <w:rStyle w:val="Hyperlink"/>
        </w:rPr>
      </w:pPr>
      <w:r w:rsidRPr="00F41BE6">
        <w:t>Total High and General Security entitlement volumes for the Murray and Lower Darling were taken from- NSW Murray Lower Darling Water Sharing Plan 2016</w:t>
      </w:r>
      <w:r w:rsidRPr="00F9091E">
        <w:rPr>
          <w:rStyle w:val="Hyperlink"/>
          <w:color w:val="auto"/>
        </w:rPr>
        <w:t xml:space="preserve"> </w:t>
      </w:r>
    </w:p>
    <w:p w14:paraId="01A4394F" w14:textId="77777777" w:rsidR="00C01A50" w:rsidRDefault="00C01A50" w:rsidP="00302BD9">
      <w:pPr>
        <w:pStyle w:val="ListParagraph"/>
        <w:numPr>
          <w:ilvl w:val="0"/>
          <w:numId w:val="28"/>
        </w:numPr>
        <w:spacing w:before="0" w:after="160" w:line="259" w:lineRule="auto"/>
      </w:pPr>
      <w:r>
        <w:t>Total High and General Security entitlement volumes for the</w:t>
      </w:r>
      <w:r w:rsidRPr="00FD4145">
        <w:t xml:space="preserve"> </w:t>
      </w:r>
      <w:r>
        <w:t xml:space="preserve">Murrumbidgee were taken from - </w:t>
      </w:r>
      <w:r w:rsidRPr="00FD4145">
        <w:t>Murrumbidgee Water Sharing Plan 2016</w:t>
      </w:r>
    </w:p>
    <w:p w14:paraId="14372E65" w14:textId="77777777" w:rsidR="00C01A50" w:rsidRDefault="00C01A50" w:rsidP="00302BD9">
      <w:pPr>
        <w:pStyle w:val="ListParagraph"/>
        <w:numPr>
          <w:ilvl w:val="0"/>
          <w:numId w:val="28"/>
        </w:numPr>
        <w:spacing w:before="0" w:after="160" w:line="259" w:lineRule="auto"/>
      </w:pPr>
      <w:r w:rsidRPr="00FD4145">
        <w:t xml:space="preserve">CEWO </w:t>
      </w:r>
      <w:r>
        <w:t>environmental h</w:t>
      </w:r>
      <w:r w:rsidRPr="00FD4145">
        <w:t xml:space="preserve">oldings </w:t>
      </w:r>
      <w:r>
        <w:t xml:space="preserve">were subtracted from total entitlement volumes. Entitlement volumes were viewed </w:t>
      </w:r>
      <w:r w:rsidRPr="00FD4145">
        <w:t>on 19 Oct</w:t>
      </w:r>
      <w:r>
        <w:t>ober</w:t>
      </w:r>
      <w:r w:rsidRPr="00FD4145">
        <w:t xml:space="preserve"> 2016 at </w:t>
      </w:r>
      <w:hyperlink r:id="rId115" w:history="1">
        <w:r w:rsidRPr="00E70D88">
          <w:rPr>
            <w:rStyle w:val="Hyperlink"/>
          </w:rPr>
          <w:t>https://www.environment.gov.au/water/cewo/portfolio-mgt/holdings-catchment</w:t>
        </w:r>
      </w:hyperlink>
      <w:r>
        <w:t xml:space="preserve"> </w:t>
      </w:r>
    </w:p>
    <w:p w14:paraId="23FB8FFE" w14:textId="77777777" w:rsidR="00C01A50" w:rsidRDefault="00C01A50" w:rsidP="00302BD9">
      <w:pPr>
        <w:pStyle w:val="ListParagraph"/>
        <w:numPr>
          <w:ilvl w:val="0"/>
          <w:numId w:val="28"/>
        </w:numPr>
        <w:spacing w:before="0" w:after="160" w:line="259" w:lineRule="auto"/>
      </w:pPr>
      <w:r>
        <w:lastRenderedPageBreak/>
        <w:t xml:space="preserve">Other environmental holdings were also subtracted from total available entitlements. Entitlement volumes were viewed on 19 October 2016 at </w:t>
      </w:r>
      <w:hyperlink r:id="rId116" w:history="1">
        <w:r w:rsidRPr="00E70D88">
          <w:rPr>
            <w:rStyle w:val="Hyperlink"/>
          </w:rPr>
          <w:t>http://ewr.water.nsw.gov.au/ewr/main/ersearchAEWByLoc</w:t>
        </w:r>
      </w:hyperlink>
      <w:r>
        <w:t xml:space="preserve"> </w:t>
      </w:r>
    </w:p>
    <w:p w14:paraId="04CFC434" w14:textId="77777777" w:rsidR="00C01A50" w:rsidRDefault="00C01A50" w:rsidP="00A17DEB">
      <w:pPr>
        <w:ind w:left="720"/>
      </w:pPr>
      <w:r>
        <w:t>Victorian:</w:t>
      </w:r>
    </w:p>
    <w:p w14:paraId="31A6AE36" w14:textId="77777777" w:rsidR="00C01A50" w:rsidRDefault="00C01A50" w:rsidP="00302BD9">
      <w:pPr>
        <w:pStyle w:val="ListParagraph"/>
        <w:numPr>
          <w:ilvl w:val="0"/>
          <w:numId w:val="29"/>
        </w:numPr>
        <w:spacing w:before="0" w:after="160" w:line="259" w:lineRule="auto"/>
      </w:pPr>
      <w:r>
        <w:t xml:space="preserve">Total water shares were taken </w:t>
      </w:r>
      <w:r w:rsidRPr="00FD4145">
        <w:t>from the Victorian Water Register on 19 Oct</w:t>
      </w:r>
      <w:r>
        <w:t>ober</w:t>
      </w:r>
      <w:r w:rsidRPr="00FD4145">
        <w:t xml:space="preserve"> 2016 at </w:t>
      </w:r>
      <w:hyperlink r:id="rId117" w:history="1">
        <w:r w:rsidRPr="00E70D88">
          <w:rPr>
            <w:rStyle w:val="Hyperlink"/>
          </w:rPr>
          <w:t>http://waterregister.vic.gov.au/water-entitlements/entitlement-statistics</w:t>
        </w:r>
      </w:hyperlink>
    </w:p>
    <w:p w14:paraId="627608FF" w14:textId="77777777" w:rsidR="00C01A50" w:rsidRDefault="00C01A50" w:rsidP="00302BD9">
      <w:pPr>
        <w:pStyle w:val="ListParagraph"/>
        <w:numPr>
          <w:ilvl w:val="0"/>
          <w:numId w:val="29"/>
        </w:numPr>
        <w:spacing w:before="0" w:after="160" w:line="259" w:lineRule="auto"/>
      </w:pPr>
      <w:r>
        <w:t xml:space="preserve">CEWO environmental water holdings were subtracted from total water shares. Entitlement volumes were viewed </w:t>
      </w:r>
      <w:r w:rsidRPr="00FD4145">
        <w:t>on 19 Oct</w:t>
      </w:r>
      <w:r>
        <w:t>ober</w:t>
      </w:r>
      <w:r w:rsidRPr="00FD4145">
        <w:t xml:space="preserve"> 2016 at </w:t>
      </w:r>
      <w:hyperlink r:id="rId118" w:history="1">
        <w:r w:rsidRPr="00E70D88">
          <w:rPr>
            <w:rStyle w:val="Hyperlink"/>
          </w:rPr>
          <w:t>https://www.environment.gov.au/water/cewo/portfolio-mgt/holdings-catchment</w:t>
        </w:r>
      </w:hyperlink>
    </w:p>
    <w:p w14:paraId="654409BF" w14:textId="77777777" w:rsidR="00C01A50" w:rsidRDefault="00C01A50" w:rsidP="00302BD9">
      <w:pPr>
        <w:pStyle w:val="ListParagraph"/>
        <w:numPr>
          <w:ilvl w:val="0"/>
          <w:numId w:val="29"/>
        </w:numPr>
        <w:spacing w:before="0" w:after="160" w:line="259" w:lineRule="auto"/>
      </w:pPr>
      <w:r>
        <w:t xml:space="preserve">VEWH environmental water holdings were subtracted from total water shares. Environmental entitlement volumes were taken from </w:t>
      </w:r>
      <w:r w:rsidRPr="00317F71">
        <w:t>Table 1.3.1 of VEWH Seasonal Watering Plan 2015</w:t>
      </w:r>
      <w:r w:rsidR="00A61F22">
        <w:t>/</w:t>
      </w:r>
      <w:r w:rsidRPr="00317F71">
        <w:t>16</w:t>
      </w:r>
    </w:p>
    <w:p w14:paraId="7E36C424" w14:textId="77777777" w:rsidR="00C01A50" w:rsidRDefault="00C01A50" w:rsidP="00A17DEB">
      <w:pPr>
        <w:ind w:left="720"/>
      </w:pPr>
      <w:r>
        <w:t>SA High reliability entitlement volume is an estimated figure. The CEWO held 151 GL of SA High reliability entitlement on 19 October 2016 (</w:t>
      </w:r>
      <w:hyperlink r:id="rId119" w:history="1">
        <w:r w:rsidRPr="00E70D88">
          <w:rPr>
            <w:rStyle w:val="Hyperlink"/>
          </w:rPr>
          <w:t>https://www.environment.gov.au/water/cewo/portfolio-mgt/holdings-catchment</w:t>
        </w:r>
      </w:hyperlink>
      <w:r>
        <w:t xml:space="preserve">). The majority of the CEWO holdings were recovered for Basin Plan purposes – the Commonwealth’s summary of water recovery progress as at 31 July 2016 indicated that 131.3 GL (LTAAY) of gap bridging water was held by the Commonwealth (viewed at </w:t>
      </w:r>
      <w:hyperlink r:id="rId120" w:history="1">
        <w:r w:rsidRPr="00E70D88">
          <w:rPr>
            <w:rStyle w:val="Hyperlink"/>
          </w:rPr>
          <w:t>http://www.agriculture.gov.au/water/mdb/progress-recovery</w:t>
        </w:r>
      </w:hyperlink>
      <w:r>
        <w:t xml:space="preserve">). It was assumed that 100 GL of this entitlement (90 GL LTAAY) was held in Consumptive Pool E which has a total entitlement volume of 565 GL (see </w:t>
      </w:r>
      <w:r w:rsidRPr="00DF60A0">
        <w:t>Draft Water Allocation Plan for the River Murray Prescribed Watercourse, Table 3, page 17</w:t>
      </w:r>
      <w:r>
        <w:t xml:space="preserve">). </w:t>
      </w:r>
    </w:p>
    <w:p w14:paraId="160F9E87" w14:textId="77777777" w:rsidR="00C01A50" w:rsidRDefault="00C01A50" w:rsidP="00A17DEB">
      <w:pPr>
        <w:spacing w:before="0" w:after="0" w:line="240" w:lineRule="auto"/>
        <w:rPr>
          <w:lang w:val="en-AU"/>
        </w:rPr>
      </w:pPr>
    </w:p>
    <w:p w14:paraId="704167D9" w14:textId="77777777" w:rsidR="004F53D2" w:rsidRDefault="004F53D2">
      <w:pPr>
        <w:spacing w:before="0" w:after="0" w:line="240" w:lineRule="auto"/>
        <w:jc w:val="left"/>
        <w:rPr>
          <w:lang w:val="en-AU"/>
        </w:rPr>
      </w:pPr>
      <w:r>
        <w:rPr>
          <w:lang w:val="en-AU"/>
        </w:rPr>
        <w:br w:type="page"/>
      </w:r>
    </w:p>
    <w:p w14:paraId="1839E2A0" w14:textId="77777777" w:rsidR="00C01A50" w:rsidRDefault="00C01A50" w:rsidP="00A17DEB">
      <w:pPr>
        <w:spacing w:before="0" w:after="0" w:line="240" w:lineRule="auto"/>
        <w:rPr>
          <w:lang w:val="en-AU"/>
        </w:rPr>
      </w:pPr>
    </w:p>
    <w:p w14:paraId="7FB7D216" w14:textId="77777777" w:rsidR="00C01A50" w:rsidRDefault="00C01A50" w:rsidP="00A17DEB">
      <w:pPr>
        <w:pStyle w:val="Caption"/>
        <w:rPr>
          <w:lang w:val="en-AU"/>
        </w:rPr>
      </w:pPr>
      <w:r>
        <w:t xml:space="preserve">Table </w:t>
      </w:r>
      <w:r>
        <w:fldChar w:fldCharType="begin"/>
      </w:r>
      <w:r>
        <w:instrText xml:space="preserve"> SEQ Table \* ARABIC </w:instrText>
      </w:r>
      <w:r>
        <w:fldChar w:fldCharType="separate"/>
      </w:r>
      <w:r w:rsidR="008E5D7A">
        <w:rPr>
          <w:noProof/>
        </w:rPr>
        <w:t>29</w:t>
      </w:r>
      <w:r>
        <w:fldChar w:fldCharType="end"/>
      </w:r>
      <w:r>
        <w:t xml:space="preserve"> – Water availability for irrigation from the five major entitlement types in the sMDB pre and post Basin Plan for three water recovery scenarios. Figure are entitlement volumes in GL (see </w:t>
      </w:r>
      <w:r>
        <w:fldChar w:fldCharType="begin"/>
      </w:r>
      <w:r>
        <w:instrText xml:space="preserve"> REF _Ref467616952 \h </w:instrText>
      </w:r>
      <w:r>
        <w:fldChar w:fldCharType="separate"/>
      </w:r>
      <w:r w:rsidR="008E5D7A">
        <w:t xml:space="preserve">Table </w:t>
      </w:r>
      <w:r w:rsidR="008E5D7A">
        <w:rPr>
          <w:noProof/>
        </w:rPr>
        <w:t>28</w:t>
      </w:r>
      <w:r>
        <w:fldChar w:fldCharType="end"/>
      </w:r>
      <w:r>
        <w:t xml:space="preserve"> for notes on source of data)</w:t>
      </w:r>
    </w:p>
    <w:p w14:paraId="4A039E83" w14:textId="77777777" w:rsidR="00C01A50" w:rsidRDefault="00C01A50" w:rsidP="00A17DEB">
      <w:pPr>
        <w:spacing w:before="0" w:after="0" w:line="240" w:lineRule="auto"/>
        <w:rPr>
          <w:lang w:val="en-AU"/>
        </w:rPr>
      </w:pPr>
    </w:p>
    <w:tbl>
      <w:tblPr>
        <w:tblW w:w="5000" w:type="pct"/>
        <w:tblLook w:val="04A0" w:firstRow="1" w:lastRow="0" w:firstColumn="1" w:lastColumn="0" w:noHBand="0" w:noVBand="1"/>
      </w:tblPr>
      <w:tblGrid>
        <w:gridCol w:w="2337"/>
        <w:gridCol w:w="1558"/>
        <w:gridCol w:w="833"/>
        <w:gridCol w:w="912"/>
        <w:gridCol w:w="1170"/>
        <w:gridCol w:w="1170"/>
        <w:gridCol w:w="1168"/>
      </w:tblGrid>
      <w:tr w:rsidR="00C01A50" w:rsidRPr="00823FB0" w14:paraId="65B58985" w14:textId="77777777" w:rsidTr="004F53D2">
        <w:trPr>
          <w:trHeight w:val="585"/>
        </w:trPr>
        <w:tc>
          <w:tcPr>
            <w:tcW w:w="874" w:type="pct"/>
            <w:tcBorders>
              <w:top w:val="single" w:sz="12" w:space="0" w:color="auto"/>
              <w:left w:val="single" w:sz="12" w:space="0" w:color="auto"/>
              <w:bottom w:val="single" w:sz="12" w:space="0" w:color="auto"/>
              <w:right w:val="single" w:sz="4" w:space="0" w:color="auto"/>
            </w:tcBorders>
            <w:shd w:val="clear" w:color="auto" w:fill="auto"/>
            <w:noWrap/>
            <w:vAlign w:val="center"/>
          </w:tcPr>
          <w:p w14:paraId="07E4DFA2" w14:textId="77777777" w:rsidR="00C01A50" w:rsidRPr="00823FB0" w:rsidRDefault="00C01A50" w:rsidP="00B80EB7">
            <w:pPr>
              <w:spacing w:after="0" w:line="240" w:lineRule="auto"/>
              <w:rPr>
                <w:b/>
                <w:bCs/>
                <w:color w:val="000000"/>
                <w:lang w:eastAsia="en-AU"/>
              </w:rPr>
            </w:pPr>
            <w:r w:rsidRPr="00823FB0">
              <w:rPr>
                <w:b/>
                <w:bCs/>
                <w:color w:val="000000"/>
                <w:lang w:eastAsia="en-AU"/>
              </w:rPr>
              <w:t>SDL Resource Unit</w:t>
            </w:r>
          </w:p>
        </w:tc>
        <w:tc>
          <w:tcPr>
            <w:tcW w:w="617" w:type="pct"/>
            <w:tcBorders>
              <w:top w:val="single" w:sz="12" w:space="0" w:color="auto"/>
              <w:left w:val="nil"/>
              <w:bottom w:val="single" w:sz="12" w:space="0" w:color="auto"/>
              <w:right w:val="nil"/>
            </w:tcBorders>
            <w:shd w:val="clear" w:color="auto" w:fill="auto"/>
            <w:vAlign w:val="center"/>
          </w:tcPr>
          <w:p w14:paraId="72640DBC"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Entitlement type</w:t>
            </w:r>
          </w:p>
        </w:tc>
        <w:tc>
          <w:tcPr>
            <w:tcW w:w="619" w:type="pct"/>
            <w:tcBorders>
              <w:top w:val="single" w:sz="12" w:space="0" w:color="auto"/>
              <w:left w:val="single" w:sz="12" w:space="0" w:color="auto"/>
              <w:bottom w:val="single" w:sz="12" w:space="0" w:color="auto"/>
              <w:right w:val="single" w:sz="4" w:space="0" w:color="auto"/>
            </w:tcBorders>
            <w:shd w:val="clear" w:color="auto" w:fill="auto"/>
            <w:vAlign w:val="center"/>
          </w:tcPr>
          <w:p w14:paraId="036FD4DE" w14:textId="77777777" w:rsidR="00C01A50" w:rsidRDefault="00C01A50" w:rsidP="00B80EB7">
            <w:pPr>
              <w:spacing w:after="0" w:line="240" w:lineRule="auto"/>
              <w:jc w:val="center"/>
              <w:rPr>
                <w:b/>
                <w:bCs/>
                <w:color w:val="000000"/>
                <w:lang w:eastAsia="en-AU"/>
              </w:rPr>
            </w:pPr>
            <w:r w:rsidRPr="00823FB0">
              <w:rPr>
                <w:b/>
                <w:bCs/>
                <w:color w:val="000000"/>
                <w:lang w:eastAsia="en-AU"/>
              </w:rPr>
              <w:t>Pre Basin Plan</w:t>
            </w:r>
          </w:p>
          <w:p w14:paraId="74460DF4" w14:textId="77777777" w:rsidR="00C01A50" w:rsidRPr="00823FB0" w:rsidRDefault="00C01A50" w:rsidP="00B80EB7">
            <w:pPr>
              <w:spacing w:after="0" w:line="240" w:lineRule="auto"/>
              <w:jc w:val="center"/>
              <w:rPr>
                <w:b/>
                <w:bCs/>
                <w:color w:val="000000"/>
                <w:lang w:eastAsia="en-AU"/>
              </w:rPr>
            </w:pPr>
            <w:r w:rsidRPr="00823FB0">
              <w:rPr>
                <w:b/>
                <w:bCs/>
                <w:color w:val="000000"/>
                <w:lang w:eastAsia="en-AU"/>
              </w:rPr>
              <w:t>(30 June 2007)</w:t>
            </w:r>
          </w:p>
        </w:tc>
        <w:tc>
          <w:tcPr>
            <w:tcW w:w="482" w:type="pct"/>
            <w:tcBorders>
              <w:top w:val="single" w:sz="12" w:space="0" w:color="auto"/>
              <w:left w:val="nil"/>
              <w:bottom w:val="single" w:sz="12" w:space="0" w:color="auto"/>
              <w:right w:val="single" w:sz="4" w:space="0" w:color="auto"/>
            </w:tcBorders>
            <w:shd w:val="clear" w:color="auto" w:fill="auto"/>
            <w:vAlign w:val="center"/>
          </w:tcPr>
          <w:p w14:paraId="3E924A85" w14:textId="77777777" w:rsidR="00C01A50" w:rsidRDefault="00C01A50" w:rsidP="00B80EB7">
            <w:pPr>
              <w:spacing w:after="0" w:line="240" w:lineRule="auto"/>
              <w:jc w:val="center"/>
              <w:rPr>
                <w:b/>
                <w:bCs/>
                <w:color w:val="000000"/>
                <w:lang w:eastAsia="en-AU"/>
              </w:rPr>
            </w:pPr>
            <w:r>
              <w:rPr>
                <w:b/>
                <w:bCs/>
                <w:color w:val="000000"/>
                <w:lang w:eastAsia="en-AU"/>
              </w:rPr>
              <w:t>Current</w:t>
            </w:r>
          </w:p>
          <w:p w14:paraId="0D4193FB" w14:textId="77777777" w:rsidR="00C01A50" w:rsidRPr="00823FB0" w:rsidRDefault="00C01A50" w:rsidP="00B80EB7">
            <w:pPr>
              <w:spacing w:after="0" w:line="240" w:lineRule="auto"/>
              <w:jc w:val="center"/>
              <w:rPr>
                <w:b/>
                <w:bCs/>
                <w:color w:val="000000"/>
                <w:lang w:eastAsia="en-AU"/>
              </w:rPr>
            </w:pPr>
            <w:r>
              <w:rPr>
                <w:b/>
                <w:bCs/>
                <w:color w:val="000000"/>
                <w:lang w:eastAsia="en-AU"/>
              </w:rPr>
              <w:t>(</w:t>
            </w:r>
            <w:r w:rsidRPr="00823FB0">
              <w:rPr>
                <w:b/>
                <w:bCs/>
                <w:color w:val="000000"/>
                <w:lang w:eastAsia="en-AU"/>
              </w:rPr>
              <w:t>Oct 2016)</w:t>
            </w:r>
          </w:p>
        </w:tc>
        <w:tc>
          <w:tcPr>
            <w:tcW w:w="803" w:type="pct"/>
            <w:tcBorders>
              <w:top w:val="single" w:sz="12" w:space="0" w:color="auto"/>
              <w:left w:val="nil"/>
              <w:bottom w:val="single" w:sz="12" w:space="0" w:color="auto"/>
              <w:right w:val="single" w:sz="4" w:space="0" w:color="auto"/>
            </w:tcBorders>
            <w:shd w:val="clear" w:color="auto" w:fill="auto"/>
            <w:vAlign w:val="center"/>
          </w:tcPr>
          <w:p w14:paraId="27D6B87C" w14:textId="77777777" w:rsidR="00C01A50" w:rsidRDefault="00C01A50" w:rsidP="00B80EB7">
            <w:pPr>
              <w:spacing w:after="0" w:line="240" w:lineRule="auto"/>
              <w:jc w:val="center"/>
              <w:rPr>
                <w:b/>
                <w:bCs/>
                <w:color w:val="000000"/>
                <w:lang w:eastAsia="en-AU"/>
              </w:rPr>
            </w:pPr>
            <w:r w:rsidRPr="00823FB0">
              <w:rPr>
                <w:b/>
                <w:bCs/>
                <w:color w:val="000000"/>
                <w:lang w:eastAsia="en-AU"/>
              </w:rPr>
              <w:t>LOW</w:t>
            </w:r>
          </w:p>
          <w:p w14:paraId="73703EA4" w14:textId="77777777" w:rsidR="00C01A50" w:rsidRPr="00823FB0" w:rsidRDefault="00C01A50" w:rsidP="00B80EB7">
            <w:pPr>
              <w:spacing w:after="0" w:line="240" w:lineRule="auto"/>
              <w:jc w:val="center"/>
              <w:rPr>
                <w:b/>
                <w:bCs/>
                <w:color w:val="000000"/>
                <w:lang w:eastAsia="en-AU"/>
              </w:rPr>
            </w:pPr>
            <w:r>
              <w:rPr>
                <w:b/>
                <w:bCs/>
                <w:color w:val="000000"/>
                <w:lang w:eastAsia="en-AU"/>
              </w:rPr>
              <w:t>(2,100 GL recovery)</w:t>
            </w:r>
          </w:p>
        </w:tc>
        <w:tc>
          <w:tcPr>
            <w:tcW w:w="803" w:type="pct"/>
            <w:tcBorders>
              <w:top w:val="single" w:sz="12" w:space="0" w:color="auto"/>
              <w:left w:val="nil"/>
              <w:bottom w:val="single" w:sz="12" w:space="0" w:color="auto"/>
              <w:right w:val="single" w:sz="4" w:space="0" w:color="auto"/>
            </w:tcBorders>
            <w:shd w:val="clear" w:color="auto" w:fill="auto"/>
            <w:vAlign w:val="center"/>
          </w:tcPr>
          <w:p w14:paraId="3420125D" w14:textId="77777777" w:rsidR="00C01A50" w:rsidRDefault="00C01A50" w:rsidP="00B80EB7">
            <w:pPr>
              <w:spacing w:after="0" w:line="240" w:lineRule="auto"/>
              <w:jc w:val="center"/>
              <w:rPr>
                <w:b/>
                <w:bCs/>
                <w:color w:val="000000"/>
                <w:lang w:eastAsia="en-AU"/>
              </w:rPr>
            </w:pPr>
            <w:r w:rsidRPr="00823FB0">
              <w:rPr>
                <w:b/>
                <w:bCs/>
                <w:color w:val="000000"/>
                <w:lang w:eastAsia="en-AU"/>
              </w:rPr>
              <w:t>MEDIUM</w:t>
            </w:r>
          </w:p>
          <w:p w14:paraId="4D6D4C21" w14:textId="77777777" w:rsidR="00C01A50" w:rsidRPr="00823FB0" w:rsidRDefault="00C01A50" w:rsidP="00B80EB7">
            <w:pPr>
              <w:spacing w:after="0" w:line="240" w:lineRule="auto"/>
              <w:jc w:val="center"/>
              <w:rPr>
                <w:b/>
                <w:bCs/>
                <w:color w:val="000000"/>
                <w:lang w:eastAsia="en-AU"/>
              </w:rPr>
            </w:pPr>
            <w:r>
              <w:rPr>
                <w:b/>
                <w:bCs/>
                <w:color w:val="000000"/>
                <w:lang w:eastAsia="en-AU"/>
              </w:rPr>
              <w:t>(2,750 GL recovery)</w:t>
            </w:r>
          </w:p>
        </w:tc>
        <w:tc>
          <w:tcPr>
            <w:tcW w:w="803" w:type="pct"/>
            <w:tcBorders>
              <w:top w:val="single" w:sz="12" w:space="0" w:color="auto"/>
              <w:left w:val="nil"/>
              <w:bottom w:val="single" w:sz="12" w:space="0" w:color="auto"/>
              <w:right w:val="single" w:sz="12" w:space="0" w:color="auto"/>
            </w:tcBorders>
            <w:shd w:val="clear" w:color="auto" w:fill="auto"/>
            <w:vAlign w:val="center"/>
          </w:tcPr>
          <w:p w14:paraId="750E7FBA" w14:textId="77777777" w:rsidR="00C01A50" w:rsidRDefault="00C01A50" w:rsidP="00B80EB7">
            <w:pPr>
              <w:spacing w:after="0" w:line="240" w:lineRule="auto"/>
              <w:jc w:val="center"/>
              <w:rPr>
                <w:b/>
                <w:bCs/>
                <w:color w:val="000000"/>
                <w:lang w:eastAsia="en-AU"/>
              </w:rPr>
            </w:pPr>
            <w:r w:rsidRPr="00823FB0">
              <w:rPr>
                <w:b/>
                <w:bCs/>
                <w:color w:val="000000"/>
                <w:lang w:eastAsia="en-AU"/>
              </w:rPr>
              <w:t>HIGH</w:t>
            </w:r>
          </w:p>
          <w:p w14:paraId="4846F86F" w14:textId="77777777" w:rsidR="00C01A50" w:rsidRPr="00823FB0" w:rsidRDefault="00C01A50" w:rsidP="00B80EB7">
            <w:pPr>
              <w:spacing w:after="0" w:line="240" w:lineRule="auto"/>
              <w:jc w:val="center"/>
              <w:rPr>
                <w:b/>
                <w:bCs/>
                <w:color w:val="000000"/>
                <w:lang w:eastAsia="en-AU"/>
              </w:rPr>
            </w:pPr>
            <w:r>
              <w:rPr>
                <w:b/>
                <w:bCs/>
                <w:color w:val="000000"/>
                <w:lang w:eastAsia="en-AU"/>
              </w:rPr>
              <w:t>(3,200 GL recovery)</w:t>
            </w:r>
          </w:p>
        </w:tc>
      </w:tr>
      <w:tr w:rsidR="00C01A50" w:rsidRPr="00823FB0" w14:paraId="2B40C299" w14:textId="77777777" w:rsidTr="004F53D2">
        <w:trPr>
          <w:trHeight w:val="293"/>
        </w:trPr>
        <w:tc>
          <w:tcPr>
            <w:tcW w:w="874" w:type="pct"/>
            <w:tcBorders>
              <w:top w:val="nil"/>
              <w:left w:val="single" w:sz="12" w:space="0" w:color="auto"/>
              <w:bottom w:val="nil"/>
              <w:right w:val="single" w:sz="4" w:space="0" w:color="auto"/>
            </w:tcBorders>
            <w:shd w:val="clear" w:color="auto" w:fill="auto"/>
            <w:noWrap/>
            <w:vAlign w:val="center"/>
          </w:tcPr>
          <w:p w14:paraId="0069B34C" w14:textId="77777777" w:rsidR="00C01A50" w:rsidRPr="00823FB0" w:rsidRDefault="00C01A50" w:rsidP="00B80EB7">
            <w:pPr>
              <w:spacing w:after="0" w:line="240" w:lineRule="auto"/>
              <w:rPr>
                <w:color w:val="000000"/>
                <w:sz w:val="20"/>
                <w:lang w:eastAsia="en-AU"/>
              </w:rPr>
            </w:pPr>
            <w:r w:rsidRPr="00823FB0">
              <w:rPr>
                <w:color w:val="000000"/>
                <w:sz w:val="20"/>
                <w:lang w:eastAsia="en-AU"/>
              </w:rPr>
              <w:t>Southern Basin NSW Zone</w:t>
            </w:r>
          </w:p>
        </w:tc>
        <w:tc>
          <w:tcPr>
            <w:tcW w:w="617" w:type="pct"/>
            <w:tcBorders>
              <w:top w:val="nil"/>
              <w:left w:val="nil"/>
              <w:bottom w:val="nil"/>
              <w:right w:val="nil"/>
            </w:tcBorders>
            <w:shd w:val="clear" w:color="auto" w:fill="auto"/>
            <w:noWrap/>
            <w:vAlign w:val="center"/>
          </w:tcPr>
          <w:p w14:paraId="72102760" w14:textId="77777777" w:rsidR="00C01A50" w:rsidRPr="00823FB0" w:rsidRDefault="00C01A50" w:rsidP="00B80EB7">
            <w:pPr>
              <w:spacing w:after="0" w:line="240" w:lineRule="auto"/>
              <w:rPr>
                <w:color w:val="000000"/>
                <w:sz w:val="20"/>
                <w:lang w:eastAsia="en-AU"/>
              </w:rPr>
            </w:pPr>
            <w:r w:rsidRPr="00823FB0">
              <w:rPr>
                <w:color w:val="000000"/>
                <w:sz w:val="20"/>
                <w:lang w:eastAsia="en-AU"/>
              </w:rPr>
              <w:t>High</w:t>
            </w:r>
          </w:p>
        </w:tc>
        <w:tc>
          <w:tcPr>
            <w:tcW w:w="619" w:type="pct"/>
            <w:tcBorders>
              <w:top w:val="nil"/>
              <w:left w:val="single" w:sz="12" w:space="0" w:color="auto"/>
              <w:bottom w:val="nil"/>
              <w:right w:val="single" w:sz="4" w:space="0" w:color="auto"/>
            </w:tcBorders>
            <w:shd w:val="clear" w:color="auto" w:fill="auto"/>
            <w:noWrap/>
            <w:vAlign w:val="center"/>
          </w:tcPr>
          <w:p w14:paraId="70C373A0" w14:textId="77777777" w:rsidR="00C01A50" w:rsidRPr="00823FB0" w:rsidRDefault="00C01A50" w:rsidP="00B80EB7">
            <w:pPr>
              <w:spacing w:after="0" w:line="240" w:lineRule="auto"/>
              <w:jc w:val="center"/>
              <w:rPr>
                <w:color w:val="000000"/>
                <w:lang w:eastAsia="en-AU"/>
              </w:rPr>
            </w:pPr>
            <w:r>
              <w:rPr>
                <w:color w:val="000000"/>
                <w:szCs w:val="22"/>
              </w:rPr>
              <w:t>500</w:t>
            </w:r>
          </w:p>
        </w:tc>
        <w:tc>
          <w:tcPr>
            <w:tcW w:w="482" w:type="pct"/>
            <w:tcBorders>
              <w:top w:val="nil"/>
              <w:left w:val="nil"/>
              <w:bottom w:val="single" w:sz="4" w:space="0" w:color="auto"/>
              <w:right w:val="single" w:sz="4" w:space="0" w:color="auto"/>
            </w:tcBorders>
            <w:shd w:val="clear" w:color="auto" w:fill="auto"/>
            <w:noWrap/>
            <w:vAlign w:val="center"/>
          </w:tcPr>
          <w:p w14:paraId="1537C2FB" w14:textId="77777777" w:rsidR="00C01A50" w:rsidRPr="00823FB0" w:rsidRDefault="00C01A50" w:rsidP="00B80EB7">
            <w:pPr>
              <w:spacing w:after="0" w:line="240" w:lineRule="auto"/>
              <w:jc w:val="center"/>
              <w:rPr>
                <w:color w:val="000000"/>
                <w:lang w:eastAsia="en-AU"/>
              </w:rPr>
            </w:pPr>
            <w:r>
              <w:rPr>
                <w:color w:val="000000"/>
                <w:szCs w:val="22"/>
              </w:rPr>
              <w:t>558</w:t>
            </w:r>
          </w:p>
        </w:tc>
        <w:tc>
          <w:tcPr>
            <w:tcW w:w="803" w:type="pct"/>
            <w:tcBorders>
              <w:top w:val="nil"/>
              <w:left w:val="nil"/>
              <w:bottom w:val="single" w:sz="4" w:space="0" w:color="auto"/>
              <w:right w:val="single" w:sz="4" w:space="0" w:color="auto"/>
            </w:tcBorders>
            <w:shd w:val="clear" w:color="auto" w:fill="auto"/>
            <w:noWrap/>
            <w:vAlign w:val="center"/>
          </w:tcPr>
          <w:p w14:paraId="173FC26C" w14:textId="77777777" w:rsidR="00C01A50" w:rsidRPr="00823FB0" w:rsidRDefault="00C01A50" w:rsidP="00B80EB7">
            <w:pPr>
              <w:spacing w:after="0" w:line="240" w:lineRule="auto"/>
              <w:jc w:val="center"/>
              <w:rPr>
                <w:color w:val="000000"/>
                <w:lang w:eastAsia="en-AU"/>
              </w:rPr>
            </w:pPr>
            <w:r>
              <w:rPr>
                <w:color w:val="000000"/>
                <w:szCs w:val="22"/>
              </w:rPr>
              <w:t>558</w:t>
            </w:r>
          </w:p>
        </w:tc>
        <w:tc>
          <w:tcPr>
            <w:tcW w:w="803" w:type="pct"/>
            <w:tcBorders>
              <w:top w:val="nil"/>
              <w:left w:val="nil"/>
              <w:bottom w:val="single" w:sz="4" w:space="0" w:color="auto"/>
              <w:right w:val="single" w:sz="4" w:space="0" w:color="auto"/>
            </w:tcBorders>
            <w:shd w:val="clear" w:color="auto" w:fill="auto"/>
            <w:noWrap/>
            <w:vAlign w:val="center"/>
          </w:tcPr>
          <w:p w14:paraId="0412554C" w14:textId="77777777" w:rsidR="00C01A50" w:rsidRPr="00823FB0" w:rsidRDefault="00C01A50" w:rsidP="00B80EB7">
            <w:pPr>
              <w:spacing w:after="0" w:line="240" w:lineRule="auto"/>
              <w:jc w:val="center"/>
              <w:rPr>
                <w:color w:val="000000"/>
                <w:lang w:eastAsia="en-AU"/>
              </w:rPr>
            </w:pPr>
            <w:r>
              <w:rPr>
                <w:color w:val="000000"/>
                <w:szCs w:val="22"/>
              </w:rPr>
              <w:t>558</w:t>
            </w:r>
          </w:p>
        </w:tc>
        <w:tc>
          <w:tcPr>
            <w:tcW w:w="803" w:type="pct"/>
            <w:tcBorders>
              <w:top w:val="nil"/>
              <w:left w:val="nil"/>
              <w:bottom w:val="single" w:sz="4" w:space="0" w:color="auto"/>
              <w:right w:val="single" w:sz="12" w:space="0" w:color="auto"/>
            </w:tcBorders>
            <w:shd w:val="clear" w:color="auto" w:fill="auto"/>
            <w:noWrap/>
            <w:vAlign w:val="bottom"/>
          </w:tcPr>
          <w:p w14:paraId="4E5EF097" w14:textId="77777777" w:rsidR="00C01A50" w:rsidRPr="00823FB0" w:rsidRDefault="00C01A50" w:rsidP="00B80EB7">
            <w:pPr>
              <w:spacing w:after="0" w:line="240" w:lineRule="auto"/>
              <w:jc w:val="center"/>
              <w:rPr>
                <w:color w:val="000000"/>
                <w:lang w:eastAsia="en-AU"/>
              </w:rPr>
            </w:pPr>
            <w:r>
              <w:rPr>
                <w:color w:val="000000"/>
                <w:szCs w:val="22"/>
              </w:rPr>
              <w:t xml:space="preserve">558 </w:t>
            </w:r>
          </w:p>
        </w:tc>
      </w:tr>
      <w:tr w:rsidR="00C01A50" w:rsidRPr="00823FB0" w14:paraId="7360A7E0" w14:textId="77777777" w:rsidTr="004F53D2">
        <w:trPr>
          <w:trHeight w:val="285"/>
        </w:trPr>
        <w:tc>
          <w:tcPr>
            <w:tcW w:w="874" w:type="pct"/>
            <w:tcBorders>
              <w:top w:val="nil"/>
              <w:left w:val="single" w:sz="12" w:space="0" w:color="auto"/>
              <w:bottom w:val="single" w:sz="4" w:space="0" w:color="auto"/>
              <w:right w:val="single" w:sz="4" w:space="0" w:color="auto"/>
            </w:tcBorders>
            <w:shd w:val="clear" w:color="auto" w:fill="auto"/>
            <w:noWrap/>
            <w:vAlign w:val="center"/>
          </w:tcPr>
          <w:p w14:paraId="6E763714" w14:textId="77777777" w:rsidR="00C01A50" w:rsidRPr="00823FB0" w:rsidRDefault="00C01A50" w:rsidP="00B80EB7">
            <w:pPr>
              <w:spacing w:after="0" w:line="240" w:lineRule="auto"/>
              <w:rPr>
                <w:color w:val="000000"/>
                <w:sz w:val="20"/>
                <w:lang w:eastAsia="en-AU"/>
              </w:rPr>
            </w:pPr>
          </w:p>
        </w:tc>
        <w:tc>
          <w:tcPr>
            <w:tcW w:w="617" w:type="pct"/>
            <w:tcBorders>
              <w:top w:val="single" w:sz="4" w:space="0" w:color="auto"/>
              <w:left w:val="nil"/>
              <w:bottom w:val="single" w:sz="4" w:space="0" w:color="auto"/>
              <w:right w:val="nil"/>
            </w:tcBorders>
            <w:shd w:val="clear" w:color="auto" w:fill="auto"/>
            <w:noWrap/>
            <w:vAlign w:val="center"/>
          </w:tcPr>
          <w:p w14:paraId="482BEFC1" w14:textId="77777777" w:rsidR="00C01A50" w:rsidRPr="00823FB0" w:rsidRDefault="00C01A50" w:rsidP="00B80EB7">
            <w:pPr>
              <w:spacing w:after="0" w:line="240" w:lineRule="auto"/>
              <w:rPr>
                <w:color w:val="000000"/>
                <w:sz w:val="20"/>
                <w:lang w:eastAsia="en-AU"/>
              </w:rPr>
            </w:pPr>
            <w:r w:rsidRPr="00823FB0">
              <w:rPr>
                <w:color w:val="000000"/>
                <w:sz w:val="20"/>
                <w:lang w:eastAsia="en-AU"/>
              </w:rPr>
              <w:t xml:space="preserve">General Security </w:t>
            </w:r>
          </w:p>
        </w:tc>
        <w:tc>
          <w:tcPr>
            <w:tcW w:w="619"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89991C2" w14:textId="77777777" w:rsidR="00C01A50" w:rsidRPr="00823FB0" w:rsidRDefault="00C01A50" w:rsidP="00B80EB7">
            <w:pPr>
              <w:spacing w:after="0" w:line="240" w:lineRule="auto"/>
              <w:jc w:val="center"/>
              <w:rPr>
                <w:color w:val="000000"/>
                <w:lang w:eastAsia="en-AU"/>
              </w:rPr>
            </w:pPr>
            <w:r>
              <w:rPr>
                <w:color w:val="000000"/>
                <w:szCs w:val="22"/>
              </w:rPr>
              <w:t>3,634</w:t>
            </w:r>
          </w:p>
        </w:tc>
        <w:tc>
          <w:tcPr>
            <w:tcW w:w="482" w:type="pct"/>
            <w:tcBorders>
              <w:top w:val="nil"/>
              <w:left w:val="nil"/>
              <w:bottom w:val="single" w:sz="4" w:space="0" w:color="auto"/>
              <w:right w:val="single" w:sz="4" w:space="0" w:color="auto"/>
            </w:tcBorders>
            <w:shd w:val="clear" w:color="auto" w:fill="auto"/>
            <w:noWrap/>
            <w:vAlign w:val="center"/>
          </w:tcPr>
          <w:p w14:paraId="1679A6BB" w14:textId="77777777" w:rsidR="00C01A50" w:rsidRPr="00823FB0" w:rsidRDefault="00C01A50" w:rsidP="00B80EB7">
            <w:pPr>
              <w:spacing w:after="0" w:line="240" w:lineRule="auto"/>
              <w:jc w:val="center"/>
              <w:rPr>
                <w:color w:val="000000"/>
                <w:lang w:eastAsia="en-AU"/>
              </w:rPr>
            </w:pPr>
            <w:r>
              <w:rPr>
                <w:color w:val="000000"/>
                <w:szCs w:val="22"/>
              </w:rPr>
              <w:t>2,673</w:t>
            </w:r>
          </w:p>
        </w:tc>
        <w:tc>
          <w:tcPr>
            <w:tcW w:w="803" w:type="pct"/>
            <w:tcBorders>
              <w:top w:val="nil"/>
              <w:left w:val="nil"/>
              <w:bottom w:val="single" w:sz="4" w:space="0" w:color="auto"/>
              <w:right w:val="single" w:sz="4" w:space="0" w:color="auto"/>
            </w:tcBorders>
            <w:shd w:val="clear" w:color="auto" w:fill="auto"/>
            <w:noWrap/>
            <w:vAlign w:val="center"/>
          </w:tcPr>
          <w:p w14:paraId="53FE12F3" w14:textId="77777777" w:rsidR="00C01A50" w:rsidRPr="00823FB0" w:rsidRDefault="00C01A50" w:rsidP="00B80EB7">
            <w:pPr>
              <w:spacing w:after="0" w:line="240" w:lineRule="auto"/>
              <w:jc w:val="center"/>
              <w:rPr>
                <w:color w:val="000000"/>
                <w:lang w:eastAsia="en-AU"/>
              </w:rPr>
            </w:pPr>
            <w:r>
              <w:rPr>
                <w:color w:val="000000"/>
                <w:szCs w:val="22"/>
              </w:rPr>
              <w:t>2,580</w:t>
            </w:r>
          </w:p>
        </w:tc>
        <w:tc>
          <w:tcPr>
            <w:tcW w:w="803" w:type="pct"/>
            <w:tcBorders>
              <w:top w:val="nil"/>
              <w:left w:val="nil"/>
              <w:bottom w:val="single" w:sz="4" w:space="0" w:color="auto"/>
              <w:right w:val="single" w:sz="4" w:space="0" w:color="auto"/>
            </w:tcBorders>
            <w:shd w:val="clear" w:color="auto" w:fill="auto"/>
            <w:noWrap/>
            <w:vAlign w:val="center"/>
          </w:tcPr>
          <w:p w14:paraId="5529C4E6" w14:textId="77777777" w:rsidR="00C01A50" w:rsidRPr="00823FB0" w:rsidRDefault="00C01A50" w:rsidP="00B80EB7">
            <w:pPr>
              <w:spacing w:after="0" w:line="240" w:lineRule="auto"/>
              <w:jc w:val="center"/>
              <w:rPr>
                <w:color w:val="000000"/>
                <w:lang w:eastAsia="en-AU"/>
              </w:rPr>
            </w:pPr>
            <w:r>
              <w:rPr>
                <w:color w:val="000000"/>
                <w:szCs w:val="22"/>
              </w:rPr>
              <w:t>2,187</w:t>
            </w:r>
          </w:p>
        </w:tc>
        <w:tc>
          <w:tcPr>
            <w:tcW w:w="803" w:type="pct"/>
            <w:tcBorders>
              <w:top w:val="nil"/>
              <w:left w:val="nil"/>
              <w:bottom w:val="single" w:sz="4" w:space="0" w:color="auto"/>
              <w:right w:val="single" w:sz="12" w:space="0" w:color="auto"/>
            </w:tcBorders>
            <w:shd w:val="clear" w:color="auto" w:fill="auto"/>
            <w:noWrap/>
            <w:vAlign w:val="bottom"/>
          </w:tcPr>
          <w:p w14:paraId="3E73967A" w14:textId="77777777" w:rsidR="00C01A50" w:rsidRPr="00823FB0" w:rsidRDefault="00C01A50" w:rsidP="00B80EB7">
            <w:pPr>
              <w:spacing w:after="0" w:line="240" w:lineRule="auto"/>
              <w:jc w:val="center"/>
              <w:rPr>
                <w:color w:val="000000"/>
                <w:lang w:eastAsia="en-AU"/>
              </w:rPr>
            </w:pPr>
            <w:r>
              <w:rPr>
                <w:color w:val="000000"/>
                <w:szCs w:val="22"/>
              </w:rPr>
              <w:t xml:space="preserve">1,963 </w:t>
            </w:r>
          </w:p>
        </w:tc>
      </w:tr>
      <w:tr w:rsidR="00C01A50" w:rsidRPr="00823FB0" w14:paraId="72A84B8A" w14:textId="77777777" w:rsidTr="004F53D2">
        <w:trPr>
          <w:trHeight w:val="285"/>
        </w:trPr>
        <w:tc>
          <w:tcPr>
            <w:tcW w:w="874" w:type="pct"/>
            <w:tcBorders>
              <w:top w:val="nil"/>
              <w:left w:val="single" w:sz="12" w:space="0" w:color="auto"/>
              <w:bottom w:val="nil"/>
              <w:right w:val="single" w:sz="4" w:space="0" w:color="auto"/>
            </w:tcBorders>
            <w:shd w:val="clear" w:color="auto" w:fill="auto"/>
            <w:noWrap/>
            <w:vAlign w:val="center"/>
          </w:tcPr>
          <w:p w14:paraId="5E15293F" w14:textId="77777777" w:rsidR="00C01A50" w:rsidRPr="00823FB0" w:rsidRDefault="00C01A50" w:rsidP="00B80EB7">
            <w:pPr>
              <w:spacing w:after="0" w:line="240" w:lineRule="auto"/>
              <w:rPr>
                <w:color w:val="000000"/>
                <w:sz w:val="20"/>
                <w:lang w:eastAsia="en-AU"/>
              </w:rPr>
            </w:pPr>
            <w:r w:rsidRPr="00823FB0">
              <w:rPr>
                <w:color w:val="000000"/>
                <w:sz w:val="20"/>
                <w:lang w:eastAsia="en-AU"/>
              </w:rPr>
              <w:t>Southern Basin Vic Zone</w:t>
            </w:r>
          </w:p>
        </w:tc>
        <w:tc>
          <w:tcPr>
            <w:tcW w:w="617" w:type="pct"/>
            <w:tcBorders>
              <w:top w:val="nil"/>
              <w:left w:val="nil"/>
              <w:bottom w:val="single" w:sz="4" w:space="0" w:color="auto"/>
              <w:right w:val="single" w:sz="12" w:space="0" w:color="auto"/>
            </w:tcBorders>
            <w:shd w:val="clear" w:color="auto" w:fill="auto"/>
            <w:noWrap/>
            <w:vAlign w:val="center"/>
          </w:tcPr>
          <w:p w14:paraId="6CDC2CE0" w14:textId="77777777" w:rsidR="00C01A50" w:rsidRPr="00823FB0" w:rsidRDefault="00C01A50" w:rsidP="00B80EB7">
            <w:pPr>
              <w:spacing w:after="0" w:line="240" w:lineRule="auto"/>
              <w:rPr>
                <w:color w:val="000000"/>
                <w:sz w:val="20"/>
                <w:lang w:eastAsia="en-AU"/>
              </w:rPr>
            </w:pPr>
            <w:r w:rsidRPr="00823FB0">
              <w:rPr>
                <w:color w:val="000000"/>
                <w:sz w:val="20"/>
                <w:lang w:eastAsia="en-AU"/>
              </w:rPr>
              <w:t>HRWS</w:t>
            </w:r>
          </w:p>
        </w:tc>
        <w:tc>
          <w:tcPr>
            <w:tcW w:w="619" w:type="pct"/>
            <w:tcBorders>
              <w:top w:val="nil"/>
              <w:left w:val="nil"/>
              <w:bottom w:val="single" w:sz="4" w:space="0" w:color="auto"/>
              <w:right w:val="single" w:sz="4" w:space="0" w:color="auto"/>
            </w:tcBorders>
            <w:shd w:val="clear" w:color="auto" w:fill="auto"/>
            <w:noWrap/>
            <w:vAlign w:val="center"/>
          </w:tcPr>
          <w:p w14:paraId="55B28928" w14:textId="77777777" w:rsidR="00C01A50" w:rsidRPr="00823FB0" w:rsidRDefault="00C01A50" w:rsidP="00B80EB7">
            <w:pPr>
              <w:spacing w:after="0" w:line="240" w:lineRule="auto"/>
              <w:jc w:val="center"/>
              <w:rPr>
                <w:color w:val="000000"/>
                <w:lang w:eastAsia="en-AU"/>
              </w:rPr>
            </w:pPr>
            <w:r>
              <w:rPr>
                <w:color w:val="000000"/>
                <w:szCs w:val="22"/>
              </w:rPr>
              <w:t>2,274</w:t>
            </w:r>
          </w:p>
        </w:tc>
        <w:tc>
          <w:tcPr>
            <w:tcW w:w="482" w:type="pct"/>
            <w:tcBorders>
              <w:top w:val="nil"/>
              <w:left w:val="nil"/>
              <w:bottom w:val="single" w:sz="4" w:space="0" w:color="auto"/>
              <w:right w:val="single" w:sz="4" w:space="0" w:color="auto"/>
            </w:tcBorders>
            <w:shd w:val="clear" w:color="auto" w:fill="auto"/>
            <w:noWrap/>
            <w:vAlign w:val="center"/>
          </w:tcPr>
          <w:p w14:paraId="3D44A011" w14:textId="77777777" w:rsidR="00C01A50" w:rsidRPr="00823FB0" w:rsidRDefault="00C01A50" w:rsidP="00B80EB7">
            <w:pPr>
              <w:spacing w:after="0" w:line="240" w:lineRule="auto"/>
              <w:jc w:val="center"/>
              <w:rPr>
                <w:color w:val="000000"/>
                <w:lang w:eastAsia="en-AU"/>
              </w:rPr>
            </w:pPr>
            <w:r>
              <w:rPr>
                <w:color w:val="000000"/>
                <w:szCs w:val="22"/>
              </w:rPr>
              <w:t>1,749</w:t>
            </w:r>
          </w:p>
        </w:tc>
        <w:tc>
          <w:tcPr>
            <w:tcW w:w="803" w:type="pct"/>
            <w:tcBorders>
              <w:top w:val="nil"/>
              <w:left w:val="nil"/>
              <w:bottom w:val="single" w:sz="4" w:space="0" w:color="auto"/>
              <w:right w:val="single" w:sz="4" w:space="0" w:color="auto"/>
            </w:tcBorders>
            <w:shd w:val="clear" w:color="auto" w:fill="auto"/>
            <w:noWrap/>
            <w:vAlign w:val="center"/>
          </w:tcPr>
          <w:p w14:paraId="0CBD9288" w14:textId="77777777" w:rsidR="00C01A50" w:rsidRPr="00823FB0" w:rsidRDefault="00C01A50" w:rsidP="00B80EB7">
            <w:pPr>
              <w:spacing w:after="0" w:line="240" w:lineRule="auto"/>
              <w:jc w:val="center"/>
              <w:rPr>
                <w:color w:val="000000"/>
                <w:lang w:eastAsia="en-AU"/>
              </w:rPr>
            </w:pPr>
            <w:r>
              <w:rPr>
                <w:color w:val="000000"/>
                <w:szCs w:val="22"/>
              </w:rPr>
              <w:t>1,749</w:t>
            </w:r>
          </w:p>
        </w:tc>
        <w:tc>
          <w:tcPr>
            <w:tcW w:w="803" w:type="pct"/>
            <w:tcBorders>
              <w:top w:val="nil"/>
              <w:left w:val="nil"/>
              <w:bottom w:val="single" w:sz="4" w:space="0" w:color="auto"/>
              <w:right w:val="single" w:sz="4" w:space="0" w:color="auto"/>
            </w:tcBorders>
            <w:shd w:val="clear" w:color="auto" w:fill="auto"/>
            <w:noWrap/>
            <w:vAlign w:val="center"/>
          </w:tcPr>
          <w:p w14:paraId="5FAB2387" w14:textId="77777777" w:rsidR="00C01A50" w:rsidRPr="00823FB0" w:rsidRDefault="00C01A50" w:rsidP="00B80EB7">
            <w:pPr>
              <w:spacing w:after="0" w:line="240" w:lineRule="auto"/>
              <w:jc w:val="center"/>
              <w:rPr>
                <w:color w:val="000000"/>
                <w:lang w:eastAsia="en-AU"/>
              </w:rPr>
            </w:pPr>
            <w:r>
              <w:rPr>
                <w:color w:val="000000"/>
                <w:szCs w:val="22"/>
              </w:rPr>
              <w:t>1,484</w:t>
            </w:r>
          </w:p>
        </w:tc>
        <w:tc>
          <w:tcPr>
            <w:tcW w:w="803" w:type="pct"/>
            <w:tcBorders>
              <w:top w:val="nil"/>
              <w:left w:val="nil"/>
              <w:bottom w:val="single" w:sz="4" w:space="0" w:color="auto"/>
              <w:right w:val="single" w:sz="12" w:space="0" w:color="auto"/>
            </w:tcBorders>
            <w:shd w:val="clear" w:color="auto" w:fill="auto"/>
            <w:noWrap/>
            <w:vAlign w:val="bottom"/>
          </w:tcPr>
          <w:p w14:paraId="437ECDC1" w14:textId="77777777" w:rsidR="00C01A50" w:rsidRPr="00823FB0" w:rsidRDefault="00C01A50" w:rsidP="00B80EB7">
            <w:pPr>
              <w:spacing w:after="0" w:line="240" w:lineRule="auto"/>
              <w:jc w:val="center"/>
              <w:rPr>
                <w:color w:val="000000"/>
                <w:lang w:eastAsia="en-AU"/>
              </w:rPr>
            </w:pPr>
            <w:r>
              <w:rPr>
                <w:color w:val="000000"/>
                <w:szCs w:val="22"/>
              </w:rPr>
              <w:t xml:space="preserve">1,344 </w:t>
            </w:r>
          </w:p>
        </w:tc>
      </w:tr>
      <w:tr w:rsidR="00C01A50" w:rsidRPr="00823FB0" w14:paraId="1F5D86A8" w14:textId="77777777" w:rsidTr="004F53D2">
        <w:trPr>
          <w:trHeight w:val="285"/>
        </w:trPr>
        <w:tc>
          <w:tcPr>
            <w:tcW w:w="874" w:type="pct"/>
            <w:tcBorders>
              <w:top w:val="nil"/>
              <w:left w:val="single" w:sz="12" w:space="0" w:color="auto"/>
              <w:bottom w:val="nil"/>
              <w:right w:val="single" w:sz="4" w:space="0" w:color="auto"/>
            </w:tcBorders>
            <w:shd w:val="clear" w:color="auto" w:fill="auto"/>
            <w:noWrap/>
            <w:vAlign w:val="center"/>
          </w:tcPr>
          <w:p w14:paraId="3D66D296" w14:textId="77777777" w:rsidR="00C01A50" w:rsidRPr="00823FB0" w:rsidRDefault="00C01A50" w:rsidP="00B80EB7">
            <w:pPr>
              <w:spacing w:after="0" w:line="240" w:lineRule="auto"/>
              <w:rPr>
                <w:color w:val="000000"/>
                <w:sz w:val="20"/>
                <w:lang w:eastAsia="en-AU"/>
              </w:rPr>
            </w:pPr>
            <w:r w:rsidRPr="00823FB0">
              <w:rPr>
                <w:color w:val="000000"/>
                <w:sz w:val="20"/>
                <w:lang w:eastAsia="en-AU"/>
              </w:rPr>
              <w:t> </w:t>
            </w:r>
          </w:p>
        </w:tc>
        <w:tc>
          <w:tcPr>
            <w:tcW w:w="617" w:type="pct"/>
            <w:tcBorders>
              <w:top w:val="nil"/>
              <w:left w:val="nil"/>
              <w:bottom w:val="nil"/>
              <w:right w:val="nil"/>
            </w:tcBorders>
            <w:shd w:val="clear" w:color="auto" w:fill="auto"/>
            <w:noWrap/>
            <w:vAlign w:val="center"/>
          </w:tcPr>
          <w:p w14:paraId="2CA99C3C" w14:textId="77777777" w:rsidR="00C01A50" w:rsidRPr="00823FB0" w:rsidRDefault="00C01A50" w:rsidP="00B80EB7">
            <w:pPr>
              <w:spacing w:after="0" w:line="240" w:lineRule="auto"/>
              <w:rPr>
                <w:color w:val="000000"/>
                <w:sz w:val="20"/>
                <w:lang w:eastAsia="en-AU"/>
              </w:rPr>
            </w:pPr>
            <w:r w:rsidRPr="00823FB0">
              <w:rPr>
                <w:color w:val="000000"/>
                <w:sz w:val="20"/>
                <w:lang w:eastAsia="en-AU"/>
              </w:rPr>
              <w:t>LRWS</w:t>
            </w:r>
          </w:p>
        </w:tc>
        <w:tc>
          <w:tcPr>
            <w:tcW w:w="619" w:type="pct"/>
            <w:tcBorders>
              <w:top w:val="nil"/>
              <w:left w:val="single" w:sz="12" w:space="0" w:color="auto"/>
              <w:bottom w:val="nil"/>
              <w:right w:val="single" w:sz="4" w:space="0" w:color="auto"/>
            </w:tcBorders>
            <w:shd w:val="clear" w:color="auto" w:fill="auto"/>
            <w:noWrap/>
            <w:vAlign w:val="center"/>
          </w:tcPr>
          <w:p w14:paraId="01DB782D" w14:textId="77777777" w:rsidR="00C01A50" w:rsidRPr="00823FB0" w:rsidRDefault="00C01A50" w:rsidP="00B80EB7">
            <w:pPr>
              <w:spacing w:after="0" w:line="240" w:lineRule="auto"/>
              <w:jc w:val="center"/>
              <w:rPr>
                <w:color w:val="000000"/>
                <w:lang w:eastAsia="en-AU"/>
              </w:rPr>
            </w:pPr>
            <w:r>
              <w:rPr>
                <w:color w:val="000000"/>
                <w:szCs w:val="22"/>
              </w:rPr>
              <w:t>773</w:t>
            </w:r>
          </w:p>
        </w:tc>
        <w:tc>
          <w:tcPr>
            <w:tcW w:w="482" w:type="pct"/>
            <w:tcBorders>
              <w:top w:val="nil"/>
              <w:left w:val="nil"/>
              <w:bottom w:val="nil"/>
              <w:right w:val="single" w:sz="4" w:space="0" w:color="auto"/>
            </w:tcBorders>
            <w:shd w:val="clear" w:color="auto" w:fill="auto"/>
            <w:noWrap/>
            <w:vAlign w:val="center"/>
          </w:tcPr>
          <w:p w14:paraId="5B9E09AC" w14:textId="77777777" w:rsidR="00C01A50" w:rsidRPr="00823FB0" w:rsidRDefault="00C01A50" w:rsidP="00B80EB7">
            <w:pPr>
              <w:spacing w:after="0" w:line="240" w:lineRule="auto"/>
              <w:jc w:val="center"/>
              <w:rPr>
                <w:color w:val="000000"/>
                <w:lang w:eastAsia="en-AU"/>
              </w:rPr>
            </w:pPr>
            <w:r>
              <w:rPr>
                <w:color w:val="000000"/>
                <w:szCs w:val="22"/>
              </w:rPr>
              <w:t>731</w:t>
            </w:r>
          </w:p>
        </w:tc>
        <w:tc>
          <w:tcPr>
            <w:tcW w:w="803" w:type="pct"/>
            <w:tcBorders>
              <w:top w:val="nil"/>
              <w:left w:val="nil"/>
              <w:bottom w:val="single" w:sz="4" w:space="0" w:color="auto"/>
              <w:right w:val="single" w:sz="4" w:space="0" w:color="auto"/>
            </w:tcBorders>
            <w:shd w:val="clear" w:color="auto" w:fill="auto"/>
            <w:noWrap/>
            <w:vAlign w:val="center"/>
          </w:tcPr>
          <w:p w14:paraId="58E5F595" w14:textId="77777777" w:rsidR="00C01A50" w:rsidRPr="00823FB0" w:rsidRDefault="00C01A50" w:rsidP="00B80EB7">
            <w:pPr>
              <w:spacing w:after="0" w:line="240" w:lineRule="auto"/>
              <w:jc w:val="center"/>
              <w:rPr>
                <w:color w:val="000000"/>
                <w:lang w:eastAsia="en-AU"/>
              </w:rPr>
            </w:pPr>
            <w:r>
              <w:rPr>
                <w:color w:val="000000"/>
                <w:szCs w:val="22"/>
              </w:rPr>
              <w:t>731</w:t>
            </w:r>
          </w:p>
        </w:tc>
        <w:tc>
          <w:tcPr>
            <w:tcW w:w="803" w:type="pct"/>
            <w:tcBorders>
              <w:top w:val="nil"/>
              <w:left w:val="nil"/>
              <w:bottom w:val="single" w:sz="4" w:space="0" w:color="auto"/>
              <w:right w:val="single" w:sz="4" w:space="0" w:color="auto"/>
            </w:tcBorders>
            <w:shd w:val="clear" w:color="auto" w:fill="auto"/>
            <w:noWrap/>
            <w:vAlign w:val="center"/>
          </w:tcPr>
          <w:p w14:paraId="090B4DC4" w14:textId="77777777" w:rsidR="00C01A50" w:rsidRPr="00823FB0" w:rsidRDefault="00C01A50" w:rsidP="00B80EB7">
            <w:pPr>
              <w:spacing w:after="0" w:line="240" w:lineRule="auto"/>
              <w:jc w:val="center"/>
              <w:rPr>
                <w:color w:val="000000"/>
                <w:lang w:eastAsia="en-AU"/>
              </w:rPr>
            </w:pPr>
            <w:r>
              <w:rPr>
                <w:color w:val="000000"/>
                <w:szCs w:val="22"/>
              </w:rPr>
              <w:t>731</w:t>
            </w:r>
          </w:p>
        </w:tc>
        <w:tc>
          <w:tcPr>
            <w:tcW w:w="803" w:type="pct"/>
            <w:tcBorders>
              <w:top w:val="nil"/>
              <w:left w:val="nil"/>
              <w:bottom w:val="single" w:sz="4" w:space="0" w:color="auto"/>
              <w:right w:val="single" w:sz="12" w:space="0" w:color="auto"/>
            </w:tcBorders>
            <w:shd w:val="clear" w:color="auto" w:fill="auto"/>
            <w:noWrap/>
            <w:vAlign w:val="bottom"/>
          </w:tcPr>
          <w:p w14:paraId="11B31C9E" w14:textId="77777777" w:rsidR="00C01A50" w:rsidRPr="00823FB0" w:rsidRDefault="00C01A50" w:rsidP="00B80EB7">
            <w:pPr>
              <w:spacing w:after="0" w:line="240" w:lineRule="auto"/>
              <w:jc w:val="center"/>
              <w:rPr>
                <w:color w:val="000000"/>
                <w:lang w:eastAsia="en-AU"/>
              </w:rPr>
            </w:pPr>
            <w:r>
              <w:rPr>
                <w:color w:val="000000"/>
                <w:szCs w:val="22"/>
              </w:rPr>
              <w:t xml:space="preserve">731 </w:t>
            </w:r>
          </w:p>
        </w:tc>
      </w:tr>
      <w:tr w:rsidR="00C01A50" w:rsidRPr="00823FB0" w14:paraId="4A7EDC14" w14:textId="77777777" w:rsidTr="004F53D2">
        <w:trPr>
          <w:trHeight w:val="293"/>
        </w:trPr>
        <w:tc>
          <w:tcPr>
            <w:tcW w:w="874" w:type="pct"/>
            <w:tcBorders>
              <w:top w:val="single" w:sz="4" w:space="0" w:color="auto"/>
              <w:left w:val="single" w:sz="12" w:space="0" w:color="auto"/>
              <w:bottom w:val="single" w:sz="12" w:space="0" w:color="auto"/>
              <w:right w:val="single" w:sz="4" w:space="0" w:color="auto"/>
            </w:tcBorders>
            <w:shd w:val="clear" w:color="auto" w:fill="auto"/>
            <w:noWrap/>
            <w:vAlign w:val="center"/>
          </w:tcPr>
          <w:p w14:paraId="6203A9C7" w14:textId="77777777" w:rsidR="00C01A50" w:rsidRPr="00823FB0" w:rsidRDefault="00C01A50" w:rsidP="00B80EB7">
            <w:pPr>
              <w:spacing w:after="0" w:line="240" w:lineRule="auto"/>
              <w:rPr>
                <w:color w:val="000000"/>
                <w:sz w:val="20"/>
                <w:lang w:eastAsia="en-AU"/>
              </w:rPr>
            </w:pPr>
            <w:r w:rsidRPr="00823FB0">
              <w:rPr>
                <w:color w:val="000000"/>
                <w:sz w:val="20"/>
                <w:lang w:eastAsia="en-AU"/>
              </w:rPr>
              <w:t>Southern Basin SA Zone</w:t>
            </w:r>
          </w:p>
        </w:tc>
        <w:tc>
          <w:tcPr>
            <w:tcW w:w="617" w:type="pct"/>
            <w:tcBorders>
              <w:top w:val="single" w:sz="4" w:space="0" w:color="auto"/>
              <w:left w:val="nil"/>
              <w:bottom w:val="single" w:sz="12" w:space="0" w:color="auto"/>
              <w:right w:val="single" w:sz="12" w:space="0" w:color="auto"/>
            </w:tcBorders>
            <w:shd w:val="clear" w:color="auto" w:fill="auto"/>
            <w:noWrap/>
            <w:vAlign w:val="center"/>
          </w:tcPr>
          <w:p w14:paraId="419533D3" w14:textId="77777777" w:rsidR="00C01A50" w:rsidRPr="00823FB0" w:rsidRDefault="00C01A50" w:rsidP="00B80EB7">
            <w:pPr>
              <w:spacing w:after="0" w:line="240" w:lineRule="auto"/>
              <w:rPr>
                <w:color w:val="000000"/>
                <w:sz w:val="20"/>
                <w:lang w:eastAsia="en-AU"/>
              </w:rPr>
            </w:pPr>
            <w:r w:rsidRPr="00823FB0">
              <w:rPr>
                <w:color w:val="000000"/>
                <w:sz w:val="20"/>
                <w:lang w:eastAsia="en-AU"/>
              </w:rPr>
              <w:t xml:space="preserve">High </w:t>
            </w:r>
          </w:p>
        </w:tc>
        <w:tc>
          <w:tcPr>
            <w:tcW w:w="619" w:type="pct"/>
            <w:tcBorders>
              <w:top w:val="single" w:sz="4" w:space="0" w:color="auto"/>
              <w:left w:val="nil"/>
              <w:bottom w:val="single" w:sz="12" w:space="0" w:color="auto"/>
              <w:right w:val="single" w:sz="4" w:space="0" w:color="auto"/>
            </w:tcBorders>
            <w:shd w:val="clear" w:color="auto" w:fill="auto"/>
            <w:noWrap/>
            <w:vAlign w:val="center"/>
          </w:tcPr>
          <w:p w14:paraId="13F1FB26" w14:textId="77777777" w:rsidR="00C01A50" w:rsidRPr="00823FB0" w:rsidRDefault="00C01A50" w:rsidP="00B80EB7">
            <w:pPr>
              <w:spacing w:after="0" w:line="240" w:lineRule="auto"/>
              <w:jc w:val="center"/>
              <w:rPr>
                <w:color w:val="000000"/>
                <w:lang w:eastAsia="en-AU"/>
              </w:rPr>
            </w:pPr>
            <w:r>
              <w:rPr>
                <w:color w:val="000000"/>
                <w:szCs w:val="22"/>
              </w:rPr>
              <w:t>565</w:t>
            </w:r>
          </w:p>
        </w:tc>
        <w:tc>
          <w:tcPr>
            <w:tcW w:w="482" w:type="pct"/>
            <w:tcBorders>
              <w:top w:val="single" w:sz="4" w:space="0" w:color="auto"/>
              <w:left w:val="nil"/>
              <w:bottom w:val="single" w:sz="12" w:space="0" w:color="auto"/>
              <w:right w:val="single" w:sz="4" w:space="0" w:color="auto"/>
            </w:tcBorders>
            <w:shd w:val="clear" w:color="auto" w:fill="auto"/>
            <w:noWrap/>
            <w:vAlign w:val="center"/>
          </w:tcPr>
          <w:p w14:paraId="453C9DF2" w14:textId="77777777" w:rsidR="00C01A50" w:rsidRPr="00823FB0" w:rsidRDefault="00C01A50" w:rsidP="00B80EB7">
            <w:pPr>
              <w:spacing w:after="0" w:line="240" w:lineRule="auto"/>
              <w:jc w:val="center"/>
              <w:rPr>
                <w:color w:val="000000"/>
                <w:lang w:eastAsia="en-AU"/>
              </w:rPr>
            </w:pPr>
            <w:r>
              <w:rPr>
                <w:color w:val="000000"/>
                <w:szCs w:val="22"/>
              </w:rPr>
              <w:t>465</w:t>
            </w:r>
          </w:p>
        </w:tc>
        <w:tc>
          <w:tcPr>
            <w:tcW w:w="803" w:type="pct"/>
            <w:tcBorders>
              <w:top w:val="nil"/>
              <w:left w:val="nil"/>
              <w:bottom w:val="single" w:sz="12" w:space="0" w:color="auto"/>
              <w:right w:val="single" w:sz="4" w:space="0" w:color="auto"/>
            </w:tcBorders>
            <w:shd w:val="clear" w:color="auto" w:fill="auto"/>
            <w:noWrap/>
            <w:vAlign w:val="center"/>
          </w:tcPr>
          <w:p w14:paraId="41842F25" w14:textId="77777777" w:rsidR="00C01A50" w:rsidRPr="00823FB0" w:rsidRDefault="00C01A50" w:rsidP="00B80EB7">
            <w:pPr>
              <w:spacing w:after="0" w:line="240" w:lineRule="auto"/>
              <w:jc w:val="center"/>
              <w:rPr>
                <w:color w:val="000000"/>
                <w:lang w:eastAsia="en-AU"/>
              </w:rPr>
            </w:pPr>
            <w:r>
              <w:rPr>
                <w:color w:val="000000"/>
                <w:szCs w:val="22"/>
              </w:rPr>
              <w:t>465</w:t>
            </w:r>
          </w:p>
        </w:tc>
        <w:tc>
          <w:tcPr>
            <w:tcW w:w="803" w:type="pct"/>
            <w:tcBorders>
              <w:top w:val="nil"/>
              <w:left w:val="nil"/>
              <w:bottom w:val="nil"/>
              <w:right w:val="single" w:sz="4" w:space="0" w:color="auto"/>
            </w:tcBorders>
            <w:shd w:val="clear" w:color="auto" w:fill="auto"/>
            <w:noWrap/>
            <w:vAlign w:val="center"/>
          </w:tcPr>
          <w:p w14:paraId="07117D4E" w14:textId="77777777" w:rsidR="00C01A50" w:rsidRPr="00823FB0" w:rsidRDefault="00C01A50" w:rsidP="00B80EB7">
            <w:pPr>
              <w:spacing w:after="0" w:line="240" w:lineRule="auto"/>
              <w:jc w:val="center"/>
              <w:rPr>
                <w:color w:val="000000"/>
                <w:lang w:eastAsia="en-AU"/>
              </w:rPr>
            </w:pPr>
            <w:r>
              <w:rPr>
                <w:color w:val="000000"/>
                <w:szCs w:val="22"/>
              </w:rPr>
              <w:t>420</w:t>
            </w:r>
          </w:p>
        </w:tc>
        <w:tc>
          <w:tcPr>
            <w:tcW w:w="803" w:type="pct"/>
            <w:tcBorders>
              <w:top w:val="nil"/>
              <w:left w:val="nil"/>
              <w:bottom w:val="nil"/>
              <w:right w:val="single" w:sz="12" w:space="0" w:color="auto"/>
            </w:tcBorders>
            <w:shd w:val="clear" w:color="auto" w:fill="auto"/>
            <w:noWrap/>
            <w:vAlign w:val="bottom"/>
          </w:tcPr>
          <w:p w14:paraId="4500CB2A" w14:textId="77777777" w:rsidR="00C01A50" w:rsidRPr="00823FB0" w:rsidRDefault="00C01A50" w:rsidP="00B80EB7">
            <w:pPr>
              <w:spacing w:after="0" w:line="240" w:lineRule="auto"/>
              <w:jc w:val="center"/>
              <w:rPr>
                <w:color w:val="000000"/>
                <w:lang w:eastAsia="en-AU"/>
              </w:rPr>
            </w:pPr>
            <w:r>
              <w:rPr>
                <w:color w:val="000000"/>
                <w:szCs w:val="22"/>
              </w:rPr>
              <w:t xml:space="preserve">395 </w:t>
            </w:r>
          </w:p>
        </w:tc>
      </w:tr>
      <w:tr w:rsidR="00C01A50" w:rsidRPr="00823FB0" w14:paraId="0DF6D7F7" w14:textId="77777777" w:rsidTr="004F53D2">
        <w:trPr>
          <w:trHeight w:val="300"/>
        </w:trPr>
        <w:tc>
          <w:tcPr>
            <w:tcW w:w="874" w:type="pct"/>
            <w:tcBorders>
              <w:top w:val="nil"/>
              <w:left w:val="single" w:sz="12" w:space="0" w:color="auto"/>
              <w:bottom w:val="single" w:sz="12" w:space="0" w:color="auto"/>
              <w:right w:val="nil"/>
            </w:tcBorders>
            <w:shd w:val="clear" w:color="auto" w:fill="auto"/>
            <w:noWrap/>
            <w:vAlign w:val="center"/>
          </w:tcPr>
          <w:p w14:paraId="7FCDD297" w14:textId="77777777" w:rsidR="00C01A50" w:rsidRPr="00823FB0" w:rsidRDefault="00C01A50" w:rsidP="00B80EB7">
            <w:pPr>
              <w:spacing w:after="0" w:line="240" w:lineRule="auto"/>
              <w:rPr>
                <w:b/>
                <w:bCs/>
                <w:color w:val="000000"/>
                <w:sz w:val="20"/>
                <w:lang w:eastAsia="en-AU"/>
              </w:rPr>
            </w:pPr>
            <w:r w:rsidRPr="00823FB0">
              <w:rPr>
                <w:b/>
                <w:bCs/>
                <w:color w:val="000000"/>
                <w:sz w:val="20"/>
                <w:lang w:eastAsia="en-AU"/>
              </w:rPr>
              <w:t xml:space="preserve">Southern Basin Total </w:t>
            </w:r>
          </w:p>
        </w:tc>
        <w:tc>
          <w:tcPr>
            <w:tcW w:w="617" w:type="pct"/>
            <w:tcBorders>
              <w:top w:val="nil"/>
              <w:left w:val="nil"/>
              <w:bottom w:val="single" w:sz="12" w:space="0" w:color="auto"/>
              <w:right w:val="nil"/>
            </w:tcBorders>
            <w:shd w:val="clear" w:color="auto" w:fill="auto"/>
            <w:noWrap/>
            <w:vAlign w:val="center"/>
          </w:tcPr>
          <w:p w14:paraId="1614D734" w14:textId="77777777" w:rsidR="00C01A50" w:rsidRPr="00823FB0" w:rsidRDefault="00C01A50" w:rsidP="00B80EB7">
            <w:pPr>
              <w:spacing w:after="0" w:line="240" w:lineRule="auto"/>
              <w:rPr>
                <w:b/>
                <w:bCs/>
                <w:color w:val="000000"/>
                <w:sz w:val="20"/>
                <w:lang w:eastAsia="en-AU"/>
              </w:rPr>
            </w:pPr>
            <w:r w:rsidRPr="00823FB0">
              <w:rPr>
                <w:b/>
                <w:bCs/>
                <w:color w:val="000000"/>
                <w:sz w:val="20"/>
                <w:lang w:eastAsia="en-AU"/>
              </w:rPr>
              <w:t> </w:t>
            </w:r>
          </w:p>
        </w:tc>
        <w:tc>
          <w:tcPr>
            <w:tcW w:w="619" w:type="pct"/>
            <w:tcBorders>
              <w:top w:val="nil"/>
              <w:left w:val="single" w:sz="12" w:space="0" w:color="auto"/>
              <w:bottom w:val="single" w:sz="12" w:space="0" w:color="auto"/>
              <w:right w:val="single" w:sz="4" w:space="0" w:color="auto"/>
            </w:tcBorders>
            <w:shd w:val="clear" w:color="auto" w:fill="auto"/>
            <w:noWrap/>
            <w:vAlign w:val="center"/>
          </w:tcPr>
          <w:p w14:paraId="3890B28B" w14:textId="77777777" w:rsidR="00C01A50" w:rsidRPr="00823FB0" w:rsidRDefault="00C01A50" w:rsidP="00B80EB7">
            <w:pPr>
              <w:spacing w:after="0" w:line="240" w:lineRule="auto"/>
              <w:jc w:val="center"/>
              <w:rPr>
                <w:b/>
                <w:bCs/>
                <w:color w:val="000000"/>
                <w:lang w:eastAsia="en-AU"/>
              </w:rPr>
            </w:pPr>
            <w:r>
              <w:rPr>
                <w:b/>
                <w:bCs/>
                <w:color w:val="000000"/>
                <w:szCs w:val="22"/>
              </w:rPr>
              <w:t>7,746</w:t>
            </w:r>
          </w:p>
        </w:tc>
        <w:tc>
          <w:tcPr>
            <w:tcW w:w="482" w:type="pct"/>
            <w:tcBorders>
              <w:top w:val="nil"/>
              <w:left w:val="nil"/>
              <w:bottom w:val="single" w:sz="12" w:space="0" w:color="auto"/>
              <w:right w:val="single" w:sz="4" w:space="0" w:color="auto"/>
            </w:tcBorders>
            <w:shd w:val="clear" w:color="auto" w:fill="auto"/>
            <w:noWrap/>
            <w:vAlign w:val="center"/>
          </w:tcPr>
          <w:p w14:paraId="221E515E" w14:textId="77777777" w:rsidR="00C01A50" w:rsidRPr="00823FB0" w:rsidRDefault="00C01A50" w:rsidP="00B80EB7">
            <w:pPr>
              <w:spacing w:after="0" w:line="240" w:lineRule="auto"/>
              <w:jc w:val="center"/>
              <w:rPr>
                <w:b/>
                <w:bCs/>
                <w:color w:val="000000"/>
                <w:lang w:eastAsia="en-AU"/>
              </w:rPr>
            </w:pPr>
            <w:r>
              <w:rPr>
                <w:b/>
                <w:bCs/>
                <w:color w:val="000000"/>
                <w:szCs w:val="22"/>
              </w:rPr>
              <w:t>6,176</w:t>
            </w:r>
          </w:p>
        </w:tc>
        <w:tc>
          <w:tcPr>
            <w:tcW w:w="803" w:type="pct"/>
            <w:tcBorders>
              <w:top w:val="nil"/>
              <w:left w:val="nil"/>
              <w:bottom w:val="single" w:sz="12" w:space="0" w:color="auto"/>
              <w:right w:val="single" w:sz="4" w:space="0" w:color="auto"/>
            </w:tcBorders>
            <w:shd w:val="clear" w:color="auto" w:fill="auto"/>
            <w:noWrap/>
            <w:vAlign w:val="center"/>
          </w:tcPr>
          <w:p w14:paraId="002458F2" w14:textId="77777777" w:rsidR="00C01A50" w:rsidRPr="00823FB0" w:rsidRDefault="00C01A50" w:rsidP="00B80EB7">
            <w:pPr>
              <w:spacing w:after="0" w:line="240" w:lineRule="auto"/>
              <w:jc w:val="center"/>
              <w:rPr>
                <w:b/>
                <w:bCs/>
                <w:color w:val="000000"/>
                <w:lang w:eastAsia="en-AU"/>
              </w:rPr>
            </w:pPr>
            <w:r>
              <w:rPr>
                <w:b/>
                <w:bCs/>
                <w:color w:val="000000"/>
                <w:szCs w:val="22"/>
              </w:rPr>
              <w:t>6,083</w:t>
            </w:r>
          </w:p>
        </w:tc>
        <w:tc>
          <w:tcPr>
            <w:tcW w:w="803" w:type="pct"/>
            <w:tcBorders>
              <w:top w:val="single" w:sz="12" w:space="0" w:color="auto"/>
              <w:left w:val="nil"/>
              <w:bottom w:val="single" w:sz="12" w:space="0" w:color="auto"/>
              <w:right w:val="single" w:sz="4" w:space="0" w:color="auto"/>
            </w:tcBorders>
            <w:shd w:val="clear" w:color="auto" w:fill="auto"/>
            <w:noWrap/>
            <w:vAlign w:val="center"/>
          </w:tcPr>
          <w:p w14:paraId="0D74EE92" w14:textId="77777777" w:rsidR="00C01A50" w:rsidRPr="00823FB0" w:rsidRDefault="00C01A50" w:rsidP="00B80EB7">
            <w:pPr>
              <w:spacing w:after="0" w:line="240" w:lineRule="auto"/>
              <w:jc w:val="center"/>
              <w:rPr>
                <w:b/>
                <w:bCs/>
                <w:color w:val="000000"/>
                <w:lang w:eastAsia="en-AU"/>
              </w:rPr>
            </w:pPr>
            <w:r>
              <w:rPr>
                <w:b/>
                <w:bCs/>
                <w:color w:val="000000"/>
                <w:szCs w:val="22"/>
              </w:rPr>
              <w:t>5,380</w:t>
            </w:r>
          </w:p>
        </w:tc>
        <w:tc>
          <w:tcPr>
            <w:tcW w:w="803" w:type="pct"/>
            <w:tcBorders>
              <w:top w:val="single" w:sz="12" w:space="0" w:color="auto"/>
              <w:left w:val="nil"/>
              <w:bottom w:val="single" w:sz="12" w:space="0" w:color="auto"/>
              <w:right w:val="single" w:sz="12" w:space="0" w:color="auto"/>
            </w:tcBorders>
            <w:shd w:val="clear" w:color="auto" w:fill="auto"/>
            <w:noWrap/>
            <w:vAlign w:val="bottom"/>
          </w:tcPr>
          <w:p w14:paraId="59F1026C" w14:textId="77777777" w:rsidR="00C01A50" w:rsidRPr="00823FB0" w:rsidRDefault="00C01A50" w:rsidP="00B80EB7">
            <w:pPr>
              <w:spacing w:after="0" w:line="240" w:lineRule="auto"/>
              <w:jc w:val="center"/>
              <w:rPr>
                <w:b/>
                <w:bCs/>
                <w:color w:val="000000"/>
                <w:lang w:eastAsia="en-AU"/>
              </w:rPr>
            </w:pPr>
            <w:r>
              <w:rPr>
                <w:b/>
                <w:bCs/>
                <w:color w:val="000000"/>
                <w:szCs w:val="22"/>
              </w:rPr>
              <w:t xml:space="preserve">4,991 </w:t>
            </w:r>
          </w:p>
        </w:tc>
      </w:tr>
      <w:tr w:rsidR="00C01A50" w:rsidRPr="00823FB0" w14:paraId="33F7C552" w14:textId="77777777" w:rsidTr="004F53D2">
        <w:trPr>
          <w:trHeight w:val="300"/>
        </w:trPr>
        <w:tc>
          <w:tcPr>
            <w:tcW w:w="1491" w:type="pct"/>
            <w:gridSpan w:val="2"/>
            <w:tcBorders>
              <w:top w:val="nil"/>
              <w:left w:val="single" w:sz="12" w:space="0" w:color="auto"/>
              <w:bottom w:val="single" w:sz="12" w:space="0" w:color="auto"/>
              <w:right w:val="nil"/>
            </w:tcBorders>
            <w:shd w:val="clear" w:color="auto" w:fill="auto"/>
            <w:noWrap/>
            <w:vAlign w:val="center"/>
          </w:tcPr>
          <w:p w14:paraId="51C7C58B" w14:textId="77777777" w:rsidR="00C01A50" w:rsidRPr="00823FB0" w:rsidRDefault="00C01A50" w:rsidP="00B80EB7">
            <w:pPr>
              <w:spacing w:after="0" w:line="240" w:lineRule="auto"/>
              <w:rPr>
                <w:b/>
                <w:bCs/>
                <w:color w:val="000000"/>
                <w:sz w:val="20"/>
                <w:lang w:eastAsia="en-AU"/>
              </w:rPr>
            </w:pPr>
            <w:r>
              <w:rPr>
                <w:b/>
                <w:bCs/>
                <w:color w:val="000000"/>
                <w:sz w:val="20"/>
                <w:lang w:eastAsia="en-AU"/>
              </w:rPr>
              <w:t>Decrease from 30 June 2007 (GL)</w:t>
            </w:r>
          </w:p>
        </w:tc>
        <w:tc>
          <w:tcPr>
            <w:tcW w:w="619" w:type="pct"/>
            <w:tcBorders>
              <w:top w:val="nil"/>
              <w:left w:val="single" w:sz="12" w:space="0" w:color="auto"/>
              <w:bottom w:val="single" w:sz="12" w:space="0" w:color="auto"/>
              <w:right w:val="single" w:sz="4" w:space="0" w:color="auto"/>
            </w:tcBorders>
            <w:shd w:val="clear" w:color="auto" w:fill="auto"/>
            <w:noWrap/>
            <w:vAlign w:val="center"/>
          </w:tcPr>
          <w:p w14:paraId="77F242C7" w14:textId="77777777" w:rsidR="00C01A50" w:rsidRPr="00823FB0" w:rsidRDefault="00C01A50" w:rsidP="00B80EB7">
            <w:pPr>
              <w:spacing w:after="0" w:line="240" w:lineRule="auto"/>
              <w:jc w:val="center"/>
              <w:rPr>
                <w:b/>
                <w:bCs/>
                <w:color w:val="000000"/>
                <w:lang w:eastAsia="en-AU"/>
              </w:rPr>
            </w:pPr>
            <w:r>
              <w:rPr>
                <w:b/>
                <w:bCs/>
                <w:color w:val="000000"/>
                <w:lang w:eastAsia="en-AU"/>
              </w:rPr>
              <w:t>0</w:t>
            </w:r>
          </w:p>
        </w:tc>
        <w:tc>
          <w:tcPr>
            <w:tcW w:w="482" w:type="pct"/>
            <w:tcBorders>
              <w:top w:val="nil"/>
              <w:left w:val="nil"/>
              <w:bottom w:val="single" w:sz="12" w:space="0" w:color="auto"/>
              <w:right w:val="single" w:sz="4" w:space="0" w:color="auto"/>
            </w:tcBorders>
            <w:shd w:val="clear" w:color="auto" w:fill="auto"/>
            <w:noWrap/>
            <w:vAlign w:val="center"/>
          </w:tcPr>
          <w:p w14:paraId="23F8D1F8" w14:textId="77777777" w:rsidR="00C01A50" w:rsidRPr="00823FB0" w:rsidRDefault="00C01A50" w:rsidP="00B80EB7">
            <w:pPr>
              <w:spacing w:after="0" w:line="240" w:lineRule="auto"/>
              <w:jc w:val="center"/>
              <w:rPr>
                <w:b/>
                <w:bCs/>
                <w:color w:val="000000"/>
                <w:lang w:eastAsia="en-AU"/>
              </w:rPr>
            </w:pPr>
            <w:r>
              <w:rPr>
                <w:b/>
                <w:bCs/>
                <w:color w:val="000000"/>
                <w:szCs w:val="22"/>
              </w:rPr>
              <w:t>1,570</w:t>
            </w:r>
          </w:p>
        </w:tc>
        <w:tc>
          <w:tcPr>
            <w:tcW w:w="803" w:type="pct"/>
            <w:tcBorders>
              <w:top w:val="nil"/>
              <w:left w:val="nil"/>
              <w:bottom w:val="single" w:sz="12" w:space="0" w:color="auto"/>
              <w:right w:val="single" w:sz="4" w:space="0" w:color="auto"/>
            </w:tcBorders>
            <w:shd w:val="clear" w:color="auto" w:fill="auto"/>
            <w:noWrap/>
            <w:vAlign w:val="center"/>
          </w:tcPr>
          <w:p w14:paraId="1B9BCC5F" w14:textId="77777777" w:rsidR="00C01A50" w:rsidRPr="00823FB0" w:rsidRDefault="00C01A50" w:rsidP="00B80EB7">
            <w:pPr>
              <w:spacing w:after="0" w:line="240" w:lineRule="auto"/>
              <w:jc w:val="center"/>
              <w:rPr>
                <w:b/>
                <w:bCs/>
                <w:color w:val="000000"/>
                <w:lang w:eastAsia="en-AU"/>
              </w:rPr>
            </w:pPr>
            <w:r>
              <w:rPr>
                <w:b/>
                <w:bCs/>
                <w:color w:val="000000"/>
                <w:szCs w:val="22"/>
              </w:rPr>
              <w:t>1,663</w:t>
            </w:r>
          </w:p>
        </w:tc>
        <w:tc>
          <w:tcPr>
            <w:tcW w:w="803" w:type="pct"/>
            <w:tcBorders>
              <w:top w:val="single" w:sz="12" w:space="0" w:color="auto"/>
              <w:left w:val="nil"/>
              <w:bottom w:val="single" w:sz="12" w:space="0" w:color="auto"/>
              <w:right w:val="single" w:sz="4" w:space="0" w:color="auto"/>
            </w:tcBorders>
            <w:shd w:val="clear" w:color="auto" w:fill="auto"/>
            <w:noWrap/>
            <w:vAlign w:val="center"/>
          </w:tcPr>
          <w:p w14:paraId="42FC119B" w14:textId="77777777" w:rsidR="00C01A50" w:rsidRPr="00823FB0" w:rsidRDefault="00C01A50" w:rsidP="00B80EB7">
            <w:pPr>
              <w:spacing w:after="0" w:line="240" w:lineRule="auto"/>
              <w:jc w:val="center"/>
              <w:rPr>
                <w:b/>
                <w:bCs/>
                <w:color w:val="000000"/>
                <w:lang w:eastAsia="en-AU"/>
              </w:rPr>
            </w:pPr>
            <w:r>
              <w:rPr>
                <w:b/>
                <w:bCs/>
                <w:color w:val="000000"/>
                <w:szCs w:val="22"/>
              </w:rPr>
              <w:t>2,366</w:t>
            </w:r>
          </w:p>
        </w:tc>
        <w:tc>
          <w:tcPr>
            <w:tcW w:w="803" w:type="pct"/>
            <w:tcBorders>
              <w:top w:val="single" w:sz="12" w:space="0" w:color="auto"/>
              <w:left w:val="nil"/>
              <w:bottom w:val="single" w:sz="12" w:space="0" w:color="auto"/>
              <w:right w:val="single" w:sz="12" w:space="0" w:color="auto"/>
            </w:tcBorders>
            <w:shd w:val="clear" w:color="auto" w:fill="auto"/>
            <w:noWrap/>
            <w:vAlign w:val="bottom"/>
          </w:tcPr>
          <w:p w14:paraId="5B3C50E2" w14:textId="77777777" w:rsidR="00C01A50" w:rsidRPr="00823FB0" w:rsidRDefault="00C01A50" w:rsidP="00B80EB7">
            <w:pPr>
              <w:spacing w:after="0" w:line="240" w:lineRule="auto"/>
              <w:jc w:val="center"/>
              <w:rPr>
                <w:b/>
                <w:bCs/>
                <w:color w:val="000000"/>
                <w:lang w:eastAsia="en-AU"/>
              </w:rPr>
            </w:pPr>
            <w:r>
              <w:rPr>
                <w:b/>
                <w:bCs/>
                <w:color w:val="000000"/>
                <w:lang w:eastAsia="en-AU"/>
              </w:rPr>
              <w:t>2,755</w:t>
            </w:r>
          </w:p>
        </w:tc>
      </w:tr>
      <w:tr w:rsidR="00C01A50" w:rsidRPr="00823FB0" w14:paraId="62524EDD" w14:textId="77777777" w:rsidTr="004F53D2">
        <w:trPr>
          <w:trHeight w:val="300"/>
        </w:trPr>
        <w:tc>
          <w:tcPr>
            <w:tcW w:w="1491" w:type="pct"/>
            <w:gridSpan w:val="2"/>
            <w:tcBorders>
              <w:top w:val="single" w:sz="12" w:space="0" w:color="auto"/>
              <w:left w:val="single" w:sz="12" w:space="0" w:color="auto"/>
              <w:bottom w:val="single" w:sz="12" w:space="0" w:color="auto"/>
              <w:right w:val="single" w:sz="12" w:space="0" w:color="000000"/>
            </w:tcBorders>
            <w:shd w:val="clear" w:color="auto" w:fill="auto"/>
            <w:noWrap/>
            <w:vAlign w:val="center"/>
          </w:tcPr>
          <w:p w14:paraId="43599EC0" w14:textId="77777777" w:rsidR="00C01A50" w:rsidRPr="00823FB0" w:rsidRDefault="00C01A50" w:rsidP="00B80EB7">
            <w:pPr>
              <w:spacing w:after="0" w:line="240" w:lineRule="auto"/>
              <w:rPr>
                <w:b/>
                <w:bCs/>
                <w:color w:val="000000"/>
                <w:sz w:val="20"/>
                <w:lang w:eastAsia="en-AU"/>
              </w:rPr>
            </w:pPr>
            <w:r w:rsidRPr="00823FB0">
              <w:rPr>
                <w:b/>
                <w:bCs/>
                <w:color w:val="000000"/>
                <w:sz w:val="20"/>
                <w:lang w:eastAsia="en-AU"/>
              </w:rPr>
              <w:t>Decrease from 30 June 2007</w:t>
            </w:r>
            <w:r>
              <w:rPr>
                <w:b/>
                <w:bCs/>
                <w:color w:val="000000"/>
                <w:sz w:val="20"/>
                <w:lang w:eastAsia="en-AU"/>
              </w:rPr>
              <w:t xml:space="preserve"> (%)</w:t>
            </w:r>
          </w:p>
        </w:tc>
        <w:tc>
          <w:tcPr>
            <w:tcW w:w="619" w:type="pct"/>
            <w:tcBorders>
              <w:top w:val="nil"/>
              <w:left w:val="nil"/>
              <w:bottom w:val="single" w:sz="12" w:space="0" w:color="auto"/>
              <w:right w:val="single" w:sz="4" w:space="0" w:color="auto"/>
            </w:tcBorders>
            <w:shd w:val="clear" w:color="auto" w:fill="auto"/>
            <w:noWrap/>
            <w:vAlign w:val="center"/>
          </w:tcPr>
          <w:p w14:paraId="602BFBEC" w14:textId="77777777" w:rsidR="00C01A50" w:rsidRPr="00823FB0" w:rsidRDefault="00C01A50" w:rsidP="00B80EB7">
            <w:pPr>
              <w:spacing w:after="0" w:line="240" w:lineRule="auto"/>
              <w:jc w:val="center"/>
              <w:rPr>
                <w:b/>
                <w:bCs/>
                <w:color w:val="000000"/>
                <w:lang w:eastAsia="en-AU"/>
              </w:rPr>
            </w:pPr>
            <w:r>
              <w:rPr>
                <w:b/>
                <w:bCs/>
                <w:color w:val="000000"/>
                <w:lang w:eastAsia="en-AU"/>
              </w:rPr>
              <w:t>0</w:t>
            </w:r>
          </w:p>
        </w:tc>
        <w:tc>
          <w:tcPr>
            <w:tcW w:w="482" w:type="pct"/>
            <w:tcBorders>
              <w:top w:val="nil"/>
              <w:left w:val="nil"/>
              <w:bottom w:val="single" w:sz="12" w:space="0" w:color="auto"/>
              <w:right w:val="single" w:sz="4" w:space="0" w:color="auto"/>
            </w:tcBorders>
            <w:shd w:val="clear" w:color="auto" w:fill="auto"/>
            <w:noWrap/>
            <w:vAlign w:val="center"/>
          </w:tcPr>
          <w:p w14:paraId="126C7437" w14:textId="77777777" w:rsidR="00C01A50" w:rsidRPr="00823FB0" w:rsidRDefault="00C01A50" w:rsidP="00B80EB7">
            <w:pPr>
              <w:spacing w:after="0" w:line="240" w:lineRule="auto"/>
              <w:jc w:val="center"/>
              <w:rPr>
                <w:b/>
                <w:bCs/>
                <w:color w:val="000000"/>
                <w:lang w:eastAsia="en-AU"/>
              </w:rPr>
            </w:pPr>
            <w:r>
              <w:rPr>
                <w:b/>
                <w:bCs/>
                <w:color w:val="000000"/>
                <w:szCs w:val="22"/>
              </w:rPr>
              <w:t>20%</w:t>
            </w:r>
          </w:p>
        </w:tc>
        <w:tc>
          <w:tcPr>
            <w:tcW w:w="803" w:type="pct"/>
            <w:tcBorders>
              <w:top w:val="nil"/>
              <w:left w:val="nil"/>
              <w:bottom w:val="single" w:sz="12" w:space="0" w:color="auto"/>
              <w:right w:val="single" w:sz="4" w:space="0" w:color="auto"/>
            </w:tcBorders>
            <w:shd w:val="clear" w:color="auto" w:fill="auto"/>
            <w:noWrap/>
            <w:vAlign w:val="center"/>
          </w:tcPr>
          <w:p w14:paraId="65B30F89" w14:textId="77777777" w:rsidR="00C01A50" w:rsidRPr="00823FB0" w:rsidRDefault="00C01A50" w:rsidP="00B80EB7">
            <w:pPr>
              <w:spacing w:after="0" w:line="240" w:lineRule="auto"/>
              <w:jc w:val="center"/>
              <w:rPr>
                <w:b/>
                <w:bCs/>
                <w:color w:val="000000"/>
                <w:lang w:eastAsia="en-AU"/>
              </w:rPr>
            </w:pPr>
            <w:r>
              <w:rPr>
                <w:b/>
                <w:bCs/>
                <w:color w:val="000000"/>
                <w:szCs w:val="22"/>
              </w:rPr>
              <w:t>21%</w:t>
            </w:r>
          </w:p>
        </w:tc>
        <w:tc>
          <w:tcPr>
            <w:tcW w:w="803" w:type="pct"/>
            <w:tcBorders>
              <w:top w:val="nil"/>
              <w:left w:val="nil"/>
              <w:bottom w:val="single" w:sz="12" w:space="0" w:color="auto"/>
              <w:right w:val="single" w:sz="4" w:space="0" w:color="auto"/>
            </w:tcBorders>
            <w:shd w:val="clear" w:color="auto" w:fill="auto"/>
            <w:noWrap/>
            <w:vAlign w:val="center"/>
          </w:tcPr>
          <w:p w14:paraId="2167E565" w14:textId="77777777" w:rsidR="00C01A50" w:rsidRPr="00823FB0" w:rsidRDefault="00C01A50" w:rsidP="00B80EB7">
            <w:pPr>
              <w:spacing w:after="0" w:line="240" w:lineRule="auto"/>
              <w:jc w:val="center"/>
              <w:rPr>
                <w:b/>
                <w:bCs/>
                <w:color w:val="000000"/>
                <w:lang w:eastAsia="en-AU"/>
              </w:rPr>
            </w:pPr>
            <w:r>
              <w:rPr>
                <w:b/>
                <w:bCs/>
                <w:color w:val="000000"/>
                <w:szCs w:val="22"/>
              </w:rPr>
              <w:t>31%</w:t>
            </w:r>
          </w:p>
        </w:tc>
        <w:tc>
          <w:tcPr>
            <w:tcW w:w="803" w:type="pct"/>
            <w:tcBorders>
              <w:top w:val="nil"/>
              <w:left w:val="nil"/>
              <w:bottom w:val="single" w:sz="12" w:space="0" w:color="auto"/>
              <w:right w:val="single" w:sz="12" w:space="0" w:color="auto"/>
            </w:tcBorders>
            <w:shd w:val="clear" w:color="auto" w:fill="auto"/>
            <w:noWrap/>
            <w:vAlign w:val="bottom"/>
          </w:tcPr>
          <w:p w14:paraId="29D81960" w14:textId="77777777" w:rsidR="00C01A50" w:rsidRPr="00823FB0" w:rsidRDefault="00C01A50" w:rsidP="00B80EB7">
            <w:pPr>
              <w:spacing w:after="0" w:line="240" w:lineRule="auto"/>
              <w:jc w:val="center"/>
              <w:rPr>
                <w:b/>
                <w:bCs/>
                <w:color w:val="000000"/>
                <w:lang w:eastAsia="en-AU"/>
              </w:rPr>
            </w:pPr>
            <w:r>
              <w:rPr>
                <w:b/>
                <w:bCs/>
                <w:color w:val="000000"/>
                <w:lang w:eastAsia="en-AU"/>
              </w:rPr>
              <w:t>36%</w:t>
            </w:r>
          </w:p>
        </w:tc>
      </w:tr>
    </w:tbl>
    <w:p w14:paraId="0AA87012" w14:textId="77777777" w:rsidR="00C01A50" w:rsidRDefault="00C01A50" w:rsidP="00A17DEB">
      <w:pPr>
        <w:spacing w:before="0" w:after="0" w:line="240" w:lineRule="auto"/>
        <w:rPr>
          <w:lang w:val="en-AU"/>
        </w:rPr>
      </w:pPr>
    </w:p>
    <w:p w14:paraId="7AE018B5" w14:textId="77777777" w:rsidR="00C01A50" w:rsidRDefault="00C01A50" w:rsidP="00A17DEB">
      <w:pPr>
        <w:spacing w:before="0" w:after="0" w:line="240" w:lineRule="auto"/>
        <w:rPr>
          <w:lang w:val="en-AU"/>
        </w:rPr>
      </w:pPr>
    </w:p>
    <w:p w14:paraId="0220E479" w14:textId="77777777" w:rsidR="00C01A50" w:rsidRDefault="00C01A50" w:rsidP="00A17DEB">
      <w:pPr>
        <w:spacing w:before="0" w:after="0" w:line="240" w:lineRule="auto"/>
        <w:rPr>
          <w:lang w:val="en-AU"/>
        </w:rPr>
      </w:pPr>
    </w:p>
    <w:p w14:paraId="42E9AE3A" w14:textId="77777777" w:rsidR="00C01A50" w:rsidRDefault="00C01A50" w:rsidP="00A17DEB">
      <w:pPr>
        <w:spacing w:before="0" w:after="0" w:line="240" w:lineRule="auto"/>
        <w:rPr>
          <w:lang w:val="en-AU"/>
        </w:rPr>
      </w:pPr>
    </w:p>
    <w:p w14:paraId="19CDD0B9" w14:textId="77777777" w:rsidR="004F53D2" w:rsidRDefault="004F53D2">
      <w:pPr>
        <w:spacing w:before="0" w:after="0" w:line="240" w:lineRule="auto"/>
        <w:jc w:val="left"/>
        <w:rPr>
          <w:lang w:val="en-AU"/>
        </w:rPr>
      </w:pPr>
      <w:r>
        <w:rPr>
          <w:lang w:val="en-AU"/>
        </w:rPr>
        <w:br w:type="page"/>
      </w:r>
    </w:p>
    <w:p w14:paraId="07CD1809" w14:textId="77777777" w:rsidR="00C01A50" w:rsidRDefault="00C01A50" w:rsidP="00A17DEB">
      <w:pPr>
        <w:spacing w:before="0" w:after="0" w:line="240" w:lineRule="auto"/>
        <w:rPr>
          <w:b/>
          <w:bCs/>
          <w:caps/>
          <w:color w:val="FFFFFF"/>
          <w:spacing w:val="15"/>
          <w:szCs w:val="22"/>
          <w:lang w:val="en-AU"/>
        </w:rPr>
      </w:pPr>
    </w:p>
    <w:p w14:paraId="621FC80A" w14:textId="77777777" w:rsidR="00C01A50" w:rsidRDefault="00C01A50" w:rsidP="008352C3">
      <w:pPr>
        <w:pStyle w:val="Heading1"/>
        <w:rPr>
          <w:lang w:val="en-AU"/>
        </w:rPr>
      </w:pPr>
      <w:bookmarkStart w:id="264" w:name="_Ref342386223"/>
      <w:bookmarkStart w:id="265" w:name="_Toc347747874"/>
      <w:r>
        <w:rPr>
          <w:lang w:val="en-AU"/>
        </w:rPr>
        <w:t>Effects of the different approaches to water recovery</w:t>
      </w:r>
      <w:bookmarkEnd w:id="264"/>
      <w:bookmarkEnd w:id="265"/>
      <w:r>
        <w:rPr>
          <w:lang w:val="en-AU"/>
        </w:rPr>
        <w:t xml:space="preserve"> </w:t>
      </w:r>
    </w:p>
    <w:p w14:paraId="784A1F5D" w14:textId="77777777" w:rsidR="00C01A50" w:rsidRDefault="00C01A50" w:rsidP="008352C3">
      <w:pPr>
        <w:rPr>
          <w:lang w:val="en-AU"/>
        </w:rPr>
      </w:pPr>
      <w:r>
        <w:rPr>
          <w:lang w:val="en-AU"/>
        </w:rPr>
        <w:t>The Commonwealth has engaged in three primary approaches to water recovery to achieve the SDLs of the Basin Plan. These are:</w:t>
      </w:r>
    </w:p>
    <w:p w14:paraId="4EA23D07" w14:textId="77777777" w:rsidR="00C01A50" w:rsidRDefault="00C01A50" w:rsidP="008352C3">
      <w:pPr>
        <w:pStyle w:val="Bullet"/>
      </w:pPr>
      <w:r>
        <w:t>Buyback – Entitlement purchases via a Commonwealth tender process</w:t>
      </w:r>
    </w:p>
    <w:p w14:paraId="410C1454" w14:textId="77777777" w:rsidR="00C01A50" w:rsidRDefault="00C01A50" w:rsidP="008352C3">
      <w:pPr>
        <w:pStyle w:val="Bullet"/>
      </w:pPr>
      <w:r>
        <w:t xml:space="preserve">Delivery system water savings – </w:t>
      </w:r>
      <w:r w:rsidRPr="00971DBE">
        <w:t>infrastructure projects</w:t>
      </w:r>
      <w:r>
        <w:t xml:space="preserve"> involving </w:t>
      </w:r>
      <w:r w:rsidRPr="00971DBE">
        <w:t>delivery system modernisation</w:t>
      </w:r>
    </w:p>
    <w:p w14:paraId="0774ABBE" w14:textId="77777777" w:rsidR="00C01A50" w:rsidRDefault="00C01A50" w:rsidP="008352C3">
      <w:pPr>
        <w:pStyle w:val="Bullet"/>
      </w:pPr>
      <w:r>
        <w:t>On farm water savings –</w:t>
      </w:r>
      <w:r w:rsidRPr="00971DBE">
        <w:t>infrastructure projects</w:t>
      </w:r>
      <w:r>
        <w:t xml:space="preserve"> involving o</w:t>
      </w:r>
      <w:r w:rsidRPr="00971DBE">
        <w:t>n-farm irrigation upgrades</w:t>
      </w:r>
    </w:p>
    <w:p w14:paraId="21ED479B" w14:textId="77777777" w:rsidR="00C01A50" w:rsidRDefault="00C01A50" w:rsidP="008352C3">
      <w:pPr>
        <w:rPr>
          <w:lang w:val="en-AU"/>
        </w:rPr>
      </w:pPr>
      <w:r>
        <w:rPr>
          <w:lang w:val="en-AU"/>
        </w:rPr>
        <w:t>The costs of these are significantly different. The Department of the Environment (2014) noted that:</w:t>
      </w:r>
    </w:p>
    <w:p w14:paraId="26E0C5E6" w14:textId="77777777" w:rsidR="00C01A50" w:rsidRDefault="00C01A50" w:rsidP="008352C3">
      <w:pPr>
        <w:pStyle w:val="Quote"/>
        <w:rPr>
          <w:lang w:val="en-AU"/>
        </w:rPr>
      </w:pPr>
      <w:r w:rsidRPr="00971DBE">
        <w:rPr>
          <w:lang w:val="en-AU"/>
        </w:rPr>
        <w:t>The ‘market multiple’ is the cost of water yield to the Australian Government compared with the prevailing market price for the same entitlement at the time of the project approval. On-farm irrigation upgrades generally yield water savings at a market multiple of between 2.0 and 2.5, whereas delivery system modernisation projects are usually more expensive in terms of the relative cost of the water savings.</w:t>
      </w:r>
    </w:p>
    <w:p w14:paraId="1814D210" w14:textId="77777777" w:rsidR="00C01A50" w:rsidRDefault="00C01A50" w:rsidP="008352C3">
      <w:pPr>
        <w:rPr>
          <w:lang w:val="en-AU"/>
        </w:rPr>
      </w:pPr>
      <w:r>
        <w:rPr>
          <w:lang w:val="en-AU"/>
        </w:rPr>
        <w:t>However, often the outcomes of the two types of ‘water savings’ projects are considered comparable. This seems likely from comparative static analysis because:</w:t>
      </w:r>
    </w:p>
    <w:p w14:paraId="71CB6A8E" w14:textId="77777777" w:rsidR="00C01A50" w:rsidRDefault="00C01A50" w:rsidP="008352C3">
      <w:pPr>
        <w:pStyle w:val="Bullet"/>
      </w:pPr>
      <w:r>
        <w:t>Delivery system water savings reduce the losses incurred with delivery of water via the IIO channel network. This means that the same volume of water can be delivered to farms while reducing river diversions (by the volume of the water savings). Hence the same water can be used on farm to produce the same level of farm output.</w:t>
      </w:r>
    </w:p>
    <w:p w14:paraId="23C3B303" w14:textId="77777777" w:rsidR="00C01A50" w:rsidRDefault="00C01A50" w:rsidP="008352C3">
      <w:pPr>
        <w:pStyle w:val="Bullet"/>
      </w:pPr>
      <w:r>
        <w:t xml:space="preserve">On-farm water savings reduce the losses associated with on farm water use. The </w:t>
      </w:r>
      <w:r w:rsidRPr="00F27565">
        <w:t xml:space="preserve">improvements to infrastructure result in greater water efficiency </w:t>
      </w:r>
      <w:r>
        <w:t xml:space="preserve">so that less water need be applied </w:t>
      </w:r>
      <w:r w:rsidRPr="00F27565">
        <w:t xml:space="preserve">for </w:t>
      </w:r>
      <w:r>
        <w:t xml:space="preserve">the </w:t>
      </w:r>
      <w:r w:rsidRPr="00F27565">
        <w:t>equivalent crop production</w:t>
      </w:r>
      <w:r>
        <w:t>.</w:t>
      </w:r>
    </w:p>
    <w:p w14:paraId="25B74372" w14:textId="77777777" w:rsidR="00C01A50" w:rsidRDefault="00C01A50" w:rsidP="008352C3">
      <w:pPr>
        <w:rPr>
          <w:lang w:val="en-AU"/>
        </w:rPr>
      </w:pPr>
      <w:r>
        <w:rPr>
          <w:lang w:val="en-AU"/>
        </w:rPr>
        <w:t>For example, in the Department of the Environment (2014) discussion about Up-water / ‘Efficiency measures’</w:t>
      </w:r>
    </w:p>
    <w:p w14:paraId="02A33F97" w14:textId="77777777" w:rsidR="00C01A50" w:rsidRPr="000F630F" w:rsidRDefault="00C01A50" w:rsidP="008352C3">
      <w:pPr>
        <w:pStyle w:val="Quote"/>
        <w:rPr>
          <w:lang w:val="en-AU"/>
        </w:rPr>
      </w:pPr>
      <w:r w:rsidRPr="000F630F">
        <w:rPr>
          <w:lang w:val="en-AU"/>
        </w:rPr>
        <w:t>‘Efficiency measures’ are projects that recover additional water for the environment with neutral or beneficial social and economic impacts, such as through improved on-farm water use efficiency projects. Efficiency measures projects would be used to recover any water above the 2750 gigalitres needed to meet an adjusted SDL. These projects must do so without causing additional social and economic impacts from the overall decrease in the volume of water available for consumptive use.</w:t>
      </w:r>
      <w:r>
        <w:rPr>
          <w:lang w:val="en-AU"/>
        </w:rPr>
        <w:t xml:space="preserve"> </w:t>
      </w:r>
      <w:r w:rsidRPr="000F630F">
        <w:rPr>
          <w:lang w:val="en-AU"/>
        </w:rPr>
        <w:t>Some examples of efficiency measures include:</w:t>
      </w:r>
    </w:p>
    <w:p w14:paraId="4BCB28CB" w14:textId="77777777" w:rsidR="00C01A50" w:rsidRPr="000F630F" w:rsidRDefault="00C01A50" w:rsidP="008352C3">
      <w:pPr>
        <w:pStyle w:val="Quote"/>
        <w:rPr>
          <w:lang w:val="en-AU"/>
        </w:rPr>
      </w:pPr>
      <w:r w:rsidRPr="000F630F">
        <w:rPr>
          <w:lang w:val="en-AU"/>
        </w:rPr>
        <w:t>•</w:t>
      </w:r>
      <w:r w:rsidRPr="000F630F">
        <w:rPr>
          <w:lang w:val="en-AU"/>
        </w:rPr>
        <w:tab/>
        <w:t>replacing or upgrading less efficient methods of on-farm irrigation; and</w:t>
      </w:r>
    </w:p>
    <w:p w14:paraId="4BE8E2A4" w14:textId="77777777" w:rsidR="00C01A50" w:rsidRDefault="00C01A50" w:rsidP="008352C3">
      <w:pPr>
        <w:pStyle w:val="Quote"/>
        <w:rPr>
          <w:lang w:val="en-AU"/>
        </w:rPr>
      </w:pPr>
      <w:r w:rsidRPr="000F630F">
        <w:rPr>
          <w:lang w:val="en-AU"/>
        </w:rPr>
        <w:t>•</w:t>
      </w:r>
      <w:r w:rsidRPr="000F630F">
        <w:rPr>
          <w:lang w:val="en-AU"/>
        </w:rPr>
        <w:tab/>
        <w:t>lining channels to reduce water losses within an irrigation network.</w:t>
      </w:r>
    </w:p>
    <w:p w14:paraId="404B97D4" w14:textId="77777777" w:rsidR="00C01A50" w:rsidRDefault="00C01A50" w:rsidP="008352C3">
      <w:pPr>
        <w:rPr>
          <w:lang w:val="en-AU"/>
        </w:rPr>
      </w:pPr>
      <w:r>
        <w:rPr>
          <w:lang w:val="en-AU"/>
        </w:rPr>
        <w:t>Similarly, reporting of water recovery generally reports on ‘buyback’ and ‘infrastructure projects’, where the latter is the sum of delivery system infrastructure projects and on-farm infrastructure projects.</w:t>
      </w:r>
    </w:p>
    <w:p w14:paraId="2F0C6939" w14:textId="77777777" w:rsidR="00C01A50" w:rsidRDefault="00C01A50" w:rsidP="008352C3">
      <w:pPr>
        <w:rPr>
          <w:lang w:val="en-AU"/>
        </w:rPr>
      </w:pPr>
      <w:r>
        <w:rPr>
          <w:lang w:val="en-AU"/>
        </w:rPr>
        <w:lastRenderedPageBreak/>
        <w:t xml:space="preserve">However, this appendix suggests that there are complexities that need to be considered and that each of the three water recovery have subtly different effect on the ‘consumptive pool’ and on water markets. Each </w:t>
      </w:r>
      <w:r w:rsidR="00DD2E2C">
        <w:rPr>
          <w:lang w:val="en-AU"/>
        </w:rPr>
        <w:t>is</w:t>
      </w:r>
      <w:r>
        <w:rPr>
          <w:lang w:val="en-AU"/>
        </w:rPr>
        <w:t xml:space="preserve"> discussed below (in the context of irrigation).</w:t>
      </w:r>
    </w:p>
    <w:p w14:paraId="0A2D74F2" w14:textId="77777777" w:rsidR="00C01A50" w:rsidRDefault="00C01A50" w:rsidP="008352C3">
      <w:pPr>
        <w:rPr>
          <w:lang w:val="en-AU"/>
        </w:rPr>
      </w:pPr>
      <w:r>
        <w:rPr>
          <w:lang w:val="en-AU"/>
        </w:rPr>
        <w:t xml:space="preserve">Ultimately, we </w:t>
      </w:r>
      <w:r w:rsidR="00AF2018">
        <w:rPr>
          <w:lang w:val="en-AU"/>
        </w:rPr>
        <w:t>conclude</w:t>
      </w:r>
      <w:r w:rsidR="00DD2E2C">
        <w:rPr>
          <w:lang w:val="en-AU"/>
        </w:rPr>
        <w:t xml:space="preserve"> </w:t>
      </w:r>
      <w:r>
        <w:rPr>
          <w:lang w:val="en-AU"/>
        </w:rPr>
        <w:t>that on-farm water savings have effects similar to delivery system water savings in wet-to-average years, but the effects of on-farm water savings projects are closer to buyback when conditions are drier.</w:t>
      </w:r>
    </w:p>
    <w:p w14:paraId="0CEC1519" w14:textId="77777777" w:rsidR="00C01A50" w:rsidRDefault="00C01A50" w:rsidP="008352C3">
      <w:pPr>
        <w:pStyle w:val="Heading2"/>
        <w:rPr>
          <w:lang w:val="en-AU"/>
        </w:rPr>
      </w:pPr>
      <w:bookmarkStart w:id="266" w:name="_Toc347747875"/>
      <w:r>
        <w:rPr>
          <w:lang w:val="en-AU"/>
        </w:rPr>
        <w:t>Buyback</w:t>
      </w:r>
      <w:bookmarkEnd w:id="266"/>
    </w:p>
    <w:p w14:paraId="57F227DD" w14:textId="77777777" w:rsidR="00C01A50" w:rsidRDefault="00C01A50" w:rsidP="008352C3">
      <w:pPr>
        <w:rPr>
          <w:lang w:val="en-AU"/>
        </w:rPr>
      </w:pPr>
      <w:r>
        <w:rPr>
          <w:lang w:val="en-AU"/>
        </w:rPr>
        <w:t>Buyback involves the transfer of a water entitlement from an irrigation farm enterprise to the CEWH.</w:t>
      </w:r>
    </w:p>
    <w:p w14:paraId="7FF02392" w14:textId="77777777" w:rsidR="00C01A50" w:rsidRDefault="00C01A50" w:rsidP="008352C3">
      <w:pPr>
        <w:rPr>
          <w:lang w:val="en-AU"/>
        </w:rPr>
      </w:pPr>
      <w:r>
        <w:rPr>
          <w:lang w:val="en-AU"/>
        </w:rPr>
        <w:t>This means there are fewer water entitlements available for consumption.</w:t>
      </w:r>
    </w:p>
    <w:p w14:paraId="3A919386" w14:textId="77777777" w:rsidR="00C01A50" w:rsidRDefault="00C01A50" w:rsidP="008352C3">
      <w:pPr>
        <w:rPr>
          <w:lang w:val="en-AU"/>
        </w:rPr>
      </w:pPr>
      <w:r>
        <w:rPr>
          <w:lang w:val="en-AU"/>
        </w:rPr>
        <w:t>The seller is compensated for the sale, at the price offered under the tender. Subsequent to the sale the irrigation farm enterprise may seek to continue water use as previously (via reliance on water allocation purchases or the purchase of replacement water entitlements). Alternatively, they may adjust the farm water demands (i.e. reduced water demands, or more opportunistic irrigation) or exit. The funds from the buyback will assist with water market purchases or farm adjustment.</w:t>
      </w:r>
    </w:p>
    <w:p w14:paraId="7DD53C57" w14:textId="77777777" w:rsidR="00C01A50" w:rsidRDefault="00C01A50" w:rsidP="008352C3">
      <w:pPr>
        <w:rPr>
          <w:lang w:val="en-AU"/>
        </w:rPr>
      </w:pPr>
      <w:r>
        <w:rPr>
          <w:lang w:val="en-AU"/>
        </w:rPr>
        <w:t xml:space="preserve">If the irrigation farm enterprise seeks to continue water use as before through reliance on the allocation market, at every price level it would increase the farms demand for volumes from the market (or reduce supply to market sales). </w:t>
      </w:r>
    </w:p>
    <w:p w14:paraId="7878CC70" w14:textId="77777777" w:rsidR="00C01A50" w:rsidRDefault="00C01A50" w:rsidP="008352C3">
      <w:pPr>
        <w:rPr>
          <w:lang w:val="en-AU"/>
        </w:rPr>
      </w:pPr>
      <w:r>
        <w:rPr>
          <w:noProof/>
          <w:lang w:val="en-AU" w:eastAsia="en-AU" w:bidi="ar-SA"/>
        </w:rPr>
        <w:drawing>
          <wp:inline distT="0" distB="0" distL="0" distR="0" wp14:anchorId="1A62466E" wp14:editId="47349C16">
            <wp:extent cx="5457825" cy="3585210"/>
            <wp:effectExtent l="0" t="0" r="3175" b="0"/>
            <wp:docPr id="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57825" cy="3585210"/>
                    </a:xfrm>
                    <a:prstGeom prst="rect">
                      <a:avLst/>
                    </a:prstGeom>
                    <a:noFill/>
                  </pic:spPr>
                </pic:pic>
              </a:graphicData>
            </a:graphic>
          </wp:inline>
        </w:drawing>
      </w:r>
    </w:p>
    <w:p w14:paraId="4D47E830" w14:textId="77777777" w:rsidR="00C01A50" w:rsidRPr="00103BA0" w:rsidRDefault="00C01A50" w:rsidP="008352C3">
      <w:pPr>
        <w:rPr>
          <w:lang w:val="en-AU"/>
        </w:rPr>
      </w:pPr>
      <w:r>
        <w:rPr>
          <w:lang w:val="en-AU"/>
        </w:rPr>
        <w:t>The expected effect of this would be to increase water allocation prices under all conditions (such as dry conditions when available supply is reduced form S</w:t>
      </w:r>
      <w:r>
        <w:rPr>
          <w:vertAlign w:val="subscript"/>
          <w:lang w:val="en-AU"/>
        </w:rPr>
        <w:t>D1</w:t>
      </w:r>
      <w:r>
        <w:rPr>
          <w:lang w:val="en-AU"/>
        </w:rPr>
        <w:t xml:space="preserve"> to S</w:t>
      </w:r>
      <w:r>
        <w:rPr>
          <w:vertAlign w:val="subscript"/>
          <w:lang w:val="en-AU"/>
        </w:rPr>
        <w:t>D2</w:t>
      </w:r>
      <w:r>
        <w:rPr>
          <w:lang w:val="en-AU"/>
        </w:rPr>
        <w:t>.</w:t>
      </w:r>
    </w:p>
    <w:p w14:paraId="5AA34AE2" w14:textId="77777777" w:rsidR="00C01A50" w:rsidRDefault="00C01A50" w:rsidP="008352C3">
      <w:pPr>
        <w:rPr>
          <w:lang w:val="en-AU"/>
        </w:rPr>
      </w:pPr>
      <w:r>
        <w:rPr>
          <w:noProof/>
          <w:lang w:val="en-AU" w:eastAsia="en-AU" w:bidi="ar-SA"/>
        </w:rPr>
        <w:lastRenderedPageBreak/>
        <w:drawing>
          <wp:inline distT="0" distB="0" distL="0" distR="0" wp14:anchorId="4854E5B0" wp14:editId="7BFC67C7">
            <wp:extent cx="5951855" cy="3575685"/>
            <wp:effectExtent l="0" t="0" r="0" b="5715"/>
            <wp:docPr id="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51855" cy="3575685"/>
                    </a:xfrm>
                    <a:prstGeom prst="rect">
                      <a:avLst/>
                    </a:prstGeom>
                    <a:noFill/>
                  </pic:spPr>
                </pic:pic>
              </a:graphicData>
            </a:graphic>
          </wp:inline>
        </w:drawing>
      </w:r>
    </w:p>
    <w:p w14:paraId="457CAAF3" w14:textId="77777777" w:rsidR="00C01A50" w:rsidRDefault="00C01A50" w:rsidP="008352C3">
      <w:pPr>
        <w:rPr>
          <w:lang w:val="en-AU"/>
        </w:rPr>
      </w:pPr>
      <w:r>
        <w:rPr>
          <w:lang w:val="en-AU"/>
        </w:rPr>
        <w:t>If the irrigation farm enterprise adjusts to more opportunistic water use this will lead to smaller changes (compared to above) at higher prices.</w:t>
      </w:r>
    </w:p>
    <w:p w14:paraId="5AB706DD" w14:textId="77777777" w:rsidR="00C01A50" w:rsidRDefault="00C01A50" w:rsidP="008352C3">
      <w:pPr>
        <w:rPr>
          <w:lang w:val="en-AU"/>
        </w:rPr>
      </w:pPr>
      <w:r>
        <w:rPr>
          <w:noProof/>
          <w:lang w:val="en-AU" w:eastAsia="en-AU" w:bidi="ar-SA"/>
        </w:rPr>
        <w:drawing>
          <wp:inline distT="0" distB="0" distL="0" distR="0" wp14:anchorId="1D262B24" wp14:editId="5C51C2A4">
            <wp:extent cx="5414010" cy="3386455"/>
            <wp:effectExtent l="0" t="0" r="0" b="0"/>
            <wp:docPr id="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14010" cy="3386455"/>
                    </a:xfrm>
                    <a:prstGeom prst="rect">
                      <a:avLst/>
                    </a:prstGeom>
                    <a:noFill/>
                  </pic:spPr>
                </pic:pic>
              </a:graphicData>
            </a:graphic>
          </wp:inline>
        </w:drawing>
      </w:r>
    </w:p>
    <w:p w14:paraId="3A8F3D47" w14:textId="77777777" w:rsidR="00C01A50" w:rsidRDefault="00C01A50" w:rsidP="008352C3">
      <w:pPr>
        <w:rPr>
          <w:lang w:val="en-AU"/>
        </w:rPr>
      </w:pPr>
      <w:r>
        <w:rPr>
          <w:lang w:val="en-AU"/>
        </w:rPr>
        <w:t>The change in individual water demand will slightly alter aggregate demand. This leads to smaller price impacts in drier years (with higher prices) than in wetter years, as compared to the situation where buyback occurs and the seller does not alter farm water demands.</w:t>
      </w:r>
    </w:p>
    <w:p w14:paraId="242EA356" w14:textId="77777777" w:rsidR="00C01A50" w:rsidRDefault="00C01A50" w:rsidP="008352C3">
      <w:pPr>
        <w:rPr>
          <w:lang w:val="en-AU"/>
        </w:rPr>
      </w:pPr>
      <w:r>
        <w:rPr>
          <w:noProof/>
          <w:lang w:val="en-AU" w:eastAsia="en-AU" w:bidi="ar-SA"/>
        </w:rPr>
        <w:lastRenderedPageBreak/>
        <w:drawing>
          <wp:inline distT="0" distB="0" distL="0" distR="0" wp14:anchorId="47A5011E" wp14:editId="2028B930">
            <wp:extent cx="5977890" cy="3590925"/>
            <wp:effectExtent l="0" t="0" r="0" b="0"/>
            <wp:docPr id="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77890" cy="3590925"/>
                    </a:xfrm>
                    <a:prstGeom prst="rect">
                      <a:avLst/>
                    </a:prstGeom>
                    <a:noFill/>
                  </pic:spPr>
                </pic:pic>
              </a:graphicData>
            </a:graphic>
          </wp:inline>
        </w:drawing>
      </w:r>
    </w:p>
    <w:p w14:paraId="2C3CEC37" w14:textId="77777777" w:rsidR="00C01A50" w:rsidRPr="004368C8" w:rsidRDefault="00C01A50" w:rsidP="008352C3">
      <w:pPr>
        <w:rPr>
          <w:lang w:val="en-AU"/>
        </w:rPr>
      </w:pPr>
      <w:r>
        <w:rPr>
          <w:lang w:val="en-AU"/>
        </w:rPr>
        <w:t>If the irrigation farm enterprise purchases replacement entitlements, then the subsequent seller may react in the above ways.</w:t>
      </w:r>
    </w:p>
    <w:p w14:paraId="383EC8E1" w14:textId="77777777" w:rsidR="00C01A50" w:rsidRDefault="00C01A50" w:rsidP="008352C3">
      <w:pPr>
        <w:pStyle w:val="Heading2"/>
        <w:rPr>
          <w:lang w:val="en-AU"/>
        </w:rPr>
      </w:pPr>
      <w:bookmarkStart w:id="267" w:name="_Toc347747876"/>
      <w:r>
        <w:rPr>
          <w:lang w:val="en-AU"/>
        </w:rPr>
        <w:t>Delivery system water savings</w:t>
      </w:r>
      <w:bookmarkEnd w:id="267"/>
    </w:p>
    <w:p w14:paraId="5BAD43D7" w14:textId="77777777" w:rsidR="00C01A50" w:rsidRDefault="00C01A50" w:rsidP="008352C3">
      <w:pPr>
        <w:rPr>
          <w:lang w:val="en-AU"/>
        </w:rPr>
      </w:pPr>
      <w:r>
        <w:rPr>
          <w:lang w:val="en-AU"/>
        </w:rPr>
        <w:t>Delivery system water savings projects involves the conversion of a bulk entitlement conveyance volume into a water entitlement that is then transferred to the CEWH.</w:t>
      </w:r>
    </w:p>
    <w:p w14:paraId="211082B9" w14:textId="77777777" w:rsidR="00C01A50" w:rsidRDefault="00C01A50" w:rsidP="008352C3">
      <w:pPr>
        <w:rPr>
          <w:lang w:val="en-AU"/>
        </w:rPr>
      </w:pPr>
      <w:r>
        <w:rPr>
          <w:lang w:val="en-AU"/>
        </w:rPr>
        <w:t>This does not change the number of water entitlements available for consumption.</w:t>
      </w:r>
    </w:p>
    <w:p w14:paraId="1173B11A" w14:textId="77777777" w:rsidR="00C01A50" w:rsidRDefault="00C01A50" w:rsidP="008352C3">
      <w:pPr>
        <w:rPr>
          <w:lang w:val="en-AU"/>
        </w:rPr>
      </w:pPr>
      <w:r>
        <w:rPr>
          <w:lang w:val="en-AU"/>
        </w:rPr>
        <w:t>This means the expected supply and demand for water are unchanged and prices would not be affected.</w:t>
      </w:r>
    </w:p>
    <w:p w14:paraId="1E5DE746" w14:textId="77777777" w:rsidR="00C01A50" w:rsidRDefault="00C01A50" w:rsidP="008352C3">
      <w:pPr>
        <w:rPr>
          <w:lang w:val="en-AU"/>
        </w:rPr>
      </w:pPr>
      <w:r>
        <w:rPr>
          <w:noProof/>
          <w:lang w:val="en-AU" w:eastAsia="en-AU" w:bidi="ar-SA"/>
        </w:rPr>
        <w:lastRenderedPageBreak/>
        <w:drawing>
          <wp:inline distT="0" distB="0" distL="0" distR="0" wp14:anchorId="55551F62" wp14:editId="3DA1CE3D">
            <wp:extent cx="5920740" cy="3556635"/>
            <wp:effectExtent l="0" t="0" r="0" b="0"/>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20740" cy="3556635"/>
                    </a:xfrm>
                    <a:prstGeom prst="rect">
                      <a:avLst/>
                    </a:prstGeom>
                    <a:noFill/>
                  </pic:spPr>
                </pic:pic>
              </a:graphicData>
            </a:graphic>
          </wp:inline>
        </w:drawing>
      </w:r>
    </w:p>
    <w:p w14:paraId="137E1E15" w14:textId="77777777" w:rsidR="00C01A50" w:rsidRPr="00BC6BDF" w:rsidRDefault="00C01A50" w:rsidP="008352C3">
      <w:pPr>
        <w:rPr>
          <w:lang w:val="en-AU"/>
        </w:rPr>
      </w:pPr>
      <w:r>
        <w:rPr>
          <w:lang w:val="en-AU"/>
        </w:rPr>
        <w:t>In application, there are more complex changes caused by delivery system water savings projects that cannot be represented in the simplified diagrams above,</w:t>
      </w:r>
      <w:r>
        <w:t xml:space="preserve"> such as earlier season access to allocations and carryover.</w:t>
      </w:r>
    </w:p>
    <w:p w14:paraId="6854C133" w14:textId="77777777" w:rsidR="00C01A50" w:rsidRDefault="00C01A50" w:rsidP="008352C3">
      <w:pPr>
        <w:pStyle w:val="Heading2"/>
        <w:rPr>
          <w:lang w:val="en-AU"/>
        </w:rPr>
      </w:pPr>
      <w:bookmarkStart w:id="268" w:name="_Toc347747877"/>
      <w:r w:rsidRPr="004368C8">
        <w:rPr>
          <w:lang w:val="en-AU"/>
        </w:rPr>
        <w:t>On farm water savings</w:t>
      </w:r>
      <w:bookmarkEnd w:id="268"/>
    </w:p>
    <w:p w14:paraId="1684BCDD" w14:textId="77777777" w:rsidR="00C01A50" w:rsidRDefault="00C01A50" w:rsidP="008352C3">
      <w:pPr>
        <w:rPr>
          <w:lang w:val="en-AU"/>
        </w:rPr>
      </w:pPr>
      <w:r>
        <w:rPr>
          <w:lang w:val="en-AU"/>
        </w:rPr>
        <w:t>Like buyback, on-farm water efficiency projects provides direct benefits to the farm enterprise that participates in the Commonwealth program. Schirmer and Peel (2016)</w:t>
      </w:r>
      <w:r>
        <w:rPr>
          <w:rStyle w:val="FootnoteReference"/>
          <w:lang w:val="en-AU"/>
        </w:rPr>
        <w:footnoteReference w:id="28"/>
      </w:r>
      <w:r>
        <w:rPr>
          <w:lang w:val="en-AU"/>
        </w:rPr>
        <w:t xml:space="preserve"> report that </w:t>
      </w:r>
      <w:r w:rsidRPr="00807678">
        <w:rPr>
          <w:lang w:val="en-AU"/>
        </w:rPr>
        <w:t>90 irrigators were asked how useful the grant was for their farm enterprise: 81% said the grant was very useful, 19% that it was moderately useful, and none said it was ‘not useful’</w:t>
      </w:r>
      <w:r>
        <w:rPr>
          <w:lang w:val="en-AU"/>
        </w:rPr>
        <w:t>.</w:t>
      </w:r>
    </w:p>
    <w:p w14:paraId="7D4E1D02" w14:textId="77777777" w:rsidR="00C01A50" w:rsidRPr="00552D71" w:rsidRDefault="00C01A50" w:rsidP="008352C3">
      <w:pPr>
        <w:rPr>
          <w:lang w:val="en-AU"/>
        </w:rPr>
      </w:pPr>
      <w:r>
        <w:rPr>
          <w:lang w:val="en-AU"/>
        </w:rPr>
        <w:t>On-farm investments may occur when land is a significant constraint to irrigated production. In such a case, the water demand function might have a kink. At prices below P</w:t>
      </w:r>
      <w:r>
        <w:rPr>
          <w:vertAlign w:val="subscript"/>
          <w:lang w:val="en-AU"/>
        </w:rPr>
        <w:t>1</w:t>
      </w:r>
      <w:r>
        <w:rPr>
          <w:lang w:val="en-AU"/>
        </w:rPr>
        <w:t xml:space="preserve"> the land is fully irrigated, whereas at price above P</w:t>
      </w:r>
      <w:r>
        <w:rPr>
          <w:vertAlign w:val="subscript"/>
          <w:lang w:val="en-AU"/>
        </w:rPr>
        <w:t>1</w:t>
      </w:r>
      <w:r>
        <w:rPr>
          <w:lang w:val="en-AU"/>
        </w:rPr>
        <w:t xml:space="preserve"> no irrigation occurs. If the farm enterprise holds the entitlement volume equal to the crop demand, then P</w:t>
      </w:r>
      <w:r>
        <w:rPr>
          <w:vertAlign w:val="subscript"/>
          <w:lang w:val="en-AU"/>
        </w:rPr>
        <w:t>1</w:t>
      </w:r>
      <w:r>
        <w:rPr>
          <w:lang w:val="en-AU"/>
        </w:rPr>
        <w:t xml:space="preserve"> might correspond to the expected price when announced allocations are 100%.</w:t>
      </w:r>
    </w:p>
    <w:p w14:paraId="38BBD4CE" w14:textId="77777777" w:rsidR="00C01A50" w:rsidRDefault="00C01A50" w:rsidP="008352C3">
      <w:pPr>
        <w:rPr>
          <w:lang w:val="en-AU"/>
        </w:rPr>
      </w:pPr>
      <w:r>
        <w:rPr>
          <w:lang w:val="en-AU"/>
        </w:rPr>
        <w:t>If an on-farm water savings project can double the water use efficiency, then half the water can support the same production. As part of the project, the farmer could transfer half of the entitlement to the CEWH. If allocations are 100%, then the full production can be supported by the farm inputs of land, reduced entitlement and enhanced capital.</w:t>
      </w:r>
    </w:p>
    <w:p w14:paraId="18DFBF13" w14:textId="77777777" w:rsidR="00C01A50" w:rsidRDefault="00C01A50" w:rsidP="008352C3">
      <w:pPr>
        <w:rPr>
          <w:lang w:val="en-AU"/>
        </w:rPr>
      </w:pPr>
      <w:r>
        <w:rPr>
          <w:lang w:val="en-AU"/>
        </w:rPr>
        <w:lastRenderedPageBreak/>
        <w:t>However, if the on-farm project means that only half the water is required for the same production with the original set of inputs, then the irrigation farm enterprises willingness to pay for water will double to P</w:t>
      </w:r>
      <w:r>
        <w:rPr>
          <w:vertAlign w:val="subscript"/>
          <w:lang w:val="en-AU"/>
        </w:rPr>
        <w:t>2</w:t>
      </w:r>
      <w:r>
        <w:rPr>
          <w:lang w:val="en-AU"/>
        </w:rPr>
        <w:t>.</w:t>
      </w:r>
    </w:p>
    <w:p w14:paraId="5AB20661" w14:textId="77777777" w:rsidR="00C01A50" w:rsidRDefault="00C01A50" w:rsidP="008352C3">
      <w:pPr>
        <w:rPr>
          <w:lang w:val="en-AU"/>
        </w:rPr>
      </w:pPr>
      <w:r>
        <w:rPr>
          <w:lang w:val="en-AU"/>
        </w:rPr>
        <w:t>If the water price is below P</w:t>
      </w:r>
      <w:r>
        <w:rPr>
          <w:vertAlign w:val="subscript"/>
          <w:lang w:val="en-AU"/>
        </w:rPr>
        <w:t>1</w:t>
      </w:r>
      <w:r>
        <w:rPr>
          <w:lang w:val="en-AU"/>
        </w:rPr>
        <w:t xml:space="preserve"> (and allocations are &gt;100%):</w:t>
      </w:r>
    </w:p>
    <w:p w14:paraId="7AABA634" w14:textId="77777777" w:rsidR="00C01A50" w:rsidRDefault="00C01A50" w:rsidP="008352C3">
      <w:pPr>
        <w:pStyle w:val="Bullet"/>
      </w:pPr>
      <w:r>
        <w:t>The farm enterprises water demand is met in both cases (before and after the on-farm water savings project)</w:t>
      </w:r>
    </w:p>
    <w:p w14:paraId="26141978" w14:textId="77777777" w:rsidR="00C01A50" w:rsidRDefault="00C01A50" w:rsidP="008352C3">
      <w:pPr>
        <w:rPr>
          <w:lang w:val="en-AU"/>
        </w:rPr>
      </w:pPr>
      <w:r>
        <w:rPr>
          <w:lang w:val="en-AU"/>
        </w:rPr>
        <w:t>If the water price is between P</w:t>
      </w:r>
      <w:r>
        <w:rPr>
          <w:vertAlign w:val="subscript"/>
          <w:lang w:val="en-AU"/>
        </w:rPr>
        <w:t>1</w:t>
      </w:r>
      <w:r>
        <w:rPr>
          <w:lang w:val="en-AU"/>
        </w:rPr>
        <w:t xml:space="preserve"> and P</w:t>
      </w:r>
      <w:r>
        <w:rPr>
          <w:vertAlign w:val="subscript"/>
          <w:lang w:val="en-AU"/>
        </w:rPr>
        <w:t>2</w:t>
      </w:r>
      <w:r>
        <w:rPr>
          <w:lang w:val="en-AU"/>
        </w:rPr>
        <w:t xml:space="preserve"> (and allocations are &lt;100%):</w:t>
      </w:r>
    </w:p>
    <w:p w14:paraId="6C21DEBE" w14:textId="77777777" w:rsidR="00C01A50" w:rsidRDefault="00C01A50" w:rsidP="008352C3">
      <w:pPr>
        <w:pStyle w:val="Bullet"/>
      </w:pPr>
      <w:r>
        <w:t>Before the on-farm water savings project, the allocations would have been sold (since the water can be sold for higher than the marginal value of water</w:t>
      </w:r>
      <w:r w:rsidRPr="00482E07">
        <w:t xml:space="preserve"> </w:t>
      </w:r>
      <w:r>
        <w:t>in production).</w:t>
      </w:r>
    </w:p>
    <w:p w14:paraId="6A6B0A2B" w14:textId="77777777" w:rsidR="00C01A50" w:rsidRDefault="00C01A50" w:rsidP="008352C3">
      <w:pPr>
        <w:pStyle w:val="Bullet"/>
      </w:pPr>
      <w:r>
        <w:t>After the on-farm water savings project, the increased water efficiency means that the farm enterprise will purchase the water shortfall (since the water can be bought for less than the marginal value of water</w:t>
      </w:r>
      <w:r w:rsidRPr="00482E07">
        <w:t xml:space="preserve"> </w:t>
      </w:r>
      <w:r>
        <w:t>in production)</w:t>
      </w:r>
    </w:p>
    <w:p w14:paraId="27720A3C" w14:textId="77777777" w:rsidR="00C01A50" w:rsidRDefault="00C01A50" w:rsidP="008352C3">
      <w:pPr>
        <w:rPr>
          <w:lang w:val="en-AU"/>
        </w:rPr>
      </w:pPr>
      <w:r>
        <w:rPr>
          <w:lang w:val="en-AU"/>
        </w:rPr>
        <w:t>If the water price is above P</w:t>
      </w:r>
      <w:r>
        <w:rPr>
          <w:vertAlign w:val="subscript"/>
          <w:lang w:val="en-AU"/>
        </w:rPr>
        <w:t>2</w:t>
      </w:r>
      <w:r>
        <w:rPr>
          <w:lang w:val="en-AU"/>
        </w:rPr>
        <w:t>:</w:t>
      </w:r>
    </w:p>
    <w:p w14:paraId="5CFF67E0" w14:textId="77777777" w:rsidR="00C01A50" w:rsidRPr="00552D71" w:rsidRDefault="00C01A50" w:rsidP="008352C3">
      <w:pPr>
        <w:pStyle w:val="Bullet"/>
      </w:pPr>
      <w:r>
        <w:t>The farm enterprise will sell all water allocations. However, the volume of water allocations sold is greater before the on-farm water savings project than after.</w:t>
      </w:r>
    </w:p>
    <w:p w14:paraId="4D40F289" w14:textId="77777777" w:rsidR="00C01A50" w:rsidRPr="00552D71" w:rsidRDefault="00C01A50" w:rsidP="008352C3">
      <w:r>
        <w:rPr>
          <w:noProof/>
          <w:lang w:val="en-AU" w:eastAsia="en-AU" w:bidi="ar-SA"/>
        </w:rPr>
        <w:drawing>
          <wp:inline distT="0" distB="0" distL="0" distR="0" wp14:anchorId="0371D99F" wp14:editId="41B66BF9">
            <wp:extent cx="5354955" cy="3598545"/>
            <wp:effectExtent l="0" t="0" r="4445" b="8255"/>
            <wp:docPr id="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54955" cy="3598545"/>
                    </a:xfrm>
                    <a:prstGeom prst="rect">
                      <a:avLst/>
                    </a:prstGeom>
                    <a:noFill/>
                  </pic:spPr>
                </pic:pic>
              </a:graphicData>
            </a:graphic>
          </wp:inline>
        </w:drawing>
      </w:r>
    </w:p>
    <w:p w14:paraId="4FA55CC4" w14:textId="77777777" w:rsidR="00C01A50" w:rsidRDefault="00C01A50" w:rsidP="008352C3">
      <w:pPr>
        <w:rPr>
          <w:lang w:val="en-AU"/>
        </w:rPr>
      </w:pPr>
      <w:r>
        <w:rPr>
          <w:lang w:val="en-AU"/>
        </w:rPr>
        <w:t xml:space="preserve">The effect of this is to reduce aggregate demand for water when water availability is at levels where the unimproved farm would have been in production. The water efficiencies of the upgraded farm and the reduction in the consumptive pool are matched, with the resultant effect on water allocation prices being insignificant. However, at higher prices (as during drier seasonal conditions) there is increased demand from upgraded farms (as compared to their willingness to use water before the upgrades). If the price reaches a level when water allocations would be sold from the upgraded farms rather than </w:t>
      </w:r>
      <w:r>
        <w:rPr>
          <w:lang w:val="en-AU"/>
        </w:rPr>
        <w:lastRenderedPageBreak/>
        <w:t>used, then the water efficiencies are not utilised. At these levels, aggregate demand consists only of higher marginal value uses, and the water available to these uses is reduced by the quantum of the water allocations received by the ‘on-farm water savings’ entitlements transferred to the CEWH.</w:t>
      </w:r>
    </w:p>
    <w:p w14:paraId="15E4B3BB" w14:textId="77777777" w:rsidR="00C01A50" w:rsidRDefault="00C01A50" w:rsidP="008352C3">
      <w:pPr>
        <w:rPr>
          <w:lang w:val="en-AU"/>
        </w:rPr>
      </w:pPr>
      <w:r>
        <w:rPr>
          <w:lang w:val="en-AU"/>
        </w:rPr>
        <w:t>This outcome is consistent with the current focus of on-farm efficiency projects occurring on farms with interruptible or semi-interruptible production systems.</w:t>
      </w:r>
    </w:p>
    <w:p w14:paraId="01CFCF53" w14:textId="77777777" w:rsidR="00C01A50" w:rsidRDefault="00C01A50" w:rsidP="008352C3">
      <w:pPr>
        <w:rPr>
          <w:lang w:val="en-AU"/>
        </w:rPr>
      </w:pPr>
      <w:r>
        <w:rPr>
          <w:lang w:val="en-AU"/>
        </w:rPr>
        <w:t>In these circumstances, on-farm water savings are expected to have price effects similar to delivery system water savings in wet-to-average years, but the price effects of on-farm water savings projects are closer to that of buyback when conditions are drier. In aggregate, these price effects influence the outcomes for those farm enterprises that did not participate in on-farm program, or may temper the direct benefits enjoyed by program participants.</w:t>
      </w:r>
    </w:p>
    <w:p w14:paraId="1C515415" w14:textId="77777777" w:rsidR="00C01A50" w:rsidRDefault="00C01A50" w:rsidP="008352C3">
      <w:pPr>
        <w:rPr>
          <w:lang w:val="en-AU"/>
        </w:rPr>
      </w:pPr>
      <w:r>
        <w:rPr>
          <w:noProof/>
          <w:lang w:val="en-AU" w:eastAsia="en-AU" w:bidi="ar-SA"/>
        </w:rPr>
        <w:drawing>
          <wp:inline distT="0" distB="0" distL="0" distR="0" wp14:anchorId="0E5906AD" wp14:editId="0861DED0">
            <wp:extent cx="5714365" cy="3432810"/>
            <wp:effectExtent l="0" t="0" r="635"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4365" cy="3432810"/>
                    </a:xfrm>
                    <a:prstGeom prst="rect">
                      <a:avLst/>
                    </a:prstGeom>
                    <a:noFill/>
                  </pic:spPr>
                </pic:pic>
              </a:graphicData>
            </a:graphic>
          </wp:inline>
        </w:drawing>
      </w:r>
    </w:p>
    <w:p w14:paraId="7713748E" w14:textId="77777777" w:rsidR="00C01A50" w:rsidRDefault="00C01A50" w:rsidP="008352C3">
      <w:pPr>
        <w:rPr>
          <w:lang w:val="en-AU"/>
        </w:rPr>
      </w:pPr>
      <w:r>
        <w:rPr>
          <w:lang w:val="en-AU"/>
        </w:rPr>
        <w:t>If land is not a limiting constraint in production, then the more water efficient farm enterprise may find it more profitable to source additional water to increase production (rather than reduce water use and keep production equal to historical levels) — see box.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8"/>
      </w:tblGrid>
      <w:tr w:rsidR="00C01A50" w:rsidRPr="003051FB" w14:paraId="4631836B" w14:textId="77777777">
        <w:tc>
          <w:tcPr>
            <w:tcW w:w="9242" w:type="dxa"/>
            <w:shd w:val="clear" w:color="auto" w:fill="auto"/>
          </w:tcPr>
          <w:p w14:paraId="406B7501" w14:textId="77777777" w:rsidR="00C01A50" w:rsidRPr="003051FB" w:rsidRDefault="00C01A50" w:rsidP="00CF2E26">
            <w:pPr>
              <w:pStyle w:val="Heading5"/>
              <w:numPr>
                <w:ilvl w:val="0"/>
                <w:numId w:val="0"/>
              </w:numPr>
              <w:rPr>
                <w:lang w:val="en-AU"/>
              </w:rPr>
            </w:pPr>
            <w:r>
              <w:rPr>
                <w:lang w:val="en-AU"/>
              </w:rPr>
              <w:lastRenderedPageBreak/>
              <w:t>Box 1</w:t>
            </w:r>
            <w:r w:rsidRPr="003051FB">
              <w:rPr>
                <w:lang w:val="en-AU"/>
              </w:rPr>
              <w:t xml:space="preserve">: </w:t>
            </w:r>
            <w:r>
              <w:rPr>
                <w:lang w:val="en-AU"/>
              </w:rPr>
              <w:t>Example of on-farm water recovery increasing water use</w:t>
            </w:r>
          </w:p>
          <w:p w14:paraId="7574864B" w14:textId="77777777" w:rsidR="00C01A50" w:rsidRDefault="00C01A50" w:rsidP="00F97D52">
            <w:r>
              <w:t>Vignette 1 in MDBA (2016</w:t>
            </w:r>
            <w:r w:rsidR="00E95A5F">
              <w:t>a</w:t>
            </w:r>
            <w:r>
              <w:t xml:space="preserve">) reports on a farmer that </w:t>
            </w:r>
            <w:r w:rsidRPr="005B1A18">
              <w:t xml:space="preserve">received two rounds of infrastructure upgrades from the </w:t>
            </w:r>
            <w:r w:rsidR="00CF2E26" w:rsidRPr="005B1A18">
              <w:t xml:space="preserve">Commonwealth </w:t>
            </w:r>
            <w:r w:rsidRPr="005B1A18">
              <w:t>in 2011 and 2014, which has allowed him to upgrade parts of the property from furrow to trickle and in exchange he returned 270ML of water to the environment</w:t>
            </w:r>
            <w:r>
              <w:t>. The farmer stated:</w:t>
            </w:r>
          </w:p>
          <w:p w14:paraId="1250F0C5" w14:textId="77777777" w:rsidR="00C01A50" w:rsidRPr="003051FB" w:rsidRDefault="00C01A50" w:rsidP="00DF600B">
            <w:pPr>
              <w:pStyle w:val="Quote"/>
              <w:rPr>
                <w:lang w:val="en-AU"/>
              </w:rPr>
            </w:pPr>
            <w:r w:rsidRPr="005B1A18">
              <w:rPr>
                <w:lang w:val="en-AU"/>
              </w:rPr>
              <w:t xml:space="preserve">With all this infrastructure that’s gone in it’s also created more demand for the water. We’re saving water but we’re being more intense and more productive. Because we’re using it more efficiently and being more profitable that drives us to want more water to do more things. It has that driving </w:t>
            </w:r>
            <w:r w:rsidR="00DF600B">
              <w:rPr>
                <w:lang w:val="en-AU"/>
              </w:rPr>
              <w:t>e</w:t>
            </w:r>
            <w:r w:rsidRPr="005B1A18">
              <w:rPr>
                <w:lang w:val="en-AU"/>
              </w:rPr>
              <w:t>ffect. We gave water back but we went straight back to the market and bought it again. We were getting two for one really. It is a lot more production but as I say it’s made us a lot more intense. A lot of other people are the same all these people are getting better irrigation systems [and the demand for water is going up].</w:t>
            </w:r>
          </w:p>
        </w:tc>
      </w:tr>
    </w:tbl>
    <w:p w14:paraId="748B6F24" w14:textId="77777777" w:rsidR="00C01A50" w:rsidRDefault="00C01A50" w:rsidP="00824B4E">
      <w:pPr>
        <w:rPr>
          <w:lang w:val="en-AU"/>
        </w:rPr>
      </w:pPr>
      <w:r>
        <w:rPr>
          <w:lang w:val="en-AU"/>
        </w:rPr>
        <w:t xml:space="preserve">Source: </w:t>
      </w:r>
      <w:r>
        <w:t>MDBA 2016</w:t>
      </w:r>
      <w:r w:rsidR="00E95A5F">
        <w:t>a</w:t>
      </w:r>
      <w:r>
        <w:t xml:space="preserve">, </w:t>
      </w:r>
      <w:r w:rsidRPr="00FE27A5">
        <w:rPr>
          <w:lang w:val="en-AU"/>
        </w:rPr>
        <w:t>Insights into how the Murray-Darling Basin Plan water reforms are affecting irrigators:</w:t>
      </w:r>
      <w:r>
        <w:rPr>
          <w:lang w:val="en-AU"/>
        </w:rPr>
        <w:t xml:space="preserve"> </w:t>
      </w:r>
      <w:r w:rsidRPr="00FE27A5">
        <w:rPr>
          <w:lang w:val="en-AU"/>
        </w:rPr>
        <w:t>A preliminary report</w:t>
      </w:r>
      <w:r>
        <w:rPr>
          <w:lang w:val="en-AU"/>
        </w:rPr>
        <w:t xml:space="preserve">, </w:t>
      </w:r>
      <w:r w:rsidRPr="00FE27A5">
        <w:rPr>
          <w:lang w:val="en-AU"/>
        </w:rPr>
        <w:t>Unpublished MDBA Report, February</w:t>
      </w:r>
    </w:p>
    <w:p w14:paraId="2433BF07" w14:textId="77777777" w:rsidR="00C01A50" w:rsidRDefault="00C01A50">
      <w:pPr>
        <w:spacing w:before="0" w:after="0" w:line="240" w:lineRule="auto"/>
        <w:rPr>
          <w:lang w:val="en-AU"/>
        </w:rPr>
      </w:pPr>
      <w:r>
        <w:rPr>
          <w:lang w:val="en-AU"/>
        </w:rPr>
        <w:br w:type="page"/>
      </w:r>
    </w:p>
    <w:p w14:paraId="70342843" w14:textId="77777777" w:rsidR="00C01A50" w:rsidRPr="00A7208C" w:rsidRDefault="00C01A50" w:rsidP="00A7208C">
      <w:pPr>
        <w:pStyle w:val="Heading1"/>
        <w:rPr>
          <w:lang w:val="en-AU"/>
        </w:rPr>
      </w:pPr>
      <w:r>
        <w:rPr>
          <w:lang w:val="en-AU"/>
        </w:rPr>
        <w:lastRenderedPageBreak/>
        <w:t xml:space="preserve"> </w:t>
      </w:r>
      <w:bookmarkStart w:id="269" w:name="_Ref342400081"/>
      <w:bookmarkStart w:id="270" w:name="_Ref342403938"/>
      <w:bookmarkStart w:id="271" w:name="_Toc347747878"/>
      <w:r w:rsidRPr="00A7208C">
        <w:rPr>
          <w:lang w:val="en-AU"/>
        </w:rPr>
        <w:t>Water price effects of water recovery</w:t>
      </w:r>
      <w:bookmarkEnd w:id="269"/>
      <w:bookmarkEnd w:id="270"/>
      <w:bookmarkEnd w:id="271"/>
    </w:p>
    <w:p w14:paraId="1BF97F70" w14:textId="77777777" w:rsidR="00C01A50" w:rsidRDefault="00C01A50" w:rsidP="00DB15F9">
      <w:r>
        <w:t>ABARES, Aither and RMCG have each considered the price impacts of water recovery. ABARES undertook modelling of the southern MDB allocation market (ABARES 2016) and found that water recovery was an important explanatory of allocation price movements. The ABARES</w:t>
      </w:r>
      <w:r w:rsidRPr="003F769E">
        <w:t xml:space="preserve"> economic model of </w:t>
      </w:r>
      <w:r>
        <w:t>that</w:t>
      </w:r>
      <w:r w:rsidRPr="003F769E">
        <w:t xml:space="preserve"> market estimate</w:t>
      </w:r>
      <w:r>
        <w:t>d that</w:t>
      </w:r>
      <w:r w:rsidRPr="003F769E">
        <w:t xml:space="preserve"> the Commonwealth entitlement purchases increased annual water allocation prices by an average of around $25 per M</w:t>
      </w:r>
      <w:r w:rsidR="005425D0">
        <w:t>L (or 39 per cent) between 2012/</w:t>
      </w:r>
      <w:r w:rsidRPr="003F769E">
        <w:t>13 and 2014</w:t>
      </w:r>
      <w:r w:rsidR="005425D0">
        <w:t>/</w:t>
      </w:r>
      <w:r w:rsidRPr="003F769E">
        <w:t>15.</w:t>
      </w:r>
      <w:r>
        <w:t xml:space="preserve"> ABARES contrast the increase in market prices for allocations that buyback have with infrastructure upgrades:</w:t>
      </w:r>
    </w:p>
    <w:p w14:paraId="4D9AB125" w14:textId="77777777" w:rsidR="00C01A50" w:rsidRDefault="00C01A50" w:rsidP="00FC0B2A">
      <w:pPr>
        <w:pStyle w:val="Quote"/>
      </w:pPr>
      <w:r w:rsidRPr="00B211B4">
        <w:t xml:space="preserve">The story is more complicated in the case of infrastructure upgrades. Investments in on- or off-farm infrastructure reduce losses (to evaporation, seepage and so on). Under the Murray–Darling Basin Plan programmes, at least 50 per cent of these water savings are returned to the Commonwealth, with the remainder returned to entitlement holders. As such, the net effect of infrastructure projects should be to increase the volume of water available for use and/or to improve farm water use efficiency (by an amount greater than any environmental water recovery)—both of which would lead to lower water prices. </w:t>
      </w:r>
    </w:p>
    <w:p w14:paraId="428AC0E4" w14:textId="77777777" w:rsidR="00C01A50" w:rsidRDefault="00C01A50" w:rsidP="00FC0B2A">
      <w:pPr>
        <w:pStyle w:val="Quote"/>
      </w:pPr>
      <w:r w:rsidRPr="00B211B4">
        <w:t>However, infrastructure projects can also help farmers achieve improvements in productivity. General improvements in irrigation farm productivity and profitability may result in increased demand for water. Thus, the precise effect of infrastructure projects on the water allocation price is difficult to measure, although the overall effect on the allocation price is likely to be downward because of the water savings achieved.</w:t>
      </w:r>
      <w:r>
        <w:t xml:space="preserve"> (p.20)</w:t>
      </w:r>
    </w:p>
    <w:p w14:paraId="6016CC9C" w14:textId="77777777" w:rsidR="00C01A50" w:rsidRDefault="00C01A50" w:rsidP="00DB15F9">
      <w:r>
        <w:t>This statement does not differentiate the discussion of on- and</w:t>
      </w:r>
      <w:r w:rsidRPr="00B211B4">
        <w:t xml:space="preserve"> off-farm infrastructure</w:t>
      </w:r>
      <w:r>
        <w:t xml:space="preserve"> projects, and does not differentiate the effects between the seasonal conditions in which they occur. The ABARES report does not attempt to predict future price impacts of water recovery.</w:t>
      </w:r>
    </w:p>
    <w:p w14:paraId="65B45815" w14:textId="77777777" w:rsidR="00C01A50" w:rsidRDefault="00C01A50" w:rsidP="00DB15F9">
      <w:r>
        <w:t>Aither (2016a) analysed supply-side drivers of water allocation prices and found that the buyback had the effect of raising allocation prices for given seasonal conditions.</w:t>
      </w:r>
    </w:p>
    <w:p w14:paraId="52A40E8C" w14:textId="77777777" w:rsidR="00C01A50" w:rsidRDefault="00C01A50" w:rsidP="00DB15F9">
      <w:r>
        <w:rPr>
          <w:noProof/>
          <w:lang w:val="en-AU" w:eastAsia="en-AU" w:bidi="ar-SA"/>
        </w:rPr>
        <w:lastRenderedPageBreak/>
        <w:drawing>
          <wp:inline distT="0" distB="0" distL="0" distR="0" wp14:anchorId="2DAD7B60" wp14:editId="7362D2FC">
            <wp:extent cx="5731510" cy="2960370"/>
            <wp:effectExtent l="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31510" cy="2960370"/>
                    </a:xfrm>
                    <a:prstGeom prst="rect">
                      <a:avLst/>
                    </a:prstGeom>
                  </pic:spPr>
                </pic:pic>
              </a:graphicData>
            </a:graphic>
          </wp:inline>
        </w:drawing>
      </w:r>
    </w:p>
    <w:p w14:paraId="7ACEE06E" w14:textId="77777777" w:rsidR="001D669F" w:rsidRDefault="001D669F" w:rsidP="00DB15F9">
      <w:r w:rsidRPr="003C64EE">
        <w:rPr>
          <w:b/>
        </w:rPr>
        <w:t xml:space="preserve">Figure </w:t>
      </w:r>
      <w:r w:rsidRPr="003C64EE">
        <w:rPr>
          <w:b/>
        </w:rPr>
        <w:fldChar w:fldCharType="begin"/>
      </w:r>
      <w:r w:rsidRPr="003C64EE">
        <w:rPr>
          <w:b/>
        </w:rPr>
        <w:instrText xml:space="preserve"> SEQ Figure \* ARABIC </w:instrText>
      </w:r>
      <w:r w:rsidRPr="003C64EE">
        <w:rPr>
          <w:b/>
        </w:rPr>
        <w:fldChar w:fldCharType="separate"/>
      </w:r>
      <w:r w:rsidR="008E5D7A">
        <w:rPr>
          <w:b/>
          <w:noProof/>
        </w:rPr>
        <w:t>67</w:t>
      </w:r>
      <w:r w:rsidRPr="003C64EE">
        <w:rPr>
          <w:b/>
        </w:rPr>
        <w:fldChar w:fldCharType="end"/>
      </w:r>
      <w:r>
        <w:rPr>
          <w:b/>
        </w:rPr>
        <w:t xml:space="preserve"> Water allocation prices with and without Commonwealth purchases</w:t>
      </w:r>
    </w:p>
    <w:p w14:paraId="6D84D86A" w14:textId="77777777" w:rsidR="00C01A50" w:rsidRDefault="00C01A50" w:rsidP="00DB15F9">
      <w:r>
        <w:t>The pri</w:t>
      </w:r>
      <w:r w:rsidR="001B13F7">
        <w:t>ce differences expected in 2013/14 and 2014/</w:t>
      </w:r>
      <w:r>
        <w:t xml:space="preserve">15 were associated with 15% reductions in the consumptive pool as a result of buyback. In both years a difference of $24 dollars was calculated, which was equivalent to a 33% and 27% price rise attributable to the buyback water recovery, respectively. </w:t>
      </w:r>
    </w:p>
    <w:p w14:paraId="1C6F4F79" w14:textId="77777777" w:rsidR="00C01A50" w:rsidRDefault="00C01A50" w:rsidP="00DB15F9">
      <w:r>
        <w:t>Aither (2016a) found proportional price rise (that would be attributable to water recovery</w:t>
      </w:r>
      <w:r w:rsidR="00F177BD" w:rsidRPr="00F177BD">
        <w:t xml:space="preserve"> </w:t>
      </w:r>
      <w:r w:rsidR="00F177BD">
        <w:t>through buyback</w:t>
      </w:r>
      <w:r>
        <w:t>) in the event of a repeat of extremel</w:t>
      </w:r>
      <w:r w:rsidR="001B13F7">
        <w:t>y dry conditions such as 2008/</w:t>
      </w:r>
      <w:r>
        <w:t>09 would be 8%, whereas the proportion</w:t>
      </w:r>
      <w:r w:rsidR="00CA65C8">
        <w:t>al</w:t>
      </w:r>
      <w:r>
        <w:t xml:space="preserve"> increase is expected to be greater in wet years (see table).</w:t>
      </w:r>
    </w:p>
    <w:p w14:paraId="75489D43" w14:textId="77777777" w:rsidR="00C01A50" w:rsidRDefault="00C01A50">
      <w:pPr>
        <w:spacing w:before="0" w:after="0" w:line="240" w:lineRule="auto"/>
      </w:pPr>
      <w:r>
        <w:br w:type="page"/>
      </w:r>
    </w:p>
    <w:p w14:paraId="7DC5F80A" w14:textId="77777777" w:rsidR="00F177BD" w:rsidRDefault="00F177BD" w:rsidP="00F177BD">
      <w:pPr>
        <w:pStyle w:val="Caption"/>
        <w:keepNext/>
      </w:pPr>
      <w:r>
        <w:lastRenderedPageBreak/>
        <w:t xml:space="preserve">Table </w:t>
      </w:r>
      <w:r>
        <w:fldChar w:fldCharType="begin"/>
      </w:r>
      <w:r>
        <w:instrText xml:space="preserve"> SEQ Table \* ARABIC </w:instrText>
      </w:r>
      <w:r>
        <w:fldChar w:fldCharType="separate"/>
      </w:r>
      <w:r w:rsidR="008E5D7A">
        <w:rPr>
          <w:noProof/>
        </w:rPr>
        <w:t>30</w:t>
      </w:r>
      <w:r>
        <w:fldChar w:fldCharType="end"/>
      </w:r>
      <w:r>
        <w:t>: Water price rises attributable to buyback (Aither, 2016a)</w:t>
      </w:r>
    </w:p>
    <w:tbl>
      <w:tblPr>
        <w:tblStyle w:val="TableGrid"/>
        <w:tblW w:w="0" w:type="auto"/>
        <w:tblLook w:val="04A0" w:firstRow="1" w:lastRow="0" w:firstColumn="1" w:lastColumn="0" w:noHBand="0" w:noVBand="1"/>
      </w:tblPr>
      <w:tblGrid>
        <w:gridCol w:w="1803"/>
        <w:gridCol w:w="1803"/>
        <w:gridCol w:w="1803"/>
        <w:gridCol w:w="1803"/>
        <w:gridCol w:w="1804"/>
      </w:tblGrid>
      <w:tr w:rsidR="00C01A50" w14:paraId="63271F5F" w14:textId="77777777">
        <w:tc>
          <w:tcPr>
            <w:tcW w:w="1803" w:type="dxa"/>
            <w:vAlign w:val="bottom"/>
          </w:tcPr>
          <w:p w14:paraId="2EC99CA2" w14:textId="77777777" w:rsidR="00C01A50" w:rsidRDefault="00C01A50" w:rsidP="00403D42">
            <w:pPr>
              <w:rPr>
                <w:rFonts w:cs="Calibri"/>
                <w:color w:val="000000"/>
              </w:rPr>
            </w:pPr>
            <w:r>
              <w:rPr>
                <w:rFonts w:cs="Calibri"/>
                <w:color w:val="000000"/>
              </w:rPr>
              <w:t>Scenario</w:t>
            </w:r>
          </w:p>
        </w:tc>
        <w:tc>
          <w:tcPr>
            <w:tcW w:w="1803" w:type="dxa"/>
            <w:vAlign w:val="bottom"/>
          </w:tcPr>
          <w:p w14:paraId="078AB637" w14:textId="77777777" w:rsidR="00C01A50" w:rsidRDefault="00C01A50" w:rsidP="00403D42">
            <w:pPr>
              <w:rPr>
                <w:rFonts w:cs="Calibri"/>
                <w:color w:val="000000"/>
              </w:rPr>
            </w:pPr>
            <w:r>
              <w:rPr>
                <w:rFonts w:cs="Calibri"/>
                <w:color w:val="000000"/>
              </w:rPr>
              <w:t>Modelled price - without buyback ($/ML)</w:t>
            </w:r>
          </w:p>
        </w:tc>
        <w:tc>
          <w:tcPr>
            <w:tcW w:w="1803" w:type="dxa"/>
            <w:vAlign w:val="bottom"/>
          </w:tcPr>
          <w:p w14:paraId="6F7D1AC5" w14:textId="77777777" w:rsidR="00C01A50" w:rsidRDefault="00C01A50" w:rsidP="00403D42">
            <w:pPr>
              <w:rPr>
                <w:rFonts w:cs="Calibri"/>
                <w:color w:val="000000"/>
              </w:rPr>
            </w:pPr>
            <w:r>
              <w:rPr>
                <w:rFonts w:cs="Calibri"/>
                <w:color w:val="000000"/>
              </w:rPr>
              <w:t>Modelled price - with buyback ($/ML)</w:t>
            </w:r>
          </w:p>
        </w:tc>
        <w:tc>
          <w:tcPr>
            <w:tcW w:w="1803" w:type="dxa"/>
            <w:vAlign w:val="bottom"/>
          </w:tcPr>
          <w:p w14:paraId="2D78D9A6" w14:textId="77777777" w:rsidR="00C01A50" w:rsidRDefault="00C01A50" w:rsidP="00403D42">
            <w:pPr>
              <w:rPr>
                <w:rFonts w:cs="Calibri"/>
                <w:color w:val="000000"/>
              </w:rPr>
            </w:pPr>
            <w:r>
              <w:rPr>
                <w:rFonts w:cs="Calibri"/>
                <w:color w:val="000000"/>
              </w:rPr>
              <w:t>Potential price impact of buyback ($/ML)</w:t>
            </w:r>
          </w:p>
        </w:tc>
        <w:tc>
          <w:tcPr>
            <w:tcW w:w="1804" w:type="dxa"/>
            <w:vAlign w:val="bottom"/>
          </w:tcPr>
          <w:p w14:paraId="1042864E" w14:textId="77777777" w:rsidR="00C01A50" w:rsidRDefault="00C01A50" w:rsidP="00403D42">
            <w:pPr>
              <w:rPr>
                <w:rFonts w:cs="Calibri"/>
                <w:color w:val="000000"/>
              </w:rPr>
            </w:pPr>
            <w:r>
              <w:rPr>
                <w:rFonts w:cs="Calibri"/>
                <w:color w:val="000000"/>
              </w:rPr>
              <w:t>Proportional change in allocation price due to buyback</w:t>
            </w:r>
          </w:p>
        </w:tc>
      </w:tr>
      <w:tr w:rsidR="00C01A50" w14:paraId="267141EC" w14:textId="77777777">
        <w:tc>
          <w:tcPr>
            <w:tcW w:w="1803" w:type="dxa"/>
            <w:vAlign w:val="bottom"/>
          </w:tcPr>
          <w:p w14:paraId="6EEB72D3" w14:textId="77777777" w:rsidR="00C01A50" w:rsidRDefault="00C01A50" w:rsidP="00403D42">
            <w:pPr>
              <w:rPr>
                <w:rFonts w:cs="Calibri"/>
                <w:color w:val="000000"/>
              </w:rPr>
            </w:pPr>
            <w:r>
              <w:rPr>
                <w:rFonts w:cs="Calibri"/>
                <w:color w:val="000000"/>
              </w:rPr>
              <w:t>Expected 2015</w:t>
            </w:r>
            <w:r w:rsidR="00A61F22">
              <w:rPr>
                <w:rFonts w:cs="Calibri"/>
                <w:color w:val="000000"/>
              </w:rPr>
              <w:t>/</w:t>
            </w:r>
            <w:r>
              <w:rPr>
                <w:rFonts w:cs="Calibri"/>
                <w:color w:val="000000"/>
              </w:rPr>
              <w:t>16</w:t>
            </w:r>
          </w:p>
        </w:tc>
        <w:tc>
          <w:tcPr>
            <w:tcW w:w="1803" w:type="dxa"/>
            <w:vAlign w:val="bottom"/>
          </w:tcPr>
          <w:p w14:paraId="59A0F765" w14:textId="77777777" w:rsidR="00C01A50" w:rsidRDefault="00C01A50" w:rsidP="00403D42">
            <w:pPr>
              <w:jc w:val="right"/>
              <w:rPr>
                <w:rFonts w:cs="Calibri"/>
                <w:color w:val="000000"/>
              </w:rPr>
            </w:pPr>
            <w:r>
              <w:rPr>
                <w:rFonts w:cs="Calibri"/>
                <w:color w:val="000000"/>
              </w:rPr>
              <w:t>127</w:t>
            </w:r>
          </w:p>
        </w:tc>
        <w:tc>
          <w:tcPr>
            <w:tcW w:w="1803" w:type="dxa"/>
            <w:vAlign w:val="bottom"/>
          </w:tcPr>
          <w:p w14:paraId="0F3FC984" w14:textId="77777777" w:rsidR="00C01A50" w:rsidRDefault="00C01A50" w:rsidP="00403D42">
            <w:pPr>
              <w:jc w:val="right"/>
              <w:rPr>
                <w:rFonts w:cs="Calibri"/>
                <w:color w:val="000000"/>
              </w:rPr>
            </w:pPr>
            <w:r>
              <w:rPr>
                <w:rFonts w:cs="Calibri"/>
                <w:color w:val="000000"/>
              </w:rPr>
              <w:t>157</w:t>
            </w:r>
          </w:p>
        </w:tc>
        <w:tc>
          <w:tcPr>
            <w:tcW w:w="1803" w:type="dxa"/>
            <w:vAlign w:val="bottom"/>
          </w:tcPr>
          <w:p w14:paraId="1D228F0B" w14:textId="77777777" w:rsidR="00C01A50" w:rsidRDefault="00C01A50" w:rsidP="00403D42">
            <w:pPr>
              <w:jc w:val="right"/>
              <w:rPr>
                <w:rFonts w:cs="Calibri"/>
                <w:color w:val="000000"/>
              </w:rPr>
            </w:pPr>
            <w:r>
              <w:rPr>
                <w:rFonts w:cs="Calibri"/>
                <w:color w:val="000000"/>
              </w:rPr>
              <w:t>30</w:t>
            </w:r>
          </w:p>
        </w:tc>
        <w:tc>
          <w:tcPr>
            <w:tcW w:w="1804" w:type="dxa"/>
            <w:vAlign w:val="bottom"/>
          </w:tcPr>
          <w:p w14:paraId="51D6546A" w14:textId="77777777" w:rsidR="00C01A50" w:rsidRDefault="00C01A50" w:rsidP="00403D42">
            <w:pPr>
              <w:jc w:val="right"/>
              <w:rPr>
                <w:rFonts w:cs="Calibri"/>
                <w:color w:val="000000"/>
              </w:rPr>
            </w:pPr>
            <w:r>
              <w:rPr>
                <w:rFonts w:cs="Calibri"/>
                <w:color w:val="000000"/>
              </w:rPr>
              <w:t>24%</w:t>
            </w:r>
          </w:p>
        </w:tc>
      </w:tr>
      <w:tr w:rsidR="00C01A50" w14:paraId="5261CE12" w14:textId="77777777">
        <w:tc>
          <w:tcPr>
            <w:tcW w:w="1803" w:type="dxa"/>
            <w:vAlign w:val="bottom"/>
          </w:tcPr>
          <w:p w14:paraId="61FAC549" w14:textId="77777777" w:rsidR="00C01A50" w:rsidRDefault="00C01A50" w:rsidP="00403D42">
            <w:pPr>
              <w:rPr>
                <w:rFonts w:cs="Calibri"/>
                <w:color w:val="000000"/>
              </w:rPr>
            </w:pPr>
            <w:r>
              <w:rPr>
                <w:rFonts w:cs="Calibri"/>
                <w:color w:val="000000"/>
              </w:rPr>
              <w:t>Repeat of extreme dry (2008</w:t>
            </w:r>
            <w:r w:rsidR="00A61F22">
              <w:rPr>
                <w:rFonts w:cs="Calibri"/>
                <w:color w:val="000000"/>
              </w:rPr>
              <w:t>/</w:t>
            </w:r>
            <w:r>
              <w:rPr>
                <w:rFonts w:cs="Calibri"/>
                <w:color w:val="000000"/>
              </w:rPr>
              <w:t>09)</w:t>
            </w:r>
          </w:p>
        </w:tc>
        <w:tc>
          <w:tcPr>
            <w:tcW w:w="1803" w:type="dxa"/>
            <w:vAlign w:val="bottom"/>
          </w:tcPr>
          <w:p w14:paraId="6C6F7774" w14:textId="77777777" w:rsidR="00C01A50" w:rsidRDefault="00C01A50" w:rsidP="00403D42">
            <w:pPr>
              <w:jc w:val="right"/>
              <w:rPr>
                <w:rFonts w:cs="Calibri"/>
                <w:color w:val="000000"/>
              </w:rPr>
            </w:pPr>
            <w:r>
              <w:rPr>
                <w:rFonts w:cs="Calibri"/>
                <w:color w:val="000000"/>
              </w:rPr>
              <w:t>398</w:t>
            </w:r>
          </w:p>
        </w:tc>
        <w:tc>
          <w:tcPr>
            <w:tcW w:w="1803" w:type="dxa"/>
            <w:vAlign w:val="bottom"/>
          </w:tcPr>
          <w:p w14:paraId="0B46999A" w14:textId="77777777" w:rsidR="00C01A50" w:rsidRDefault="00C01A50" w:rsidP="00403D42">
            <w:pPr>
              <w:jc w:val="right"/>
              <w:rPr>
                <w:rFonts w:cs="Calibri"/>
                <w:color w:val="000000"/>
              </w:rPr>
            </w:pPr>
            <w:r>
              <w:rPr>
                <w:rFonts w:cs="Calibri"/>
                <w:color w:val="000000"/>
              </w:rPr>
              <w:t>429</w:t>
            </w:r>
          </w:p>
        </w:tc>
        <w:tc>
          <w:tcPr>
            <w:tcW w:w="1803" w:type="dxa"/>
            <w:vAlign w:val="bottom"/>
          </w:tcPr>
          <w:p w14:paraId="2E7F512F" w14:textId="77777777" w:rsidR="00C01A50" w:rsidRDefault="00C01A50" w:rsidP="00403D42">
            <w:pPr>
              <w:jc w:val="right"/>
              <w:rPr>
                <w:rFonts w:cs="Calibri"/>
                <w:color w:val="000000"/>
              </w:rPr>
            </w:pPr>
            <w:r>
              <w:rPr>
                <w:rFonts w:cs="Calibri"/>
                <w:color w:val="000000"/>
              </w:rPr>
              <w:t>31</w:t>
            </w:r>
          </w:p>
        </w:tc>
        <w:tc>
          <w:tcPr>
            <w:tcW w:w="1804" w:type="dxa"/>
            <w:vAlign w:val="bottom"/>
          </w:tcPr>
          <w:p w14:paraId="655A404E" w14:textId="77777777" w:rsidR="00C01A50" w:rsidRDefault="00C01A50" w:rsidP="00403D42">
            <w:pPr>
              <w:jc w:val="right"/>
              <w:rPr>
                <w:rFonts w:cs="Calibri"/>
                <w:color w:val="000000"/>
              </w:rPr>
            </w:pPr>
            <w:r>
              <w:rPr>
                <w:rFonts w:cs="Calibri"/>
                <w:color w:val="000000"/>
              </w:rPr>
              <w:t>8%</w:t>
            </w:r>
          </w:p>
        </w:tc>
      </w:tr>
      <w:tr w:rsidR="00C01A50" w14:paraId="113C5EAD" w14:textId="77777777">
        <w:tc>
          <w:tcPr>
            <w:tcW w:w="1803" w:type="dxa"/>
            <w:vAlign w:val="bottom"/>
          </w:tcPr>
          <w:p w14:paraId="0D2B6B4C" w14:textId="77777777" w:rsidR="00C01A50" w:rsidRDefault="00C01A50" w:rsidP="00403D42">
            <w:pPr>
              <w:rPr>
                <w:rFonts w:cs="Calibri"/>
                <w:color w:val="000000"/>
              </w:rPr>
            </w:pPr>
            <w:r>
              <w:rPr>
                <w:rFonts w:cs="Calibri"/>
                <w:color w:val="000000"/>
              </w:rPr>
              <w:t>Repeat of average (2005</w:t>
            </w:r>
            <w:r w:rsidR="00A61F22">
              <w:rPr>
                <w:rFonts w:cs="Calibri"/>
                <w:color w:val="000000"/>
              </w:rPr>
              <w:t>/</w:t>
            </w:r>
            <w:r>
              <w:rPr>
                <w:rFonts w:cs="Calibri"/>
                <w:color w:val="000000"/>
              </w:rPr>
              <w:t>06)</w:t>
            </w:r>
          </w:p>
        </w:tc>
        <w:tc>
          <w:tcPr>
            <w:tcW w:w="1803" w:type="dxa"/>
            <w:vAlign w:val="bottom"/>
          </w:tcPr>
          <w:p w14:paraId="55C00585" w14:textId="77777777" w:rsidR="00C01A50" w:rsidRDefault="00C01A50" w:rsidP="00403D42">
            <w:pPr>
              <w:jc w:val="right"/>
              <w:rPr>
                <w:rFonts w:cs="Calibri"/>
                <w:color w:val="000000"/>
              </w:rPr>
            </w:pPr>
            <w:r>
              <w:rPr>
                <w:rFonts w:cs="Calibri"/>
                <w:color w:val="000000"/>
              </w:rPr>
              <w:t>71</w:t>
            </w:r>
          </w:p>
        </w:tc>
        <w:tc>
          <w:tcPr>
            <w:tcW w:w="1803" w:type="dxa"/>
            <w:vAlign w:val="bottom"/>
          </w:tcPr>
          <w:p w14:paraId="42A0A106" w14:textId="77777777" w:rsidR="00C01A50" w:rsidRDefault="00C01A50" w:rsidP="00403D42">
            <w:pPr>
              <w:jc w:val="right"/>
              <w:rPr>
                <w:rFonts w:cs="Calibri"/>
                <w:color w:val="000000"/>
              </w:rPr>
            </w:pPr>
            <w:r>
              <w:rPr>
                <w:rFonts w:cs="Calibri"/>
                <w:color w:val="000000"/>
              </w:rPr>
              <w:t>92</w:t>
            </w:r>
          </w:p>
        </w:tc>
        <w:tc>
          <w:tcPr>
            <w:tcW w:w="1803" w:type="dxa"/>
            <w:vAlign w:val="bottom"/>
          </w:tcPr>
          <w:p w14:paraId="274E37A0" w14:textId="77777777" w:rsidR="00C01A50" w:rsidRDefault="00C01A50" w:rsidP="00403D42">
            <w:pPr>
              <w:jc w:val="right"/>
              <w:rPr>
                <w:rFonts w:cs="Calibri"/>
                <w:color w:val="000000"/>
              </w:rPr>
            </w:pPr>
            <w:r>
              <w:rPr>
                <w:rFonts w:cs="Calibri"/>
                <w:color w:val="000000"/>
              </w:rPr>
              <w:t>21</w:t>
            </w:r>
          </w:p>
        </w:tc>
        <w:tc>
          <w:tcPr>
            <w:tcW w:w="1804" w:type="dxa"/>
            <w:vAlign w:val="bottom"/>
          </w:tcPr>
          <w:p w14:paraId="7EB8C3CC" w14:textId="77777777" w:rsidR="00C01A50" w:rsidRDefault="00C01A50" w:rsidP="00403D42">
            <w:pPr>
              <w:jc w:val="right"/>
              <w:rPr>
                <w:rFonts w:cs="Calibri"/>
                <w:color w:val="000000"/>
              </w:rPr>
            </w:pPr>
            <w:r>
              <w:rPr>
                <w:rFonts w:cs="Calibri"/>
                <w:color w:val="000000"/>
              </w:rPr>
              <w:t>30%</w:t>
            </w:r>
          </w:p>
        </w:tc>
      </w:tr>
      <w:tr w:rsidR="00C01A50" w14:paraId="580467EC" w14:textId="77777777">
        <w:tc>
          <w:tcPr>
            <w:tcW w:w="1803" w:type="dxa"/>
            <w:vAlign w:val="bottom"/>
          </w:tcPr>
          <w:p w14:paraId="5408C62C" w14:textId="77777777" w:rsidR="00C01A50" w:rsidRDefault="00C01A50" w:rsidP="00403D42">
            <w:pPr>
              <w:rPr>
                <w:rFonts w:cs="Calibri"/>
                <w:color w:val="000000"/>
              </w:rPr>
            </w:pPr>
            <w:r>
              <w:rPr>
                <w:rFonts w:cs="Calibri"/>
                <w:color w:val="000000"/>
              </w:rPr>
              <w:t>Repeat of wet year (2011</w:t>
            </w:r>
            <w:r w:rsidR="00A61F22">
              <w:rPr>
                <w:rFonts w:cs="Calibri"/>
                <w:color w:val="000000"/>
              </w:rPr>
              <w:t>/</w:t>
            </w:r>
            <w:r>
              <w:rPr>
                <w:rFonts w:cs="Calibri"/>
                <w:color w:val="000000"/>
              </w:rPr>
              <w:t>12)</w:t>
            </w:r>
          </w:p>
        </w:tc>
        <w:tc>
          <w:tcPr>
            <w:tcW w:w="1803" w:type="dxa"/>
            <w:vAlign w:val="bottom"/>
          </w:tcPr>
          <w:p w14:paraId="6FA77015" w14:textId="77777777" w:rsidR="00C01A50" w:rsidRDefault="00C01A50" w:rsidP="00403D42">
            <w:pPr>
              <w:jc w:val="right"/>
              <w:rPr>
                <w:rFonts w:cs="Calibri"/>
                <w:color w:val="000000"/>
              </w:rPr>
            </w:pPr>
            <w:r>
              <w:rPr>
                <w:rFonts w:cs="Calibri"/>
                <w:color w:val="000000"/>
              </w:rPr>
              <w:t>25</w:t>
            </w:r>
          </w:p>
        </w:tc>
        <w:tc>
          <w:tcPr>
            <w:tcW w:w="1803" w:type="dxa"/>
            <w:vAlign w:val="bottom"/>
          </w:tcPr>
          <w:p w14:paraId="0583B744" w14:textId="77777777" w:rsidR="00C01A50" w:rsidRDefault="00C01A50" w:rsidP="00403D42">
            <w:pPr>
              <w:jc w:val="right"/>
              <w:rPr>
                <w:rFonts w:cs="Calibri"/>
                <w:color w:val="000000"/>
              </w:rPr>
            </w:pPr>
            <w:r>
              <w:rPr>
                <w:rFonts w:cs="Calibri"/>
                <w:color w:val="000000"/>
              </w:rPr>
              <w:t>34</w:t>
            </w:r>
          </w:p>
        </w:tc>
        <w:tc>
          <w:tcPr>
            <w:tcW w:w="1803" w:type="dxa"/>
            <w:vAlign w:val="bottom"/>
          </w:tcPr>
          <w:p w14:paraId="291A52E4" w14:textId="77777777" w:rsidR="00C01A50" w:rsidRDefault="00C01A50" w:rsidP="00403D42">
            <w:pPr>
              <w:jc w:val="right"/>
              <w:rPr>
                <w:rFonts w:cs="Calibri"/>
                <w:color w:val="000000"/>
              </w:rPr>
            </w:pPr>
            <w:r>
              <w:rPr>
                <w:rFonts w:cs="Calibri"/>
                <w:color w:val="000000"/>
              </w:rPr>
              <w:t>9</w:t>
            </w:r>
          </w:p>
        </w:tc>
        <w:tc>
          <w:tcPr>
            <w:tcW w:w="1804" w:type="dxa"/>
            <w:vAlign w:val="bottom"/>
          </w:tcPr>
          <w:p w14:paraId="71EACE97" w14:textId="77777777" w:rsidR="00C01A50" w:rsidRDefault="00C01A50" w:rsidP="00403D42">
            <w:pPr>
              <w:jc w:val="right"/>
              <w:rPr>
                <w:rFonts w:cs="Calibri"/>
                <w:color w:val="000000"/>
              </w:rPr>
            </w:pPr>
            <w:r>
              <w:rPr>
                <w:rFonts w:cs="Calibri"/>
                <w:color w:val="000000"/>
              </w:rPr>
              <w:t>36%</w:t>
            </w:r>
          </w:p>
        </w:tc>
      </w:tr>
    </w:tbl>
    <w:p w14:paraId="3C13A652" w14:textId="77777777" w:rsidR="00C01A50" w:rsidRDefault="00C01A50" w:rsidP="00DB15F9">
      <w:r>
        <w:t>Source: adapted from Aither 2016a</w:t>
      </w:r>
    </w:p>
    <w:p w14:paraId="58E06C9B" w14:textId="77777777" w:rsidR="00C01A50" w:rsidRDefault="00C01A50" w:rsidP="00DB15F9">
      <w:r>
        <w:t>This provides significant insight into the function form of the water allocation price relationship found by Aither’s water market model. Aither (2016a) found the added price impact of an additional 200GL of environmental purchases</w:t>
      </w:r>
      <w:r w:rsidR="00404CCD">
        <w:rPr>
          <w:rStyle w:val="CommentReference"/>
        </w:rPr>
        <w:t xml:space="preserve"> </w:t>
      </w:r>
      <w:r>
        <w:t>is relatively small – 2% in a repeat of a dry year, 4% in an average year and 6% in a wet year.</w:t>
      </w:r>
    </w:p>
    <w:p w14:paraId="34B367D3" w14:textId="77777777" w:rsidR="00C01A50" w:rsidRDefault="00C01A50" w:rsidP="00DB15F9">
      <w:r>
        <w:t>Aither (2016b) builds on the above supply-side impact analysis and includes changes in demand by irrigation industries and urban water authorities. Aither (2016b) first revisits the case of historical buyback holding industry structure constant. The proportion change attributable to water recovery of 15% of the consumptive pool is more consistent across water availability scenarios in Aither 2016b than was found in Aither 2016a, suggesting some change in the underlying assumptions of the model. In fact, the highest proportion change is found in dry conditions (low allocation seasons) at 14%.</w:t>
      </w:r>
    </w:p>
    <w:p w14:paraId="61A2EA9C" w14:textId="77777777" w:rsidR="00C01A50" w:rsidRDefault="00C01A50">
      <w:pPr>
        <w:spacing w:before="0" w:after="0" w:line="240" w:lineRule="auto"/>
      </w:pPr>
      <w:r>
        <w:br w:type="page"/>
      </w:r>
    </w:p>
    <w:p w14:paraId="420F3E29" w14:textId="77777777" w:rsidR="00F177BD" w:rsidRDefault="00F177BD" w:rsidP="00F177BD">
      <w:pPr>
        <w:pStyle w:val="Caption"/>
        <w:keepNext/>
      </w:pPr>
      <w:r>
        <w:lastRenderedPageBreak/>
        <w:t xml:space="preserve">Table </w:t>
      </w:r>
      <w:r>
        <w:fldChar w:fldCharType="begin"/>
      </w:r>
      <w:r>
        <w:instrText xml:space="preserve"> SEQ Table \* ARABIC </w:instrText>
      </w:r>
      <w:r>
        <w:fldChar w:fldCharType="separate"/>
      </w:r>
      <w:r w:rsidR="008E5D7A">
        <w:rPr>
          <w:noProof/>
        </w:rPr>
        <w:t>31</w:t>
      </w:r>
      <w:r>
        <w:fldChar w:fldCharType="end"/>
      </w:r>
      <w:r>
        <w:t xml:space="preserve">: </w:t>
      </w:r>
      <w:r w:rsidRPr="00F177BD">
        <w:t xml:space="preserve">Water price rises attributable to buyback </w:t>
      </w:r>
      <w:r>
        <w:t xml:space="preserve">in dry conditions </w:t>
      </w:r>
      <w:r w:rsidRPr="00F177BD">
        <w:t>(Aither, 2016a)</w:t>
      </w:r>
    </w:p>
    <w:tbl>
      <w:tblPr>
        <w:tblStyle w:val="TableGrid"/>
        <w:tblW w:w="0" w:type="auto"/>
        <w:tblLook w:val="04A0" w:firstRow="1" w:lastRow="0" w:firstColumn="1" w:lastColumn="0" w:noHBand="0" w:noVBand="1"/>
      </w:tblPr>
      <w:tblGrid>
        <w:gridCol w:w="1803"/>
        <w:gridCol w:w="1803"/>
        <w:gridCol w:w="1803"/>
        <w:gridCol w:w="1803"/>
        <w:gridCol w:w="1804"/>
      </w:tblGrid>
      <w:tr w:rsidR="00C01A50" w14:paraId="6851E46F" w14:textId="77777777">
        <w:tc>
          <w:tcPr>
            <w:tcW w:w="1803" w:type="dxa"/>
            <w:vAlign w:val="bottom"/>
          </w:tcPr>
          <w:p w14:paraId="5DD07C6A" w14:textId="77777777" w:rsidR="00C01A50" w:rsidRDefault="00C01A50" w:rsidP="00403D42">
            <w:pPr>
              <w:rPr>
                <w:rFonts w:cs="Calibri"/>
                <w:color w:val="000000"/>
              </w:rPr>
            </w:pPr>
            <w:r>
              <w:rPr>
                <w:rFonts w:cs="Calibri"/>
                <w:color w:val="000000"/>
              </w:rPr>
              <w:t>Scenario</w:t>
            </w:r>
          </w:p>
        </w:tc>
        <w:tc>
          <w:tcPr>
            <w:tcW w:w="1803" w:type="dxa"/>
            <w:vAlign w:val="bottom"/>
          </w:tcPr>
          <w:p w14:paraId="2241E053" w14:textId="77777777" w:rsidR="00C01A50" w:rsidRDefault="00C01A50" w:rsidP="00403D42">
            <w:pPr>
              <w:rPr>
                <w:rFonts w:cs="Calibri"/>
                <w:color w:val="000000"/>
              </w:rPr>
            </w:pPr>
            <w:r>
              <w:rPr>
                <w:rFonts w:cs="Calibri"/>
                <w:color w:val="000000"/>
              </w:rPr>
              <w:t>Modelled price - without buyback ($/ML)</w:t>
            </w:r>
          </w:p>
        </w:tc>
        <w:tc>
          <w:tcPr>
            <w:tcW w:w="1803" w:type="dxa"/>
            <w:vAlign w:val="bottom"/>
          </w:tcPr>
          <w:p w14:paraId="5447A69E" w14:textId="77777777" w:rsidR="00C01A50" w:rsidRDefault="00C01A50" w:rsidP="00403D42">
            <w:pPr>
              <w:rPr>
                <w:rFonts w:cs="Calibri"/>
                <w:color w:val="000000"/>
              </w:rPr>
            </w:pPr>
            <w:r>
              <w:rPr>
                <w:rFonts w:cs="Calibri"/>
                <w:color w:val="000000"/>
              </w:rPr>
              <w:t>Modelled price - with buyback ($/ML)</w:t>
            </w:r>
          </w:p>
        </w:tc>
        <w:tc>
          <w:tcPr>
            <w:tcW w:w="1803" w:type="dxa"/>
            <w:vAlign w:val="bottom"/>
          </w:tcPr>
          <w:p w14:paraId="5BCFECC3" w14:textId="77777777" w:rsidR="00C01A50" w:rsidRDefault="00C01A50" w:rsidP="00403D42">
            <w:pPr>
              <w:rPr>
                <w:rFonts w:cs="Calibri"/>
                <w:color w:val="000000"/>
              </w:rPr>
            </w:pPr>
            <w:r>
              <w:rPr>
                <w:rFonts w:cs="Calibri"/>
                <w:color w:val="000000"/>
              </w:rPr>
              <w:t>Potential price impact of buyback ($/ML)</w:t>
            </w:r>
          </w:p>
        </w:tc>
        <w:tc>
          <w:tcPr>
            <w:tcW w:w="1804" w:type="dxa"/>
            <w:vAlign w:val="bottom"/>
          </w:tcPr>
          <w:p w14:paraId="52BAEE39" w14:textId="77777777" w:rsidR="00C01A50" w:rsidRDefault="00C01A50" w:rsidP="00403D42">
            <w:pPr>
              <w:rPr>
                <w:rFonts w:cs="Calibri"/>
                <w:color w:val="000000"/>
              </w:rPr>
            </w:pPr>
            <w:r>
              <w:rPr>
                <w:rFonts w:cs="Calibri"/>
                <w:color w:val="000000"/>
              </w:rPr>
              <w:t>Proportional change in allocation price due to buyback</w:t>
            </w:r>
          </w:p>
        </w:tc>
      </w:tr>
      <w:tr w:rsidR="00C01A50" w14:paraId="6ED2344E" w14:textId="77777777">
        <w:tc>
          <w:tcPr>
            <w:tcW w:w="1803" w:type="dxa"/>
            <w:vAlign w:val="bottom"/>
          </w:tcPr>
          <w:p w14:paraId="28B56D76" w14:textId="77777777" w:rsidR="00C01A50" w:rsidRDefault="00C01A50" w:rsidP="00403D42">
            <w:pPr>
              <w:rPr>
                <w:rFonts w:cs="Calibri"/>
                <w:color w:val="000000"/>
              </w:rPr>
            </w:pPr>
            <w:r>
              <w:rPr>
                <w:rFonts w:cs="Calibri"/>
                <w:color w:val="000000"/>
              </w:rPr>
              <w:t>Low allocation seasons</w:t>
            </w:r>
          </w:p>
        </w:tc>
        <w:tc>
          <w:tcPr>
            <w:tcW w:w="1803" w:type="dxa"/>
            <w:vAlign w:val="bottom"/>
          </w:tcPr>
          <w:p w14:paraId="53351A5D" w14:textId="77777777" w:rsidR="00C01A50" w:rsidRDefault="00C01A50" w:rsidP="00403D42">
            <w:pPr>
              <w:jc w:val="right"/>
              <w:rPr>
                <w:rFonts w:cs="Calibri"/>
                <w:color w:val="000000"/>
              </w:rPr>
            </w:pPr>
            <w:r>
              <w:rPr>
                <w:rFonts w:cs="Calibri"/>
                <w:color w:val="000000"/>
              </w:rPr>
              <w:t>172</w:t>
            </w:r>
          </w:p>
        </w:tc>
        <w:tc>
          <w:tcPr>
            <w:tcW w:w="1803" w:type="dxa"/>
            <w:vAlign w:val="bottom"/>
          </w:tcPr>
          <w:p w14:paraId="37413B1A" w14:textId="77777777" w:rsidR="00C01A50" w:rsidRDefault="00C01A50" w:rsidP="00403D42">
            <w:pPr>
              <w:jc w:val="right"/>
              <w:rPr>
                <w:rFonts w:cs="Calibri"/>
                <w:color w:val="000000"/>
              </w:rPr>
            </w:pPr>
            <w:r>
              <w:rPr>
                <w:rFonts w:cs="Calibri"/>
                <w:color w:val="000000"/>
              </w:rPr>
              <w:t>196</w:t>
            </w:r>
          </w:p>
        </w:tc>
        <w:tc>
          <w:tcPr>
            <w:tcW w:w="1803" w:type="dxa"/>
            <w:vAlign w:val="bottom"/>
          </w:tcPr>
          <w:p w14:paraId="5C851BB3" w14:textId="77777777" w:rsidR="00C01A50" w:rsidRDefault="00C01A50" w:rsidP="00403D42">
            <w:pPr>
              <w:jc w:val="right"/>
              <w:rPr>
                <w:rFonts w:cs="Calibri"/>
                <w:color w:val="000000"/>
              </w:rPr>
            </w:pPr>
            <w:r>
              <w:rPr>
                <w:rFonts w:cs="Calibri"/>
                <w:color w:val="000000"/>
              </w:rPr>
              <w:t>24</w:t>
            </w:r>
          </w:p>
        </w:tc>
        <w:tc>
          <w:tcPr>
            <w:tcW w:w="1804" w:type="dxa"/>
            <w:vAlign w:val="bottom"/>
          </w:tcPr>
          <w:p w14:paraId="79849843" w14:textId="77777777" w:rsidR="00C01A50" w:rsidRDefault="00C01A50" w:rsidP="00403D42">
            <w:pPr>
              <w:jc w:val="right"/>
              <w:rPr>
                <w:rFonts w:cs="Calibri"/>
                <w:color w:val="000000"/>
              </w:rPr>
            </w:pPr>
            <w:r>
              <w:rPr>
                <w:rFonts w:cs="Calibri"/>
                <w:color w:val="000000"/>
              </w:rPr>
              <w:t>14%</w:t>
            </w:r>
          </w:p>
        </w:tc>
      </w:tr>
      <w:tr w:rsidR="00C01A50" w14:paraId="2043F4C0" w14:textId="77777777">
        <w:tc>
          <w:tcPr>
            <w:tcW w:w="1803" w:type="dxa"/>
            <w:vAlign w:val="bottom"/>
          </w:tcPr>
          <w:p w14:paraId="112D78D1" w14:textId="77777777" w:rsidR="00C01A50" w:rsidRDefault="00C01A50" w:rsidP="00403D42">
            <w:pPr>
              <w:rPr>
                <w:rFonts w:cs="Calibri"/>
                <w:color w:val="000000"/>
              </w:rPr>
            </w:pPr>
            <w:r>
              <w:rPr>
                <w:rFonts w:cs="Calibri"/>
                <w:color w:val="000000"/>
              </w:rPr>
              <w:t>Medium allocation seasons</w:t>
            </w:r>
          </w:p>
        </w:tc>
        <w:tc>
          <w:tcPr>
            <w:tcW w:w="1803" w:type="dxa"/>
            <w:vAlign w:val="bottom"/>
          </w:tcPr>
          <w:p w14:paraId="1880B3BC" w14:textId="77777777" w:rsidR="00C01A50" w:rsidRDefault="00C01A50" w:rsidP="00403D42">
            <w:pPr>
              <w:jc w:val="right"/>
              <w:rPr>
                <w:rFonts w:cs="Calibri"/>
                <w:color w:val="000000"/>
              </w:rPr>
            </w:pPr>
            <w:r>
              <w:rPr>
                <w:rFonts w:cs="Calibri"/>
                <w:color w:val="000000"/>
              </w:rPr>
              <w:t>101</w:t>
            </w:r>
          </w:p>
        </w:tc>
        <w:tc>
          <w:tcPr>
            <w:tcW w:w="1803" w:type="dxa"/>
            <w:vAlign w:val="bottom"/>
          </w:tcPr>
          <w:p w14:paraId="1C7BE38E" w14:textId="77777777" w:rsidR="00C01A50" w:rsidRDefault="00C01A50" w:rsidP="00403D42">
            <w:pPr>
              <w:jc w:val="right"/>
              <w:rPr>
                <w:rFonts w:cs="Calibri"/>
                <w:color w:val="000000"/>
              </w:rPr>
            </w:pPr>
            <w:r>
              <w:rPr>
                <w:rFonts w:cs="Calibri"/>
                <w:color w:val="000000"/>
              </w:rPr>
              <w:t>114</w:t>
            </w:r>
          </w:p>
        </w:tc>
        <w:tc>
          <w:tcPr>
            <w:tcW w:w="1803" w:type="dxa"/>
            <w:vAlign w:val="bottom"/>
          </w:tcPr>
          <w:p w14:paraId="57D57129" w14:textId="77777777" w:rsidR="00C01A50" w:rsidRDefault="00C01A50" w:rsidP="00403D42">
            <w:pPr>
              <w:jc w:val="right"/>
              <w:rPr>
                <w:rFonts w:cs="Calibri"/>
                <w:color w:val="000000"/>
              </w:rPr>
            </w:pPr>
            <w:r>
              <w:rPr>
                <w:rFonts w:cs="Calibri"/>
                <w:color w:val="000000"/>
              </w:rPr>
              <w:t>13</w:t>
            </w:r>
          </w:p>
        </w:tc>
        <w:tc>
          <w:tcPr>
            <w:tcW w:w="1804" w:type="dxa"/>
            <w:vAlign w:val="bottom"/>
          </w:tcPr>
          <w:p w14:paraId="3263230A" w14:textId="77777777" w:rsidR="00C01A50" w:rsidRDefault="00C01A50" w:rsidP="00403D42">
            <w:pPr>
              <w:jc w:val="right"/>
              <w:rPr>
                <w:rFonts w:cs="Calibri"/>
                <w:color w:val="000000"/>
              </w:rPr>
            </w:pPr>
            <w:r>
              <w:rPr>
                <w:rFonts w:cs="Calibri"/>
                <w:color w:val="000000"/>
              </w:rPr>
              <w:t>13%</w:t>
            </w:r>
          </w:p>
        </w:tc>
      </w:tr>
      <w:tr w:rsidR="00C01A50" w14:paraId="36BA3AEA" w14:textId="77777777">
        <w:tc>
          <w:tcPr>
            <w:tcW w:w="1803" w:type="dxa"/>
            <w:vAlign w:val="bottom"/>
          </w:tcPr>
          <w:p w14:paraId="6A11337A" w14:textId="77777777" w:rsidR="00C01A50" w:rsidRDefault="00C01A50" w:rsidP="00403D42">
            <w:pPr>
              <w:rPr>
                <w:rFonts w:cs="Calibri"/>
                <w:color w:val="000000"/>
              </w:rPr>
            </w:pPr>
            <w:r>
              <w:rPr>
                <w:rFonts w:cs="Calibri"/>
                <w:color w:val="000000"/>
              </w:rPr>
              <w:t>High allocation seasons</w:t>
            </w:r>
          </w:p>
        </w:tc>
        <w:tc>
          <w:tcPr>
            <w:tcW w:w="1803" w:type="dxa"/>
            <w:vAlign w:val="bottom"/>
          </w:tcPr>
          <w:p w14:paraId="30F0C555" w14:textId="77777777" w:rsidR="00C01A50" w:rsidRDefault="00C01A50" w:rsidP="00403D42">
            <w:pPr>
              <w:jc w:val="right"/>
              <w:rPr>
                <w:rFonts w:cs="Calibri"/>
                <w:color w:val="000000"/>
              </w:rPr>
            </w:pPr>
            <w:r>
              <w:rPr>
                <w:rFonts w:cs="Calibri"/>
                <w:color w:val="000000"/>
              </w:rPr>
              <w:t>32</w:t>
            </w:r>
          </w:p>
        </w:tc>
        <w:tc>
          <w:tcPr>
            <w:tcW w:w="1803" w:type="dxa"/>
            <w:vAlign w:val="bottom"/>
          </w:tcPr>
          <w:p w14:paraId="1FCF2AF1" w14:textId="77777777" w:rsidR="00C01A50" w:rsidRDefault="00C01A50" w:rsidP="00403D42">
            <w:pPr>
              <w:jc w:val="right"/>
              <w:rPr>
                <w:rFonts w:cs="Calibri"/>
                <w:color w:val="000000"/>
              </w:rPr>
            </w:pPr>
            <w:r>
              <w:rPr>
                <w:rFonts w:cs="Calibri"/>
                <w:color w:val="000000"/>
              </w:rPr>
              <w:t>36</w:t>
            </w:r>
          </w:p>
        </w:tc>
        <w:tc>
          <w:tcPr>
            <w:tcW w:w="1803" w:type="dxa"/>
            <w:vAlign w:val="bottom"/>
          </w:tcPr>
          <w:p w14:paraId="69AF29F4" w14:textId="77777777" w:rsidR="00C01A50" w:rsidRDefault="00C01A50" w:rsidP="00403D42">
            <w:pPr>
              <w:jc w:val="right"/>
              <w:rPr>
                <w:rFonts w:cs="Calibri"/>
                <w:color w:val="000000"/>
              </w:rPr>
            </w:pPr>
            <w:r>
              <w:rPr>
                <w:rFonts w:cs="Calibri"/>
                <w:color w:val="000000"/>
              </w:rPr>
              <w:t>4</w:t>
            </w:r>
          </w:p>
        </w:tc>
        <w:tc>
          <w:tcPr>
            <w:tcW w:w="1804" w:type="dxa"/>
            <w:vAlign w:val="bottom"/>
          </w:tcPr>
          <w:p w14:paraId="7FE95DA3" w14:textId="77777777" w:rsidR="00C01A50" w:rsidRDefault="00C01A50" w:rsidP="00403D42">
            <w:pPr>
              <w:jc w:val="right"/>
              <w:rPr>
                <w:rFonts w:cs="Calibri"/>
                <w:color w:val="000000"/>
              </w:rPr>
            </w:pPr>
            <w:r>
              <w:rPr>
                <w:rFonts w:cs="Calibri"/>
                <w:color w:val="000000"/>
              </w:rPr>
              <w:t>12%</w:t>
            </w:r>
          </w:p>
        </w:tc>
      </w:tr>
    </w:tbl>
    <w:p w14:paraId="2172F0DC" w14:textId="77777777" w:rsidR="00C01A50" w:rsidRDefault="00C01A50" w:rsidP="00DB15F9">
      <w:r>
        <w:t>Source: adapted from Aither 2016b, scenario 1.</w:t>
      </w:r>
    </w:p>
    <w:p w14:paraId="518EF732" w14:textId="77777777" w:rsidR="00C01A50" w:rsidRDefault="00C01A50" w:rsidP="00DB15F9">
      <w:r>
        <w:t>When the historical change in irrigation demand and urban authorities is added in, the price impacts of buyback are found to be higher.</w:t>
      </w:r>
    </w:p>
    <w:p w14:paraId="74AE19BE" w14:textId="77777777" w:rsidR="00F177BD" w:rsidRDefault="00F177BD" w:rsidP="00F177BD">
      <w:pPr>
        <w:pStyle w:val="Caption"/>
        <w:keepNext/>
      </w:pPr>
      <w:r>
        <w:t xml:space="preserve">Table </w:t>
      </w:r>
      <w:r>
        <w:fldChar w:fldCharType="begin"/>
      </w:r>
      <w:r>
        <w:instrText xml:space="preserve"> SEQ Table \* ARABIC </w:instrText>
      </w:r>
      <w:r>
        <w:fldChar w:fldCharType="separate"/>
      </w:r>
      <w:r w:rsidR="008E5D7A">
        <w:rPr>
          <w:noProof/>
        </w:rPr>
        <w:t>32</w:t>
      </w:r>
      <w:r>
        <w:fldChar w:fldCharType="end"/>
      </w:r>
      <w:r>
        <w:t>: Water price rises attributable to buyback in dry conditions after allowing for historical changes in demand for irrigation and urban demands (Aither, 2016a)</w:t>
      </w:r>
    </w:p>
    <w:tbl>
      <w:tblPr>
        <w:tblStyle w:val="TableGrid"/>
        <w:tblW w:w="0" w:type="auto"/>
        <w:tblLook w:val="04A0" w:firstRow="1" w:lastRow="0" w:firstColumn="1" w:lastColumn="0" w:noHBand="0" w:noVBand="1"/>
      </w:tblPr>
      <w:tblGrid>
        <w:gridCol w:w="1803"/>
        <w:gridCol w:w="1803"/>
        <w:gridCol w:w="1803"/>
        <w:gridCol w:w="1803"/>
        <w:gridCol w:w="1804"/>
      </w:tblGrid>
      <w:tr w:rsidR="00C01A50" w14:paraId="4DA3F4E5" w14:textId="77777777">
        <w:tc>
          <w:tcPr>
            <w:tcW w:w="1803" w:type="dxa"/>
            <w:vAlign w:val="bottom"/>
          </w:tcPr>
          <w:p w14:paraId="561E9365" w14:textId="77777777" w:rsidR="00C01A50" w:rsidRDefault="00C01A50" w:rsidP="00403D42">
            <w:pPr>
              <w:rPr>
                <w:rFonts w:cs="Calibri"/>
                <w:color w:val="000000"/>
              </w:rPr>
            </w:pPr>
            <w:r>
              <w:rPr>
                <w:rFonts w:cs="Calibri"/>
                <w:color w:val="000000"/>
              </w:rPr>
              <w:t>Scenario</w:t>
            </w:r>
          </w:p>
        </w:tc>
        <w:tc>
          <w:tcPr>
            <w:tcW w:w="1803" w:type="dxa"/>
            <w:vAlign w:val="bottom"/>
          </w:tcPr>
          <w:p w14:paraId="6E096FD1" w14:textId="77777777" w:rsidR="00C01A50" w:rsidRDefault="00C01A50" w:rsidP="00403D42">
            <w:pPr>
              <w:rPr>
                <w:rFonts w:cs="Calibri"/>
                <w:color w:val="000000"/>
              </w:rPr>
            </w:pPr>
            <w:r>
              <w:rPr>
                <w:rFonts w:cs="Calibri"/>
                <w:color w:val="000000"/>
              </w:rPr>
              <w:t>Modelled price - without buyback ($/ML)</w:t>
            </w:r>
          </w:p>
        </w:tc>
        <w:tc>
          <w:tcPr>
            <w:tcW w:w="1803" w:type="dxa"/>
            <w:vAlign w:val="bottom"/>
          </w:tcPr>
          <w:p w14:paraId="7B1394DE" w14:textId="77777777" w:rsidR="00C01A50" w:rsidRDefault="00C01A50" w:rsidP="00403D42">
            <w:pPr>
              <w:rPr>
                <w:rFonts w:cs="Calibri"/>
                <w:color w:val="000000"/>
              </w:rPr>
            </w:pPr>
            <w:r>
              <w:rPr>
                <w:rFonts w:cs="Calibri"/>
                <w:color w:val="000000"/>
              </w:rPr>
              <w:t>Modelled price - with buyback ($/ML)</w:t>
            </w:r>
          </w:p>
        </w:tc>
        <w:tc>
          <w:tcPr>
            <w:tcW w:w="1803" w:type="dxa"/>
            <w:vAlign w:val="bottom"/>
          </w:tcPr>
          <w:p w14:paraId="3942F0E0" w14:textId="77777777" w:rsidR="00C01A50" w:rsidRDefault="00C01A50" w:rsidP="00403D42">
            <w:pPr>
              <w:rPr>
                <w:rFonts w:cs="Calibri"/>
                <w:color w:val="000000"/>
              </w:rPr>
            </w:pPr>
            <w:r>
              <w:rPr>
                <w:rFonts w:cs="Calibri"/>
                <w:color w:val="000000"/>
              </w:rPr>
              <w:t>Potential price impact of buyback ($/ML)</w:t>
            </w:r>
          </w:p>
        </w:tc>
        <w:tc>
          <w:tcPr>
            <w:tcW w:w="1804" w:type="dxa"/>
            <w:vAlign w:val="bottom"/>
          </w:tcPr>
          <w:p w14:paraId="581F8E53" w14:textId="77777777" w:rsidR="00C01A50" w:rsidRDefault="00C01A50" w:rsidP="00403D42">
            <w:pPr>
              <w:rPr>
                <w:rFonts w:cs="Calibri"/>
                <w:color w:val="000000"/>
              </w:rPr>
            </w:pPr>
            <w:r>
              <w:rPr>
                <w:rFonts w:cs="Calibri"/>
                <w:color w:val="000000"/>
              </w:rPr>
              <w:t>Proportional change in allocation price due to buyback</w:t>
            </w:r>
          </w:p>
        </w:tc>
      </w:tr>
      <w:tr w:rsidR="00C01A50" w14:paraId="516B72F6" w14:textId="77777777">
        <w:tc>
          <w:tcPr>
            <w:tcW w:w="1803" w:type="dxa"/>
            <w:vAlign w:val="bottom"/>
          </w:tcPr>
          <w:p w14:paraId="25F6E0DE" w14:textId="77777777" w:rsidR="00C01A50" w:rsidRDefault="00C01A50" w:rsidP="00403D42">
            <w:pPr>
              <w:rPr>
                <w:rFonts w:cs="Calibri"/>
                <w:color w:val="000000"/>
              </w:rPr>
            </w:pPr>
            <w:r>
              <w:rPr>
                <w:rFonts w:cs="Calibri"/>
                <w:color w:val="000000"/>
              </w:rPr>
              <w:t>Low allocation seasons</w:t>
            </w:r>
          </w:p>
        </w:tc>
        <w:tc>
          <w:tcPr>
            <w:tcW w:w="1803" w:type="dxa"/>
            <w:vAlign w:val="bottom"/>
          </w:tcPr>
          <w:p w14:paraId="0B1D58CD" w14:textId="77777777" w:rsidR="00C01A50" w:rsidRDefault="00C01A50" w:rsidP="00403D42">
            <w:pPr>
              <w:jc w:val="right"/>
              <w:rPr>
                <w:rFonts w:cs="Calibri"/>
                <w:color w:val="000000"/>
              </w:rPr>
            </w:pPr>
            <w:r>
              <w:rPr>
                <w:rFonts w:cs="Calibri"/>
                <w:color w:val="000000"/>
              </w:rPr>
              <w:t>172</w:t>
            </w:r>
          </w:p>
        </w:tc>
        <w:tc>
          <w:tcPr>
            <w:tcW w:w="1803" w:type="dxa"/>
            <w:vAlign w:val="bottom"/>
          </w:tcPr>
          <w:p w14:paraId="7FE47421" w14:textId="77777777" w:rsidR="00C01A50" w:rsidRDefault="00C01A50" w:rsidP="00403D42">
            <w:pPr>
              <w:jc w:val="right"/>
              <w:rPr>
                <w:rFonts w:cs="Calibri"/>
                <w:color w:val="000000"/>
              </w:rPr>
            </w:pPr>
            <w:r>
              <w:rPr>
                <w:rFonts w:cs="Calibri"/>
                <w:color w:val="000000"/>
              </w:rPr>
              <w:t>207</w:t>
            </w:r>
          </w:p>
        </w:tc>
        <w:tc>
          <w:tcPr>
            <w:tcW w:w="1803" w:type="dxa"/>
            <w:vAlign w:val="bottom"/>
          </w:tcPr>
          <w:p w14:paraId="7A481703" w14:textId="77777777" w:rsidR="00C01A50" w:rsidRDefault="00C01A50" w:rsidP="00403D42">
            <w:pPr>
              <w:jc w:val="right"/>
              <w:rPr>
                <w:rFonts w:cs="Calibri"/>
                <w:color w:val="000000"/>
              </w:rPr>
            </w:pPr>
            <w:r>
              <w:rPr>
                <w:rFonts w:cs="Calibri"/>
                <w:color w:val="000000"/>
              </w:rPr>
              <w:t>35</w:t>
            </w:r>
          </w:p>
        </w:tc>
        <w:tc>
          <w:tcPr>
            <w:tcW w:w="1804" w:type="dxa"/>
            <w:vAlign w:val="bottom"/>
          </w:tcPr>
          <w:p w14:paraId="3AA7C633" w14:textId="77777777" w:rsidR="00C01A50" w:rsidRDefault="00C01A50" w:rsidP="00403D42">
            <w:pPr>
              <w:jc w:val="right"/>
              <w:rPr>
                <w:rFonts w:cs="Calibri"/>
                <w:color w:val="000000"/>
              </w:rPr>
            </w:pPr>
            <w:r>
              <w:rPr>
                <w:rFonts w:cs="Calibri"/>
                <w:color w:val="000000"/>
              </w:rPr>
              <w:t>20%</w:t>
            </w:r>
          </w:p>
        </w:tc>
      </w:tr>
      <w:tr w:rsidR="00C01A50" w14:paraId="6B550B04" w14:textId="77777777">
        <w:tc>
          <w:tcPr>
            <w:tcW w:w="1803" w:type="dxa"/>
            <w:vAlign w:val="bottom"/>
          </w:tcPr>
          <w:p w14:paraId="22261871" w14:textId="77777777" w:rsidR="00C01A50" w:rsidRDefault="00C01A50" w:rsidP="00403D42">
            <w:pPr>
              <w:rPr>
                <w:rFonts w:cs="Calibri"/>
                <w:color w:val="000000"/>
              </w:rPr>
            </w:pPr>
            <w:r>
              <w:rPr>
                <w:rFonts w:cs="Calibri"/>
                <w:color w:val="000000"/>
              </w:rPr>
              <w:t>Medium allocation seasons</w:t>
            </w:r>
          </w:p>
        </w:tc>
        <w:tc>
          <w:tcPr>
            <w:tcW w:w="1803" w:type="dxa"/>
            <w:vAlign w:val="bottom"/>
          </w:tcPr>
          <w:p w14:paraId="2A846F0F" w14:textId="77777777" w:rsidR="00C01A50" w:rsidRDefault="00C01A50" w:rsidP="00403D42">
            <w:pPr>
              <w:jc w:val="right"/>
              <w:rPr>
                <w:rFonts w:cs="Calibri"/>
                <w:color w:val="000000"/>
              </w:rPr>
            </w:pPr>
            <w:r>
              <w:rPr>
                <w:rFonts w:cs="Calibri"/>
                <w:color w:val="000000"/>
              </w:rPr>
              <w:t>101</w:t>
            </w:r>
          </w:p>
        </w:tc>
        <w:tc>
          <w:tcPr>
            <w:tcW w:w="1803" w:type="dxa"/>
            <w:vAlign w:val="bottom"/>
          </w:tcPr>
          <w:p w14:paraId="35A55B48" w14:textId="77777777" w:rsidR="00C01A50" w:rsidRDefault="00C01A50" w:rsidP="00403D42">
            <w:pPr>
              <w:jc w:val="right"/>
              <w:rPr>
                <w:rFonts w:cs="Calibri"/>
                <w:color w:val="000000"/>
              </w:rPr>
            </w:pPr>
            <w:r>
              <w:rPr>
                <w:rFonts w:cs="Calibri"/>
                <w:color w:val="000000"/>
              </w:rPr>
              <w:t>118</w:t>
            </w:r>
          </w:p>
        </w:tc>
        <w:tc>
          <w:tcPr>
            <w:tcW w:w="1803" w:type="dxa"/>
            <w:vAlign w:val="bottom"/>
          </w:tcPr>
          <w:p w14:paraId="23ABA1EA" w14:textId="77777777" w:rsidR="00C01A50" w:rsidRDefault="00C01A50" w:rsidP="00403D42">
            <w:pPr>
              <w:jc w:val="right"/>
              <w:rPr>
                <w:rFonts w:cs="Calibri"/>
                <w:color w:val="000000"/>
              </w:rPr>
            </w:pPr>
            <w:r>
              <w:rPr>
                <w:rFonts w:cs="Calibri"/>
                <w:color w:val="000000"/>
              </w:rPr>
              <w:t>17</w:t>
            </w:r>
          </w:p>
        </w:tc>
        <w:tc>
          <w:tcPr>
            <w:tcW w:w="1804" w:type="dxa"/>
            <w:vAlign w:val="bottom"/>
          </w:tcPr>
          <w:p w14:paraId="0A6F4FCC" w14:textId="77777777" w:rsidR="00C01A50" w:rsidRDefault="00C01A50" w:rsidP="00403D42">
            <w:pPr>
              <w:jc w:val="right"/>
              <w:rPr>
                <w:rFonts w:cs="Calibri"/>
                <w:color w:val="000000"/>
              </w:rPr>
            </w:pPr>
            <w:r>
              <w:rPr>
                <w:rFonts w:cs="Calibri"/>
                <w:color w:val="000000"/>
              </w:rPr>
              <w:t>17%</w:t>
            </w:r>
          </w:p>
        </w:tc>
      </w:tr>
      <w:tr w:rsidR="00C01A50" w14:paraId="24F7D4E4" w14:textId="77777777">
        <w:tc>
          <w:tcPr>
            <w:tcW w:w="1803" w:type="dxa"/>
            <w:vAlign w:val="bottom"/>
          </w:tcPr>
          <w:p w14:paraId="3894845A" w14:textId="77777777" w:rsidR="00C01A50" w:rsidRDefault="00C01A50" w:rsidP="00403D42">
            <w:pPr>
              <w:rPr>
                <w:rFonts w:cs="Calibri"/>
                <w:color w:val="000000"/>
              </w:rPr>
            </w:pPr>
            <w:r>
              <w:rPr>
                <w:rFonts w:cs="Calibri"/>
                <w:color w:val="000000"/>
              </w:rPr>
              <w:t>High allocation seasons</w:t>
            </w:r>
          </w:p>
        </w:tc>
        <w:tc>
          <w:tcPr>
            <w:tcW w:w="1803" w:type="dxa"/>
            <w:vAlign w:val="bottom"/>
          </w:tcPr>
          <w:p w14:paraId="34A639C0" w14:textId="77777777" w:rsidR="00C01A50" w:rsidRDefault="00C01A50" w:rsidP="00403D42">
            <w:pPr>
              <w:jc w:val="right"/>
              <w:rPr>
                <w:rFonts w:cs="Calibri"/>
                <w:color w:val="000000"/>
              </w:rPr>
            </w:pPr>
            <w:r>
              <w:rPr>
                <w:rFonts w:cs="Calibri"/>
                <w:color w:val="000000"/>
              </w:rPr>
              <w:t>32</w:t>
            </w:r>
          </w:p>
        </w:tc>
        <w:tc>
          <w:tcPr>
            <w:tcW w:w="1803" w:type="dxa"/>
            <w:vAlign w:val="bottom"/>
          </w:tcPr>
          <w:p w14:paraId="68025869" w14:textId="77777777" w:rsidR="00C01A50" w:rsidRDefault="00C01A50" w:rsidP="00403D42">
            <w:pPr>
              <w:jc w:val="right"/>
              <w:rPr>
                <w:rFonts w:cs="Calibri"/>
                <w:color w:val="000000"/>
              </w:rPr>
            </w:pPr>
            <w:r>
              <w:rPr>
                <w:rFonts w:cs="Calibri"/>
                <w:color w:val="000000"/>
              </w:rPr>
              <w:t>37</w:t>
            </w:r>
          </w:p>
        </w:tc>
        <w:tc>
          <w:tcPr>
            <w:tcW w:w="1803" w:type="dxa"/>
            <w:vAlign w:val="bottom"/>
          </w:tcPr>
          <w:p w14:paraId="3D068FEF" w14:textId="77777777" w:rsidR="00C01A50" w:rsidRDefault="00C01A50" w:rsidP="00403D42">
            <w:pPr>
              <w:jc w:val="right"/>
              <w:rPr>
                <w:rFonts w:cs="Calibri"/>
                <w:color w:val="000000"/>
              </w:rPr>
            </w:pPr>
            <w:r>
              <w:rPr>
                <w:rFonts w:cs="Calibri"/>
                <w:color w:val="000000"/>
              </w:rPr>
              <w:t>5</w:t>
            </w:r>
          </w:p>
        </w:tc>
        <w:tc>
          <w:tcPr>
            <w:tcW w:w="1804" w:type="dxa"/>
            <w:vAlign w:val="bottom"/>
          </w:tcPr>
          <w:p w14:paraId="3FCC8ADB" w14:textId="77777777" w:rsidR="00C01A50" w:rsidRDefault="00C01A50" w:rsidP="00403D42">
            <w:pPr>
              <w:jc w:val="right"/>
              <w:rPr>
                <w:rFonts w:cs="Calibri"/>
                <w:color w:val="000000"/>
              </w:rPr>
            </w:pPr>
            <w:r>
              <w:rPr>
                <w:rFonts w:cs="Calibri"/>
                <w:color w:val="000000"/>
              </w:rPr>
              <w:t>16%</w:t>
            </w:r>
          </w:p>
        </w:tc>
      </w:tr>
    </w:tbl>
    <w:p w14:paraId="52AF06CB" w14:textId="77777777" w:rsidR="00C01A50" w:rsidRDefault="00C01A50" w:rsidP="00DB15F9">
      <w:r>
        <w:t>Source: adapted from Aither 2016b, scenario 3.</w:t>
      </w:r>
    </w:p>
    <w:p w14:paraId="1FA47D07" w14:textId="77777777" w:rsidR="00C01A50" w:rsidRDefault="00C01A50" w:rsidP="00DB15F9">
      <w:r>
        <w:lastRenderedPageBreak/>
        <w:t>Aither (2016b) also considered the expected price impacts of compounding future changes to irrigation (</w:t>
      </w:r>
      <w:r w:rsidRPr="008B3AFF">
        <w:t>significant growth for cotton and nuts, and a contraction for grapes</w:t>
      </w:r>
      <w:r>
        <w:t xml:space="preserve">) and urban demand as well as 200GL of additional water recovery. Again, the impacts are expected to be greatest under drier conditions. </w:t>
      </w:r>
    </w:p>
    <w:p w14:paraId="045D42DF" w14:textId="77777777" w:rsidR="00FB785F" w:rsidRDefault="00FB785F" w:rsidP="00FB785F">
      <w:pPr>
        <w:pStyle w:val="Caption"/>
        <w:keepNext/>
      </w:pPr>
      <w:r>
        <w:t xml:space="preserve">Table </w:t>
      </w:r>
      <w:r>
        <w:fldChar w:fldCharType="begin"/>
      </w:r>
      <w:r>
        <w:instrText xml:space="preserve"> SEQ Table \* ARABIC </w:instrText>
      </w:r>
      <w:r>
        <w:fldChar w:fldCharType="separate"/>
      </w:r>
      <w:r w:rsidR="008E5D7A">
        <w:rPr>
          <w:noProof/>
        </w:rPr>
        <w:t>33</w:t>
      </w:r>
      <w:r>
        <w:fldChar w:fldCharType="end"/>
      </w:r>
      <w:r>
        <w:t xml:space="preserve">: </w:t>
      </w:r>
      <w:r w:rsidRPr="00FB785F">
        <w:t xml:space="preserve">Water price rises attributable to buyback </w:t>
      </w:r>
      <w:r>
        <w:t xml:space="preserve">after allowing for future changes to irrigation demand </w:t>
      </w:r>
      <w:r w:rsidRPr="00FB785F">
        <w:t>(Aither, 2016a)</w:t>
      </w:r>
    </w:p>
    <w:tbl>
      <w:tblPr>
        <w:tblStyle w:val="TableGrid"/>
        <w:tblW w:w="0" w:type="auto"/>
        <w:tblLook w:val="04A0" w:firstRow="1" w:lastRow="0" w:firstColumn="1" w:lastColumn="0" w:noHBand="0" w:noVBand="1"/>
      </w:tblPr>
      <w:tblGrid>
        <w:gridCol w:w="1803"/>
        <w:gridCol w:w="1803"/>
        <w:gridCol w:w="1803"/>
        <w:gridCol w:w="1803"/>
        <w:gridCol w:w="1804"/>
      </w:tblGrid>
      <w:tr w:rsidR="00C01A50" w14:paraId="74D00F05" w14:textId="77777777">
        <w:tc>
          <w:tcPr>
            <w:tcW w:w="1803" w:type="dxa"/>
            <w:vAlign w:val="bottom"/>
          </w:tcPr>
          <w:p w14:paraId="08DB29E0" w14:textId="77777777" w:rsidR="00C01A50" w:rsidRDefault="00C01A50" w:rsidP="00403D42">
            <w:pPr>
              <w:rPr>
                <w:rFonts w:cs="Calibri"/>
                <w:color w:val="000000"/>
              </w:rPr>
            </w:pPr>
            <w:r>
              <w:rPr>
                <w:rFonts w:cs="Calibri"/>
                <w:color w:val="000000"/>
              </w:rPr>
              <w:t>Scenario</w:t>
            </w:r>
          </w:p>
        </w:tc>
        <w:tc>
          <w:tcPr>
            <w:tcW w:w="1803" w:type="dxa"/>
            <w:vAlign w:val="bottom"/>
          </w:tcPr>
          <w:p w14:paraId="5AE22714" w14:textId="77777777" w:rsidR="00C01A50" w:rsidRDefault="00C01A50" w:rsidP="00403D42">
            <w:pPr>
              <w:rPr>
                <w:rFonts w:cs="Calibri"/>
                <w:color w:val="000000"/>
              </w:rPr>
            </w:pPr>
            <w:r>
              <w:rPr>
                <w:rFonts w:cs="Calibri"/>
                <w:color w:val="000000"/>
              </w:rPr>
              <w:t>Modelled price - without ($/ML)</w:t>
            </w:r>
          </w:p>
        </w:tc>
        <w:tc>
          <w:tcPr>
            <w:tcW w:w="1803" w:type="dxa"/>
            <w:vAlign w:val="bottom"/>
          </w:tcPr>
          <w:p w14:paraId="310206A7" w14:textId="77777777" w:rsidR="00C01A50" w:rsidRDefault="00C01A50" w:rsidP="00403D42">
            <w:pPr>
              <w:rPr>
                <w:rFonts w:cs="Calibri"/>
                <w:color w:val="000000"/>
              </w:rPr>
            </w:pPr>
            <w:r>
              <w:rPr>
                <w:rFonts w:cs="Calibri"/>
                <w:color w:val="000000"/>
              </w:rPr>
              <w:t>Modelled price - with ($/ML)</w:t>
            </w:r>
          </w:p>
        </w:tc>
        <w:tc>
          <w:tcPr>
            <w:tcW w:w="1803" w:type="dxa"/>
            <w:vAlign w:val="bottom"/>
          </w:tcPr>
          <w:p w14:paraId="35C60D16" w14:textId="77777777" w:rsidR="00C01A50" w:rsidRDefault="00C01A50" w:rsidP="00403D42">
            <w:pPr>
              <w:rPr>
                <w:rFonts w:cs="Calibri"/>
                <w:color w:val="000000"/>
              </w:rPr>
            </w:pPr>
            <w:r>
              <w:rPr>
                <w:rFonts w:cs="Calibri"/>
                <w:color w:val="000000"/>
              </w:rPr>
              <w:t>Potential price impact ($/ML)</w:t>
            </w:r>
          </w:p>
        </w:tc>
        <w:tc>
          <w:tcPr>
            <w:tcW w:w="1804" w:type="dxa"/>
            <w:vAlign w:val="bottom"/>
          </w:tcPr>
          <w:p w14:paraId="09F0C55C" w14:textId="77777777" w:rsidR="00C01A50" w:rsidRDefault="00C01A50" w:rsidP="00403D42">
            <w:pPr>
              <w:rPr>
                <w:rFonts w:cs="Calibri"/>
                <w:color w:val="000000"/>
              </w:rPr>
            </w:pPr>
            <w:r>
              <w:rPr>
                <w:rFonts w:cs="Calibri"/>
                <w:color w:val="000000"/>
              </w:rPr>
              <w:t>Proportional change in allocation price due to buyback</w:t>
            </w:r>
          </w:p>
        </w:tc>
      </w:tr>
      <w:tr w:rsidR="00C01A50" w14:paraId="4E58177C" w14:textId="77777777">
        <w:tc>
          <w:tcPr>
            <w:tcW w:w="1803" w:type="dxa"/>
            <w:vAlign w:val="bottom"/>
          </w:tcPr>
          <w:p w14:paraId="6CDD2049" w14:textId="77777777" w:rsidR="00C01A50" w:rsidRDefault="00C01A50" w:rsidP="00403D42">
            <w:pPr>
              <w:rPr>
                <w:rFonts w:cs="Calibri"/>
                <w:color w:val="000000"/>
              </w:rPr>
            </w:pPr>
            <w:r>
              <w:rPr>
                <w:rFonts w:cs="Calibri"/>
                <w:color w:val="000000"/>
              </w:rPr>
              <w:t>Extreme dry</w:t>
            </w:r>
          </w:p>
        </w:tc>
        <w:tc>
          <w:tcPr>
            <w:tcW w:w="1803" w:type="dxa"/>
            <w:vAlign w:val="bottom"/>
          </w:tcPr>
          <w:p w14:paraId="7A2C78E4" w14:textId="77777777" w:rsidR="00C01A50" w:rsidRDefault="00C01A50" w:rsidP="00403D42">
            <w:pPr>
              <w:jc w:val="right"/>
              <w:rPr>
                <w:rFonts w:cs="Calibri"/>
                <w:color w:val="000000"/>
              </w:rPr>
            </w:pPr>
            <w:r>
              <w:rPr>
                <w:rFonts w:cs="Calibri"/>
                <w:color w:val="000000"/>
              </w:rPr>
              <w:t>603</w:t>
            </w:r>
          </w:p>
        </w:tc>
        <w:tc>
          <w:tcPr>
            <w:tcW w:w="1803" w:type="dxa"/>
            <w:vAlign w:val="bottom"/>
          </w:tcPr>
          <w:p w14:paraId="1726C415" w14:textId="77777777" w:rsidR="00C01A50" w:rsidRDefault="00C01A50" w:rsidP="00403D42">
            <w:pPr>
              <w:jc w:val="right"/>
              <w:rPr>
                <w:rFonts w:cs="Calibri"/>
                <w:color w:val="000000"/>
              </w:rPr>
            </w:pPr>
            <w:r>
              <w:rPr>
                <w:rFonts w:cs="Calibri"/>
                <w:color w:val="000000"/>
              </w:rPr>
              <w:t>702</w:t>
            </w:r>
          </w:p>
        </w:tc>
        <w:tc>
          <w:tcPr>
            <w:tcW w:w="1803" w:type="dxa"/>
            <w:vAlign w:val="bottom"/>
          </w:tcPr>
          <w:p w14:paraId="453D19D8" w14:textId="77777777" w:rsidR="00C01A50" w:rsidRDefault="00C01A50" w:rsidP="00403D42">
            <w:pPr>
              <w:jc w:val="right"/>
              <w:rPr>
                <w:rFonts w:cs="Calibri"/>
                <w:color w:val="000000"/>
              </w:rPr>
            </w:pPr>
            <w:r>
              <w:rPr>
                <w:rFonts w:cs="Calibri"/>
                <w:color w:val="000000"/>
              </w:rPr>
              <w:t>99</w:t>
            </w:r>
          </w:p>
        </w:tc>
        <w:tc>
          <w:tcPr>
            <w:tcW w:w="1804" w:type="dxa"/>
            <w:vAlign w:val="bottom"/>
          </w:tcPr>
          <w:p w14:paraId="5415407E" w14:textId="77777777" w:rsidR="00C01A50" w:rsidRDefault="00C01A50" w:rsidP="00403D42">
            <w:pPr>
              <w:jc w:val="right"/>
              <w:rPr>
                <w:rFonts w:cs="Calibri"/>
                <w:color w:val="000000"/>
              </w:rPr>
            </w:pPr>
            <w:r>
              <w:rPr>
                <w:rFonts w:cs="Calibri"/>
                <w:color w:val="000000"/>
              </w:rPr>
              <w:t>16%</w:t>
            </w:r>
          </w:p>
        </w:tc>
      </w:tr>
      <w:tr w:rsidR="00C01A50" w14:paraId="7D926408" w14:textId="77777777">
        <w:tc>
          <w:tcPr>
            <w:tcW w:w="1803" w:type="dxa"/>
            <w:vAlign w:val="bottom"/>
          </w:tcPr>
          <w:p w14:paraId="2489D79A" w14:textId="77777777" w:rsidR="00C01A50" w:rsidRDefault="00C01A50" w:rsidP="00403D42">
            <w:pPr>
              <w:rPr>
                <w:rFonts w:cs="Calibri"/>
                <w:color w:val="000000"/>
              </w:rPr>
            </w:pPr>
            <w:r>
              <w:rPr>
                <w:rFonts w:cs="Calibri"/>
                <w:color w:val="000000"/>
              </w:rPr>
              <w:t>Low allocation seasons</w:t>
            </w:r>
          </w:p>
        </w:tc>
        <w:tc>
          <w:tcPr>
            <w:tcW w:w="1803" w:type="dxa"/>
            <w:vAlign w:val="bottom"/>
          </w:tcPr>
          <w:p w14:paraId="5720E378" w14:textId="77777777" w:rsidR="00C01A50" w:rsidRDefault="00C01A50" w:rsidP="00403D42">
            <w:pPr>
              <w:jc w:val="right"/>
              <w:rPr>
                <w:rFonts w:cs="Calibri"/>
                <w:color w:val="000000"/>
              </w:rPr>
            </w:pPr>
            <w:r>
              <w:rPr>
                <w:rFonts w:cs="Calibri"/>
                <w:color w:val="000000"/>
              </w:rPr>
              <w:t>207</w:t>
            </w:r>
          </w:p>
        </w:tc>
        <w:tc>
          <w:tcPr>
            <w:tcW w:w="1803" w:type="dxa"/>
            <w:vAlign w:val="bottom"/>
          </w:tcPr>
          <w:p w14:paraId="23C35919" w14:textId="77777777" w:rsidR="00C01A50" w:rsidRDefault="00C01A50" w:rsidP="00403D42">
            <w:pPr>
              <w:jc w:val="right"/>
              <w:rPr>
                <w:rFonts w:cs="Calibri"/>
                <w:color w:val="000000"/>
              </w:rPr>
            </w:pPr>
            <w:r>
              <w:rPr>
                <w:rFonts w:cs="Calibri"/>
                <w:color w:val="000000"/>
              </w:rPr>
              <w:t>231</w:t>
            </w:r>
          </w:p>
        </w:tc>
        <w:tc>
          <w:tcPr>
            <w:tcW w:w="1803" w:type="dxa"/>
            <w:vAlign w:val="bottom"/>
          </w:tcPr>
          <w:p w14:paraId="183DDA25" w14:textId="77777777" w:rsidR="00C01A50" w:rsidRDefault="00C01A50" w:rsidP="00403D42">
            <w:pPr>
              <w:jc w:val="right"/>
              <w:rPr>
                <w:rFonts w:cs="Calibri"/>
                <w:color w:val="000000"/>
              </w:rPr>
            </w:pPr>
            <w:r>
              <w:rPr>
                <w:rFonts w:cs="Calibri"/>
                <w:color w:val="000000"/>
              </w:rPr>
              <w:t>24</w:t>
            </w:r>
          </w:p>
        </w:tc>
        <w:tc>
          <w:tcPr>
            <w:tcW w:w="1804" w:type="dxa"/>
            <w:vAlign w:val="bottom"/>
          </w:tcPr>
          <w:p w14:paraId="17E66A8D" w14:textId="77777777" w:rsidR="00C01A50" w:rsidRDefault="00C01A50" w:rsidP="00403D42">
            <w:pPr>
              <w:jc w:val="right"/>
              <w:rPr>
                <w:rFonts w:cs="Calibri"/>
                <w:color w:val="000000"/>
              </w:rPr>
            </w:pPr>
            <w:r>
              <w:rPr>
                <w:rFonts w:cs="Calibri"/>
                <w:color w:val="000000"/>
              </w:rPr>
              <w:t>12%</w:t>
            </w:r>
          </w:p>
        </w:tc>
      </w:tr>
      <w:tr w:rsidR="00C01A50" w14:paraId="1C47DB6D" w14:textId="77777777">
        <w:tc>
          <w:tcPr>
            <w:tcW w:w="1803" w:type="dxa"/>
            <w:vAlign w:val="bottom"/>
          </w:tcPr>
          <w:p w14:paraId="74148BAD" w14:textId="77777777" w:rsidR="00C01A50" w:rsidRDefault="00C01A50" w:rsidP="00403D42">
            <w:pPr>
              <w:rPr>
                <w:rFonts w:cs="Calibri"/>
                <w:color w:val="000000"/>
              </w:rPr>
            </w:pPr>
            <w:r>
              <w:rPr>
                <w:rFonts w:cs="Calibri"/>
                <w:color w:val="000000"/>
              </w:rPr>
              <w:t>Medium allocation seasons</w:t>
            </w:r>
          </w:p>
        </w:tc>
        <w:tc>
          <w:tcPr>
            <w:tcW w:w="1803" w:type="dxa"/>
            <w:vAlign w:val="bottom"/>
          </w:tcPr>
          <w:p w14:paraId="533F66F4" w14:textId="77777777" w:rsidR="00C01A50" w:rsidRDefault="00C01A50" w:rsidP="00403D42">
            <w:pPr>
              <w:jc w:val="right"/>
              <w:rPr>
                <w:rFonts w:cs="Calibri"/>
                <w:color w:val="000000"/>
              </w:rPr>
            </w:pPr>
            <w:r>
              <w:rPr>
                <w:rFonts w:cs="Calibri"/>
                <w:color w:val="000000"/>
              </w:rPr>
              <w:t>118</w:t>
            </w:r>
          </w:p>
        </w:tc>
        <w:tc>
          <w:tcPr>
            <w:tcW w:w="1803" w:type="dxa"/>
            <w:vAlign w:val="bottom"/>
          </w:tcPr>
          <w:p w14:paraId="425D8944" w14:textId="77777777" w:rsidR="00C01A50" w:rsidRDefault="00C01A50" w:rsidP="00403D42">
            <w:pPr>
              <w:jc w:val="right"/>
              <w:rPr>
                <w:rFonts w:cs="Calibri"/>
                <w:color w:val="000000"/>
              </w:rPr>
            </w:pPr>
            <w:r>
              <w:rPr>
                <w:rFonts w:cs="Calibri"/>
                <w:color w:val="000000"/>
              </w:rPr>
              <w:t>131</w:t>
            </w:r>
          </w:p>
        </w:tc>
        <w:tc>
          <w:tcPr>
            <w:tcW w:w="1803" w:type="dxa"/>
            <w:vAlign w:val="bottom"/>
          </w:tcPr>
          <w:p w14:paraId="1967BB64" w14:textId="77777777" w:rsidR="00C01A50" w:rsidRDefault="00C01A50" w:rsidP="00403D42">
            <w:pPr>
              <w:jc w:val="right"/>
              <w:rPr>
                <w:rFonts w:cs="Calibri"/>
                <w:color w:val="000000"/>
              </w:rPr>
            </w:pPr>
            <w:r>
              <w:rPr>
                <w:rFonts w:cs="Calibri"/>
                <w:color w:val="000000"/>
              </w:rPr>
              <w:t>13</w:t>
            </w:r>
          </w:p>
        </w:tc>
        <w:tc>
          <w:tcPr>
            <w:tcW w:w="1804" w:type="dxa"/>
            <w:vAlign w:val="bottom"/>
          </w:tcPr>
          <w:p w14:paraId="3B8C9BF5" w14:textId="77777777" w:rsidR="00C01A50" w:rsidRDefault="00C01A50" w:rsidP="00403D42">
            <w:pPr>
              <w:jc w:val="right"/>
              <w:rPr>
                <w:rFonts w:cs="Calibri"/>
                <w:color w:val="000000"/>
              </w:rPr>
            </w:pPr>
            <w:r>
              <w:rPr>
                <w:rFonts w:cs="Calibri"/>
                <w:color w:val="000000"/>
              </w:rPr>
              <w:t>10%</w:t>
            </w:r>
          </w:p>
        </w:tc>
      </w:tr>
      <w:tr w:rsidR="00C01A50" w14:paraId="62271B39" w14:textId="77777777">
        <w:tc>
          <w:tcPr>
            <w:tcW w:w="1803" w:type="dxa"/>
            <w:vAlign w:val="bottom"/>
          </w:tcPr>
          <w:p w14:paraId="0BB99AC6" w14:textId="77777777" w:rsidR="00C01A50" w:rsidRDefault="00C01A50" w:rsidP="00403D42">
            <w:pPr>
              <w:rPr>
                <w:rFonts w:cs="Calibri"/>
                <w:color w:val="000000"/>
              </w:rPr>
            </w:pPr>
            <w:r>
              <w:rPr>
                <w:rFonts w:cs="Calibri"/>
                <w:color w:val="000000"/>
              </w:rPr>
              <w:t>High allocation seasons</w:t>
            </w:r>
          </w:p>
        </w:tc>
        <w:tc>
          <w:tcPr>
            <w:tcW w:w="1803" w:type="dxa"/>
            <w:vAlign w:val="bottom"/>
          </w:tcPr>
          <w:p w14:paraId="6A735DEB" w14:textId="77777777" w:rsidR="00C01A50" w:rsidRDefault="00C01A50" w:rsidP="00403D42">
            <w:pPr>
              <w:jc w:val="right"/>
              <w:rPr>
                <w:rFonts w:cs="Calibri"/>
                <w:color w:val="000000"/>
              </w:rPr>
            </w:pPr>
            <w:r>
              <w:rPr>
                <w:rFonts w:cs="Calibri"/>
                <w:color w:val="000000"/>
              </w:rPr>
              <w:t>37</w:t>
            </w:r>
          </w:p>
        </w:tc>
        <w:tc>
          <w:tcPr>
            <w:tcW w:w="1803" w:type="dxa"/>
            <w:vAlign w:val="bottom"/>
          </w:tcPr>
          <w:p w14:paraId="66E6DEDB" w14:textId="77777777" w:rsidR="00C01A50" w:rsidRDefault="00C01A50" w:rsidP="00403D42">
            <w:pPr>
              <w:jc w:val="right"/>
              <w:rPr>
                <w:rFonts w:cs="Calibri"/>
                <w:color w:val="000000"/>
              </w:rPr>
            </w:pPr>
            <w:r>
              <w:rPr>
                <w:rFonts w:cs="Calibri"/>
                <w:color w:val="000000"/>
              </w:rPr>
              <w:t>41</w:t>
            </w:r>
          </w:p>
        </w:tc>
        <w:tc>
          <w:tcPr>
            <w:tcW w:w="1803" w:type="dxa"/>
            <w:vAlign w:val="bottom"/>
          </w:tcPr>
          <w:p w14:paraId="42005345" w14:textId="77777777" w:rsidR="00C01A50" w:rsidRDefault="00C01A50" w:rsidP="00403D42">
            <w:pPr>
              <w:jc w:val="right"/>
              <w:rPr>
                <w:rFonts w:cs="Calibri"/>
                <w:color w:val="000000"/>
              </w:rPr>
            </w:pPr>
            <w:r>
              <w:rPr>
                <w:rFonts w:cs="Calibri"/>
                <w:color w:val="000000"/>
              </w:rPr>
              <w:t>4</w:t>
            </w:r>
          </w:p>
        </w:tc>
        <w:tc>
          <w:tcPr>
            <w:tcW w:w="1804" w:type="dxa"/>
            <w:vAlign w:val="bottom"/>
          </w:tcPr>
          <w:p w14:paraId="2187647F" w14:textId="77777777" w:rsidR="00C01A50" w:rsidRDefault="00C01A50" w:rsidP="00403D42">
            <w:pPr>
              <w:jc w:val="right"/>
              <w:rPr>
                <w:rFonts w:cs="Calibri"/>
                <w:color w:val="000000"/>
              </w:rPr>
            </w:pPr>
            <w:r>
              <w:rPr>
                <w:rFonts w:cs="Calibri"/>
                <w:color w:val="000000"/>
              </w:rPr>
              <w:t>9%</w:t>
            </w:r>
          </w:p>
        </w:tc>
      </w:tr>
    </w:tbl>
    <w:p w14:paraId="114C57AA" w14:textId="77777777" w:rsidR="00C01A50" w:rsidRDefault="00C01A50" w:rsidP="00DB15F9"/>
    <w:p w14:paraId="38CBD532" w14:textId="77777777" w:rsidR="00C01A50" w:rsidRDefault="00C01A50" w:rsidP="00DB15F9">
      <w:r>
        <w:t>RMCG (2016) also examined the correlation between water recovery and prices in water markets. The analysis built of water market data that shows a strong inverse correlation between the level of total available allocation and price in the temporary market.</w:t>
      </w:r>
    </w:p>
    <w:p w14:paraId="7EBEC118" w14:textId="77777777" w:rsidR="00C01A50" w:rsidRDefault="00C01A50" w:rsidP="00DB15F9">
      <w:r>
        <w:t xml:space="preserve">RMCG found that the water allocation price in the southern MDB could be described in relation to the </w:t>
      </w:r>
      <w:r w:rsidRPr="00EA6471">
        <w:t>total</w:t>
      </w:r>
      <w:r>
        <w:t xml:space="preserve"> </w:t>
      </w:r>
      <w:r w:rsidRPr="00EA6471">
        <w:t>volume</w:t>
      </w:r>
      <w:r>
        <w:t xml:space="preserve"> </w:t>
      </w:r>
      <w:r w:rsidRPr="00EA6471">
        <w:t>of</w:t>
      </w:r>
      <w:r>
        <w:t xml:space="preserve"> </w:t>
      </w:r>
      <w:r w:rsidRPr="00EA6471">
        <w:t>announced</w:t>
      </w:r>
      <w:r>
        <w:t xml:space="preserve"> </w:t>
      </w:r>
      <w:r w:rsidRPr="00EA6471">
        <w:t>allocations</w:t>
      </w:r>
      <w:r>
        <w:t xml:space="preserve"> </w:t>
      </w:r>
      <w:r w:rsidRPr="00EA6471">
        <w:t>by</w:t>
      </w:r>
      <w:r>
        <w:t xml:space="preserve"> </w:t>
      </w:r>
      <w:r w:rsidRPr="00EA6471">
        <w:t>season</w:t>
      </w:r>
      <w:r>
        <w:t xml:space="preserve"> </w:t>
      </w:r>
      <w:r w:rsidRPr="00EA6471">
        <w:t>across</w:t>
      </w:r>
      <w:r>
        <w:t xml:space="preserve"> </w:t>
      </w:r>
      <w:r w:rsidRPr="00EA6471">
        <w:t>the</w:t>
      </w:r>
      <w:r>
        <w:t xml:space="preserve"> </w:t>
      </w:r>
      <w:r w:rsidRPr="00EA6471">
        <w:t>southern</w:t>
      </w:r>
      <w:r>
        <w:t xml:space="preserve"> </w:t>
      </w:r>
      <w:r w:rsidRPr="00EA6471">
        <w:t>connected</w:t>
      </w:r>
      <w:r>
        <w:t xml:space="preserve"> </w:t>
      </w:r>
      <w:r w:rsidRPr="00EA6471">
        <w:t>basin</w:t>
      </w:r>
      <w:r>
        <w:t>.</w:t>
      </w:r>
    </w:p>
    <w:p w14:paraId="77029F11" w14:textId="77777777" w:rsidR="00FB785F" w:rsidRDefault="00C01A50" w:rsidP="00FB785F">
      <w:pPr>
        <w:keepNext/>
      </w:pPr>
      <w:r>
        <w:rPr>
          <w:noProof/>
          <w:lang w:val="en-AU" w:eastAsia="en-AU" w:bidi="ar-SA"/>
        </w:rPr>
        <w:lastRenderedPageBreak/>
        <w:drawing>
          <wp:inline distT="0" distB="0" distL="0" distR="0" wp14:anchorId="314507D5" wp14:editId="404A3AA4">
            <wp:extent cx="5520690" cy="3570605"/>
            <wp:effectExtent l="0" t="0" r="3810" b="0"/>
            <wp:docPr id="27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0690" cy="3570605"/>
                    </a:xfrm>
                    <a:prstGeom prst="rect">
                      <a:avLst/>
                    </a:prstGeom>
                    <a:noFill/>
                    <a:ln>
                      <a:noFill/>
                    </a:ln>
                  </pic:spPr>
                </pic:pic>
              </a:graphicData>
            </a:graphic>
          </wp:inline>
        </w:drawing>
      </w:r>
    </w:p>
    <w:p w14:paraId="3A9D3800" w14:textId="77777777" w:rsidR="001D669F" w:rsidRDefault="00FB785F" w:rsidP="001D669F">
      <w:pPr>
        <w:pStyle w:val="Caption"/>
      </w:pPr>
      <w:r>
        <w:t xml:space="preserve">Figure </w:t>
      </w:r>
      <w:r>
        <w:fldChar w:fldCharType="begin"/>
      </w:r>
      <w:r>
        <w:instrText xml:space="preserve"> SEQ Figure \* ARABIC </w:instrText>
      </w:r>
      <w:r>
        <w:fldChar w:fldCharType="separate"/>
      </w:r>
      <w:r w:rsidR="008E5D7A">
        <w:rPr>
          <w:noProof/>
        </w:rPr>
        <w:t>68</w:t>
      </w:r>
      <w:r>
        <w:fldChar w:fldCharType="end"/>
      </w:r>
      <w:r>
        <w:t xml:space="preserve"> </w:t>
      </w:r>
      <w:r w:rsidR="001D669F">
        <w:t>Water allocation price relationship with water availability</w:t>
      </w:r>
      <w:r w:rsidR="001D669F" w:rsidRPr="001D669F">
        <w:t xml:space="preserve"> </w:t>
      </w:r>
    </w:p>
    <w:p w14:paraId="3C7A3656" w14:textId="77777777" w:rsidR="00C01A50" w:rsidRPr="001D669F" w:rsidRDefault="001D669F" w:rsidP="001D669F">
      <w:pPr>
        <w:pStyle w:val="Caption"/>
        <w:rPr>
          <w:b w:val="0"/>
        </w:rPr>
      </w:pPr>
      <w:r w:rsidRPr="001D669F">
        <w:rPr>
          <w:rFonts w:eastAsia="Calibri"/>
          <w:b w:val="0"/>
          <w:color w:val="000000"/>
          <w:sz w:val="18"/>
          <w:szCs w:val="22"/>
          <w:lang w:val="en-AU"/>
        </w:rPr>
        <w:t>Source: RMCG 2016</w:t>
      </w:r>
    </w:p>
    <w:p w14:paraId="37834F05" w14:textId="77777777" w:rsidR="00C01A50" w:rsidRDefault="00C01A50" w:rsidP="00DB15F9">
      <w:r>
        <w:t xml:space="preserve">RMCG use this relationship to consider the impact of water recovery of 20% of the consumptive pool. </w:t>
      </w:r>
    </w:p>
    <w:p w14:paraId="437B3B1F" w14:textId="77777777" w:rsidR="00FB785F" w:rsidRDefault="00C01A50" w:rsidP="00FB785F">
      <w:pPr>
        <w:keepNext/>
      </w:pPr>
      <w:r>
        <w:rPr>
          <w:noProof/>
          <w:lang w:val="en-AU" w:eastAsia="en-AU" w:bidi="ar-SA"/>
        </w:rPr>
        <w:drawing>
          <wp:inline distT="0" distB="0" distL="0" distR="0" wp14:anchorId="7AB86B42" wp14:editId="0FF7C056">
            <wp:extent cx="5579745" cy="3110865"/>
            <wp:effectExtent l="0" t="0" r="1905" b="0"/>
            <wp:docPr id="28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79745" cy="3110865"/>
                    </a:xfrm>
                    <a:prstGeom prst="rect">
                      <a:avLst/>
                    </a:prstGeom>
                    <a:noFill/>
                    <a:ln>
                      <a:noFill/>
                    </a:ln>
                  </pic:spPr>
                </pic:pic>
              </a:graphicData>
            </a:graphic>
          </wp:inline>
        </w:drawing>
      </w:r>
    </w:p>
    <w:p w14:paraId="6997F8F7" w14:textId="77777777" w:rsidR="00C01A50" w:rsidRDefault="00FB785F" w:rsidP="00FB785F">
      <w:pPr>
        <w:pStyle w:val="Caption"/>
      </w:pPr>
      <w:r>
        <w:t xml:space="preserve">Figure </w:t>
      </w:r>
      <w:r>
        <w:fldChar w:fldCharType="begin"/>
      </w:r>
      <w:r>
        <w:instrText xml:space="preserve"> SEQ Figure \* ARABIC </w:instrText>
      </w:r>
      <w:r>
        <w:fldChar w:fldCharType="separate"/>
      </w:r>
      <w:r w:rsidR="008E5D7A">
        <w:rPr>
          <w:noProof/>
        </w:rPr>
        <w:t>69</w:t>
      </w:r>
      <w:r>
        <w:fldChar w:fldCharType="end"/>
      </w:r>
      <w:r w:rsidR="001D669F">
        <w:t xml:space="preserve"> Water allocation price response to water recovery</w:t>
      </w:r>
    </w:p>
    <w:p w14:paraId="0636FA5E" w14:textId="77777777" w:rsidR="001D669F" w:rsidRPr="001D669F" w:rsidRDefault="001D669F" w:rsidP="00DB15F9">
      <w:pPr>
        <w:rPr>
          <w:rFonts w:eastAsia="Calibri"/>
          <w:color w:val="000000"/>
          <w:sz w:val="18"/>
          <w:szCs w:val="22"/>
          <w:lang w:val="en-AU"/>
        </w:rPr>
      </w:pPr>
      <w:r>
        <w:rPr>
          <w:rFonts w:eastAsia="Calibri"/>
          <w:color w:val="000000"/>
          <w:sz w:val="18"/>
          <w:szCs w:val="22"/>
          <w:lang w:val="en-AU"/>
        </w:rPr>
        <w:t>Source: RMCG 2016</w:t>
      </w:r>
    </w:p>
    <w:p w14:paraId="062FAB70" w14:textId="77777777" w:rsidR="00C01A50" w:rsidRDefault="00C01A50" w:rsidP="00DB15F9">
      <w:r>
        <w:lastRenderedPageBreak/>
        <w:t>The expected price impacts are significantly greater than the differences reported by Aither (2016a and 2016b), even after adjustments are made to consider a buyback of 15% of the consumptive pool (see table).</w:t>
      </w:r>
    </w:p>
    <w:p w14:paraId="6DD09F82" w14:textId="77777777" w:rsidR="00C01A50" w:rsidRDefault="00C01A50" w:rsidP="00E3766B"/>
    <w:tbl>
      <w:tblPr>
        <w:tblStyle w:val="TableGrid"/>
        <w:tblW w:w="0" w:type="auto"/>
        <w:tblLook w:val="04A0" w:firstRow="1" w:lastRow="0" w:firstColumn="1" w:lastColumn="0" w:noHBand="0" w:noVBand="1"/>
      </w:tblPr>
      <w:tblGrid>
        <w:gridCol w:w="1803"/>
        <w:gridCol w:w="1778"/>
        <w:gridCol w:w="1779"/>
        <w:gridCol w:w="1779"/>
        <w:gridCol w:w="1779"/>
      </w:tblGrid>
      <w:tr w:rsidR="00C01A50" w14:paraId="5E162882" w14:textId="77777777">
        <w:tc>
          <w:tcPr>
            <w:tcW w:w="1803" w:type="dxa"/>
            <w:vAlign w:val="bottom"/>
          </w:tcPr>
          <w:p w14:paraId="7784246D" w14:textId="77777777" w:rsidR="00C01A50" w:rsidRDefault="00C01A50" w:rsidP="002D2DFA">
            <w:pPr>
              <w:rPr>
                <w:rFonts w:cs="Calibri"/>
                <w:color w:val="000000"/>
              </w:rPr>
            </w:pPr>
            <w:r>
              <w:rPr>
                <w:rFonts w:cs="Calibri"/>
                <w:color w:val="000000"/>
              </w:rPr>
              <w:t>Scenario</w:t>
            </w:r>
          </w:p>
        </w:tc>
        <w:tc>
          <w:tcPr>
            <w:tcW w:w="1778" w:type="dxa"/>
            <w:vAlign w:val="bottom"/>
          </w:tcPr>
          <w:p w14:paraId="23766083" w14:textId="77777777" w:rsidR="00C01A50" w:rsidRDefault="00C01A50" w:rsidP="002D2DFA">
            <w:pPr>
              <w:rPr>
                <w:rFonts w:cs="Calibri"/>
                <w:color w:val="000000"/>
              </w:rPr>
            </w:pPr>
            <w:r>
              <w:rPr>
                <w:rFonts w:cs="Calibri"/>
                <w:color w:val="000000"/>
              </w:rPr>
              <w:t>Potential price impact due to 20% buyback ($/ML)</w:t>
            </w:r>
          </w:p>
        </w:tc>
        <w:tc>
          <w:tcPr>
            <w:tcW w:w="1779" w:type="dxa"/>
            <w:vAlign w:val="bottom"/>
          </w:tcPr>
          <w:p w14:paraId="0F613F42" w14:textId="77777777" w:rsidR="00C01A50" w:rsidRDefault="00C01A50" w:rsidP="002D2DFA">
            <w:pPr>
              <w:rPr>
                <w:rFonts w:cs="Calibri"/>
                <w:color w:val="000000"/>
              </w:rPr>
            </w:pPr>
            <w:r>
              <w:rPr>
                <w:rFonts w:cs="Calibri"/>
                <w:color w:val="000000"/>
              </w:rPr>
              <w:t>Proportional change in allocation price due to 20% buyback</w:t>
            </w:r>
          </w:p>
        </w:tc>
        <w:tc>
          <w:tcPr>
            <w:tcW w:w="1779" w:type="dxa"/>
            <w:vAlign w:val="bottom"/>
          </w:tcPr>
          <w:p w14:paraId="20C48D43" w14:textId="77777777" w:rsidR="00C01A50" w:rsidRDefault="00C01A50" w:rsidP="002D2DFA">
            <w:pPr>
              <w:rPr>
                <w:rFonts w:cs="Calibri"/>
                <w:color w:val="000000"/>
              </w:rPr>
            </w:pPr>
            <w:r>
              <w:rPr>
                <w:rFonts w:cs="Calibri"/>
                <w:color w:val="000000"/>
              </w:rPr>
              <w:t>Potential price impact due to 15% buyback ($/ML)</w:t>
            </w:r>
          </w:p>
        </w:tc>
        <w:tc>
          <w:tcPr>
            <w:tcW w:w="1779" w:type="dxa"/>
            <w:vAlign w:val="bottom"/>
          </w:tcPr>
          <w:p w14:paraId="2F6C055A" w14:textId="77777777" w:rsidR="00C01A50" w:rsidRDefault="00C01A50" w:rsidP="002D2DFA">
            <w:pPr>
              <w:rPr>
                <w:rFonts w:cs="Calibri"/>
                <w:color w:val="000000"/>
              </w:rPr>
            </w:pPr>
            <w:r>
              <w:rPr>
                <w:rFonts w:cs="Calibri"/>
                <w:color w:val="000000"/>
              </w:rPr>
              <w:t>Proportional change in allocation price due to 15% buyback</w:t>
            </w:r>
          </w:p>
        </w:tc>
      </w:tr>
      <w:tr w:rsidR="00C01A50" w14:paraId="5256F6A2" w14:textId="77777777">
        <w:tc>
          <w:tcPr>
            <w:tcW w:w="1803" w:type="dxa"/>
            <w:vAlign w:val="bottom"/>
          </w:tcPr>
          <w:p w14:paraId="131CE2C3" w14:textId="77777777" w:rsidR="00C01A50" w:rsidRDefault="00C01A50" w:rsidP="002D2DFA">
            <w:pPr>
              <w:rPr>
                <w:rFonts w:cs="Calibri"/>
                <w:color w:val="000000"/>
              </w:rPr>
            </w:pPr>
            <w:r>
              <w:rPr>
                <w:rFonts w:cs="Calibri"/>
                <w:color w:val="000000"/>
              </w:rPr>
              <w:t xml:space="preserve">Drought scenario </w:t>
            </w:r>
          </w:p>
        </w:tc>
        <w:tc>
          <w:tcPr>
            <w:tcW w:w="1778" w:type="dxa"/>
            <w:vAlign w:val="bottom"/>
          </w:tcPr>
          <w:p w14:paraId="56341D05" w14:textId="77777777" w:rsidR="00C01A50" w:rsidRDefault="00C01A50" w:rsidP="002D2DFA">
            <w:pPr>
              <w:jc w:val="right"/>
              <w:rPr>
                <w:rFonts w:cs="Calibri"/>
                <w:color w:val="000000"/>
              </w:rPr>
            </w:pPr>
            <w:r>
              <w:rPr>
                <w:rFonts w:cs="Calibri"/>
                <w:color w:val="000000"/>
              </w:rPr>
              <w:t>158</w:t>
            </w:r>
          </w:p>
        </w:tc>
        <w:tc>
          <w:tcPr>
            <w:tcW w:w="1779" w:type="dxa"/>
            <w:vAlign w:val="bottom"/>
          </w:tcPr>
          <w:p w14:paraId="284A1BEA" w14:textId="77777777" w:rsidR="00C01A50" w:rsidRDefault="00C01A50" w:rsidP="002D2DFA">
            <w:pPr>
              <w:jc w:val="right"/>
              <w:rPr>
                <w:rFonts w:cs="Calibri"/>
                <w:color w:val="000000"/>
              </w:rPr>
            </w:pPr>
            <w:r>
              <w:rPr>
                <w:rFonts w:cs="Calibri"/>
                <w:color w:val="000000"/>
              </w:rPr>
              <w:t>38%</w:t>
            </w:r>
          </w:p>
        </w:tc>
        <w:tc>
          <w:tcPr>
            <w:tcW w:w="1779" w:type="dxa"/>
            <w:vAlign w:val="bottom"/>
          </w:tcPr>
          <w:p w14:paraId="3E1DA458" w14:textId="77777777" w:rsidR="00C01A50" w:rsidRDefault="00C01A50" w:rsidP="002D2DFA">
            <w:pPr>
              <w:jc w:val="right"/>
              <w:rPr>
                <w:rFonts w:cs="Calibri"/>
                <w:color w:val="000000"/>
              </w:rPr>
            </w:pPr>
            <w:r>
              <w:rPr>
                <w:rFonts w:cs="Calibri"/>
                <w:color w:val="000000"/>
              </w:rPr>
              <w:t>115</w:t>
            </w:r>
          </w:p>
        </w:tc>
        <w:tc>
          <w:tcPr>
            <w:tcW w:w="1779" w:type="dxa"/>
            <w:vAlign w:val="bottom"/>
          </w:tcPr>
          <w:p w14:paraId="123690A0" w14:textId="77777777" w:rsidR="00C01A50" w:rsidRDefault="00C01A50" w:rsidP="002D2DFA">
            <w:pPr>
              <w:jc w:val="right"/>
              <w:rPr>
                <w:rFonts w:cs="Calibri"/>
                <w:color w:val="000000"/>
              </w:rPr>
            </w:pPr>
            <w:r>
              <w:rPr>
                <w:rFonts w:cs="Calibri"/>
                <w:color w:val="000000"/>
              </w:rPr>
              <w:t>27%</w:t>
            </w:r>
          </w:p>
        </w:tc>
      </w:tr>
      <w:tr w:rsidR="00C01A50" w14:paraId="26DCDDAA" w14:textId="77777777">
        <w:tc>
          <w:tcPr>
            <w:tcW w:w="1803" w:type="dxa"/>
            <w:vAlign w:val="bottom"/>
          </w:tcPr>
          <w:p w14:paraId="6D407AA4" w14:textId="77777777" w:rsidR="00C01A50" w:rsidRDefault="00C01A50" w:rsidP="002D2DFA">
            <w:pPr>
              <w:rPr>
                <w:rFonts w:cs="Calibri"/>
                <w:color w:val="000000"/>
              </w:rPr>
            </w:pPr>
            <w:r>
              <w:rPr>
                <w:rFonts w:cs="Calibri"/>
                <w:color w:val="000000"/>
              </w:rPr>
              <w:t>Dry scenario</w:t>
            </w:r>
          </w:p>
        </w:tc>
        <w:tc>
          <w:tcPr>
            <w:tcW w:w="1778" w:type="dxa"/>
            <w:vAlign w:val="bottom"/>
          </w:tcPr>
          <w:p w14:paraId="5DADE4F4" w14:textId="77777777" w:rsidR="00C01A50" w:rsidRDefault="00C01A50" w:rsidP="002D2DFA">
            <w:pPr>
              <w:jc w:val="right"/>
              <w:rPr>
                <w:rFonts w:cs="Calibri"/>
                <w:color w:val="000000"/>
              </w:rPr>
            </w:pPr>
            <w:r>
              <w:rPr>
                <w:rFonts w:cs="Calibri"/>
                <w:color w:val="000000"/>
              </w:rPr>
              <w:t>96</w:t>
            </w:r>
          </w:p>
        </w:tc>
        <w:tc>
          <w:tcPr>
            <w:tcW w:w="1779" w:type="dxa"/>
            <w:vAlign w:val="bottom"/>
          </w:tcPr>
          <w:p w14:paraId="73355CBF" w14:textId="77777777" w:rsidR="00C01A50" w:rsidRDefault="00C01A50" w:rsidP="002D2DFA">
            <w:pPr>
              <w:jc w:val="right"/>
              <w:rPr>
                <w:rFonts w:cs="Calibri"/>
                <w:color w:val="000000"/>
              </w:rPr>
            </w:pPr>
            <w:r>
              <w:rPr>
                <w:rFonts w:cs="Calibri"/>
                <w:color w:val="000000"/>
              </w:rPr>
              <w:t>75%</w:t>
            </w:r>
          </w:p>
        </w:tc>
        <w:tc>
          <w:tcPr>
            <w:tcW w:w="1779" w:type="dxa"/>
            <w:vAlign w:val="bottom"/>
          </w:tcPr>
          <w:p w14:paraId="6134121B" w14:textId="77777777" w:rsidR="00C01A50" w:rsidRDefault="00C01A50" w:rsidP="002D2DFA">
            <w:pPr>
              <w:jc w:val="right"/>
              <w:rPr>
                <w:rFonts w:cs="Calibri"/>
                <w:color w:val="000000"/>
              </w:rPr>
            </w:pPr>
            <w:r>
              <w:rPr>
                <w:rFonts w:cs="Calibri"/>
                <w:color w:val="000000"/>
              </w:rPr>
              <w:t>67</w:t>
            </w:r>
          </w:p>
        </w:tc>
        <w:tc>
          <w:tcPr>
            <w:tcW w:w="1779" w:type="dxa"/>
            <w:vAlign w:val="bottom"/>
          </w:tcPr>
          <w:p w14:paraId="25A7866E" w14:textId="77777777" w:rsidR="00C01A50" w:rsidRDefault="00C01A50" w:rsidP="002D2DFA">
            <w:pPr>
              <w:jc w:val="right"/>
              <w:rPr>
                <w:rFonts w:cs="Calibri"/>
                <w:color w:val="000000"/>
              </w:rPr>
            </w:pPr>
            <w:r>
              <w:rPr>
                <w:rFonts w:cs="Calibri"/>
                <w:color w:val="000000"/>
              </w:rPr>
              <w:t>52%</w:t>
            </w:r>
          </w:p>
        </w:tc>
      </w:tr>
      <w:tr w:rsidR="00C01A50" w14:paraId="6631C4F3" w14:textId="77777777">
        <w:tc>
          <w:tcPr>
            <w:tcW w:w="1803" w:type="dxa"/>
            <w:vAlign w:val="bottom"/>
          </w:tcPr>
          <w:p w14:paraId="023082FA" w14:textId="77777777" w:rsidR="00C01A50" w:rsidRDefault="00C01A50" w:rsidP="002D2DFA">
            <w:pPr>
              <w:rPr>
                <w:rFonts w:cs="Calibri"/>
                <w:color w:val="000000"/>
              </w:rPr>
            </w:pPr>
            <w:r>
              <w:rPr>
                <w:rFonts w:cs="Calibri"/>
                <w:color w:val="000000"/>
              </w:rPr>
              <w:t>Average scenario</w:t>
            </w:r>
          </w:p>
        </w:tc>
        <w:tc>
          <w:tcPr>
            <w:tcW w:w="1778" w:type="dxa"/>
            <w:vAlign w:val="bottom"/>
          </w:tcPr>
          <w:p w14:paraId="1A1D577C" w14:textId="77777777" w:rsidR="00C01A50" w:rsidRDefault="00C01A50" w:rsidP="002D2DFA">
            <w:pPr>
              <w:jc w:val="right"/>
              <w:rPr>
                <w:rFonts w:cs="Calibri"/>
                <w:color w:val="000000"/>
              </w:rPr>
            </w:pPr>
            <w:r>
              <w:rPr>
                <w:rFonts w:cs="Calibri"/>
                <w:color w:val="000000"/>
              </w:rPr>
              <w:t>66</w:t>
            </w:r>
          </w:p>
        </w:tc>
        <w:tc>
          <w:tcPr>
            <w:tcW w:w="1779" w:type="dxa"/>
            <w:vAlign w:val="bottom"/>
          </w:tcPr>
          <w:p w14:paraId="72B1FF65" w14:textId="77777777" w:rsidR="00C01A50" w:rsidRDefault="00C01A50" w:rsidP="002D2DFA">
            <w:pPr>
              <w:jc w:val="right"/>
              <w:rPr>
                <w:rFonts w:cs="Calibri"/>
                <w:color w:val="000000"/>
              </w:rPr>
            </w:pPr>
            <w:r>
              <w:rPr>
                <w:rFonts w:cs="Calibri"/>
                <w:color w:val="000000"/>
              </w:rPr>
              <w:t>95%</w:t>
            </w:r>
          </w:p>
        </w:tc>
        <w:tc>
          <w:tcPr>
            <w:tcW w:w="1779" w:type="dxa"/>
            <w:vAlign w:val="bottom"/>
          </w:tcPr>
          <w:p w14:paraId="319FC43F" w14:textId="77777777" w:rsidR="00C01A50" w:rsidRDefault="00C01A50" w:rsidP="002D2DFA">
            <w:pPr>
              <w:jc w:val="right"/>
              <w:rPr>
                <w:rFonts w:cs="Calibri"/>
                <w:color w:val="000000"/>
              </w:rPr>
            </w:pPr>
            <w:r>
              <w:rPr>
                <w:rFonts w:cs="Calibri"/>
                <w:color w:val="000000"/>
              </w:rPr>
              <w:t>47</w:t>
            </w:r>
          </w:p>
        </w:tc>
        <w:tc>
          <w:tcPr>
            <w:tcW w:w="1779" w:type="dxa"/>
            <w:vAlign w:val="bottom"/>
          </w:tcPr>
          <w:p w14:paraId="593876C8" w14:textId="77777777" w:rsidR="00C01A50" w:rsidRDefault="00C01A50" w:rsidP="002D2DFA">
            <w:pPr>
              <w:jc w:val="right"/>
              <w:rPr>
                <w:rFonts w:cs="Calibri"/>
                <w:color w:val="000000"/>
              </w:rPr>
            </w:pPr>
            <w:r>
              <w:rPr>
                <w:rFonts w:cs="Calibri"/>
                <w:color w:val="000000"/>
              </w:rPr>
              <w:t>66%</w:t>
            </w:r>
          </w:p>
        </w:tc>
      </w:tr>
      <w:tr w:rsidR="00C01A50" w14:paraId="2D305ED1" w14:textId="77777777">
        <w:tc>
          <w:tcPr>
            <w:tcW w:w="1803" w:type="dxa"/>
            <w:vAlign w:val="bottom"/>
          </w:tcPr>
          <w:p w14:paraId="1E5D8681" w14:textId="77777777" w:rsidR="00C01A50" w:rsidRDefault="00C01A50" w:rsidP="002D2DFA">
            <w:pPr>
              <w:rPr>
                <w:rFonts w:cs="Calibri"/>
                <w:color w:val="000000"/>
              </w:rPr>
            </w:pPr>
            <w:r>
              <w:rPr>
                <w:rFonts w:cs="Calibri"/>
                <w:color w:val="000000"/>
              </w:rPr>
              <w:t>Wet scenario</w:t>
            </w:r>
          </w:p>
        </w:tc>
        <w:tc>
          <w:tcPr>
            <w:tcW w:w="1778" w:type="dxa"/>
            <w:vAlign w:val="bottom"/>
          </w:tcPr>
          <w:p w14:paraId="04FDCFBE" w14:textId="77777777" w:rsidR="00C01A50" w:rsidRDefault="00C01A50" w:rsidP="002D2DFA">
            <w:pPr>
              <w:jc w:val="right"/>
              <w:rPr>
                <w:rFonts w:cs="Calibri"/>
                <w:color w:val="000000"/>
              </w:rPr>
            </w:pPr>
            <w:r>
              <w:rPr>
                <w:rFonts w:cs="Calibri"/>
                <w:color w:val="000000"/>
              </w:rPr>
              <w:t>32</w:t>
            </w:r>
          </w:p>
        </w:tc>
        <w:tc>
          <w:tcPr>
            <w:tcW w:w="1779" w:type="dxa"/>
            <w:vAlign w:val="bottom"/>
          </w:tcPr>
          <w:p w14:paraId="18176D70" w14:textId="77777777" w:rsidR="00C01A50" w:rsidRDefault="00C01A50" w:rsidP="002D2DFA">
            <w:pPr>
              <w:jc w:val="right"/>
              <w:rPr>
                <w:rFonts w:cs="Calibri"/>
                <w:color w:val="000000"/>
              </w:rPr>
            </w:pPr>
            <w:r>
              <w:rPr>
                <w:rFonts w:cs="Calibri"/>
                <w:color w:val="000000"/>
              </w:rPr>
              <w:t>145%</w:t>
            </w:r>
          </w:p>
        </w:tc>
        <w:tc>
          <w:tcPr>
            <w:tcW w:w="1779" w:type="dxa"/>
            <w:vAlign w:val="bottom"/>
          </w:tcPr>
          <w:p w14:paraId="55CE2B1E" w14:textId="77777777" w:rsidR="00C01A50" w:rsidRDefault="00C01A50" w:rsidP="002D2DFA">
            <w:pPr>
              <w:jc w:val="right"/>
              <w:rPr>
                <w:rFonts w:cs="Calibri"/>
                <w:color w:val="000000"/>
              </w:rPr>
            </w:pPr>
            <w:r>
              <w:rPr>
                <w:rFonts w:cs="Calibri"/>
                <w:color w:val="000000"/>
              </w:rPr>
              <w:t>22</w:t>
            </w:r>
          </w:p>
        </w:tc>
        <w:tc>
          <w:tcPr>
            <w:tcW w:w="1779" w:type="dxa"/>
            <w:vAlign w:val="bottom"/>
          </w:tcPr>
          <w:p w14:paraId="6158F809" w14:textId="77777777" w:rsidR="00C01A50" w:rsidRDefault="00C01A50" w:rsidP="002D2DFA">
            <w:pPr>
              <w:jc w:val="right"/>
              <w:rPr>
                <w:rFonts w:cs="Calibri"/>
                <w:color w:val="000000"/>
              </w:rPr>
            </w:pPr>
            <w:r>
              <w:rPr>
                <w:rFonts w:cs="Calibri"/>
                <w:color w:val="000000"/>
              </w:rPr>
              <w:t>98%</w:t>
            </w:r>
          </w:p>
        </w:tc>
      </w:tr>
    </w:tbl>
    <w:p w14:paraId="33B240D5" w14:textId="77777777" w:rsidR="00C01A50" w:rsidRDefault="00C01A50" w:rsidP="00DB15F9">
      <w:r>
        <w:t>Source: Analysis based on RMCG (2016) function form.</w:t>
      </w:r>
    </w:p>
    <w:p w14:paraId="586DFB1A" w14:textId="77777777" w:rsidR="00C01A50" w:rsidRDefault="00C01A50" w:rsidP="00DB15F9">
      <w:r>
        <w:t>The function form estimated by RMCG can also be used to demonstrate how the compounding effect of water recovery and increasing horticultural investment manifests to impact water allocation prices.</w:t>
      </w:r>
    </w:p>
    <w:p w14:paraId="0E46F87A" w14:textId="77777777" w:rsidR="00C01A50" w:rsidRDefault="00C01A50" w:rsidP="00DB15F9">
      <w:r>
        <w:t>The chart below shifts the RMCG function based on the fixed water demands being added into the Mallee region. A base case (blue), aligning with the original RMCG curve, would be when there was 326GL of relatively fixed horticultural demand (a la 2008</w:t>
      </w:r>
      <w:r w:rsidR="00A61F22">
        <w:t>/</w:t>
      </w:r>
      <w:r>
        <w:t>09). If investment grew this horticultural demand to 526GL (a la 2015</w:t>
      </w:r>
      <w:r w:rsidR="00A61F22">
        <w:t>/</w:t>
      </w:r>
      <w:r>
        <w:t>16), and these enterprises would be expected to be willing to secure their full required water volumes (for prices up to at least $800/ML) then the new price function would be the orange curve. Maturation of existing plantings and further new investment would be expected to shift the curve further.</w:t>
      </w:r>
    </w:p>
    <w:p w14:paraId="53B7269A" w14:textId="77777777" w:rsidR="00C01A50" w:rsidRDefault="00C01A50" w:rsidP="00DB15F9"/>
    <w:p w14:paraId="3450CA52" w14:textId="77777777" w:rsidR="00C01A50" w:rsidRDefault="00C01A50" w:rsidP="00FB785F">
      <w:pPr>
        <w:keepNext/>
      </w:pPr>
      <w:r>
        <w:rPr>
          <w:noProof/>
          <w:lang w:val="en-AU" w:eastAsia="en-AU" w:bidi="ar-SA"/>
        </w:rPr>
        <w:lastRenderedPageBreak/>
        <w:drawing>
          <wp:inline distT="0" distB="0" distL="0" distR="0" wp14:anchorId="2E9A5260" wp14:editId="55793576">
            <wp:extent cx="5731510" cy="3069590"/>
            <wp:effectExtent l="0" t="0" r="8890" b="3810"/>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1A6E869B" w14:textId="77777777" w:rsidR="00FB785F" w:rsidRDefault="00FB785F" w:rsidP="00FB785F">
      <w:pPr>
        <w:pStyle w:val="Caption"/>
      </w:pPr>
      <w:r>
        <w:t xml:space="preserve">Figure </w:t>
      </w:r>
      <w:r>
        <w:fldChar w:fldCharType="begin"/>
      </w:r>
      <w:r>
        <w:instrText xml:space="preserve"> SEQ Figure \* ARABIC </w:instrText>
      </w:r>
      <w:r>
        <w:fldChar w:fldCharType="separate"/>
      </w:r>
      <w:r w:rsidR="008E5D7A">
        <w:rPr>
          <w:noProof/>
        </w:rPr>
        <w:t>70</w:t>
      </w:r>
      <w:r>
        <w:fldChar w:fldCharType="end"/>
      </w:r>
      <w:r>
        <w:t xml:space="preserve">: </w:t>
      </w:r>
      <w:r w:rsidR="001D669F">
        <w:t>Water allocation price relationship under different levels of horticultural investment</w:t>
      </w:r>
    </w:p>
    <w:p w14:paraId="1D2EA17B" w14:textId="77777777" w:rsidR="00C01A50" w:rsidRPr="001D669F" w:rsidRDefault="00C01A50" w:rsidP="00DB15F9">
      <w:pPr>
        <w:rPr>
          <w:rFonts w:eastAsia="Calibri"/>
          <w:color w:val="000000"/>
          <w:sz w:val="18"/>
          <w:szCs w:val="22"/>
          <w:lang w:val="en-AU"/>
        </w:rPr>
      </w:pPr>
      <w:r w:rsidRPr="001D669F">
        <w:rPr>
          <w:rFonts w:eastAsia="Calibri"/>
          <w:color w:val="000000"/>
          <w:sz w:val="18"/>
          <w:szCs w:val="22"/>
          <w:lang w:val="en-AU"/>
        </w:rPr>
        <w:t>Source: Analysis based on RMCG (2016) function</w:t>
      </w:r>
      <w:r w:rsidR="00FB785F" w:rsidRPr="001D669F">
        <w:rPr>
          <w:rFonts w:eastAsia="Calibri"/>
          <w:color w:val="000000"/>
          <w:sz w:val="18"/>
          <w:szCs w:val="22"/>
          <w:lang w:val="en-AU"/>
        </w:rPr>
        <w:t>al</w:t>
      </w:r>
      <w:r w:rsidRPr="001D669F">
        <w:rPr>
          <w:rFonts w:eastAsia="Calibri"/>
          <w:color w:val="000000"/>
          <w:sz w:val="18"/>
          <w:szCs w:val="22"/>
          <w:lang w:val="en-AU"/>
        </w:rPr>
        <w:t xml:space="preserve"> form.</w:t>
      </w:r>
    </w:p>
    <w:p w14:paraId="20F5B5DD" w14:textId="77777777" w:rsidR="00C01A50" w:rsidRDefault="00C01A50" w:rsidP="00DB15F9">
      <w:r>
        <w:t>This means that the water recovery and new horticultural investment are expected to have reinforcing additive effects on water allocation prices. The horticultural volumes are not sufficient to significantly change the price relationship in average and wet year (because they are a fixed volume rather than the proportional change associated with buyback). However, the additional volumes required to support these horticultural investments do become significant under dry to extreme dry conditions and therefore have a greater effect on the water allocation price relationship.</w:t>
      </w:r>
    </w:p>
    <w:p w14:paraId="0D4EB262" w14:textId="77777777" w:rsidR="00C01A50" w:rsidRDefault="00C01A50" w:rsidP="00DB15F9">
      <w:r>
        <w:t>It should be noted that price increases are not a categorically negative effect. It depend</w:t>
      </w:r>
      <w:r w:rsidR="00FB785F">
        <w:t>s</w:t>
      </w:r>
      <w:r>
        <w:t xml:space="preserve"> on the individual circumstances. However, if a farm enterprise had sold off water entitlement with the expectation of ongoing purchases of water allocations to maintain water use, then they are in a position that would be negatively affected by the expected impacts of the water allocation price.</w:t>
      </w:r>
    </w:p>
    <w:p w14:paraId="1F1E1DF0" w14:textId="77777777" w:rsidR="00C01A50" w:rsidRDefault="00C01A50">
      <w:pPr>
        <w:spacing w:before="0" w:after="0" w:line="240" w:lineRule="auto"/>
        <w:rPr>
          <w:sz w:val="18"/>
          <w:szCs w:val="18"/>
          <w:lang w:val="en-AU"/>
        </w:rPr>
      </w:pPr>
    </w:p>
    <w:p w14:paraId="616F4CD6" w14:textId="77777777" w:rsidR="00C01A50" w:rsidRDefault="00C01A50">
      <w:pPr>
        <w:spacing w:before="0" w:after="0" w:line="240" w:lineRule="auto"/>
        <w:rPr>
          <w:sz w:val="18"/>
          <w:szCs w:val="18"/>
          <w:lang w:val="en-AU"/>
        </w:rPr>
      </w:pPr>
      <w:r>
        <w:rPr>
          <w:sz w:val="18"/>
          <w:szCs w:val="18"/>
          <w:lang w:val="en-AU"/>
        </w:rPr>
        <w:br w:type="page"/>
      </w:r>
    </w:p>
    <w:p w14:paraId="05E3A6FB" w14:textId="77777777" w:rsidR="00C01A50" w:rsidRPr="008F4DCC" w:rsidRDefault="00C01A50" w:rsidP="0000281F">
      <w:pPr>
        <w:rPr>
          <w:sz w:val="18"/>
          <w:szCs w:val="18"/>
          <w:lang w:val="en-AU"/>
        </w:rPr>
      </w:pPr>
    </w:p>
    <w:p w14:paraId="09899A9E" w14:textId="77777777" w:rsidR="00C01A50" w:rsidRDefault="00C01A50" w:rsidP="00B81FA6">
      <w:pPr>
        <w:pStyle w:val="Heading1"/>
        <w:rPr>
          <w:lang w:val="en-AU"/>
        </w:rPr>
      </w:pPr>
      <w:bookmarkStart w:id="272" w:name="_Ref342404337"/>
      <w:bookmarkStart w:id="273" w:name="_Toc347747879"/>
      <w:r>
        <w:rPr>
          <w:lang w:val="en-AU"/>
        </w:rPr>
        <w:t>Expected future horticultural demands for water</w:t>
      </w:r>
      <w:bookmarkEnd w:id="272"/>
      <w:bookmarkEnd w:id="273"/>
    </w:p>
    <w:p w14:paraId="7EFD520C" w14:textId="77777777" w:rsidR="00C01A50" w:rsidRPr="00B534C5" w:rsidRDefault="00C01A50" w:rsidP="00BA0D84">
      <w:pPr>
        <w:rPr>
          <w:lang w:val="en-AU"/>
        </w:rPr>
      </w:pPr>
      <w:r>
        <w:rPr>
          <w:lang w:val="en-AU"/>
        </w:rPr>
        <w:t xml:space="preserve">Grapevines are the main irrigated horticultural crop in the southern-connected Basin, but there has been a recent decline in vineyard area. By contrast there has been a steady increase in the total area of tree crops, particularly almonds, since the Basin Plan commenced. The total area of irrigated grapevines peaked around 2006, before the Plan commenced, with the end of the wine </w:t>
      </w:r>
      <w:r w:rsidRPr="00B534C5">
        <w:rPr>
          <w:lang w:val="en-AU"/>
        </w:rPr>
        <w:t xml:space="preserve">boom. </w:t>
      </w:r>
    </w:p>
    <w:p w14:paraId="57418E78" w14:textId="77777777" w:rsidR="00C01A50" w:rsidRDefault="00C01A50" w:rsidP="00BA0D84">
      <w:pPr>
        <w:rPr>
          <w:lang w:val="en-AU"/>
        </w:rPr>
      </w:pPr>
      <w:r>
        <w:rPr>
          <w:lang w:val="en-AU"/>
        </w:rPr>
        <w:t xml:space="preserve">In </w:t>
      </w:r>
      <w:r w:rsidRPr="00626323">
        <w:rPr>
          <w:lang w:val="en-AU"/>
        </w:rPr>
        <w:t>1995</w:t>
      </w:r>
      <w:r>
        <w:rPr>
          <w:lang w:val="en-AU"/>
        </w:rPr>
        <w:t>/</w:t>
      </w:r>
      <w:r w:rsidRPr="00626323">
        <w:rPr>
          <w:lang w:val="en-AU"/>
        </w:rPr>
        <w:t xml:space="preserve">96, </w:t>
      </w:r>
      <w:r>
        <w:rPr>
          <w:lang w:val="en-AU"/>
        </w:rPr>
        <w:t xml:space="preserve">pears were the </w:t>
      </w:r>
      <w:r w:rsidR="00A34F27">
        <w:rPr>
          <w:lang w:val="en-AU"/>
        </w:rPr>
        <w:t>Goulburn Broken</w:t>
      </w:r>
      <w:r>
        <w:rPr>
          <w:lang w:val="en-AU"/>
        </w:rPr>
        <w:t xml:space="preserve"> region</w:t>
      </w:r>
      <w:r w:rsidR="00302BD9">
        <w:rPr>
          <w:lang w:val="en-AU"/>
        </w:rPr>
        <w:t>’</w:t>
      </w:r>
      <w:r>
        <w:rPr>
          <w:lang w:val="en-AU"/>
        </w:rPr>
        <w:t>s</w:t>
      </w:r>
      <w:r w:rsidRPr="00626323">
        <w:rPr>
          <w:lang w:val="en-AU"/>
        </w:rPr>
        <w:t xml:space="preserve"> main </w:t>
      </w:r>
      <w:r>
        <w:rPr>
          <w:lang w:val="en-AU"/>
        </w:rPr>
        <w:t xml:space="preserve">pome </w:t>
      </w:r>
      <w:r w:rsidRPr="00626323">
        <w:rPr>
          <w:lang w:val="en-AU"/>
        </w:rPr>
        <w:t>fruit</w:t>
      </w:r>
      <w:r>
        <w:rPr>
          <w:lang w:val="en-AU"/>
        </w:rPr>
        <w:t>, but</w:t>
      </w:r>
      <w:r w:rsidRPr="00626323">
        <w:rPr>
          <w:lang w:val="en-AU"/>
        </w:rPr>
        <w:t xml:space="preserve"> declining market demand for pears and comparatively higher prices for other crops meant plantings were not replaced and production steadily declined. </w:t>
      </w:r>
      <w:r>
        <w:rPr>
          <w:lang w:val="en-AU"/>
        </w:rPr>
        <w:t>As pear production declined,</w:t>
      </w:r>
      <w:r w:rsidRPr="00626323">
        <w:rPr>
          <w:lang w:val="en-AU"/>
        </w:rPr>
        <w:t xml:space="preserve"> appl</w:t>
      </w:r>
      <w:r>
        <w:rPr>
          <w:lang w:val="en-AU"/>
        </w:rPr>
        <w:t>e production</w:t>
      </w:r>
      <w:r w:rsidRPr="00626323">
        <w:rPr>
          <w:lang w:val="en-AU"/>
        </w:rPr>
        <w:t xml:space="preserve"> increased</w:t>
      </w:r>
      <w:r>
        <w:rPr>
          <w:lang w:val="en-AU"/>
        </w:rPr>
        <w:t xml:space="preserve"> by 58% between from 1995/96 to 2012/13 when t</w:t>
      </w:r>
      <w:r w:rsidRPr="00626323">
        <w:rPr>
          <w:lang w:val="en-AU"/>
        </w:rPr>
        <w:t>he Goulb</w:t>
      </w:r>
      <w:r>
        <w:rPr>
          <w:lang w:val="en-AU"/>
        </w:rPr>
        <w:t xml:space="preserve">urn Broken region accounted for </w:t>
      </w:r>
      <w:r w:rsidRPr="00626323">
        <w:rPr>
          <w:lang w:val="en-AU"/>
        </w:rPr>
        <w:t>70</w:t>
      </w:r>
      <w:r>
        <w:rPr>
          <w:lang w:val="en-AU"/>
        </w:rPr>
        <w:t>%</w:t>
      </w:r>
      <w:r w:rsidRPr="00626323">
        <w:rPr>
          <w:lang w:val="en-AU"/>
        </w:rPr>
        <w:t xml:space="preserve"> of the value of Victorian apple production</w:t>
      </w:r>
      <w:r w:rsidRPr="00A92E77">
        <w:rPr>
          <w:lang w:val="en-AU"/>
        </w:rPr>
        <w:t xml:space="preserve"> </w:t>
      </w:r>
      <w:r>
        <w:rPr>
          <w:lang w:val="en-AU"/>
        </w:rPr>
        <w:t xml:space="preserve">and </w:t>
      </w:r>
      <w:r w:rsidRPr="00A92E77">
        <w:rPr>
          <w:lang w:val="en-AU"/>
        </w:rPr>
        <w:t>96</w:t>
      </w:r>
      <w:r>
        <w:rPr>
          <w:lang w:val="en-AU"/>
        </w:rPr>
        <w:t xml:space="preserve"> </w:t>
      </w:r>
      <w:r w:rsidRPr="00A92E77">
        <w:rPr>
          <w:lang w:val="en-AU"/>
        </w:rPr>
        <w:t>per cent of the value of Victorian pear production</w:t>
      </w:r>
      <w:r>
        <w:rPr>
          <w:lang w:val="en-AU"/>
        </w:rPr>
        <w:t xml:space="preserve"> </w:t>
      </w:r>
      <w:r w:rsidRPr="00A92E77">
        <w:rPr>
          <w:lang w:val="en-AU"/>
        </w:rPr>
        <w:t>Victorian stone fruit production grew strongly between 1995</w:t>
      </w:r>
      <w:r>
        <w:rPr>
          <w:lang w:val="en-AU"/>
        </w:rPr>
        <w:t>/</w:t>
      </w:r>
      <w:r w:rsidRPr="00A92E77">
        <w:rPr>
          <w:lang w:val="en-AU"/>
        </w:rPr>
        <w:t>96 and 2005</w:t>
      </w:r>
      <w:r>
        <w:rPr>
          <w:lang w:val="en-AU"/>
        </w:rPr>
        <w:t>/</w:t>
      </w:r>
      <w:r w:rsidRPr="00A92E77">
        <w:rPr>
          <w:lang w:val="en-AU"/>
        </w:rPr>
        <w:t>06</w:t>
      </w:r>
      <w:r>
        <w:rPr>
          <w:lang w:val="en-AU"/>
        </w:rPr>
        <w:t>, but</w:t>
      </w:r>
      <w:r w:rsidRPr="00A92E77">
        <w:rPr>
          <w:lang w:val="en-AU"/>
        </w:rPr>
        <w:t xml:space="preserve"> production declined by 21</w:t>
      </w:r>
      <w:r>
        <w:rPr>
          <w:lang w:val="en-AU"/>
        </w:rPr>
        <w:t xml:space="preserve">% </w:t>
      </w:r>
      <w:r w:rsidRPr="00A92E77">
        <w:rPr>
          <w:lang w:val="en-AU"/>
        </w:rPr>
        <w:t>for</w:t>
      </w:r>
      <w:r>
        <w:rPr>
          <w:lang w:val="en-AU"/>
        </w:rPr>
        <w:t xml:space="preserve"> nectarines and 39% </w:t>
      </w:r>
      <w:r w:rsidRPr="00A92E77">
        <w:rPr>
          <w:lang w:val="en-AU"/>
        </w:rPr>
        <w:t>for peaches</w:t>
      </w:r>
      <w:r>
        <w:rPr>
          <w:lang w:val="en-AU"/>
        </w:rPr>
        <w:t xml:space="preserve"> </w:t>
      </w:r>
      <w:r w:rsidRPr="00A92E77">
        <w:rPr>
          <w:lang w:val="en-AU"/>
        </w:rPr>
        <w:t>between</w:t>
      </w:r>
      <w:r>
        <w:rPr>
          <w:lang w:val="en-AU"/>
        </w:rPr>
        <w:t xml:space="preserve"> </w:t>
      </w:r>
      <w:r w:rsidRPr="00A92E77">
        <w:rPr>
          <w:lang w:val="en-AU"/>
        </w:rPr>
        <w:t>2005</w:t>
      </w:r>
      <w:r>
        <w:rPr>
          <w:lang w:val="en-AU"/>
        </w:rPr>
        <w:t>/</w:t>
      </w:r>
      <w:r w:rsidRPr="00A92E77">
        <w:rPr>
          <w:lang w:val="en-AU"/>
        </w:rPr>
        <w:t>06</w:t>
      </w:r>
      <w:r>
        <w:rPr>
          <w:lang w:val="en-AU"/>
        </w:rPr>
        <w:t xml:space="preserve"> </w:t>
      </w:r>
      <w:r w:rsidRPr="00A92E77">
        <w:rPr>
          <w:lang w:val="en-AU"/>
        </w:rPr>
        <w:t>and 2012</w:t>
      </w:r>
      <w:r>
        <w:rPr>
          <w:lang w:val="en-AU"/>
        </w:rPr>
        <w:t>/</w:t>
      </w:r>
      <w:r w:rsidRPr="00A92E77">
        <w:rPr>
          <w:lang w:val="en-AU"/>
        </w:rPr>
        <w:t>13</w:t>
      </w:r>
      <w:r>
        <w:rPr>
          <w:lang w:val="en-AU"/>
        </w:rPr>
        <w:t xml:space="preserve"> </w:t>
      </w:r>
      <w:r w:rsidRPr="00A92E77">
        <w:rPr>
          <w:lang w:val="en-AU"/>
        </w:rPr>
        <w:t>due to shortages in water allocations, drought, hail and frost, cou</w:t>
      </w:r>
      <w:r>
        <w:rPr>
          <w:lang w:val="en-AU"/>
        </w:rPr>
        <w:t xml:space="preserve">pled with shrinking margins and </w:t>
      </w:r>
      <w:r w:rsidRPr="00A92E77">
        <w:rPr>
          <w:lang w:val="en-AU"/>
        </w:rPr>
        <w:t>reduced market demand for</w:t>
      </w:r>
      <w:r>
        <w:rPr>
          <w:lang w:val="en-AU"/>
        </w:rPr>
        <w:t xml:space="preserve"> </w:t>
      </w:r>
      <w:r w:rsidRPr="00A92E77">
        <w:rPr>
          <w:lang w:val="en-AU"/>
        </w:rPr>
        <w:t>stone fruit, particularly for processing and canning.</w:t>
      </w:r>
      <w:r>
        <w:rPr>
          <w:lang w:val="en-AU"/>
        </w:rPr>
        <w:t xml:space="preserve"> </w:t>
      </w:r>
      <w:r w:rsidRPr="00A92E77">
        <w:rPr>
          <w:lang w:val="en-AU"/>
        </w:rPr>
        <w:t>The Goulb</w:t>
      </w:r>
      <w:r>
        <w:rPr>
          <w:lang w:val="en-AU"/>
        </w:rPr>
        <w:t xml:space="preserve">urn Broken region accounted for </w:t>
      </w:r>
      <w:r w:rsidRPr="00A92E77">
        <w:rPr>
          <w:lang w:val="en-AU"/>
        </w:rPr>
        <w:t>55</w:t>
      </w:r>
      <w:r>
        <w:rPr>
          <w:lang w:val="en-AU"/>
        </w:rPr>
        <w:t xml:space="preserve">% and the </w:t>
      </w:r>
      <w:r w:rsidRPr="00A92E77">
        <w:rPr>
          <w:lang w:val="en-AU"/>
        </w:rPr>
        <w:t>North Central region 13</w:t>
      </w:r>
      <w:r>
        <w:rPr>
          <w:lang w:val="en-AU"/>
        </w:rPr>
        <w:t xml:space="preserve">% </w:t>
      </w:r>
      <w:r w:rsidRPr="00A92E77">
        <w:rPr>
          <w:lang w:val="en-AU"/>
        </w:rPr>
        <w:t>of the value of Victorian peach production</w:t>
      </w:r>
      <w:r>
        <w:rPr>
          <w:lang w:val="en-AU"/>
        </w:rPr>
        <w:t xml:space="preserve"> (DEDTJR, 2014). </w:t>
      </w:r>
    </w:p>
    <w:p w14:paraId="09037208" w14:textId="77777777" w:rsidR="00C01A50" w:rsidRPr="00B534C5" w:rsidRDefault="00C01A50" w:rsidP="00BA0D84">
      <w:pPr>
        <w:rPr>
          <w:lang w:val="en-AU"/>
        </w:rPr>
      </w:pPr>
      <w:r>
        <w:t>Revenue from fruit growing in the Goulburn Valley has increased over time although production volumes have reduced. For example, Goulburn Valley growers have planted trees at a faster rate due to the increase in density of plantings, and value of production increased by 120% from 2001 to 2011, which is faster than the rest of Victoria or Australia (APCG, 2013, cited by RMCG, 2013).</w:t>
      </w:r>
    </w:p>
    <w:p w14:paraId="643A479D" w14:textId="77777777" w:rsidR="00C01A50" w:rsidRDefault="00C01A50" w:rsidP="00BA0D84">
      <w:pPr>
        <w:rPr>
          <w:lang w:val="en-AU"/>
        </w:rPr>
      </w:pPr>
      <w:r>
        <w:rPr>
          <w:lang w:val="en-AU"/>
        </w:rPr>
        <w:t>Nut tree plantings in the Victorian Mallee went from 1,900 ha in 1997 to 20,900 in 2015. By contrast grapevines went from 20,500 ha in 1997 to a peak of 25,600 in 2006 (shortly before the Basin Plan commenced) before declining, as a result of low wine prices, low water availability and high water prices, to 20,500 ha in 2015. Those same factors resulted in a vacant land peak of 20% in 2009 (Argus, 2016).</w:t>
      </w:r>
    </w:p>
    <w:p w14:paraId="2ADA4068" w14:textId="77777777" w:rsidR="00C01A50" w:rsidRDefault="00C01A50" w:rsidP="00BA0D84">
      <w:pPr>
        <w:rPr>
          <w:lang w:val="en-AU"/>
        </w:rPr>
      </w:pPr>
      <w:r>
        <w:rPr>
          <w:lang w:val="en-AU"/>
        </w:rPr>
        <w:t xml:space="preserve">The grapevine story is better understood as a decline in dried grape plantings from 6,300 ha in 1997 to 3,000 ha in 2015, an increase in table grape plantings from 4,100 ha to 7,300 ha in the same period and an oscillation in wine grape plantings from 9,900 ha in 1997, through 15,600 ha in 2006 returning to 10,100 ha in 2015 (Argus, 2016). In effect, table grapes have replaced dried grapes, while the post 1997 increase in wine grape plantings has been reversed. </w:t>
      </w:r>
    </w:p>
    <w:p w14:paraId="11E59E9D" w14:textId="77777777" w:rsidR="00C01A50" w:rsidRDefault="00C01A50" w:rsidP="002047C2">
      <w:pPr>
        <w:rPr>
          <w:lang w:val="en-AU"/>
        </w:rPr>
      </w:pPr>
      <w:r>
        <w:rPr>
          <w:lang w:val="en-AU"/>
        </w:rPr>
        <w:t>It is important to note that total water use per hectare for grapevines varies markedly with varieties and production systems. Many varieties of red wine grapes, in particular, were produced with small canopies with total irrigation requirements around 5 ML/ha. Traditional dried vine fruit production involved volumes up to 9 ML/ha while many table grape varieties are grown with large canopies with irrigation requirements in the order of 12 to 15 ML/ha. Almonds are being developed in growing systems using more than 14 ML/ha. Consequently, while the area of irrigated horticulture has grown significantly, irrigation intensity, in terms of ML/ha, has grown even more significantly since 1997.</w:t>
      </w:r>
    </w:p>
    <w:p w14:paraId="3102B5CB" w14:textId="77777777" w:rsidR="008E0F57" w:rsidRDefault="001D6904" w:rsidP="002047C2">
      <w:pPr>
        <w:rPr>
          <w:lang w:val="en-AU"/>
        </w:rPr>
      </w:pPr>
      <w:r>
        <w:rPr>
          <w:lang w:val="en-AU"/>
        </w:rPr>
        <w:lastRenderedPageBreak/>
        <w:t xml:space="preserve">In </w:t>
      </w:r>
      <w:r w:rsidR="001D2AB6">
        <w:rPr>
          <w:lang w:val="en-AU"/>
        </w:rPr>
        <w:fldChar w:fldCharType="begin"/>
      </w:r>
      <w:r w:rsidR="001D2AB6">
        <w:rPr>
          <w:lang w:val="en-AU"/>
        </w:rPr>
        <w:instrText xml:space="preserve"> REF _Ref337296747 \h </w:instrText>
      </w:r>
      <w:r w:rsidR="001D2AB6">
        <w:rPr>
          <w:lang w:val="en-AU"/>
        </w:rPr>
      </w:r>
      <w:r w:rsidR="001D2AB6">
        <w:rPr>
          <w:lang w:val="en-AU"/>
        </w:rPr>
        <w:fldChar w:fldCharType="separate"/>
      </w:r>
      <w:r w:rsidR="008E5D7A">
        <w:t xml:space="preserve">Table </w:t>
      </w:r>
      <w:r w:rsidR="008E5D7A">
        <w:rPr>
          <w:noProof/>
        </w:rPr>
        <w:t>35</w:t>
      </w:r>
      <w:r w:rsidR="001D2AB6">
        <w:rPr>
          <w:lang w:val="en-AU"/>
        </w:rPr>
        <w:fldChar w:fldCharType="end"/>
      </w:r>
      <w:r w:rsidR="00FE42DB">
        <w:rPr>
          <w:lang w:val="en-AU"/>
        </w:rPr>
        <w:t xml:space="preserve"> we multiply the area for each horticultural crop </w:t>
      </w:r>
      <w:r w:rsidR="001A1B3E">
        <w:rPr>
          <w:lang w:val="en-AU"/>
        </w:rPr>
        <w:t xml:space="preserve">(Argus, </w:t>
      </w:r>
      <w:r w:rsidR="00FE42DB">
        <w:rPr>
          <w:lang w:val="en-AU"/>
        </w:rPr>
        <w:t>2016) by the maximum irrigation application rates outlined in DSE (2007)</w:t>
      </w:r>
      <w:r w:rsidR="001A1B3E">
        <w:rPr>
          <w:lang w:val="en-AU"/>
        </w:rPr>
        <w:t>,</w:t>
      </w:r>
      <w:r w:rsidR="00FE42DB">
        <w:rPr>
          <w:lang w:val="en-AU"/>
        </w:rPr>
        <w:t xml:space="preserve"> to arrive at total </w:t>
      </w:r>
      <w:r w:rsidR="001A1B3E">
        <w:rPr>
          <w:lang w:val="en-AU"/>
        </w:rPr>
        <w:t>annual average horticultural irrigation demands in the V</w:t>
      </w:r>
      <w:r w:rsidR="000E4F78">
        <w:rPr>
          <w:lang w:val="en-AU"/>
        </w:rPr>
        <w:t>ictorian Mallee of 587.4 G</w:t>
      </w:r>
      <w:r w:rsidR="001A1B3E">
        <w:rPr>
          <w:lang w:val="en-AU"/>
        </w:rPr>
        <w:t>L. Applying the same approach to crop area data for South Australia, the Lower Darling and the NSW Murray (MDBA, 2015b) we arri</w:t>
      </w:r>
      <w:r w:rsidR="000E4F78">
        <w:rPr>
          <w:lang w:val="en-AU"/>
        </w:rPr>
        <w:t>ve at a total there of 548.9 GL</w:t>
      </w:r>
      <w:r w:rsidR="000D0EBD">
        <w:rPr>
          <w:lang w:val="en-AU"/>
        </w:rPr>
        <w:t xml:space="preserve"> (workings available on request from </w:t>
      </w:r>
      <w:hyperlink r:id="rId132" w:history="1">
        <w:r w:rsidR="000D0EBD" w:rsidRPr="009F7250">
          <w:rPr>
            <w:rStyle w:val="Hyperlink"/>
            <w:lang w:val="en-AU"/>
          </w:rPr>
          <w:t>Tim.Cummins@bigpond.com</w:t>
        </w:r>
      </w:hyperlink>
      <w:r w:rsidR="000D0EBD">
        <w:rPr>
          <w:lang w:val="en-AU"/>
        </w:rPr>
        <w:t xml:space="preserve">). As shown in </w:t>
      </w:r>
      <w:r w:rsidR="000D0EBD">
        <w:rPr>
          <w:lang w:val="en-AU"/>
        </w:rPr>
        <w:fldChar w:fldCharType="begin"/>
      </w:r>
      <w:r w:rsidR="000D0EBD">
        <w:rPr>
          <w:lang w:val="en-AU"/>
        </w:rPr>
        <w:instrText xml:space="preserve"> REF _Ref347509959 \h </w:instrText>
      </w:r>
      <w:r w:rsidR="000D0EBD">
        <w:rPr>
          <w:lang w:val="en-AU"/>
        </w:rPr>
      </w:r>
      <w:r w:rsidR="000D0EBD">
        <w:rPr>
          <w:lang w:val="en-AU"/>
        </w:rPr>
        <w:fldChar w:fldCharType="separate"/>
      </w:r>
      <w:r w:rsidR="008E5D7A">
        <w:t xml:space="preserve">Table </w:t>
      </w:r>
      <w:r w:rsidR="008E5D7A">
        <w:rPr>
          <w:noProof/>
        </w:rPr>
        <w:t>34</w:t>
      </w:r>
      <w:r w:rsidR="000D0EBD">
        <w:rPr>
          <w:lang w:val="en-AU"/>
        </w:rPr>
        <w:fldChar w:fldCharType="end"/>
      </w:r>
      <w:r w:rsidR="000D0EBD">
        <w:rPr>
          <w:lang w:val="en-AU"/>
        </w:rPr>
        <w:t xml:space="preserve">, when we combine this with RMCG’s (2016) estimate for average annual water use by horticulture in the GMID and the data </w:t>
      </w:r>
      <w:r w:rsidR="000E4F78">
        <w:rPr>
          <w:lang w:val="en-AU"/>
        </w:rPr>
        <w:t>recorded</w:t>
      </w:r>
      <w:r w:rsidR="000D0EBD">
        <w:rPr>
          <w:lang w:val="en-AU"/>
        </w:rPr>
        <w:t xml:space="preserve"> for Murrumbidgee horticulture in Chapter </w:t>
      </w:r>
      <w:r w:rsidR="00A72CC7">
        <w:rPr>
          <w:lang w:val="en-AU"/>
        </w:rPr>
        <w:fldChar w:fldCharType="begin"/>
      </w:r>
      <w:r w:rsidR="00A72CC7">
        <w:rPr>
          <w:lang w:val="en-AU"/>
        </w:rPr>
        <w:instrText xml:space="preserve"> REF _Ref347510127 \r \h </w:instrText>
      </w:r>
      <w:r w:rsidR="00A72CC7">
        <w:rPr>
          <w:lang w:val="en-AU"/>
        </w:rPr>
      </w:r>
      <w:r w:rsidR="00A72CC7">
        <w:rPr>
          <w:lang w:val="en-AU"/>
        </w:rPr>
        <w:fldChar w:fldCharType="separate"/>
      </w:r>
      <w:r w:rsidR="008E5D7A">
        <w:rPr>
          <w:lang w:val="en-AU"/>
        </w:rPr>
        <w:t>7</w:t>
      </w:r>
      <w:r w:rsidR="00A72CC7">
        <w:rPr>
          <w:lang w:val="en-AU"/>
        </w:rPr>
        <w:fldChar w:fldCharType="end"/>
      </w:r>
      <w:r w:rsidR="000E4F78">
        <w:rPr>
          <w:lang w:val="en-AU"/>
        </w:rPr>
        <w:t>,</w:t>
      </w:r>
      <w:r w:rsidR="00A72CC7">
        <w:rPr>
          <w:lang w:val="en-AU"/>
        </w:rPr>
        <w:t xml:space="preserve"> we arrive at a grand</w:t>
      </w:r>
      <w:r w:rsidR="000E4F78">
        <w:rPr>
          <w:lang w:val="en-AU"/>
        </w:rPr>
        <w:t xml:space="preserve"> total for average horticultu</w:t>
      </w:r>
      <w:r w:rsidR="00A72CC7">
        <w:rPr>
          <w:lang w:val="en-AU"/>
        </w:rPr>
        <w:t>ral demand</w:t>
      </w:r>
      <w:r w:rsidR="000E4F78">
        <w:rPr>
          <w:lang w:val="en-AU"/>
        </w:rPr>
        <w:t xml:space="preserve"> of 1,393.3 GL.</w:t>
      </w:r>
    </w:p>
    <w:p w14:paraId="5004EE88" w14:textId="77777777" w:rsidR="000E4F78" w:rsidRDefault="000E4F78" w:rsidP="002047C2">
      <w:pPr>
        <w:rPr>
          <w:lang w:val="en-AU"/>
        </w:rPr>
      </w:pPr>
      <w:r>
        <w:rPr>
          <w:lang w:val="en-AU"/>
        </w:rPr>
        <w:t>Using a different approach, RMCG (2016) arrive at a total of 1400 GL. Our figures therefore help to triangulate theirs.</w:t>
      </w:r>
    </w:p>
    <w:p w14:paraId="683FC3AD" w14:textId="77777777" w:rsidR="007A788C" w:rsidRDefault="007A788C" w:rsidP="007A788C">
      <w:pPr>
        <w:pStyle w:val="Caption"/>
        <w:keepNext/>
      </w:pPr>
      <w:bookmarkStart w:id="274" w:name="_Ref347509959"/>
      <w:r>
        <w:t xml:space="preserve">Table </w:t>
      </w:r>
      <w:r>
        <w:fldChar w:fldCharType="begin"/>
      </w:r>
      <w:r>
        <w:instrText xml:space="preserve"> SEQ Table \* ARABIC </w:instrText>
      </w:r>
      <w:r>
        <w:fldChar w:fldCharType="separate"/>
      </w:r>
      <w:r w:rsidR="008E5D7A">
        <w:rPr>
          <w:noProof/>
        </w:rPr>
        <w:t>34</w:t>
      </w:r>
      <w:r>
        <w:fldChar w:fldCharType="end"/>
      </w:r>
      <w:bookmarkEnd w:id="274"/>
      <w:r>
        <w:t xml:space="preserve">: Estimated future </w:t>
      </w:r>
      <w:r w:rsidR="008E0F57">
        <w:t xml:space="preserve">annual average irrigation </w:t>
      </w:r>
      <w:r>
        <w:t>demand from mature existing hor</w:t>
      </w:r>
      <w:r w:rsidR="008E0F57">
        <w:t>ticultural plantings in the southern-connected Basin</w:t>
      </w:r>
    </w:p>
    <w:tbl>
      <w:tblPr>
        <w:tblStyle w:val="TableGrid"/>
        <w:tblW w:w="5000" w:type="pct"/>
        <w:tblLook w:val="04A0" w:firstRow="1" w:lastRow="0" w:firstColumn="1" w:lastColumn="0" w:noHBand="0" w:noVBand="1"/>
      </w:tblPr>
      <w:tblGrid>
        <w:gridCol w:w="6804"/>
        <w:gridCol w:w="2364"/>
      </w:tblGrid>
      <w:tr w:rsidR="008E0F57" w:rsidRPr="008E0F57" w14:paraId="6A9630C6" w14:textId="77777777" w:rsidTr="008E0F57">
        <w:trPr>
          <w:trHeight w:val="900"/>
        </w:trPr>
        <w:tc>
          <w:tcPr>
            <w:tcW w:w="3711" w:type="pct"/>
            <w:hideMark/>
          </w:tcPr>
          <w:p w14:paraId="7142AFBE" w14:textId="77777777" w:rsidR="008E0F57" w:rsidRPr="008E0F57" w:rsidRDefault="008E0F57" w:rsidP="008E0F57">
            <w:pPr>
              <w:jc w:val="center"/>
              <w:rPr>
                <w:b/>
              </w:rPr>
            </w:pPr>
            <w:r w:rsidRPr="008E0F57">
              <w:rPr>
                <w:b/>
              </w:rPr>
              <w:t>Category</w:t>
            </w:r>
          </w:p>
        </w:tc>
        <w:tc>
          <w:tcPr>
            <w:tcW w:w="1289" w:type="pct"/>
            <w:hideMark/>
          </w:tcPr>
          <w:p w14:paraId="265CFB72" w14:textId="77777777" w:rsidR="008E0F57" w:rsidRDefault="008E0F57" w:rsidP="008E0F57">
            <w:pPr>
              <w:jc w:val="center"/>
              <w:rPr>
                <w:b/>
              </w:rPr>
            </w:pPr>
            <w:r w:rsidRPr="008E0F57">
              <w:rPr>
                <w:b/>
              </w:rPr>
              <w:t>irrigation requirement</w:t>
            </w:r>
            <w:r>
              <w:rPr>
                <w:b/>
              </w:rPr>
              <w:t xml:space="preserve"> at maturity for 2015 horticultural plantings</w:t>
            </w:r>
            <w:r w:rsidRPr="008E0F57">
              <w:rPr>
                <w:b/>
              </w:rPr>
              <w:t xml:space="preserve"> </w:t>
            </w:r>
          </w:p>
          <w:p w14:paraId="5826FBC9" w14:textId="77777777" w:rsidR="008E0F57" w:rsidRPr="008E0F57" w:rsidRDefault="000E4F78" w:rsidP="008E0F57">
            <w:pPr>
              <w:jc w:val="center"/>
              <w:rPr>
                <w:b/>
              </w:rPr>
            </w:pPr>
            <w:r>
              <w:rPr>
                <w:b/>
              </w:rPr>
              <w:t>GL</w:t>
            </w:r>
          </w:p>
        </w:tc>
      </w:tr>
      <w:tr w:rsidR="008E0F57" w:rsidRPr="00354130" w14:paraId="6D0D2B06" w14:textId="77777777" w:rsidTr="008E0F57">
        <w:trPr>
          <w:trHeight w:val="600"/>
        </w:trPr>
        <w:tc>
          <w:tcPr>
            <w:tcW w:w="3711" w:type="pct"/>
            <w:hideMark/>
          </w:tcPr>
          <w:p w14:paraId="1EDA0535" w14:textId="77777777" w:rsidR="008E0F57" w:rsidRPr="00354130" w:rsidRDefault="008E0F57">
            <w:r w:rsidRPr="00354130">
              <w:t>Total perennial and annual horticultural irrigation requirements in the Victorian Mallee</w:t>
            </w:r>
          </w:p>
        </w:tc>
        <w:tc>
          <w:tcPr>
            <w:tcW w:w="1289" w:type="pct"/>
            <w:noWrap/>
            <w:hideMark/>
          </w:tcPr>
          <w:p w14:paraId="2D067D99" w14:textId="77777777" w:rsidR="008E0F57" w:rsidRPr="00354130" w:rsidRDefault="000E4F78" w:rsidP="008E0F57">
            <w:pPr>
              <w:jc w:val="right"/>
            </w:pPr>
            <w:r>
              <w:t>587.4</w:t>
            </w:r>
          </w:p>
        </w:tc>
      </w:tr>
      <w:tr w:rsidR="008E0F57" w:rsidRPr="00354130" w14:paraId="50D6BEDA" w14:textId="77777777" w:rsidTr="008E0F57">
        <w:trPr>
          <w:trHeight w:val="600"/>
        </w:trPr>
        <w:tc>
          <w:tcPr>
            <w:tcW w:w="3711" w:type="pct"/>
            <w:hideMark/>
          </w:tcPr>
          <w:p w14:paraId="2D387A38" w14:textId="77777777" w:rsidR="008E0F57" w:rsidRPr="00354130" w:rsidRDefault="008E0F57">
            <w:r w:rsidRPr="00354130">
              <w:t>Total in the Lower Murray-Darling excluding the Victorian Mallee</w:t>
            </w:r>
          </w:p>
        </w:tc>
        <w:tc>
          <w:tcPr>
            <w:tcW w:w="1289" w:type="pct"/>
            <w:noWrap/>
            <w:hideMark/>
          </w:tcPr>
          <w:p w14:paraId="6AB585B1" w14:textId="77777777" w:rsidR="008E0F57" w:rsidRPr="00354130" w:rsidRDefault="000E4F78" w:rsidP="008E0F57">
            <w:pPr>
              <w:jc w:val="right"/>
            </w:pPr>
            <w:r>
              <w:t>548.9</w:t>
            </w:r>
          </w:p>
        </w:tc>
      </w:tr>
      <w:tr w:rsidR="008E0F57" w:rsidRPr="00354130" w14:paraId="30FC2669" w14:textId="77777777" w:rsidTr="008E0F57">
        <w:trPr>
          <w:trHeight w:val="600"/>
        </w:trPr>
        <w:tc>
          <w:tcPr>
            <w:tcW w:w="3711" w:type="pct"/>
            <w:hideMark/>
          </w:tcPr>
          <w:p w14:paraId="59648C15" w14:textId="77777777" w:rsidR="008E0F57" w:rsidRPr="00354130" w:rsidRDefault="008E0F57" w:rsidP="008E0F57">
            <w:r w:rsidRPr="00354130">
              <w:t xml:space="preserve">Total </w:t>
            </w:r>
            <w:r>
              <w:t>GMID</w:t>
            </w:r>
            <w:r w:rsidRPr="00354130">
              <w:t xml:space="preserve"> hortic</w:t>
            </w:r>
            <w:r>
              <w:t>ultural requirements (RMCG, 2016</w:t>
            </w:r>
            <w:r w:rsidRPr="00354130">
              <w:t>)</w:t>
            </w:r>
          </w:p>
        </w:tc>
        <w:tc>
          <w:tcPr>
            <w:tcW w:w="1289" w:type="pct"/>
            <w:noWrap/>
            <w:hideMark/>
          </w:tcPr>
          <w:p w14:paraId="015EE823" w14:textId="77777777" w:rsidR="008E0F57" w:rsidRPr="00354130" w:rsidRDefault="000E4F78" w:rsidP="008E0F57">
            <w:pPr>
              <w:jc w:val="right"/>
            </w:pPr>
            <w:r>
              <w:t>97</w:t>
            </w:r>
          </w:p>
        </w:tc>
      </w:tr>
      <w:tr w:rsidR="008E0F57" w:rsidRPr="00354130" w14:paraId="35FA2D37" w14:textId="77777777" w:rsidTr="008E0F57">
        <w:trPr>
          <w:trHeight w:val="600"/>
        </w:trPr>
        <w:tc>
          <w:tcPr>
            <w:tcW w:w="3711" w:type="pct"/>
            <w:hideMark/>
          </w:tcPr>
          <w:p w14:paraId="545A5D9D" w14:textId="77777777" w:rsidR="008E0F57" w:rsidRPr="00354130" w:rsidRDefault="008E0F57" w:rsidP="00354130">
            <w:r w:rsidRPr="00354130">
              <w:t>Total Murrumbidgee horticultural use (from Murrumbidgee Irrigation Annual Report</w:t>
            </w:r>
            <w:r>
              <w:t xml:space="preserve"> – see Chapter </w:t>
            </w:r>
            <w:r>
              <w:fldChar w:fldCharType="begin"/>
            </w:r>
            <w:r>
              <w:instrText xml:space="preserve"> REF _Ref347506754 \r \h </w:instrText>
            </w:r>
            <w:r>
              <w:fldChar w:fldCharType="separate"/>
            </w:r>
            <w:r w:rsidR="008E5D7A">
              <w:t>7</w:t>
            </w:r>
            <w:r>
              <w:fldChar w:fldCharType="end"/>
            </w:r>
            <w:r w:rsidRPr="00354130">
              <w:t>)</w:t>
            </w:r>
          </w:p>
        </w:tc>
        <w:tc>
          <w:tcPr>
            <w:tcW w:w="1289" w:type="pct"/>
            <w:noWrap/>
            <w:hideMark/>
          </w:tcPr>
          <w:p w14:paraId="29C642B7" w14:textId="77777777" w:rsidR="008E0F57" w:rsidRPr="00354130" w:rsidRDefault="000E4F78" w:rsidP="008E0F57">
            <w:pPr>
              <w:jc w:val="right"/>
            </w:pPr>
            <w:r>
              <w:t xml:space="preserve"> 160</w:t>
            </w:r>
            <w:r w:rsidR="008E0F57" w:rsidRPr="00354130">
              <w:t xml:space="preserve"> </w:t>
            </w:r>
          </w:p>
        </w:tc>
      </w:tr>
      <w:tr w:rsidR="008E0F57" w:rsidRPr="00354130" w14:paraId="78E2A97E" w14:textId="77777777" w:rsidTr="008E0F57">
        <w:trPr>
          <w:trHeight w:val="300"/>
        </w:trPr>
        <w:tc>
          <w:tcPr>
            <w:tcW w:w="3711" w:type="pct"/>
            <w:hideMark/>
          </w:tcPr>
          <w:p w14:paraId="59A55C70" w14:textId="77777777" w:rsidR="008E0F57" w:rsidRPr="00354130" w:rsidRDefault="008E0F57">
            <w:r w:rsidRPr="00354130">
              <w:t>Grand total</w:t>
            </w:r>
          </w:p>
        </w:tc>
        <w:tc>
          <w:tcPr>
            <w:tcW w:w="1289" w:type="pct"/>
            <w:noWrap/>
            <w:hideMark/>
          </w:tcPr>
          <w:p w14:paraId="37D81D23" w14:textId="77777777" w:rsidR="008E0F57" w:rsidRPr="00354130" w:rsidRDefault="000E4F78" w:rsidP="008E0F57">
            <w:pPr>
              <w:jc w:val="right"/>
            </w:pPr>
            <w:r>
              <w:t>1,393.3</w:t>
            </w:r>
          </w:p>
        </w:tc>
      </w:tr>
    </w:tbl>
    <w:p w14:paraId="2A8D488D" w14:textId="77777777" w:rsidR="00C01A50" w:rsidRDefault="00C01A50" w:rsidP="002047C2">
      <w:pPr>
        <w:rPr>
          <w:lang w:val="en-AU"/>
        </w:rPr>
      </w:pPr>
    </w:p>
    <w:p w14:paraId="092513C8" w14:textId="77777777" w:rsidR="00354130" w:rsidRDefault="00354130" w:rsidP="002047C2">
      <w:pPr>
        <w:rPr>
          <w:lang w:val="en-AU"/>
        </w:rPr>
      </w:pPr>
    </w:p>
    <w:p w14:paraId="6E7488DD" w14:textId="77777777" w:rsidR="00354130" w:rsidRDefault="00354130" w:rsidP="002047C2">
      <w:pPr>
        <w:rPr>
          <w:lang w:val="en-AU"/>
        </w:rPr>
        <w:sectPr w:rsidR="00354130">
          <w:pgSz w:w="11900" w:h="16820"/>
          <w:pgMar w:top="851" w:right="1361" w:bottom="567" w:left="1361" w:header="720" w:footer="720" w:gutter="0"/>
          <w:cols w:space="720"/>
        </w:sectPr>
      </w:pPr>
    </w:p>
    <w:p w14:paraId="07B382BF" w14:textId="77777777" w:rsidR="00C01A50" w:rsidRPr="009A634A" w:rsidRDefault="00C01A50" w:rsidP="002047C2">
      <w:pPr>
        <w:pStyle w:val="Caption"/>
        <w:keepNext/>
      </w:pPr>
      <w:bookmarkStart w:id="275" w:name="_Ref337296747"/>
      <w:r>
        <w:lastRenderedPageBreak/>
        <w:t xml:space="preserve">Table </w:t>
      </w:r>
      <w:r>
        <w:fldChar w:fldCharType="begin"/>
      </w:r>
      <w:r>
        <w:instrText xml:space="preserve"> SEQ Table \* ARABIC </w:instrText>
      </w:r>
      <w:r>
        <w:fldChar w:fldCharType="separate"/>
      </w:r>
      <w:r w:rsidR="008E5D7A">
        <w:rPr>
          <w:noProof/>
        </w:rPr>
        <w:t>35</w:t>
      </w:r>
      <w:r>
        <w:fldChar w:fldCharType="end"/>
      </w:r>
      <w:bookmarkEnd w:id="275"/>
      <w:r>
        <w:t>: An initial assessment of mature irrigation requirements of existing crops in the Victorian Mallee and some projections of future possible demand</w:t>
      </w:r>
    </w:p>
    <w:tbl>
      <w:tblPr>
        <w:tblW w:w="0" w:type="auto"/>
        <w:tblLook w:val="04A0" w:firstRow="1" w:lastRow="0" w:firstColumn="1" w:lastColumn="0" w:noHBand="0" w:noVBand="1"/>
      </w:tblPr>
      <w:tblGrid>
        <w:gridCol w:w="2241"/>
        <w:gridCol w:w="795"/>
        <w:gridCol w:w="795"/>
        <w:gridCol w:w="769"/>
        <w:gridCol w:w="1322"/>
        <w:gridCol w:w="1489"/>
        <w:gridCol w:w="1490"/>
        <w:gridCol w:w="1917"/>
        <w:gridCol w:w="2173"/>
        <w:gridCol w:w="2401"/>
      </w:tblGrid>
      <w:tr w:rsidR="00C01A50" w:rsidRPr="00877554" w14:paraId="388F17E3" w14:textId="77777777">
        <w:trPr>
          <w:trHeight w:val="21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B81A0"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Category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989F5C"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2009 area (ha)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643CB"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2015 area (ha)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3A581"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 change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108C6"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Maximum application rate ML/ha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EA75A4"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2009 Mature irrigation requirement ML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AFC2A8"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2015</w:t>
            </w:r>
            <w:r>
              <w:rPr>
                <w:rFonts w:ascii="Cambria" w:hAnsi="Cambria"/>
                <w:b/>
                <w:bCs/>
                <w:color w:val="000000"/>
                <w:sz w:val="16"/>
                <w:szCs w:val="16"/>
                <w:lang w:val="en-AU" w:bidi="ar-SA"/>
              </w:rPr>
              <w:t xml:space="preserve"> </w:t>
            </w:r>
            <w:r w:rsidRPr="00877554">
              <w:rPr>
                <w:rFonts w:ascii="Cambria" w:hAnsi="Cambria"/>
                <w:b/>
                <w:bCs/>
                <w:color w:val="000000"/>
                <w:sz w:val="16"/>
                <w:szCs w:val="16"/>
                <w:lang w:val="en-AU" w:bidi="ar-SA"/>
              </w:rPr>
              <w:t>mature irrigation</w:t>
            </w:r>
            <w:r>
              <w:rPr>
                <w:rFonts w:ascii="Cambria" w:hAnsi="Cambria"/>
                <w:b/>
                <w:bCs/>
                <w:color w:val="000000"/>
                <w:sz w:val="16"/>
                <w:szCs w:val="16"/>
                <w:lang w:val="en-AU" w:bidi="ar-SA"/>
              </w:rPr>
              <w:t xml:space="preserve"> </w:t>
            </w:r>
            <w:r w:rsidRPr="00877554">
              <w:rPr>
                <w:rFonts w:ascii="Cambria" w:hAnsi="Cambria"/>
                <w:b/>
                <w:bCs/>
                <w:color w:val="000000"/>
                <w:sz w:val="16"/>
                <w:szCs w:val="16"/>
                <w:lang w:val="en-AU" w:bidi="ar-SA"/>
              </w:rPr>
              <w:t>requirement ML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CB9C13"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2015</w:t>
            </w:r>
            <w:r>
              <w:rPr>
                <w:rFonts w:ascii="Cambria" w:hAnsi="Cambria"/>
                <w:b/>
                <w:bCs/>
                <w:color w:val="000000"/>
                <w:sz w:val="16"/>
                <w:szCs w:val="16"/>
                <w:lang w:val="en-AU" w:bidi="ar-SA"/>
              </w:rPr>
              <w:t xml:space="preserve"> </w:t>
            </w:r>
            <w:r w:rsidR="00593433" w:rsidRPr="00877554">
              <w:rPr>
                <w:rFonts w:ascii="Cambria" w:hAnsi="Cambria"/>
                <w:b/>
                <w:bCs/>
                <w:color w:val="000000"/>
                <w:sz w:val="16"/>
                <w:szCs w:val="16"/>
                <w:lang w:val="en-AU" w:bidi="ar-SA"/>
              </w:rPr>
              <w:t>irrigation</w:t>
            </w:r>
            <w:r w:rsidRPr="00877554">
              <w:rPr>
                <w:rFonts w:ascii="Cambria" w:hAnsi="Cambria"/>
                <w:b/>
                <w:bCs/>
                <w:color w:val="000000"/>
                <w:sz w:val="16"/>
                <w:szCs w:val="16"/>
                <w:lang w:val="en-AU" w:bidi="ar-SA"/>
              </w:rPr>
              <w:t xml:space="preserve"> water requirement plus 75% restoration of vacant land ML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F44D2"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2015</w:t>
            </w:r>
            <w:r>
              <w:rPr>
                <w:rFonts w:ascii="Cambria" w:hAnsi="Cambria"/>
                <w:b/>
                <w:bCs/>
                <w:color w:val="000000"/>
                <w:sz w:val="16"/>
                <w:szCs w:val="16"/>
                <w:lang w:val="en-AU" w:bidi="ar-SA"/>
              </w:rPr>
              <w:t xml:space="preserve"> </w:t>
            </w:r>
            <w:r w:rsidRPr="00877554">
              <w:rPr>
                <w:rFonts w:ascii="Cambria" w:hAnsi="Cambria"/>
                <w:b/>
                <w:bCs/>
                <w:color w:val="000000"/>
                <w:sz w:val="16"/>
                <w:szCs w:val="16"/>
                <w:lang w:val="en-AU" w:bidi="ar-SA"/>
              </w:rPr>
              <w:t>mature irrigation requirement plus 75% restoration of vacant land plus NID proposals ML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6FDD72" w14:textId="77777777" w:rsidR="00C01A50" w:rsidRPr="00877554" w:rsidRDefault="00C01A50" w:rsidP="00420523">
            <w:pPr>
              <w:spacing w:before="0" w:after="0" w:line="240" w:lineRule="auto"/>
              <w:jc w:val="center"/>
              <w:rPr>
                <w:rFonts w:ascii="Cambria" w:hAnsi="Cambria"/>
                <w:b/>
                <w:bCs/>
                <w:color w:val="000000"/>
                <w:sz w:val="16"/>
                <w:szCs w:val="16"/>
                <w:lang w:val="en-AU" w:bidi="ar-SA"/>
              </w:rPr>
            </w:pPr>
            <w:r w:rsidRPr="00877554">
              <w:rPr>
                <w:rFonts w:ascii="Cambria" w:hAnsi="Cambria"/>
                <w:b/>
                <w:bCs/>
                <w:color w:val="000000"/>
                <w:sz w:val="16"/>
                <w:szCs w:val="16"/>
                <w:lang w:val="en-AU" w:bidi="ar-SA"/>
              </w:rPr>
              <w:t>2015</w:t>
            </w:r>
            <w:r>
              <w:rPr>
                <w:rFonts w:ascii="Cambria" w:hAnsi="Cambria"/>
                <w:b/>
                <w:bCs/>
                <w:color w:val="000000"/>
                <w:sz w:val="16"/>
                <w:szCs w:val="16"/>
                <w:lang w:val="en-AU" w:bidi="ar-SA"/>
              </w:rPr>
              <w:t xml:space="preserve"> </w:t>
            </w:r>
            <w:r w:rsidRPr="00877554">
              <w:rPr>
                <w:rFonts w:ascii="Cambria" w:hAnsi="Cambria"/>
                <w:b/>
                <w:bCs/>
                <w:color w:val="000000"/>
                <w:sz w:val="16"/>
                <w:szCs w:val="16"/>
                <w:lang w:val="en-AU" w:bidi="ar-SA"/>
              </w:rPr>
              <w:t>mature irrigation requirement plus 75% restoration of vacant land plus NID proposals plus due diligence ML</w:t>
            </w:r>
          </w:p>
        </w:tc>
      </w:tr>
      <w:tr w:rsidR="00C01A50" w:rsidRPr="00877554" w14:paraId="3E90DBDE" w14:textId="77777777">
        <w:trPr>
          <w:trHeight w:val="32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14:paraId="64941F27"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Almond</w:t>
            </w:r>
          </w:p>
        </w:tc>
        <w:tc>
          <w:tcPr>
            <w:tcW w:w="0" w:type="auto"/>
            <w:tcBorders>
              <w:top w:val="single" w:sz="4" w:space="0" w:color="auto"/>
              <w:left w:val="nil"/>
              <w:bottom w:val="single" w:sz="8" w:space="0" w:color="auto"/>
              <w:right w:val="single" w:sz="8" w:space="0" w:color="auto"/>
            </w:tcBorders>
            <w:shd w:val="clear" w:color="auto" w:fill="auto"/>
            <w:vAlign w:val="center"/>
          </w:tcPr>
          <w:p w14:paraId="217C042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19,905</w:t>
            </w:r>
          </w:p>
        </w:tc>
        <w:tc>
          <w:tcPr>
            <w:tcW w:w="0" w:type="auto"/>
            <w:tcBorders>
              <w:top w:val="single" w:sz="4" w:space="0" w:color="auto"/>
              <w:left w:val="nil"/>
              <w:bottom w:val="single" w:sz="8" w:space="0" w:color="auto"/>
              <w:right w:val="single" w:sz="8" w:space="0" w:color="auto"/>
            </w:tcBorders>
            <w:shd w:val="clear" w:color="auto" w:fill="auto"/>
            <w:vAlign w:val="center"/>
          </w:tcPr>
          <w:p w14:paraId="2DB7C54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20,620</w:t>
            </w:r>
          </w:p>
        </w:tc>
        <w:tc>
          <w:tcPr>
            <w:tcW w:w="0" w:type="auto"/>
            <w:tcBorders>
              <w:top w:val="single" w:sz="4" w:space="0" w:color="auto"/>
              <w:left w:val="nil"/>
              <w:bottom w:val="single" w:sz="8" w:space="0" w:color="auto"/>
              <w:right w:val="single" w:sz="8" w:space="0" w:color="auto"/>
            </w:tcBorders>
            <w:shd w:val="clear" w:color="auto" w:fill="auto"/>
            <w:vAlign w:val="center"/>
          </w:tcPr>
          <w:p w14:paraId="7E17F35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w:t>
            </w:r>
          </w:p>
        </w:tc>
        <w:tc>
          <w:tcPr>
            <w:tcW w:w="0" w:type="auto"/>
            <w:tcBorders>
              <w:top w:val="single" w:sz="4" w:space="0" w:color="auto"/>
              <w:left w:val="nil"/>
              <w:bottom w:val="single" w:sz="8" w:space="0" w:color="auto"/>
              <w:right w:val="single" w:sz="8" w:space="0" w:color="auto"/>
            </w:tcBorders>
            <w:shd w:val="clear" w:color="auto" w:fill="auto"/>
            <w:vAlign w:val="center"/>
          </w:tcPr>
          <w:p w14:paraId="77DFDD9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14</w:t>
            </w:r>
          </w:p>
        </w:tc>
        <w:tc>
          <w:tcPr>
            <w:tcW w:w="0" w:type="auto"/>
            <w:tcBorders>
              <w:top w:val="single" w:sz="4" w:space="0" w:color="auto"/>
              <w:left w:val="nil"/>
              <w:bottom w:val="single" w:sz="8" w:space="0" w:color="auto"/>
              <w:right w:val="single" w:sz="8" w:space="0" w:color="auto"/>
            </w:tcBorders>
            <w:shd w:val="clear" w:color="auto" w:fill="auto"/>
            <w:vAlign w:val="center"/>
          </w:tcPr>
          <w:p w14:paraId="6245140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278,670</w:t>
            </w:r>
          </w:p>
        </w:tc>
        <w:tc>
          <w:tcPr>
            <w:tcW w:w="0" w:type="auto"/>
            <w:tcBorders>
              <w:top w:val="single" w:sz="4" w:space="0" w:color="auto"/>
              <w:left w:val="nil"/>
              <w:bottom w:val="single" w:sz="8" w:space="0" w:color="auto"/>
              <w:right w:val="single" w:sz="8" w:space="0" w:color="auto"/>
            </w:tcBorders>
            <w:shd w:val="clear" w:color="auto" w:fill="auto"/>
            <w:vAlign w:val="center"/>
          </w:tcPr>
          <w:p w14:paraId="0F1DCAC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288,680</w:t>
            </w:r>
          </w:p>
        </w:tc>
        <w:tc>
          <w:tcPr>
            <w:tcW w:w="0" w:type="auto"/>
            <w:tcBorders>
              <w:top w:val="single" w:sz="4" w:space="0" w:color="auto"/>
              <w:left w:val="nil"/>
              <w:bottom w:val="single" w:sz="8" w:space="0" w:color="auto"/>
              <w:right w:val="single" w:sz="8" w:space="0" w:color="auto"/>
            </w:tcBorders>
            <w:shd w:val="clear" w:color="auto" w:fill="auto"/>
            <w:vAlign w:val="center"/>
          </w:tcPr>
          <w:p w14:paraId="04F8E84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288,680</w:t>
            </w:r>
          </w:p>
        </w:tc>
        <w:tc>
          <w:tcPr>
            <w:tcW w:w="0" w:type="auto"/>
            <w:tcBorders>
              <w:top w:val="single" w:sz="4" w:space="0" w:color="auto"/>
              <w:left w:val="nil"/>
              <w:bottom w:val="single" w:sz="8" w:space="0" w:color="auto"/>
              <w:right w:val="single" w:sz="8" w:space="0" w:color="auto"/>
            </w:tcBorders>
            <w:shd w:val="clear" w:color="auto" w:fill="auto"/>
            <w:vAlign w:val="center"/>
          </w:tcPr>
          <w:p w14:paraId="5BF4615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316,400</w:t>
            </w:r>
          </w:p>
        </w:tc>
        <w:tc>
          <w:tcPr>
            <w:tcW w:w="0" w:type="auto"/>
            <w:tcBorders>
              <w:top w:val="single" w:sz="4" w:space="0" w:color="auto"/>
              <w:left w:val="nil"/>
              <w:bottom w:val="single" w:sz="8" w:space="0" w:color="auto"/>
              <w:right w:val="single" w:sz="8" w:space="0" w:color="auto"/>
            </w:tcBorders>
            <w:shd w:val="clear" w:color="auto" w:fill="auto"/>
            <w:vAlign w:val="center"/>
          </w:tcPr>
          <w:p w14:paraId="4946DCC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365,640</w:t>
            </w:r>
          </w:p>
        </w:tc>
      </w:tr>
      <w:tr w:rsidR="00C01A50" w:rsidRPr="00877554" w14:paraId="7E365D12"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564FAD1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Other nut tree</w:t>
            </w:r>
          </w:p>
        </w:tc>
        <w:tc>
          <w:tcPr>
            <w:tcW w:w="0" w:type="auto"/>
            <w:tcBorders>
              <w:top w:val="nil"/>
              <w:left w:val="nil"/>
              <w:bottom w:val="single" w:sz="8" w:space="0" w:color="auto"/>
              <w:right w:val="single" w:sz="8" w:space="0" w:color="auto"/>
            </w:tcBorders>
            <w:shd w:val="clear" w:color="auto" w:fill="auto"/>
            <w:vAlign w:val="center"/>
          </w:tcPr>
          <w:p w14:paraId="49B106B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275BFB9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285</w:t>
            </w:r>
          </w:p>
        </w:tc>
        <w:tc>
          <w:tcPr>
            <w:tcW w:w="0" w:type="auto"/>
            <w:tcBorders>
              <w:top w:val="nil"/>
              <w:left w:val="nil"/>
              <w:bottom w:val="single" w:sz="8" w:space="0" w:color="auto"/>
              <w:right w:val="single" w:sz="8" w:space="0" w:color="auto"/>
            </w:tcBorders>
            <w:shd w:val="clear" w:color="auto" w:fill="auto"/>
            <w:vAlign w:val="center"/>
          </w:tcPr>
          <w:p w14:paraId="0ECEB608"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2B2A07E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nil"/>
              <w:left w:val="nil"/>
              <w:bottom w:val="single" w:sz="8" w:space="0" w:color="auto"/>
              <w:right w:val="single" w:sz="8" w:space="0" w:color="auto"/>
            </w:tcBorders>
            <w:shd w:val="clear" w:color="auto" w:fill="auto"/>
            <w:vAlign w:val="center"/>
          </w:tcPr>
          <w:p w14:paraId="067E0F3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2D19C8A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3,420</w:t>
            </w:r>
          </w:p>
        </w:tc>
        <w:tc>
          <w:tcPr>
            <w:tcW w:w="0" w:type="auto"/>
            <w:tcBorders>
              <w:top w:val="nil"/>
              <w:left w:val="nil"/>
              <w:bottom w:val="single" w:sz="8" w:space="0" w:color="auto"/>
              <w:right w:val="single" w:sz="8" w:space="0" w:color="auto"/>
            </w:tcBorders>
            <w:shd w:val="clear" w:color="auto" w:fill="auto"/>
            <w:vAlign w:val="center"/>
          </w:tcPr>
          <w:p w14:paraId="51349B0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3,420</w:t>
            </w:r>
          </w:p>
        </w:tc>
        <w:tc>
          <w:tcPr>
            <w:tcW w:w="0" w:type="auto"/>
            <w:tcBorders>
              <w:top w:val="nil"/>
              <w:left w:val="nil"/>
              <w:bottom w:val="single" w:sz="8" w:space="0" w:color="auto"/>
              <w:right w:val="single" w:sz="8" w:space="0" w:color="auto"/>
            </w:tcBorders>
            <w:shd w:val="clear" w:color="auto" w:fill="auto"/>
            <w:vAlign w:val="center"/>
          </w:tcPr>
          <w:p w14:paraId="6A2CDB0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3,420</w:t>
            </w:r>
          </w:p>
        </w:tc>
        <w:tc>
          <w:tcPr>
            <w:tcW w:w="0" w:type="auto"/>
            <w:tcBorders>
              <w:top w:val="nil"/>
              <w:left w:val="nil"/>
              <w:bottom w:val="single" w:sz="8" w:space="0" w:color="auto"/>
              <w:right w:val="single" w:sz="8" w:space="0" w:color="auto"/>
            </w:tcBorders>
            <w:shd w:val="clear" w:color="auto" w:fill="auto"/>
            <w:vAlign w:val="center"/>
          </w:tcPr>
          <w:p w14:paraId="55DC445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6,255</w:t>
            </w:r>
          </w:p>
        </w:tc>
      </w:tr>
      <w:tr w:rsidR="00C01A50" w:rsidRPr="00877554" w14:paraId="280BA727"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069D86D6"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Wine grape</w:t>
            </w:r>
          </w:p>
        </w:tc>
        <w:tc>
          <w:tcPr>
            <w:tcW w:w="0" w:type="auto"/>
            <w:tcBorders>
              <w:top w:val="nil"/>
              <w:left w:val="nil"/>
              <w:bottom w:val="single" w:sz="8" w:space="0" w:color="auto"/>
              <w:right w:val="single" w:sz="8" w:space="0" w:color="auto"/>
            </w:tcBorders>
            <w:shd w:val="clear" w:color="auto" w:fill="auto"/>
            <w:vAlign w:val="center"/>
          </w:tcPr>
          <w:p w14:paraId="644A66A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13,050</w:t>
            </w:r>
          </w:p>
        </w:tc>
        <w:tc>
          <w:tcPr>
            <w:tcW w:w="0" w:type="auto"/>
            <w:tcBorders>
              <w:top w:val="nil"/>
              <w:left w:val="nil"/>
              <w:bottom w:val="single" w:sz="8" w:space="0" w:color="auto"/>
              <w:right w:val="single" w:sz="8" w:space="0" w:color="auto"/>
            </w:tcBorders>
            <w:shd w:val="clear" w:color="auto" w:fill="auto"/>
            <w:vAlign w:val="center"/>
          </w:tcPr>
          <w:p w14:paraId="155012B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10,130</w:t>
            </w:r>
          </w:p>
        </w:tc>
        <w:tc>
          <w:tcPr>
            <w:tcW w:w="0" w:type="auto"/>
            <w:tcBorders>
              <w:top w:val="nil"/>
              <w:left w:val="nil"/>
              <w:bottom w:val="single" w:sz="8" w:space="0" w:color="auto"/>
              <w:right w:val="single" w:sz="8" w:space="0" w:color="auto"/>
            </w:tcBorders>
            <w:shd w:val="clear" w:color="auto" w:fill="auto"/>
            <w:vAlign w:val="center"/>
          </w:tcPr>
          <w:p w14:paraId="3BEBDE3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-22%</w:t>
            </w:r>
          </w:p>
        </w:tc>
        <w:tc>
          <w:tcPr>
            <w:tcW w:w="0" w:type="auto"/>
            <w:tcBorders>
              <w:top w:val="nil"/>
              <w:left w:val="nil"/>
              <w:bottom w:val="single" w:sz="8" w:space="0" w:color="auto"/>
              <w:right w:val="single" w:sz="8" w:space="0" w:color="auto"/>
            </w:tcBorders>
            <w:shd w:val="clear" w:color="auto" w:fill="auto"/>
            <w:vAlign w:val="center"/>
          </w:tcPr>
          <w:p w14:paraId="62B899A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w:t>
            </w:r>
          </w:p>
        </w:tc>
        <w:tc>
          <w:tcPr>
            <w:tcW w:w="0" w:type="auto"/>
            <w:tcBorders>
              <w:top w:val="nil"/>
              <w:left w:val="nil"/>
              <w:bottom w:val="single" w:sz="8" w:space="0" w:color="auto"/>
              <w:right w:val="single" w:sz="8" w:space="0" w:color="auto"/>
            </w:tcBorders>
            <w:shd w:val="clear" w:color="auto" w:fill="auto"/>
            <w:vAlign w:val="center"/>
          </w:tcPr>
          <w:p w14:paraId="5EEA916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104,400</w:t>
            </w:r>
          </w:p>
        </w:tc>
        <w:tc>
          <w:tcPr>
            <w:tcW w:w="0" w:type="auto"/>
            <w:tcBorders>
              <w:top w:val="nil"/>
              <w:left w:val="nil"/>
              <w:bottom w:val="single" w:sz="8" w:space="0" w:color="auto"/>
              <w:right w:val="single" w:sz="8" w:space="0" w:color="auto"/>
            </w:tcBorders>
            <w:shd w:val="clear" w:color="auto" w:fill="auto"/>
            <w:vAlign w:val="center"/>
          </w:tcPr>
          <w:p w14:paraId="67D9D79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81,040</w:t>
            </w:r>
          </w:p>
        </w:tc>
        <w:tc>
          <w:tcPr>
            <w:tcW w:w="0" w:type="auto"/>
            <w:tcBorders>
              <w:top w:val="nil"/>
              <w:left w:val="nil"/>
              <w:bottom w:val="single" w:sz="8" w:space="0" w:color="auto"/>
              <w:right w:val="single" w:sz="8" w:space="0" w:color="auto"/>
            </w:tcBorders>
            <w:shd w:val="clear" w:color="auto" w:fill="auto"/>
            <w:vAlign w:val="center"/>
          </w:tcPr>
          <w:p w14:paraId="2B2FAEC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81,040</w:t>
            </w:r>
          </w:p>
        </w:tc>
        <w:tc>
          <w:tcPr>
            <w:tcW w:w="0" w:type="auto"/>
            <w:tcBorders>
              <w:top w:val="nil"/>
              <w:left w:val="nil"/>
              <w:bottom w:val="single" w:sz="8" w:space="0" w:color="auto"/>
              <w:right w:val="single" w:sz="8" w:space="0" w:color="auto"/>
            </w:tcBorders>
            <w:shd w:val="clear" w:color="auto" w:fill="auto"/>
            <w:vAlign w:val="center"/>
          </w:tcPr>
          <w:p w14:paraId="5F506DE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81,040</w:t>
            </w:r>
          </w:p>
        </w:tc>
        <w:tc>
          <w:tcPr>
            <w:tcW w:w="0" w:type="auto"/>
            <w:tcBorders>
              <w:top w:val="nil"/>
              <w:left w:val="nil"/>
              <w:bottom w:val="single" w:sz="8" w:space="0" w:color="auto"/>
              <w:right w:val="single" w:sz="8" w:space="0" w:color="auto"/>
            </w:tcBorders>
            <w:shd w:val="clear" w:color="auto" w:fill="auto"/>
            <w:vAlign w:val="center"/>
          </w:tcPr>
          <w:p w14:paraId="2B95AC9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95,740</w:t>
            </w:r>
          </w:p>
        </w:tc>
      </w:tr>
      <w:tr w:rsidR="00C01A50" w:rsidRPr="00877554" w14:paraId="27F85F3F"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62184BC6"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Table grape</w:t>
            </w:r>
          </w:p>
        </w:tc>
        <w:tc>
          <w:tcPr>
            <w:tcW w:w="0" w:type="auto"/>
            <w:tcBorders>
              <w:top w:val="nil"/>
              <w:left w:val="nil"/>
              <w:bottom w:val="single" w:sz="8" w:space="0" w:color="auto"/>
              <w:right w:val="single" w:sz="8" w:space="0" w:color="auto"/>
            </w:tcBorders>
            <w:shd w:val="clear" w:color="auto" w:fill="auto"/>
            <w:vAlign w:val="center"/>
          </w:tcPr>
          <w:p w14:paraId="591FC52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5,730</w:t>
            </w:r>
          </w:p>
        </w:tc>
        <w:tc>
          <w:tcPr>
            <w:tcW w:w="0" w:type="auto"/>
            <w:tcBorders>
              <w:top w:val="nil"/>
              <w:left w:val="nil"/>
              <w:bottom w:val="single" w:sz="8" w:space="0" w:color="auto"/>
              <w:right w:val="single" w:sz="8" w:space="0" w:color="auto"/>
            </w:tcBorders>
            <w:shd w:val="clear" w:color="auto" w:fill="auto"/>
            <w:vAlign w:val="center"/>
          </w:tcPr>
          <w:p w14:paraId="32DAEA9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7,295</w:t>
            </w:r>
          </w:p>
        </w:tc>
        <w:tc>
          <w:tcPr>
            <w:tcW w:w="0" w:type="auto"/>
            <w:tcBorders>
              <w:top w:val="nil"/>
              <w:left w:val="nil"/>
              <w:bottom w:val="single" w:sz="8" w:space="0" w:color="auto"/>
              <w:right w:val="single" w:sz="8" w:space="0" w:color="auto"/>
            </w:tcBorders>
            <w:shd w:val="clear" w:color="auto" w:fill="auto"/>
            <w:vAlign w:val="center"/>
          </w:tcPr>
          <w:p w14:paraId="13668E0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w:t>
            </w:r>
          </w:p>
        </w:tc>
        <w:tc>
          <w:tcPr>
            <w:tcW w:w="0" w:type="auto"/>
            <w:tcBorders>
              <w:top w:val="nil"/>
              <w:left w:val="nil"/>
              <w:bottom w:val="single" w:sz="8" w:space="0" w:color="auto"/>
              <w:right w:val="single" w:sz="8" w:space="0" w:color="auto"/>
            </w:tcBorders>
            <w:shd w:val="clear" w:color="auto" w:fill="auto"/>
            <w:vAlign w:val="center"/>
          </w:tcPr>
          <w:p w14:paraId="60628C7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nil"/>
              <w:left w:val="nil"/>
              <w:bottom w:val="single" w:sz="8" w:space="0" w:color="auto"/>
              <w:right w:val="single" w:sz="8" w:space="0" w:color="auto"/>
            </w:tcBorders>
            <w:shd w:val="clear" w:color="auto" w:fill="auto"/>
            <w:vAlign w:val="center"/>
          </w:tcPr>
          <w:p w14:paraId="3FB36B6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68,760</w:t>
            </w:r>
          </w:p>
        </w:tc>
        <w:tc>
          <w:tcPr>
            <w:tcW w:w="0" w:type="auto"/>
            <w:tcBorders>
              <w:top w:val="nil"/>
              <w:left w:val="nil"/>
              <w:bottom w:val="single" w:sz="8" w:space="0" w:color="auto"/>
              <w:right w:val="single" w:sz="8" w:space="0" w:color="auto"/>
            </w:tcBorders>
            <w:shd w:val="clear" w:color="auto" w:fill="auto"/>
            <w:vAlign w:val="center"/>
          </w:tcPr>
          <w:p w14:paraId="612B19E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87,540</w:t>
            </w:r>
          </w:p>
        </w:tc>
        <w:tc>
          <w:tcPr>
            <w:tcW w:w="0" w:type="auto"/>
            <w:tcBorders>
              <w:top w:val="nil"/>
              <w:left w:val="nil"/>
              <w:bottom w:val="single" w:sz="8" w:space="0" w:color="auto"/>
              <w:right w:val="single" w:sz="8" w:space="0" w:color="auto"/>
            </w:tcBorders>
            <w:shd w:val="clear" w:color="auto" w:fill="auto"/>
            <w:vAlign w:val="center"/>
          </w:tcPr>
          <w:p w14:paraId="4D8E104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87,540</w:t>
            </w:r>
          </w:p>
        </w:tc>
        <w:tc>
          <w:tcPr>
            <w:tcW w:w="0" w:type="auto"/>
            <w:tcBorders>
              <w:top w:val="nil"/>
              <w:left w:val="nil"/>
              <w:bottom w:val="single" w:sz="8" w:space="0" w:color="auto"/>
              <w:right w:val="single" w:sz="8" w:space="0" w:color="auto"/>
            </w:tcBorders>
            <w:shd w:val="clear" w:color="auto" w:fill="auto"/>
            <w:vAlign w:val="center"/>
          </w:tcPr>
          <w:p w14:paraId="5E127D2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87,540</w:t>
            </w:r>
          </w:p>
        </w:tc>
        <w:tc>
          <w:tcPr>
            <w:tcW w:w="0" w:type="auto"/>
            <w:tcBorders>
              <w:top w:val="nil"/>
              <w:left w:val="nil"/>
              <w:bottom w:val="single" w:sz="8" w:space="0" w:color="auto"/>
              <w:right w:val="single" w:sz="8" w:space="0" w:color="auto"/>
            </w:tcBorders>
            <w:shd w:val="clear" w:color="auto" w:fill="auto"/>
            <w:vAlign w:val="center"/>
          </w:tcPr>
          <w:p w14:paraId="0659395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88,260</w:t>
            </w:r>
          </w:p>
        </w:tc>
      </w:tr>
      <w:tr w:rsidR="00C01A50" w:rsidRPr="00877554" w14:paraId="2D95985A"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7E6ABBAA"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Dried grape</w:t>
            </w:r>
          </w:p>
        </w:tc>
        <w:tc>
          <w:tcPr>
            <w:tcW w:w="0" w:type="auto"/>
            <w:tcBorders>
              <w:top w:val="nil"/>
              <w:left w:val="nil"/>
              <w:bottom w:val="single" w:sz="8" w:space="0" w:color="auto"/>
              <w:right w:val="single" w:sz="8" w:space="0" w:color="auto"/>
            </w:tcBorders>
            <w:shd w:val="clear" w:color="auto" w:fill="auto"/>
            <w:vAlign w:val="center"/>
          </w:tcPr>
          <w:p w14:paraId="5FAE696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2,905</w:t>
            </w:r>
          </w:p>
        </w:tc>
        <w:tc>
          <w:tcPr>
            <w:tcW w:w="0" w:type="auto"/>
            <w:tcBorders>
              <w:top w:val="nil"/>
              <w:left w:val="nil"/>
              <w:bottom w:val="single" w:sz="8" w:space="0" w:color="auto"/>
              <w:right w:val="single" w:sz="8" w:space="0" w:color="auto"/>
            </w:tcBorders>
            <w:shd w:val="clear" w:color="auto" w:fill="auto"/>
            <w:vAlign w:val="center"/>
          </w:tcPr>
          <w:p w14:paraId="410EB65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3,040</w:t>
            </w:r>
          </w:p>
        </w:tc>
        <w:tc>
          <w:tcPr>
            <w:tcW w:w="0" w:type="auto"/>
            <w:tcBorders>
              <w:top w:val="nil"/>
              <w:left w:val="nil"/>
              <w:bottom w:val="single" w:sz="8" w:space="0" w:color="auto"/>
              <w:right w:val="single" w:sz="8" w:space="0" w:color="auto"/>
            </w:tcBorders>
            <w:shd w:val="clear" w:color="auto" w:fill="auto"/>
            <w:vAlign w:val="center"/>
          </w:tcPr>
          <w:p w14:paraId="6C75EF3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w:t>
            </w:r>
          </w:p>
        </w:tc>
        <w:tc>
          <w:tcPr>
            <w:tcW w:w="0" w:type="auto"/>
            <w:tcBorders>
              <w:top w:val="nil"/>
              <w:left w:val="nil"/>
              <w:bottom w:val="single" w:sz="8" w:space="0" w:color="auto"/>
              <w:right w:val="single" w:sz="8" w:space="0" w:color="auto"/>
            </w:tcBorders>
            <w:shd w:val="clear" w:color="auto" w:fill="auto"/>
            <w:vAlign w:val="center"/>
          </w:tcPr>
          <w:p w14:paraId="0367C38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w:t>
            </w:r>
          </w:p>
        </w:tc>
        <w:tc>
          <w:tcPr>
            <w:tcW w:w="0" w:type="auto"/>
            <w:tcBorders>
              <w:top w:val="nil"/>
              <w:left w:val="nil"/>
              <w:bottom w:val="single" w:sz="8" w:space="0" w:color="auto"/>
              <w:right w:val="single" w:sz="8" w:space="0" w:color="auto"/>
            </w:tcBorders>
            <w:shd w:val="clear" w:color="auto" w:fill="auto"/>
            <w:vAlign w:val="center"/>
          </w:tcPr>
          <w:p w14:paraId="3EC4560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23,240</w:t>
            </w:r>
          </w:p>
        </w:tc>
        <w:tc>
          <w:tcPr>
            <w:tcW w:w="0" w:type="auto"/>
            <w:tcBorders>
              <w:top w:val="nil"/>
              <w:left w:val="nil"/>
              <w:bottom w:val="single" w:sz="8" w:space="0" w:color="auto"/>
              <w:right w:val="single" w:sz="8" w:space="0" w:color="auto"/>
            </w:tcBorders>
            <w:shd w:val="clear" w:color="auto" w:fill="auto"/>
            <w:vAlign w:val="center"/>
          </w:tcPr>
          <w:p w14:paraId="0D25116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24,320</w:t>
            </w:r>
          </w:p>
        </w:tc>
        <w:tc>
          <w:tcPr>
            <w:tcW w:w="0" w:type="auto"/>
            <w:tcBorders>
              <w:top w:val="nil"/>
              <w:left w:val="nil"/>
              <w:bottom w:val="single" w:sz="8" w:space="0" w:color="auto"/>
              <w:right w:val="single" w:sz="8" w:space="0" w:color="auto"/>
            </w:tcBorders>
            <w:shd w:val="clear" w:color="auto" w:fill="auto"/>
            <w:vAlign w:val="center"/>
          </w:tcPr>
          <w:p w14:paraId="621A55F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24,320</w:t>
            </w:r>
          </w:p>
        </w:tc>
        <w:tc>
          <w:tcPr>
            <w:tcW w:w="0" w:type="auto"/>
            <w:tcBorders>
              <w:top w:val="nil"/>
              <w:left w:val="nil"/>
              <w:bottom w:val="single" w:sz="8" w:space="0" w:color="auto"/>
              <w:right w:val="single" w:sz="8" w:space="0" w:color="auto"/>
            </w:tcBorders>
            <w:shd w:val="clear" w:color="auto" w:fill="auto"/>
            <w:vAlign w:val="center"/>
          </w:tcPr>
          <w:p w14:paraId="2761D17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24,320</w:t>
            </w:r>
          </w:p>
        </w:tc>
        <w:tc>
          <w:tcPr>
            <w:tcW w:w="0" w:type="auto"/>
            <w:tcBorders>
              <w:top w:val="nil"/>
              <w:left w:val="nil"/>
              <w:bottom w:val="single" w:sz="8" w:space="0" w:color="auto"/>
              <w:right w:val="single" w:sz="8" w:space="0" w:color="auto"/>
            </w:tcBorders>
            <w:shd w:val="clear" w:color="auto" w:fill="auto"/>
            <w:vAlign w:val="center"/>
          </w:tcPr>
          <w:p w14:paraId="6EAE3E3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57,320</w:t>
            </w:r>
          </w:p>
        </w:tc>
      </w:tr>
      <w:tr w:rsidR="00C01A50" w:rsidRPr="00877554" w14:paraId="2AA8321D"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5F027C8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Other grape</w:t>
            </w:r>
          </w:p>
        </w:tc>
        <w:tc>
          <w:tcPr>
            <w:tcW w:w="0" w:type="auto"/>
            <w:tcBorders>
              <w:top w:val="nil"/>
              <w:left w:val="nil"/>
              <w:bottom w:val="single" w:sz="8" w:space="0" w:color="auto"/>
              <w:right w:val="single" w:sz="8" w:space="0" w:color="auto"/>
            </w:tcBorders>
            <w:shd w:val="clear" w:color="auto" w:fill="auto"/>
            <w:vAlign w:val="center"/>
          </w:tcPr>
          <w:p w14:paraId="7D710E7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35</w:t>
            </w:r>
          </w:p>
        </w:tc>
        <w:tc>
          <w:tcPr>
            <w:tcW w:w="0" w:type="auto"/>
            <w:tcBorders>
              <w:top w:val="nil"/>
              <w:left w:val="nil"/>
              <w:bottom w:val="single" w:sz="8" w:space="0" w:color="auto"/>
              <w:right w:val="single" w:sz="8" w:space="0" w:color="auto"/>
            </w:tcBorders>
            <w:shd w:val="clear" w:color="auto" w:fill="auto"/>
            <w:vAlign w:val="center"/>
          </w:tcPr>
          <w:p w14:paraId="754555A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45</w:t>
            </w:r>
          </w:p>
        </w:tc>
        <w:tc>
          <w:tcPr>
            <w:tcW w:w="0" w:type="auto"/>
            <w:tcBorders>
              <w:top w:val="nil"/>
              <w:left w:val="nil"/>
              <w:bottom w:val="single" w:sz="8" w:space="0" w:color="auto"/>
              <w:right w:val="single" w:sz="8" w:space="0" w:color="auto"/>
            </w:tcBorders>
            <w:shd w:val="clear" w:color="auto" w:fill="auto"/>
            <w:vAlign w:val="center"/>
          </w:tcPr>
          <w:p w14:paraId="7FF4DBA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29%</w:t>
            </w:r>
          </w:p>
        </w:tc>
        <w:tc>
          <w:tcPr>
            <w:tcW w:w="0" w:type="auto"/>
            <w:tcBorders>
              <w:top w:val="nil"/>
              <w:left w:val="nil"/>
              <w:bottom w:val="single" w:sz="8" w:space="0" w:color="auto"/>
              <w:right w:val="single" w:sz="8" w:space="0" w:color="auto"/>
            </w:tcBorders>
            <w:shd w:val="clear" w:color="auto" w:fill="auto"/>
            <w:vAlign w:val="center"/>
          </w:tcPr>
          <w:p w14:paraId="6F9CC2E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w:t>
            </w:r>
          </w:p>
        </w:tc>
        <w:tc>
          <w:tcPr>
            <w:tcW w:w="0" w:type="auto"/>
            <w:tcBorders>
              <w:top w:val="nil"/>
              <w:left w:val="nil"/>
              <w:bottom w:val="single" w:sz="8" w:space="0" w:color="auto"/>
              <w:right w:val="single" w:sz="8" w:space="0" w:color="auto"/>
            </w:tcBorders>
            <w:shd w:val="clear" w:color="auto" w:fill="auto"/>
            <w:vAlign w:val="center"/>
          </w:tcPr>
          <w:p w14:paraId="6BEF162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280</w:t>
            </w:r>
          </w:p>
        </w:tc>
        <w:tc>
          <w:tcPr>
            <w:tcW w:w="0" w:type="auto"/>
            <w:tcBorders>
              <w:top w:val="nil"/>
              <w:left w:val="nil"/>
              <w:bottom w:val="single" w:sz="8" w:space="0" w:color="auto"/>
              <w:right w:val="single" w:sz="8" w:space="0" w:color="auto"/>
            </w:tcBorders>
            <w:shd w:val="clear" w:color="auto" w:fill="auto"/>
            <w:vAlign w:val="center"/>
          </w:tcPr>
          <w:p w14:paraId="4E30B89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360</w:t>
            </w:r>
          </w:p>
        </w:tc>
        <w:tc>
          <w:tcPr>
            <w:tcW w:w="0" w:type="auto"/>
            <w:tcBorders>
              <w:top w:val="nil"/>
              <w:left w:val="nil"/>
              <w:bottom w:val="single" w:sz="8" w:space="0" w:color="auto"/>
              <w:right w:val="single" w:sz="8" w:space="0" w:color="auto"/>
            </w:tcBorders>
            <w:shd w:val="clear" w:color="auto" w:fill="auto"/>
            <w:vAlign w:val="center"/>
          </w:tcPr>
          <w:p w14:paraId="3E26798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360</w:t>
            </w:r>
          </w:p>
        </w:tc>
        <w:tc>
          <w:tcPr>
            <w:tcW w:w="0" w:type="auto"/>
            <w:tcBorders>
              <w:top w:val="nil"/>
              <w:left w:val="nil"/>
              <w:bottom w:val="single" w:sz="8" w:space="0" w:color="auto"/>
              <w:right w:val="single" w:sz="8" w:space="0" w:color="auto"/>
            </w:tcBorders>
            <w:shd w:val="clear" w:color="auto" w:fill="auto"/>
            <w:vAlign w:val="center"/>
          </w:tcPr>
          <w:p w14:paraId="6510455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360</w:t>
            </w:r>
          </w:p>
        </w:tc>
        <w:tc>
          <w:tcPr>
            <w:tcW w:w="0" w:type="auto"/>
            <w:tcBorders>
              <w:top w:val="nil"/>
              <w:left w:val="nil"/>
              <w:bottom w:val="single" w:sz="8" w:space="0" w:color="auto"/>
              <w:right w:val="single" w:sz="8" w:space="0" w:color="auto"/>
            </w:tcBorders>
            <w:shd w:val="clear" w:color="auto" w:fill="auto"/>
            <w:vAlign w:val="center"/>
          </w:tcPr>
          <w:p w14:paraId="3C4127F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360</w:t>
            </w:r>
          </w:p>
        </w:tc>
      </w:tr>
      <w:tr w:rsidR="00C01A50" w:rsidRPr="00877554" w14:paraId="026028BD"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11973929"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Citrus</w:t>
            </w:r>
          </w:p>
        </w:tc>
        <w:tc>
          <w:tcPr>
            <w:tcW w:w="0" w:type="auto"/>
            <w:tcBorders>
              <w:top w:val="nil"/>
              <w:left w:val="nil"/>
              <w:bottom w:val="single" w:sz="8" w:space="0" w:color="auto"/>
              <w:right w:val="single" w:sz="8" w:space="0" w:color="auto"/>
            </w:tcBorders>
            <w:shd w:val="clear" w:color="auto" w:fill="auto"/>
            <w:vAlign w:val="center"/>
          </w:tcPr>
          <w:p w14:paraId="71789D5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3,655</w:t>
            </w:r>
          </w:p>
        </w:tc>
        <w:tc>
          <w:tcPr>
            <w:tcW w:w="0" w:type="auto"/>
            <w:tcBorders>
              <w:top w:val="nil"/>
              <w:left w:val="nil"/>
              <w:bottom w:val="single" w:sz="8" w:space="0" w:color="auto"/>
              <w:right w:val="single" w:sz="8" w:space="0" w:color="auto"/>
            </w:tcBorders>
            <w:shd w:val="clear" w:color="auto" w:fill="auto"/>
            <w:vAlign w:val="center"/>
          </w:tcPr>
          <w:p w14:paraId="3B388BA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3,720</w:t>
            </w:r>
          </w:p>
        </w:tc>
        <w:tc>
          <w:tcPr>
            <w:tcW w:w="0" w:type="auto"/>
            <w:tcBorders>
              <w:top w:val="nil"/>
              <w:left w:val="nil"/>
              <w:bottom w:val="single" w:sz="8" w:space="0" w:color="auto"/>
              <w:right w:val="single" w:sz="8" w:space="0" w:color="auto"/>
            </w:tcBorders>
            <w:shd w:val="clear" w:color="auto" w:fill="auto"/>
            <w:vAlign w:val="center"/>
          </w:tcPr>
          <w:p w14:paraId="0351CA4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w:t>
            </w:r>
          </w:p>
        </w:tc>
        <w:tc>
          <w:tcPr>
            <w:tcW w:w="0" w:type="auto"/>
            <w:tcBorders>
              <w:top w:val="nil"/>
              <w:left w:val="nil"/>
              <w:bottom w:val="single" w:sz="8" w:space="0" w:color="auto"/>
              <w:right w:val="single" w:sz="8" w:space="0" w:color="auto"/>
            </w:tcBorders>
            <w:shd w:val="clear" w:color="auto" w:fill="auto"/>
            <w:vAlign w:val="center"/>
          </w:tcPr>
          <w:p w14:paraId="73C8D18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nil"/>
              <w:left w:val="nil"/>
              <w:bottom w:val="single" w:sz="8" w:space="0" w:color="auto"/>
              <w:right w:val="single" w:sz="8" w:space="0" w:color="auto"/>
            </w:tcBorders>
            <w:shd w:val="clear" w:color="auto" w:fill="auto"/>
            <w:vAlign w:val="center"/>
          </w:tcPr>
          <w:p w14:paraId="7A1A8DB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43,860</w:t>
            </w:r>
          </w:p>
        </w:tc>
        <w:tc>
          <w:tcPr>
            <w:tcW w:w="0" w:type="auto"/>
            <w:tcBorders>
              <w:top w:val="nil"/>
              <w:left w:val="nil"/>
              <w:bottom w:val="single" w:sz="8" w:space="0" w:color="auto"/>
              <w:right w:val="single" w:sz="8" w:space="0" w:color="auto"/>
            </w:tcBorders>
            <w:shd w:val="clear" w:color="auto" w:fill="auto"/>
            <w:vAlign w:val="center"/>
          </w:tcPr>
          <w:p w14:paraId="67BCAC3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44,640</w:t>
            </w:r>
          </w:p>
        </w:tc>
        <w:tc>
          <w:tcPr>
            <w:tcW w:w="0" w:type="auto"/>
            <w:tcBorders>
              <w:top w:val="nil"/>
              <w:left w:val="nil"/>
              <w:bottom w:val="single" w:sz="8" w:space="0" w:color="auto"/>
              <w:right w:val="single" w:sz="8" w:space="0" w:color="auto"/>
            </w:tcBorders>
            <w:shd w:val="clear" w:color="auto" w:fill="auto"/>
            <w:vAlign w:val="center"/>
          </w:tcPr>
          <w:p w14:paraId="4C28372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44,640</w:t>
            </w:r>
          </w:p>
        </w:tc>
        <w:tc>
          <w:tcPr>
            <w:tcW w:w="0" w:type="auto"/>
            <w:tcBorders>
              <w:top w:val="nil"/>
              <w:left w:val="nil"/>
              <w:bottom w:val="single" w:sz="8" w:space="0" w:color="auto"/>
              <w:right w:val="single" w:sz="8" w:space="0" w:color="auto"/>
            </w:tcBorders>
            <w:shd w:val="clear" w:color="auto" w:fill="auto"/>
            <w:vAlign w:val="center"/>
          </w:tcPr>
          <w:p w14:paraId="3DD9170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44,640</w:t>
            </w:r>
          </w:p>
        </w:tc>
        <w:tc>
          <w:tcPr>
            <w:tcW w:w="0" w:type="auto"/>
            <w:tcBorders>
              <w:top w:val="nil"/>
              <w:left w:val="nil"/>
              <w:bottom w:val="single" w:sz="8" w:space="0" w:color="auto"/>
              <w:right w:val="single" w:sz="8" w:space="0" w:color="auto"/>
            </w:tcBorders>
            <w:shd w:val="clear" w:color="auto" w:fill="auto"/>
            <w:vAlign w:val="center"/>
          </w:tcPr>
          <w:p w14:paraId="4C55606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45,840</w:t>
            </w:r>
          </w:p>
        </w:tc>
      </w:tr>
      <w:tr w:rsidR="00C01A50" w:rsidRPr="00877554" w14:paraId="21192AAE"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3E077B8E"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Olive</w:t>
            </w:r>
          </w:p>
        </w:tc>
        <w:tc>
          <w:tcPr>
            <w:tcW w:w="0" w:type="auto"/>
            <w:tcBorders>
              <w:top w:val="nil"/>
              <w:left w:val="nil"/>
              <w:bottom w:val="single" w:sz="8" w:space="0" w:color="auto"/>
              <w:right w:val="single" w:sz="8" w:space="0" w:color="auto"/>
            </w:tcBorders>
            <w:shd w:val="clear" w:color="auto" w:fill="auto"/>
            <w:vAlign w:val="center"/>
          </w:tcPr>
          <w:p w14:paraId="401BC67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04997F7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3,625</w:t>
            </w:r>
          </w:p>
        </w:tc>
        <w:tc>
          <w:tcPr>
            <w:tcW w:w="0" w:type="auto"/>
            <w:tcBorders>
              <w:top w:val="nil"/>
              <w:left w:val="nil"/>
              <w:bottom w:val="single" w:sz="8" w:space="0" w:color="auto"/>
              <w:right w:val="single" w:sz="8" w:space="0" w:color="auto"/>
            </w:tcBorders>
            <w:shd w:val="clear" w:color="auto" w:fill="auto"/>
            <w:vAlign w:val="center"/>
          </w:tcPr>
          <w:p w14:paraId="0FBC204C"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3F2FC73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nil"/>
              <w:left w:val="nil"/>
              <w:bottom w:val="single" w:sz="8" w:space="0" w:color="auto"/>
              <w:right w:val="single" w:sz="8" w:space="0" w:color="auto"/>
            </w:tcBorders>
            <w:shd w:val="clear" w:color="auto" w:fill="auto"/>
            <w:vAlign w:val="center"/>
          </w:tcPr>
          <w:p w14:paraId="26F99CD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510379A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43,500</w:t>
            </w:r>
          </w:p>
        </w:tc>
        <w:tc>
          <w:tcPr>
            <w:tcW w:w="0" w:type="auto"/>
            <w:tcBorders>
              <w:top w:val="nil"/>
              <w:left w:val="nil"/>
              <w:bottom w:val="single" w:sz="8" w:space="0" w:color="auto"/>
              <w:right w:val="single" w:sz="8" w:space="0" w:color="auto"/>
            </w:tcBorders>
            <w:shd w:val="clear" w:color="auto" w:fill="auto"/>
            <w:vAlign w:val="center"/>
          </w:tcPr>
          <w:p w14:paraId="0D5E5AA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43,500</w:t>
            </w:r>
          </w:p>
        </w:tc>
        <w:tc>
          <w:tcPr>
            <w:tcW w:w="0" w:type="auto"/>
            <w:tcBorders>
              <w:top w:val="nil"/>
              <w:left w:val="nil"/>
              <w:bottom w:val="single" w:sz="8" w:space="0" w:color="auto"/>
              <w:right w:val="single" w:sz="8" w:space="0" w:color="auto"/>
            </w:tcBorders>
            <w:shd w:val="clear" w:color="auto" w:fill="auto"/>
            <w:vAlign w:val="center"/>
          </w:tcPr>
          <w:p w14:paraId="77C781F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43,500</w:t>
            </w:r>
          </w:p>
        </w:tc>
        <w:tc>
          <w:tcPr>
            <w:tcW w:w="0" w:type="auto"/>
            <w:tcBorders>
              <w:top w:val="nil"/>
              <w:left w:val="nil"/>
              <w:bottom w:val="single" w:sz="8" w:space="0" w:color="auto"/>
              <w:right w:val="single" w:sz="8" w:space="0" w:color="auto"/>
            </w:tcBorders>
            <w:shd w:val="clear" w:color="auto" w:fill="auto"/>
            <w:vAlign w:val="center"/>
          </w:tcPr>
          <w:p w14:paraId="3BD2CD4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43,500</w:t>
            </w:r>
          </w:p>
        </w:tc>
      </w:tr>
      <w:tr w:rsidR="00C01A50" w:rsidRPr="00877554" w14:paraId="32E03D29"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5D87168C"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Avocado</w:t>
            </w:r>
          </w:p>
        </w:tc>
        <w:tc>
          <w:tcPr>
            <w:tcW w:w="0" w:type="auto"/>
            <w:tcBorders>
              <w:top w:val="nil"/>
              <w:left w:val="nil"/>
              <w:bottom w:val="single" w:sz="8" w:space="0" w:color="auto"/>
              <w:right w:val="single" w:sz="8" w:space="0" w:color="auto"/>
            </w:tcBorders>
            <w:shd w:val="clear" w:color="auto" w:fill="auto"/>
            <w:vAlign w:val="center"/>
          </w:tcPr>
          <w:p w14:paraId="2278E1B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1276D4D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560</w:t>
            </w:r>
          </w:p>
        </w:tc>
        <w:tc>
          <w:tcPr>
            <w:tcW w:w="0" w:type="auto"/>
            <w:tcBorders>
              <w:top w:val="nil"/>
              <w:left w:val="nil"/>
              <w:bottom w:val="single" w:sz="8" w:space="0" w:color="auto"/>
              <w:right w:val="single" w:sz="8" w:space="0" w:color="auto"/>
            </w:tcBorders>
            <w:shd w:val="clear" w:color="auto" w:fill="auto"/>
            <w:vAlign w:val="center"/>
          </w:tcPr>
          <w:p w14:paraId="73CFDC8C"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084CD9A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13</w:t>
            </w:r>
          </w:p>
        </w:tc>
        <w:tc>
          <w:tcPr>
            <w:tcW w:w="0" w:type="auto"/>
            <w:tcBorders>
              <w:top w:val="nil"/>
              <w:left w:val="nil"/>
              <w:bottom w:val="single" w:sz="8" w:space="0" w:color="auto"/>
              <w:right w:val="single" w:sz="8" w:space="0" w:color="auto"/>
            </w:tcBorders>
            <w:shd w:val="clear" w:color="auto" w:fill="auto"/>
            <w:vAlign w:val="center"/>
          </w:tcPr>
          <w:p w14:paraId="074699A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3A80BE0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7,280</w:t>
            </w:r>
          </w:p>
        </w:tc>
        <w:tc>
          <w:tcPr>
            <w:tcW w:w="0" w:type="auto"/>
            <w:tcBorders>
              <w:top w:val="nil"/>
              <w:left w:val="nil"/>
              <w:bottom w:val="single" w:sz="8" w:space="0" w:color="auto"/>
              <w:right w:val="single" w:sz="8" w:space="0" w:color="auto"/>
            </w:tcBorders>
            <w:shd w:val="clear" w:color="auto" w:fill="auto"/>
            <w:vAlign w:val="center"/>
          </w:tcPr>
          <w:p w14:paraId="78062A9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7,280</w:t>
            </w:r>
          </w:p>
        </w:tc>
        <w:tc>
          <w:tcPr>
            <w:tcW w:w="0" w:type="auto"/>
            <w:tcBorders>
              <w:top w:val="nil"/>
              <w:left w:val="nil"/>
              <w:bottom w:val="single" w:sz="8" w:space="0" w:color="auto"/>
              <w:right w:val="single" w:sz="8" w:space="0" w:color="auto"/>
            </w:tcBorders>
            <w:shd w:val="clear" w:color="auto" w:fill="auto"/>
            <w:vAlign w:val="center"/>
          </w:tcPr>
          <w:p w14:paraId="1F9DCBB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7,280</w:t>
            </w:r>
          </w:p>
        </w:tc>
        <w:tc>
          <w:tcPr>
            <w:tcW w:w="0" w:type="auto"/>
            <w:tcBorders>
              <w:top w:val="nil"/>
              <w:left w:val="nil"/>
              <w:bottom w:val="single" w:sz="8" w:space="0" w:color="auto"/>
              <w:right w:val="single" w:sz="8" w:space="0" w:color="auto"/>
            </w:tcBorders>
            <w:shd w:val="clear" w:color="auto" w:fill="auto"/>
            <w:vAlign w:val="center"/>
          </w:tcPr>
          <w:p w14:paraId="039CD69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7,280</w:t>
            </w:r>
          </w:p>
        </w:tc>
      </w:tr>
      <w:tr w:rsidR="00C01A50" w:rsidRPr="00877554" w14:paraId="5861C7EA"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5F97287B"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Stone fruit</w:t>
            </w:r>
          </w:p>
        </w:tc>
        <w:tc>
          <w:tcPr>
            <w:tcW w:w="0" w:type="auto"/>
            <w:tcBorders>
              <w:top w:val="nil"/>
              <w:left w:val="nil"/>
              <w:bottom w:val="single" w:sz="8" w:space="0" w:color="auto"/>
              <w:right w:val="single" w:sz="8" w:space="0" w:color="auto"/>
            </w:tcBorders>
            <w:shd w:val="clear" w:color="auto" w:fill="auto"/>
            <w:vAlign w:val="center"/>
          </w:tcPr>
          <w:p w14:paraId="44F8E7A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1BDCAE6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580</w:t>
            </w:r>
          </w:p>
        </w:tc>
        <w:tc>
          <w:tcPr>
            <w:tcW w:w="0" w:type="auto"/>
            <w:tcBorders>
              <w:top w:val="nil"/>
              <w:left w:val="nil"/>
              <w:bottom w:val="single" w:sz="8" w:space="0" w:color="auto"/>
              <w:right w:val="single" w:sz="8" w:space="0" w:color="auto"/>
            </w:tcBorders>
            <w:shd w:val="clear" w:color="auto" w:fill="auto"/>
            <w:vAlign w:val="center"/>
          </w:tcPr>
          <w:p w14:paraId="7C1B044C"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3380CCE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nil"/>
              <w:left w:val="nil"/>
              <w:bottom w:val="single" w:sz="8" w:space="0" w:color="auto"/>
              <w:right w:val="single" w:sz="8" w:space="0" w:color="auto"/>
            </w:tcBorders>
            <w:shd w:val="clear" w:color="auto" w:fill="auto"/>
            <w:vAlign w:val="center"/>
          </w:tcPr>
          <w:p w14:paraId="6F406B3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155D0B0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6,960</w:t>
            </w:r>
          </w:p>
        </w:tc>
        <w:tc>
          <w:tcPr>
            <w:tcW w:w="0" w:type="auto"/>
            <w:tcBorders>
              <w:top w:val="nil"/>
              <w:left w:val="nil"/>
              <w:bottom w:val="single" w:sz="8" w:space="0" w:color="auto"/>
              <w:right w:val="single" w:sz="8" w:space="0" w:color="auto"/>
            </w:tcBorders>
            <w:shd w:val="clear" w:color="auto" w:fill="auto"/>
            <w:vAlign w:val="center"/>
          </w:tcPr>
          <w:p w14:paraId="2D7C9EF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6,960</w:t>
            </w:r>
          </w:p>
        </w:tc>
        <w:tc>
          <w:tcPr>
            <w:tcW w:w="0" w:type="auto"/>
            <w:tcBorders>
              <w:top w:val="nil"/>
              <w:left w:val="nil"/>
              <w:bottom w:val="single" w:sz="8" w:space="0" w:color="auto"/>
              <w:right w:val="single" w:sz="8" w:space="0" w:color="auto"/>
            </w:tcBorders>
            <w:shd w:val="clear" w:color="auto" w:fill="auto"/>
            <w:vAlign w:val="center"/>
          </w:tcPr>
          <w:p w14:paraId="20EAABD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6,960</w:t>
            </w:r>
          </w:p>
        </w:tc>
        <w:tc>
          <w:tcPr>
            <w:tcW w:w="0" w:type="auto"/>
            <w:tcBorders>
              <w:top w:val="nil"/>
              <w:left w:val="nil"/>
              <w:bottom w:val="single" w:sz="8" w:space="0" w:color="auto"/>
              <w:right w:val="single" w:sz="8" w:space="0" w:color="auto"/>
            </w:tcBorders>
            <w:shd w:val="clear" w:color="auto" w:fill="auto"/>
            <w:vAlign w:val="center"/>
          </w:tcPr>
          <w:p w14:paraId="65CF2F9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6,960</w:t>
            </w:r>
          </w:p>
        </w:tc>
      </w:tr>
      <w:tr w:rsidR="00C01A50" w:rsidRPr="00877554" w14:paraId="387F7398" w14:textId="77777777">
        <w:trPr>
          <w:trHeight w:val="620"/>
        </w:trPr>
        <w:tc>
          <w:tcPr>
            <w:tcW w:w="0" w:type="auto"/>
            <w:tcBorders>
              <w:top w:val="nil"/>
              <w:left w:val="single" w:sz="8" w:space="0" w:color="auto"/>
              <w:bottom w:val="single" w:sz="8" w:space="0" w:color="auto"/>
              <w:right w:val="single" w:sz="8" w:space="0" w:color="auto"/>
            </w:tcBorders>
            <w:shd w:val="clear" w:color="auto" w:fill="auto"/>
            <w:vAlign w:val="center"/>
          </w:tcPr>
          <w:p w14:paraId="3A3F32DA"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Other fruit tree</w:t>
            </w:r>
          </w:p>
        </w:tc>
        <w:tc>
          <w:tcPr>
            <w:tcW w:w="0" w:type="auto"/>
            <w:tcBorders>
              <w:top w:val="nil"/>
              <w:left w:val="nil"/>
              <w:bottom w:val="single" w:sz="8" w:space="0" w:color="auto"/>
              <w:right w:val="single" w:sz="8" w:space="0" w:color="auto"/>
            </w:tcBorders>
            <w:shd w:val="clear" w:color="auto" w:fill="auto"/>
            <w:vAlign w:val="center"/>
          </w:tcPr>
          <w:p w14:paraId="258E9CA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565</w:t>
            </w:r>
          </w:p>
        </w:tc>
        <w:tc>
          <w:tcPr>
            <w:tcW w:w="0" w:type="auto"/>
            <w:tcBorders>
              <w:top w:val="nil"/>
              <w:left w:val="nil"/>
              <w:bottom w:val="single" w:sz="8" w:space="0" w:color="auto"/>
              <w:right w:val="single" w:sz="8" w:space="0" w:color="auto"/>
            </w:tcBorders>
            <w:shd w:val="clear" w:color="auto" w:fill="auto"/>
            <w:vAlign w:val="center"/>
          </w:tcPr>
          <w:p w14:paraId="6B1D7DA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155</w:t>
            </w:r>
          </w:p>
        </w:tc>
        <w:tc>
          <w:tcPr>
            <w:tcW w:w="0" w:type="auto"/>
            <w:tcBorders>
              <w:top w:val="nil"/>
              <w:left w:val="nil"/>
              <w:bottom w:val="single" w:sz="8" w:space="0" w:color="auto"/>
              <w:right w:val="single" w:sz="8" w:space="0" w:color="auto"/>
            </w:tcBorders>
            <w:shd w:val="clear" w:color="auto" w:fill="auto"/>
            <w:vAlign w:val="center"/>
          </w:tcPr>
          <w:p w14:paraId="656948BA"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1317ED1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nil"/>
              <w:left w:val="nil"/>
              <w:bottom w:val="single" w:sz="8" w:space="0" w:color="auto"/>
              <w:right w:val="single" w:sz="8" w:space="0" w:color="auto"/>
            </w:tcBorders>
            <w:shd w:val="clear" w:color="auto" w:fill="auto"/>
            <w:vAlign w:val="center"/>
          </w:tcPr>
          <w:p w14:paraId="17EFB6A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6,780</w:t>
            </w:r>
          </w:p>
        </w:tc>
        <w:tc>
          <w:tcPr>
            <w:tcW w:w="0" w:type="auto"/>
            <w:tcBorders>
              <w:top w:val="nil"/>
              <w:left w:val="nil"/>
              <w:bottom w:val="single" w:sz="8" w:space="0" w:color="auto"/>
              <w:right w:val="single" w:sz="8" w:space="0" w:color="auto"/>
            </w:tcBorders>
            <w:shd w:val="clear" w:color="auto" w:fill="auto"/>
            <w:vAlign w:val="center"/>
          </w:tcPr>
          <w:p w14:paraId="623E944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1,860</w:t>
            </w:r>
          </w:p>
        </w:tc>
        <w:tc>
          <w:tcPr>
            <w:tcW w:w="0" w:type="auto"/>
            <w:tcBorders>
              <w:top w:val="nil"/>
              <w:left w:val="nil"/>
              <w:bottom w:val="single" w:sz="8" w:space="0" w:color="auto"/>
              <w:right w:val="single" w:sz="8" w:space="0" w:color="auto"/>
            </w:tcBorders>
            <w:shd w:val="clear" w:color="auto" w:fill="auto"/>
            <w:vAlign w:val="center"/>
          </w:tcPr>
          <w:p w14:paraId="15CA8A4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1,860</w:t>
            </w:r>
          </w:p>
        </w:tc>
        <w:tc>
          <w:tcPr>
            <w:tcW w:w="0" w:type="auto"/>
            <w:tcBorders>
              <w:top w:val="nil"/>
              <w:left w:val="nil"/>
              <w:bottom w:val="single" w:sz="8" w:space="0" w:color="auto"/>
              <w:right w:val="single" w:sz="8" w:space="0" w:color="auto"/>
            </w:tcBorders>
            <w:shd w:val="clear" w:color="auto" w:fill="auto"/>
            <w:vAlign w:val="center"/>
          </w:tcPr>
          <w:p w14:paraId="1627D1F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1,860</w:t>
            </w:r>
          </w:p>
        </w:tc>
        <w:tc>
          <w:tcPr>
            <w:tcW w:w="0" w:type="auto"/>
            <w:tcBorders>
              <w:top w:val="nil"/>
              <w:left w:val="nil"/>
              <w:bottom w:val="single" w:sz="8" w:space="0" w:color="auto"/>
              <w:right w:val="single" w:sz="8" w:space="0" w:color="auto"/>
            </w:tcBorders>
            <w:shd w:val="clear" w:color="auto" w:fill="auto"/>
            <w:vAlign w:val="center"/>
          </w:tcPr>
          <w:p w14:paraId="10AF849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1,860</w:t>
            </w:r>
          </w:p>
        </w:tc>
      </w:tr>
      <w:tr w:rsidR="00C01A50" w:rsidRPr="00877554" w14:paraId="267B73E2" w14:textId="77777777">
        <w:trPr>
          <w:trHeight w:val="620"/>
        </w:trPr>
        <w:tc>
          <w:tcPr>
            <w:tcW w:w="0" w:type="auto"/>
            <w:tcBorders>
              <w:top w:val="nil"/>
              <w:left w:val="single" w:sz="8" w:space="0" w:color="auto"/>
              <w:bottom w:val="single" w:sz="8" w:space="0" w:color="auto"/>
              <w:right w:val="single" w:sz="8" w:space="0" w:color="auto"/>
            </w:tcBorders>
            <w:shd w:val="clear" w:color="auto" w:fill="auto"/>
            <w:vAlign w:val="center"/>
          </w:tcPr>
          <w:p w14:paraId="0C827207"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unspecified fruit tree</w:t>
            </w:r>
          </w:p>
        </w:tc>
        <w:tc>
          <w:tcPr>
            <w:tcW w:w="0" w:type="auto"/>
            <w:tcBorders>
              <w:top w:val="nil"/>
              <w:left w:val="nil"/>
              <w:bottom w:val="single" w:sz="8" w:space="0" w:color="auto"/>
              <w:right w:val="single" w:sz="8" w:space="0" w:color="auto"/>
            </w:tcBorders>
            <w:shd w:val="clear" w:color="auto" w:fill="auto"/>
            <w:vAlign w:val="center"/>
          </w:tcPr>
          <w:p w14:paraId="035D27E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4,980</w:t>
            </w:r>
          </w:p>
        </w:tc>
        <w:tc>
          <w:tcPr>
            <w:tcW w:w="0" w:type="auto"/>
            <w:tcBorders>
              <w:top w:val="nil"/>
              <w:left w:val="nil"/>
              <w:bottom w:val="single" w:sz="8" w:space="0" w:color="auto"/>
              <w:right w:val="single" w:sz="8" w:space="0" w:color="auto"/>
            </w:tcBorders>
            <w:shd w:val="clear" w:color="auto" w:fill="auto"/>
            <w:vAlign w:val="center"/>
          </w:tcPr>
          <w:p w14:paraId="27D1571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60</w:t>
            </w:r>
          </w:p>
        </w:tc>
        <w:tc>
          <w:tcPr>
            <w:tcW w:w="0" w:type="auto"/>
            <w:tcBorders>
              <w:top w:val="nil"/>
              <w:left w:val="nil"/>
              <w:bottom w:val="single" w:sz="8" w:space="0" w:color="auto"/>
              <w:right w:val="single" w:sz="8" w:space="0" w:color="auto"/>
            </w:tcBorders>
            <w:shd w:val="clear" w:color="auto" w:fill="auto"/>
            <w:vAlign w:val="center"/>
          </w:tcPr>
          <w:p w14:paraId="2507A6D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3199300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nil"/>
              <w:left w:val="nil"/>
              <w:bottom w:val="single" w:sz="8" w:space="0" w:color="auto"/>
              <w:right w:val="single" w:sz="8" w:space="0" w:color="auto"/>
            </w:tcBorders>
            <w:shd w:val="clear" w:color="auto" w:fill="auto"/>
            <w:vAlign w:val="center"/>
          </w:tcPr>
          <w:p w14:paraId="5CD4117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59,760</w:t>
            </w:r>
          </w:p>
        </w:tc>
        <w:tc>
          <w:tcPr>
            <w:tcW w:w="0" w:type="auto"/>
            <w:tcBorders>
              <w:top w:val="nil"/>
              <w:left w:val="nil"/>
              <w:bottom w:val="single" w:sz="8" w:space="0" w:color="auto"/>
              <w:right w:val="single" w:sz="8" w:space="0" w:color="auto"/>
            </w:tcBorders>
            <w:shd w:val="clear" w:color="auto" w:fill="auto"/>
            <w:vAlign w:val="center"/>
          </w:tcPr>
          <w:p w14:paraId="4EAE364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720</w:t>
            </w:r>
          </w:p>
        </w:tc>
        <w:tc>
          <w:tcPr>
            <w:tcW w:w="0" w:type="auto"/>
            <w:tcBorders>
              <w:top w:val="nil"/>
              <w:left w:val="nil"/>
              <w:bottom w:val="single" w:sz="8" w:space="0" w:color="auto"/>
              <w:right w:val="single" w:sz="8" w:space="0" w:color="auto"/>
            </w:tcBorders>
            <w:shd w:val="clear" w:color="auto" w:fill="auto"/>
            <w:vAlign w:val="center"/>
          </w:tcPr>
          <w:p w14:paraId="0C642E6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720</w:t>
            </w:r>
          </w:p>
        </w:tc>
        <w:tc>
          <w:tcPr>
            <w:tcW w:w="0" w:type="auto"/>
            <w:tcBorders>
              <w:top w:val="nil"/>
              <w:left w:val="nil"/>
              <w:bottom w:val="single" w:sz="8" w:space="0" w:color="auto"/>
              <w:right w:val="single" w:sz="8" w:space="0" w:color="auto"/>
            </w:tcBorders>
            <w:shd w:val="clear" w:color="auto" w:fill="auto"/>
            <w:vAlign w:val="center"/>
          </w:tcPr>
          <w:p w14:paraId="7A5540F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720</w:t>
            </w:r>
          </w:p>
        </w:tc>
        <w:tc>
          <w:tcPr>
            <w:tcW w:w="0" w:type="auto"/>
            <w:tcBorders>
              <w:top w:val="nil"/>
              <w:left w:val="nil"/>
              <w:bottom w:val="single" w:sz="8" w:space="0" w:color="auto"/>
              <w:right w:val="single" w:sz="8" w:space="0" w:color="auto"/>
            </w:tcBorders>
            <w:shd w:val="clear" w:color="auto" w:fill="auto"/>
            <w:vAlign w:val="center"/>
          </w:tcPr>
          <w:p w14:paraId="33AA473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720</w:t>
            </w:r>
          </w:p>
        </w:tc>
      </w:tr>
      <w:tr w:rsidR="00C01A50" w:rsidRPr="00877554" w14:paraId="2D8507EF"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69196995"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Nursery</w:t>
            </w:r>
          </w:p>
        </w:tc>
        <w:tc>
          <w:tcPr>
            <w:tcW w:w="0" w:type="auto"/>
            <w:tcBorders>
              <w:top w:val="nil"/>
              <w:left w:val="nil"/>
              <w:bottom w:val="single" w:sz="8" w:space="0" w:color="auto"/>
              <w:right w:val="single" w:sz="8" w:space="0" w:color="auto"/>
            </w:tcBorders>
            <w:shd w:val="clear" w:color="auto" w:fill="auto"/>
            <w:vAlign w:val="center"/>
          </w:tcPr>
          <w:p w14:paraId="0EF47A1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53FC424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180</w:t>
            </w:r>
          </w:p>
        </w:tc>
        <w:tc>
          <w:tcPr>
            <w:tcW w:w="0" w:type="auto"/>
            <w:tcBorders>
              <w:top w:val="nil"/>
              <w:left w:val="nil"/>
              <w:bottom w:val="single" w:sz="8" w:space="0" w:color="auto"/>
              <w:right w:val="single" w:sz="8" w:space="0" w:color="auto"/>
            </w:tcBorders>
            <w:shd w:val="clear" w:color="auto" w:fill="auto"/>
            <w:vAlign w:val="center"/>
          </w:tcPr>
          <w:p w14:paraId="0F86B486"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3DC8244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nil"/>
              <w:left w:val="nil"/>
              <w:bottom w:val="single" w:sz="8" w:space="0" w:color="auto"/>
              <w:right w:val="single" w:sz="8" w:space="0" w:color="auto"/>
            </w:tcBorders>
            <w:shd w:val="clear" w:color="auto" w:fill="auto"/>
            <w:vAlign w:val="center"/>
          </w:tcPr>
          <w:p w14:paraId="4224F9C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1F8F51C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2,160</w:t>
            </w:r>
          </w:p>
        </w:tc>
        <w:tc>
          <w:tcPr>
            <w:tcW w:w="0" w:type="auto"/>
            <w:tcBorders>
              <w:top w:val="nil"/>
              <w:left w:val="nil"/>
              <w:bottom w:val="single" w:sz="8" w:space="0" w:color="auto"/>
              <w:right w:val="single" w:sz="8" w:space="0" w:color="auto"/>
            </w:tcBorders>
            <w:shd w:val="clear" w:color="auto" w:fill="auto"/>
            <w:vAlign w:val="center"/>
          </w:tcPr>
          <w:p w14:paraId="5840731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2,160</w:t>
            </w:r>
          </w:p>
        </w:tc>
        <w:tc>
          <w:tcPr>
            <w:tcW w:w="0" w:type="auto"/>
            <w:tcBorders>
              <w:top w:val="nil"/>
              <w:left w:val="nil"/>
              <w:bottom w:val="single" w:sz="8" w:space="0" w:color="auto"/>
              <w:right w:val="single" w:sz="8" w:space="0" w:color="auto"/>
            </w:tcBorders>
            <w:shd w:val="clear" w:color="auto" w:fill="auto"/>
            <w:vAlign w:val="center"/>
          </w:tcPr>
          <w:p w14:paraId="3B8C1D9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2,160</w:t>
            </w:r>
          </w:p>
        </w:tc>
        <w:tc>
          <w:tcPr>
            <w:tcW w:w="0" w:type="auto"/>
            <w:tcBorders>
              <w:top w:val="nil"/>
              <w:left w:val="nil"/>
              <w:bottom w:val="single" w:sz="8" w:space="0" w:color="auto"/>
              <w:right w:val="single" w:sz="8" w:space="0" w:color="auto"/>
            </w:tcBorders>
            <w:shd w:val="clear" w:color="auto" w:fill="auto"/>
            <w:vAlign w:val="center"/>
          </w:tcPr>
          <w:p w14:paraId="0958C4D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2,160</w:t>
            </w:r>
          </w:p>
        </w:tc>
      </w:tr>
      <w:tr w:rsidR="00C01A50" w:rsidRPr="00877554" w14:paraId="23DBAAB8"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638E37C2"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Woodlot</w:t>
            </w:r>
          </w:p>
        </w:tc>
        <w:tc>
          <w:tcPr>
            <w:tcW w:w="0" w:type="auto"/>
            <w:tcBorders>
              <w:top w:val="nil"/>
              <w:left w:val="nil"/>
              <w:bottom w:val="single" w:sz="8" w:space="0" w:color="auto"/>
              <w:right w:val="single" w:sz="8" w:space="0" w:color="auto"/>
            </w:tcBorders>
            <w:shd w:val="clear" w:color="auto" w:fill="auto"/>
            <w:vAlign w:val="center"/>
          </w:tcPr>
          <w:p w14:paraId="61FE08C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69A4C64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250</w:t>
            </w:r>
          </w:p>
        </w:tc>
        <w:tc>
          <w:tcPr>
            <w:tcW w:w="0" w:type="auto"/>
            <w:tcBorders>
              <w:top w:val="nil"/>
              <w:left w:val="nil"/>
              <w:bottom w:val="single" w:sz="8" w:space="0" w:color="auto"/>
              <w:right w:val="single" w:sz="8" w:space="0" w:color="auto"/>
            </w:tcBorders>
            <w:shd w:val="clear" w:color="auto" w:fill="auto"/>
            <w:vAlign w:val="center"/>
          </w:tcPr>
          <w:p w14:paraId="7157DD98"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52DD12D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0627CCD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3FEA4A0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1A275E1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735166E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14E4AD5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r>
      <w:tr w:rsidR="00C01A50" w:rsidRPr="00877554" w14:paraId="41E0427B" w14:textId="77777777">
        <w:trPr>
          <w:trHeight w:val="320"/>
        </w:trPr>
        <w:tc>
          <w:tcPr>
            <w:tcW w:w="0" w:type="auto"/>
            <w:tcBorders>
              <w:top w:val="nil"/>
              <w:left w:val="single" w:sz="8" w:space="0" w:color="auto"/>
              <w:bottom w:val="single" w:sz="4" w:space="0" w:color="auto"/>
              <w:right w:val="single" w:sz="8" w:space="0" w:color="auto"/>
            </w:tcBorders>
            <w:shd w:val="clear" w:color="auto" w:fill="auto"/>
            <w:vAlign w:val="center"/>
          </w:tcPr>
          <w:p w14:paraId="3D3117D5"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Misc.</w:t>
            </w:r>
          </w:p>
        </w:tc>
        <w:tc>
          <w:tcPr>
            <w:tcW w:w="0" w:type="auto"/>
            <w:tcBorders>
              <w:top w:val="nil"/>
              <w:left w:val="nil"/>
              <w:bottom w:val="single" w:sz="4" w:space="0" w:color="auto"/>
              <w:right w:val="single" w:sz="8" w:space="0" w:color="auto"/>
            </w:tcBorders>
            <w:shd w:val="clear" w:color="auto" w:fill="auto"/>
            <w:vAlign w:val="center"/>
          </w:tcPr>
          <w:p w14:paraId="1F6C08B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single" w:sz="8" w:space="0" w:color="auto"/>
            </w:tcBorders>
            <w:shd w:val="clear" w:color="auto" w:fill="auto"/>
            <w:vAlign w:val="center"/>
          </w:tcPr>
          <w:p w14:paraId="0E963EA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20</w:t>
            </w:r>
          </w:p>
        </w:tc>
        <w:tc>
          <w:tcPr>
            <w:tcW w:w="0" w:type="auto"/>
            <w:tcBorders>
              <w:top w:val="nil"/>
              <w:left w:val="nil"/>
              <w:bottom w:val="single" w:sz="4" w:space="0" w:color="auto"/>
              <w:right w:val="single" w:sz="8" w:space="0" w:color="auto"/>
            </w:tcBorders>
            <w:shd w:val="clear" w:color="auto" w:fill="auto"/>
            <w:vAlign w:val="center"/>
          </w:tcPr>
          <w:p w14:paraId="34ED4F2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single" w:sz="8" w:space="0" w:color="auto"/>
            </w:tcBorders>
            <w:shd w:val="clear" w:color="auto" w:fill="auto"/>
            <w:vAlign w:val="center"/>
          </w:tcPr>
          <w:p w14:paraId="0F033D0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4" w:space="0" w:color="auto"/>
              <w:right w:val="single" w:sz="8" w:space="0" w:color="auto"/>
            </w:tcBorders>
            <w:shd w:val="clear" w:color="auto" w:fill="auto"/>
            <w:vAlign w:val="center"/>
          </w:tcPr>
          <w:p w14:paraId="0A48FA8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4" w:space="0" w:color="auto"/>
              <w:right w:val="single" w:sz="8" w:space="0" w:color="auto"/>
            </w:tcBorders>
            <w:shd w:val="clear" w:color="auto" w:fill="auto"/>
            <w:vAlign w:val="center"/>
          </w:tcPr>
          <w:p w14:paraId="2CC0D83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4" w:space="0" w:color="auto"/>
              <w:right w:val="single" w:sz="8" w:space="0" w:color="auto"/>
            </w:tcBorders>
            <w:shd w:val="clear" w:color="auto" w:fill="auto"/>
            <w:vAlign w:val="center"/>
          </w:tcPr>
          <w:p w14:paraId="7D33FD3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4" w:space="0" w:color="auto"/>
              <w:right w:val="single" w:sz="8" w:space="0" w:color="auto"/>
            </w:tcBorders>
            <w:shd w:val="clear" w:color="auto" w:fill="auto"/>
            <w:vAlign w:val="center"/>
          </w:tcPr>
          <w:p w14:paraId="4E86002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4" w:space="0" w:color="auto"/>
              <w:right w:val="single" w:sz="8" w:space="0" w:color="auto"/>
            </w:tcBorders>
            <w:shd w:val="clear" w:color="auto" w:fill="auto"/>
            <w:vAlign w:val="center"/>
          </w:tcPr>
          <w:p w14:paraId="05C06B4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r>
      <w:tr w:rsidR="00C01A50" w:rsidRPr="00877554" w14:paraId="635D992D"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351A8"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Vacant Perennial horticultural 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40863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6,680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A43F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BF812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B78A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FBE2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F068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A85D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48,701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E763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48,701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3A947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48,701</w:t>
            </w:r>
          </w:p>
        </w:tc>
      </w:tr>
      <w:tr w:rsidR="00C01A50" w:rsidRPr="00877554" w14:paraId="68534D57"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CA435E"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lastRenderedPageBreak/>
              <w:t>Vacant &gt; 10 years perennial horticulutral 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8735D5"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8E73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A598F"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8A881C"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466BF"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69FA6"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7A39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B63C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F51D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r>
      <w:tr w:rsidR="00C01A50" w:rsidRPr="00877554" w14:paraId="19573A4C"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AF133"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Total area perennial crop 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940F4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57,505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A601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58,255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561F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D2EFB"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027A1"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D1A2A"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18C74"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63E1F"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49E807"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r>
      <w:tr w:rsidR="00C01A50" w:rsidRPr="00877554" w14:paraId="2860EEF6"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442B6"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Maximum perennial horticultural irrigation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01670"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4983C1"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505E61"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416BDB"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D3886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585,750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23A03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592,480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C659E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641,181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742A1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668,901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809F0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770,596</w:t>
            </w:r>
          </w:p>
        </w:tc>
      </w:tr>
      <w:tr w:rsidR="00C01A50" w:rsidRPr="00877554" w14:paraId="5090329C"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C281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Long-term perennial horticulture irrigation requirement allowing for continuous renewal (90% of maximum)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5BA4B9"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B0BE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9537DA"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C54E0"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A100F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527,175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ADB40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533,232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05D4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577,063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6C2A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602,011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78A4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693,537</w:t>
            </w:r>
          </w:p>
        </w:tc>
      </w:tr>
      <w:tr w:rsidR="00C01A50" w:rsidRPr="00877554" w14:paraId="1197DF24" w14:textId="77777777">
        <w:trPr>
          <w:trHeight w:val="300"/>
        </w:trPr>
        <w:tc>
          <w:tcPr>
            <w:tcW w:w="0" w:type="auto"/>
            <w:tcBorders>
              <w:top w:val="single" w:sz="4" w:space="0" w:color="auto"/>
              <w:left w:val="nil"/>
              <w:bottom w:val="nil"/>
              <w:right w:val="nil"/>
            </w:tcBorders>
            <w:shd w:val="clear" w:color="auto" w:fill="auto"/>
            <w:vAlign w:val="center"/>
          </w:tcPr>
          <w:p w14:paraId="46F277B1"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nil"/>
              <w:right w:val="nil"/>
            </w:tcBorders>
            <w:shd w:val="clear" w:color="auto" w:fill="auto"/>
            <w:vAlign w:val="center"/>
          </w:tcPr>
          <w:p w14:paraId="5EE6A627"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nil"/>
              <w:right w:val="nil"/>
            </w:tcBorders>
            <w:shd w:val="clear" w:color="auto" w:fill="auto"/>
            <w:vAlign w:val="center"/>
          </w:tcPr>
          <w:p w14:paraId="518112B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nil"/>
              <w:right w:val="nil"/>
            </w:tcBorders>
            <w:shd w:val="clear" w:color="auto" w:fill="auto"/>
            <w:vAlign w:val="center"/>
          </w:tcPr>
          <w:p w14:paraId="5FB8BE11"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nil"/>
              <w:right w:val="nil"/>
            </w:tcBorders>
            <w:shd w:val="clear" w:color="auto" w:fill="auto"/>
            <w:vAlign w:val="center"/>
          </w:tcPr>
          <w:p w14:paraId="4D60711C"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nil"/>
              <w:right w:val="nil"/>
            </w:tcBorders>
            <w:shd w:val="clear" w:color="auto" w:fill="auto"/>
            <w:vAlign w:val="center"/>
          </w:tcPr>
          <w:p w14:paraId="07E01E56"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nil"/>
              <w:right w:val="nil"/>
            </w:tcBorders>
            <w:shd w:val="clear" w:color="auto" w:fill="auto"/>
            <w:vAlign w:val="center"/>
          </w:tcPr>
          <w:p w14:paraId="3BF87095"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nil"/>
              <w:right w:val="nil"/>
            </w:tcBorders>
            <w:shd w:val="clear" w:color="auto" w:fill="auto"/>
            <w:vAlign w:val="center"/>
          </w:tcPr>
          <w:p w14:paraId="4503C577"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nil"/>
              <w:right w:val="nil"/>
            </w:tcBorders>
            <w:shd w:val="clear" w:color="auto" w:fill="auto"/>
            <w:vAlign w:val="center"/>
          </w:tcPr>
          <w:p w14:paraId="3CBB4F0E"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nil"/>
              <w:right w:val="nil"/>
            </w:tcBorders>
            <w:shd w:val="clear" w:color="auto" w:fill="auto"/>
            <w:vAlign w:val="center"/>
          </w:tcPr>
          <w:p w14:paraId="78D4AA58"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r>
      <w:tr w:rsidR="00C01A50" w:rsidRPr="00877554" w14:paraId="0B4C2F0F" w14:textId="77777777">
        <w:trPr>
          <w:trHeight w:val="320"/>
        </w:trPr>
        <w:tc>
          <w:tcPr>
            <w:tcW w:w="0" w:type="auto"/>
            <w:tcBorders>
              <w:top w:val="nil"/>
              <w:left w:val="nil"/>
              <w:bottom w:val="single" w:sz="4" w:space="0" w:color="auto"/>
              <w:right w:val="nil"/>
            </w:tcBorders>
            <w:shd w:val="clear" w:color="auto" w:fill="auto"/>
            <w:vAlign w:val="center"/>
          </w:tcPr>
          <w:p w14:paraId="0A583495"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nil"/>
            </w:tcBorders>
            <w:shd w:val="clear" w:color="auto" w:fill="auto"/>
            <w:vAlign w:val="center"/>
          </w:tcPr>
          <w:p w14:paraId="74E5FD0F"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nil"/>
            </w:tcBorders>
            <w:shd w:val="clear" w:color="auto" w:fill="auto"/>
            <w:vAlign w:val="center"/>
          </w:tcPr>
          <w:p w14:paraId="362A2CD9"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nil"/>
            </w:tcBorders>
            <w:shd w:val="clear" w:color="auto" w:fill="auto"/>
            <w:vAlign w:val="center"/>
          </w:tcPr>
          <w:p w14:paraId="0B07592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nil"/>
            </w:tcBorders>
            <w:shd w:val="clear" w:color="auto" w:fill="auto"/>
            <w:vAlign w:val="center"/>
          </w:tcPr>
          <w:p w14:paraId="33F4CCBE"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nil"/>
            </w:tcBorders>
            <w:shd w:val="clear" w:color="auto" w:fill="auto"/>
            <w:vAlign w:val="center"/>
          </w:tcPr>
          <w:p w14:paraId="515F741B"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nil"/>
            </w:tcBorders>
            <w:shd w:val="clear" w:color="auto" w:fill="auto"/>
            <w:vAlign w:val="center"/>
          </w:tcPr>
          <w:p w14:paraId="55F61CE7"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nil"/>
            </w:tcBorders>
            <w:shd w:val="clear" w:color="auto" w:fill="auto"/>
            <w:vAlign w:val="center"/>
          </w:tcPr>
          <w:p w14:paraId="5DBFB5B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nil"/>
            </w:tcBorders>
            <w:shd w:val="clear" w:color="auto" w:fill="auto"/>
            <w:vAlign w:val="center"/>
          </w:tcPr>
          <w:p w14:paraId="1EABFC1D"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nil"/>
            </w:tcBorders>
            <w:shd w:val="clear" w:color="auto" w:fill="auto"/>
            <w:vAlign w:val="center"/>
          </w:tcPr>
          <w:p w14:paraId="46F39FF4"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r>
      <w:tr w:rsidR="00C01A50" w:rsidRPr="00877554" w14:paraId="0E1F05B3" w14:textId="77777777">
        <w:trPr>
          <w:trHeight w:val="9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5F6A5"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unspecified vegetables 2009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3C12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5CB43"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E397DC"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5E0E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22C9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58,086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04ECC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FB6A6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EA7E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CD7C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r>
      <w:tr w:rsidR="00C01A50" w:rsidRPr="00877554" w14:paraId="1CFEAF59" w14:textId="77777777">
        <w:trPr>
          <w:trHeight w:val="92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14:paraId="572A692F"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unspecified vegetables 2015</w:t>
            </w:r>
          </w:p>
        </w:tc>
        <w:tc>
          <w:tcPr>
            <w:tcW w:w="0" w:type="auto"/>
            <w:tcBorders>
              <w:top w:val="single" w:sz="4" w:space="0" w:color="auto"/>
              <w:left w:val="nil"/>
              <w:bottom w:val="single" w:sz="8" w:space="0" w:color="auto"/>
              <w:right w:val="single" w:sz="8" w:space="0" w:color="auto"/>
            </w:tcBorders>
            <w:shd w:val="clear" w:color="auto" w:fill="auto"/>
            <w:vAlign w:val="center"/>
          </w:tcPr>
          <w:p w14:paraId="1112230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single" w:sz="8" w:space="0" w:color="auto"/>
              <w:right w:val="single" w:sz="8" w:space="0" w:color="auto"/>
            </w:tcBorders>
            <w:shd w:val="clear" w:color="auto" w:fill="auto"/>
            <w:vAlign w:val="center"/>
          </w:tcPr>
          <w:p w14:paraId="7FD61C5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345</w:t>
            </w:r>
          </w:p>
        </w:tc>
        <w:tc>
          <w:tcPr>
            <w:tcW w:w="0" w:type="auto"/>
            <w:tcBorders>
              <w:top w:val="single" w:sz="4" w:space="0" w:color="auto"/>
              <w:left w:val="nil"/>
              <w:bottom w:val="single" w:sz="8" w:space="0" w:color="auto"/>
              <w:right w:val="single" w:sz="8" w:space="0" w:color="auto"/>
            </w:tcBorders>
            <w:shd w:val="clear" w:color="auto" w:fill="auto"/>
            <w:vAlign w:val="center"/>
          </w:tcPr>
          <w:p w14:paraId="540AA8F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nil"/>
              <w:bottom w:val="single" w:sz="8" w:space="0" w:color="auto"/>
              <w:right w:val="single" w:sz="8" w:space="0" w:color="auto"/>
            </w:tcBorders>
            <w:shd w:val="clear" w:color="auto" w:fill="auto"/>
            <w:vAlign w:val="center"/>
          </w:tcPr>
          <w:p w14:paraId="3801311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8.0</w:t>
            </w:r>
          </w:p>
        </w:tc>
        <w:tc>
          <w:tcPr>
            <w:tcW w:w="0" w:type="auto"/>
            <w:tcBorders>
              <w:top w:val="single" w:sz="4" w:space="0" w:color="auto"/>
              <w:left w:val="nil"/>
              <w:bottom w:val="single" w:sz="8" w:space="0" w:color="auto"/>
              <w:right w:val="single" w:sz="8" w:space="0" w:color="auto"/>
            </w:tcBorders>
            <w:shd w:val="clear" w:color="auto" w:fill="auto"/>
            <w:vAlign w:val="center"/>
          </w:tcPr>
          <w:p w14:paraId="20C5615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single" w:sz="4" w:space="0" w:color="auto"/>
              <w:left w:val="nil"/>
              <w:bottom w:val="single" w:sz="8" w:space="0" w:color="auto"/>
              <w:right w:val="single" w:sz="8" w:space="0" w:color="auto"/>
            </w:tcBorders>
            <w:shd w:val="clear" w:color="auto" w:fill="auto"/>
            <w:vAlign w:val="center"/>
          </w:tcPr>
          <w:p w14:paraId="4F34884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2,760</w:t>
            </w:r>
          </w:p>
        </w:tc>
        <w:tc>
          <w:tcPr>
            <w:tcW w:w="0" w:type="auto"/>
            <w:tcBorders>
              <w:top w:val="single" w:sz="4" w:space="0" w:color="auto"/>
              <w:left w:val="nil"/>
              <w:bottom w:val="single" w:sz="8" w:space="0" w:color="auto"/>
              <w:right w:val="single" w:sz="8" w:space="0" w:color="auto"/>
            </w:tcBorders>
            <w:shd w:val="clear" w:color="auto" w:fill="auto"/>
            <w:vAlign w:val="center"/>
          </w:tcPr>
          <w:p w14:paraId="2D5D93D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2,760</w:t>
            </w:r>
          </w:p>
        </w:tc>
        <w:tc>
          <w:tcPr>
            <w:tcW w:w="0" w:type="auto"/>
            <w:tcBorders>
              <w:top w:val="single" w:sz="4" w:space="0" w:color="auto"/>
              <w:left w:val="nil"/>
              <w:bottom w:val="single" w:sz="8" w:space="0" w:color="auto"/>
              <w:right w:val="single" w:sz="8" w:space="0" w:color="auto"/>
            </w:tcBorders>
            <w:shd w:val="clear" w:color="auto" w:fill="auto"/>
            <w:vAlign w:val="center"/>
          </w:tcPr>
          <w:p w14:paraId="79FD7CD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2,760</w:t>
            </w:r>
          </w:p>
        </w:tc>
        <w:tc>
          <w:tcPr>
            <w:tcW w:w="0" w:type="auto"/>
            <w:tcBorders>
              <w:top w:val="single" w:sz="4" w:space="0" w:color="auto"/>
              <w:left w:val="nil"/>
              <w:bottom w:val="single" w:sz="8" w:space="0" w:color="auto"/>
              <w:right w:val="single" w:sz="8" w:space="0" w:color="auto"/>
            </w:tcBorders>
            <w:shd w:val="clear" w:color="auto" w:fill="auto"/>
            <w:vAlign w:val="center"/>
          </w:tcPr>
          <w:p w14:paraId="0CAB26D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2,760</w:t>
            </w:r>
          </w:p>
        </w:tc>
      </w:tr>
      <w:tr w:rsidR="00C01A50" w:rsidRPr="00877554" w14:paraId="00202B54"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7199B29C"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Asparagus</w:t>
            </w:r>
          </w:p>
        </w:tc>
        <w:tc>
          <w:tcPr>
            <w:tcW w:w="0" w:type="auto"/>
            <w:tcBorders>
              <w:top w:val="nil"/>
              <w:left w:val="nil"/>
              <w:bottom w:val="single" w:sz="8" w:space="0" w:color="auto"/>
              <w:right w:val="single" w:sz="8" w:space="0" w:color="auto"/>
            </w:tcBorders>
            <w:shd w:val="clear" w:color="auto" w:fill="auto"/>
            <w:vAlign w:val="center"/>
          </w:tcPr>
          <w:p w14:paraId="3065FD3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53B0DCA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405</w:t>
            </w:r>
          </w:p>
        </w:tc>
        <w:tc>
          <w:tcPr>
            <w:tcW w:w="0" w:type="auto"/>
            <w:tcBorders>
              <w:top w:val="nil"/>
              <w:left w:val="nil"/>
              <w:bottom w:val="single" w:sz="8" w:space="0" w:color="auto"/>
              <w:right w:val="single" w:sz="8" w:space="0" w:color="auto"/>
            </w:tcBorders>
            <w:shd w:val="clear" w:color="auto" w:fill="auto"/>
            <w:vAlign w:val="center"/>
          </w:tcPr>
          <w:p w14:paraId="430E0E8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0D4FD6F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13</w:t>
            </w:r>
          </w:p>
        </w:tc>
        <w:tc>
          <w:tcPr>
            <w:tcW w:w="0" w:type="auto"/>
            <w:tcBorders>
              <w:top w:val="nil"/>
              <w:left w:val="nil"/>
              <w:bottom w:val="single" w:sz="8" w:space="0" w:color="auto"/>
              <w:right w:val="single" w:sz="8" w:space="0" w:color="auto"/>
            </w:tcBorders>
            <w:shd w:val="clear" w:color="auto" w:fill="auto"/>
            <w:vAlign w:val="center"/>
          </w:tcPr>
          <w:p w14:paraId="4AF6829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6DFDCCC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5,265</w:t>
            </w:r>
          </w:p>
        </w:tc>
        <w:tc>
          <w:tcPr>
            <w:tcW w:w="0" w:type="auto"/>
            <w:tcBorders>
              <w:top w:val="nil"/>
              <w:left w:val="nil"/>
              <w:bottom w:val="single" w:sz="8" w:space="0" w:color="auto"/>
              <w:right w:val="single" w:sz="8" w:space="0" w:color="auto"/>
            </w:tcBorders>
            <w:shd w:val="clear" w:color="auto" w:fill="auto"/>
            <w:vAlign w:val="center"/>
          </w:tcPr>
          <w:p w14:paraId="3CA5BEE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5,265</w:t>
            </w:r>
          </w:p>
        </w:tc>
        <w:tc>
          <w:tcPr>
            <w:tcW w:w="0" w:type="auto"/>
            <w:tcBorders>
              <w:top w:val="nil"/>
              <w:left w:val="nil"/>
              <w:bottom w:val="single" w:sz="8" w:space="0" w:color="auto"/>
              <w:right w:val="single" w:sz="8" w:space="0" w:color="auto"/>
            </w:tcBorders>
            <w:shd w:val="clear" w:color="auto" w:fill="auto"/>
            <w:vAlign w:val="center"/>
          </w:tcPr>
          <w:p w14:paraId="3D9A01E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5,265</w:t>
            </w:r>
          </w:p>
        </w:tc>
        <w:tc>
          <w:tcPr>
            <w:tcW w:w="0" w:type="auto"/>
            <w:tcBorders>
              <w:top w:val="nil"/>
              <w:left w:val="nil"/>
              <w:bottom w:val="single" w:sz="8" w:space="0" w:color="auto"/>
              <w:right w:val="single" w:sz="8" w:space="0" w:color="auto"/>
            </w:tcBorders>
            <w:shd w:val="clear" w:color="auto" w:fill="auto"/>
            <w:vAlign w:val="center"/>
          </w:tcPr>
          <w:p w14:paraId="5848E90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5,265</w:t>
            </w:r>
          </w:p>
        </w:tc>
      </w:tr>
      <w:tr w:rsidR="00C01A50" w:rsidRPr="00877554" w14:paraId="74D2E7A9"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6D2AE611"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Carrot</w:t>
            </w:r>
          </w:p>
        </w:tc>
        <w:tc>
          <w:tcPr>
            <w:tcW w:w="0" w:type="auto"/>
            <w:tcBorders>
              <w:top w:val="nil"/>
              <w:left w:val="nil"/>
              <w:bottom w:val="single" w:sz="8" w:space="0" w:color="auto"/>
              <w:right w:val="single" w:sz="8" w:space="0" w:color="auto"/>
            </w:tcBorders>
            <w:shd w:val="clear" w:color="auto" w:fill="auto"/>
            <w:vAlign w:val="center"/>
          </w:tcPr>
          <w:p w14:paraId="21C90EF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3950EF0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2,590</w:t>
            </w:r>
          </w:p>
        </w:tc>
        <w:tc>
          <w:tcPr>
            <w:tcW w:w="0" w:type="auto"/>
            <w:tcBorders>
              <w:top w:val="nil"/>
              <w:left w:val="nil"/>
              <w:bottom w:val="single" w:sz="8" w:space="0" w:color="auto"/>
              <w:right w:val="single" w:sz="8" w:space="0" w:color="auto"/>
            </w:tcBorders>
            <w:shd w:val="clear" w:color="auto" w:fill="auto"/>
            <w:vAlign w:val="center"/>
          </w:tcPr>
          <w:p w14:paraId="70EEC7B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136FBD9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12</w:t>
            </w:r>
          </w:p>
        </w:tc>
        <w:tc>
          <w:tcPr>
            <w:tcW w:w="0" w:type="auto"/>
            <w:tcBorders>
              <w:top w:val="nil"/>
              <w:left w:val="nil"/>
              <w:bottom w:val="single" w:sz="8" w:space="0" w:color="auto"/>
              <w:right w:val="single" w:sz="8" w:space="0" w:color="auto"/>
            </w:tcBorders>
            <w:shd w:val="clear" w:color="auto" w:fill="auto"/>
            <w:vAlign w:val="center"/>
          </w:tcPr>
          <w:p w14:paraId="40C8760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6564211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31,080</w:t>
            </w:r>
          </w:p>
        </w:tc>
        <w:tc>
          <w:tcPr>
            <w:tcW w:w="0" w:type="auto"/>
            <w:tcBorders>
              <w:top w:val="nil"/>
              <w:left w:val="nil"/>
              <w:bottom w:val="single" w:sz="8" w:space="0" w:color="auto"/>
              <w:right w:val="single" w:sz="8" w:space="0" w:color="auto"/>
            </w:tcBorders>
            <w:shd w:val="clear" w:color="auto" w:fill="auto"/>
            <w:vAlign w:val="center"/>
          </w:tcPr>
          <w:p w14:paraId="4D572F1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31,080</w:t>
            </w:r>
          </w:p>
        </w:tc>
        <w:tc>
          <w:tcPr>
            <w:tcW w:w="0" w:type="auto"/>
            <w:tcBorders>
              <w:top w:val="nil"/>
              <w:left w:val="nil"/>
              <w:bottom w:val="single" w:sz="8" w:space="0" w:color="auto"/>
              <w:right w:val="single" w:sz="8" w:space="0" w:color="auto"/>
            </w:tcBorders>
            <w:shd w:val="clear" w:color="auto" w:fill="auto"/>
            <w:vAlign w:val="center"/>
          </w:tcPr>
          <w:p w14:paraId="24B5C811"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31,080</w:t>
            </w:r>
          </w:p>
        </w:tc>
        <w:tc>
          <w:tcPr>
            <w:tcW w:w="0" w:type="auto"/>
            <w:tcBorders>
              <w:top w:val="nil"/>
              <w:left w:val="nil"/>
              <w:bottom w:val="single" w:sz="8" w:space="0" w:color="auto"/>
              <w:right w:val="single" w:sz="8" w:space="0" w:color="auto"/>
            </w:tcBorders>
            <w:shd w:val="clear" w:color="auto" w:fill="auto"/>
            <w:vAlign w:val="center"/>
          </w:tcPr>
          <w:p w14:paraId="6CC8F7A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31,080</w:t>
            </w:r>
          </w:p>
        </w:tc>
      </w:tr>
      <w:tr w:rsidR="00C01A50" w:rsidRPr="00877554" w14:paraId="2D1E7F22" w14:textId="77777777">
        <w:trPr>
          <w:trHeight w:val="320"/>
        </w:trPr>
        <w:tc>
          <w:tcPr>
            <w:tcW w:w="0" w:type="auto"/>
            <w:tcBorders>
              <w:top w:val="nil"/>
              <w:left w:val="single" w:sz="8" w:space="0" w:color="auto"/>
              <w:bottom w:val="single" w:sz="8" w:space="0" w:color="auto"/>
              <w:right w:val="single" w:sz="8" w:space="0" w:color="auto"/>
            </w:tcBorders>
            <w:shd w:val="clear" w:color="auto" w:fill="auto"/>
            <w:vAlign w:val="center"/>
          </w:tcPr>
          <w:p w14:paraId="5A0E3E98"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Cucurbit</w:t>
            </w:r>
          </w:p>
        </w:tc>
        <w:tc>
          <w:tcPr>
            <w:tcW w:w="0" w:type="auto"/>
            <w:tcBorders>
              <w:top w:val="nil"/>
              <w:left w:val="nil"/>
              <w:bottom w:val="single" w:sz="8" w:space="0" w:color="auto"/>
              <w:right w:val="single" w:sz="8" w:space="0" w:color="auto"/>
            </w:tcBorders>
            <w:shd w:val="clear" w:color="auto" w:fill="auto"/>
            <w:vAlign w:val="center"/>
          </w:tcPr>
          <w:p w14:paraId="6F84455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406487E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535</w:t>
            </w:r>
          </w:p>
        </w:tc>
        <w:tc>
          <w:tcPr>
            <w:tcW w:w="0" w:type="auto"/>
            <w:tcBorders>
              <w:top w:val="nil"/>
              <w:left w:val="nil"/>
              <w:bottom w:val="single" w:sz="8" w:space="0" w:color="auto"/>
              <w:right w:val="single" w:sz="8" w:space="0" w:color="auto"/>
            </w:tcBorders>
            <w:shd w:val="clear" w:color="auto" w:fill="auto"/>
            <w:vAlign w:val="center"/>
          </w:tcPr>
          <w:p w14:paraId="6BBD66A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8" w:space="0" w:color="auto"/>
              <w:right w:val="single" w:sz="8" w:space="0" w:color="auto"/>
            </w:tcBorders>
            <w:shd w:val="clear" w:color="auto" w:fill="auto"/>
            <w:vAlign w:val="center"/>
          </w:tcPr>
          <w:p w14:paraId="5C17088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9</w:t>
            </w:r>
          </w:p>
        </w:tc>
        <w:tc>
          <w:tcPr>
            <w:tcW w:w="0" w:type="auto"/>
            <w:tcBorders>
              <w:top w:val="nil"/>
              <w:left w:val="nil"/>
              <w:bottom w:val="single" w:sz="8" w:space="0" w:color="auto"/>
              <w:right w:val="single" w:sz="8" w:space="0" w:color="auto"/>
            </w:tcBorders>
            <w:shd w:val="clear" w:color="auto" w:fill="auto"/>
            <w:vAlign w:val="center"/>
          </w:tcPr>
          <w:p w14:paraId="7AAFEFF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8" w:space="0" w:color="auto"/>
              <w:right w:val="single" w:sz="8" w:space="0" w:color="auto"/>
            </w:tcBorders>
            <w:shd w:val="clear" w:color="auto" w:fill="auto"/>
            <w:vAlign w:val="center"/>
          </w:tcPr>
          <w:p w14:paraId="4A95183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4,815</w:t>
            </w:r>
          </w:p>
        </w:tc>
        <w:tc>
          <w:tcPr>
            <w:tcW w:w="0" w:type="auto"/>
            <w:tcBorders>
              <w:top w:val="nil"/>
              <w:left w:val="nil"/>
              <w:bottom w:val="single" w:sz="8" w:space="0" w:color="auto"/>
              <w:right w:val="single" w:sz="8" w:space="0" w:color="auto"/>
            </w:tcBorders>
            <w:shd w:val="clear" w:color="auto" w:fill="auto"/>
            <w:vAlign w:val="center"/>
          </w:tcPr>
          <w:p w14:paraId="54CFC9C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4,815</w:t>
            </w:r>
          </w:p>
        </w:tc>
        <w:tc>
          <w:tcPr>
            <w:tcW w:w="0" w:type="auto"/>
            <w:tcBorders>
              <w:top w:val="nil"/>
              <w:left w:val="nil"/>
              <w:bottom w:val="single" w:sz="8" w:space="0" w:color="auto"/>
              <w:right w:val="single" w:sz="8" w:space="0" w:color="auto"/>
            </w:tcBorders>
            <w:shd w:val="clear" w:color="auto" w:fill="auto"/>
            <w:vAlign w:val="center"/>
          </w:tcPr>
          <w:p w14:paraId="427CCD8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4,815</w:t>
            </w:r>
          </w:p>
        </w:tc>
        <w:tc>
          <w:tcPr>
            <w:tcW w:w="0" w:type="auto"/>
            <w:tcBorders>
              <w:top w:val="nil"/>
              <w:left w:val="nil"/>
              <w:bottom w:val="single" w:sz="8" w:space="0" w:color="auto"/>
              <w:right w:val="single" w:sz="8" w:space="0" w:color="auto"/>
            </w:tcBorders>
            <w:shd w:val="clear" w:color="auto" w:fill="auto"/>
            <w:vAlign w:val="center"/>
          </w:tcPr>
          <w:p w14:paraId="48E5A602"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4,815</w:t>
            </w:r>
          </w:p>
        </w:tc>
      </w:tr>
      <w:tr w:rsidR="00C01A50" w:rsidRPr="00877554" w14:paraId="665C2348" w14:textId="77777777">
        <w:trPr>
          <w:trHeight w:val="320"/>
        </w:trPr>
        <w:tc>
          <w:tcPr>
            <w:tcW w:w="0" w:type="auto"/>
            <w:tcBorders>
              <w:top w:val="nil"/>
              <w:left w:val="single" w:sz="8" w:space="0" w:color="auto"/>
              <w:bottom w:val="single" w:sz="4" w:space="0" w:color="auto"/>
              <w:right w:val="single" w:sz="8" w:space="0" w:color="auto"/>
            </w:tcBorders>
            <w:shd w:val="clear" w:color="auto" w:fill="auto"/>
            <w:vAlign w:val="center"/>
          </w:tcPr>
          <w:p w14:paraId="05FFFE1E"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Potato</w:t>
            </w:r>
          </w:p>
        </w:tc>
        <w:tc>
          <w:tcPr>
            <w:tcW w:w="0" w:type="auto"/>
            <w:tcBorders>
              <w:top w:val="nil"/>
              <w:left w:val="nil"/>
              <w:bottom w:val="single" w:sz="4" w:space="0" w:color="auto"/>
              <w:right w:val="single" w:sz="8" w:space="0" w:color="auto"/>
            </w:tcBorders>
            <w:shd w:val="clear" w:color="auto" w:fill="auto"/>
            <w:vAlign w:val="center"/>
          </w:tcPr>
          <w:p w14:paraId="48C4724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single" w:sz="8" w:space="0" w:color="auto"/>
            </w:tcBorders>
            <w:shd w:val="clear" w:color="auto" w:fill="auto"/>
            <w:vAlign w:val="center"/>
          </w:tcPr>
          <w:p w14:paraId="3361F706"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940</w:t>
            </w:r>
          </w:p>
        </w:tc>
        <w:tc>
          <w:tcPr>
            <w:tcW w:w="0" w:type="auto"/>
            <w:tcBorders>
              <w:top w:val="nil"/>
              <w:left w:val="nil"/>
              <w:bottom w:val="single" w:sz="4" w:space="0" w:color="auto"/>
              <w:right w:val="single" w:sz="8" w:space="0" w:color="auto"/>
            </w:tcBorders>
            <w:shd w:val="clear" w:color="auto" w:fill="auto"/>
            <w:vAlign w:val="center"/>
          </w:tcPr>
          <w:p w14:paraId="504E6F1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nil"/>
              <w:left w:val="nil"/>
              <w:bottom w:val="single" w:sz="4" w:space="0" w:color="auto"/>
              <w:right w:val="single" w:sz="8" w:space="0" w:color="auto"/>
            </w:tcBorders>
            <w:shd w:val="clear" w:color="auto" w:fill="auto"/>
            <w:vAlign w:val="center"/>
          </w:tcPr>
          <w:p w14:paraId="6C09350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8</w:t>
            </w:r>
          </w:p>
        </w:tc>
        <w:tc>
          <w:tcPr>
            <w:tcW w:w="0" w:type="auto"/>
            <w:tcBorders>
              <w:top w:val="nil"/>
              <w:left w:val="nil"/>
              <w:bottom w:val="single" w:sz="4" w:space="0" w:color="auto"/>
              <w:right w:val="single" w:sz="8" w:space="0" w:color="auto"/>
            </w:tcBorders>
            <w:shd w:val="clear" w:color="auto" w:fill="auto"/>
            <w:vAlign w:val="center"/>
          </w:tcPr>
          <w:p w14:paraId="3845102F"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nil"/>
              <w:left w:val="nil"/>
              <w:bottom w:val="single" w:sz="4" w:space="0" w:color="auto"/>
              <w:right w:val="single" w:sz="8" w:space="0" w:color="auto"/>
            </w:tcBorders>
            <w:shd w:val="clear" w:color="auto" w:fill="auto"/>
            <w:vAlign w:val="center"/>
          </w:tcPr>
          <w:p w14:paraId="4C8ABA9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7,520</w:t>
            </w:r>
          </w:p>
        </w:tc>
        <w:tc>
          <w:tcPr>
            <w:tcW w:w="0" w:type="auto"/>
            <w:tcBorders>
              <w:top w:val="nil"/>
              <w:left w:val="nil"/>
              <w:bottom w:val="single" w:sz="4" w:space="0" w:color="auto"/>
              <w:right w:val="single" w:sz="8" w:space="0" w:color="auto"/>
            </w:tcBorders>
            <w:shd w:val="clear" w:color="auto" w:fill="auto"/>
            <w:vAlign w:val="center"/>
          </w:tcPr>
          <w:p w14:paraId="0125BCD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7,520</w:t>
            </w:r>
          </w:p>
        </w:tc>
        <w:tc>
          <w:tcPr>
            <w:tcW w:w="0" w:type="auto"/>
            <w:tcBorders>
              <w:top w:val="nil"/>
              <w:left w:val="nil"/>
              <w:bottom w:val="single" w:sz="4" w:space="0" w:color="auto"/>
              <w:right w:val="single" w:sz="8" w:space="0" w:color="auto"/>
            </w:tcBorders>
            <w:shd w:val="clear" w:color="auto" w:fill="auto"/>
            <w:vAlign w:val="center"/>
          </w:tcPr>
          <w:p w14:paraId="1FCACA4B"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7,520</w:t>
            </w:r>
          </w:p>
        </w:tc>
        <w:tc>
          <w:tcPr>
            <w:tcW w:w="0" w:type="auto"/>
            <w:tcBorders>
              <w:top w:val="nil"/>
              <w:left w:val="nil"/>
              <w:bottom w:val="single" w:sz="4" w:space="0" w:color="auto"/>
              <w:right w:val="single" w:sz="8" w:space="0" w:color="auto"/>
            </w:tcBorders>
            <w:shd w:val="clear" w:color="auto" w:fill="auto"/>
            <w:vAlign w:val="center"/>
          </w:tcPr>
          <w:p w14:paraId="41BF639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7,520</w:t>
            </w:r>
          </w:p>
        </w:tc>
      </w:tr>
      <w:tr w:rsidR="00C01A50" w:rsidRPr="00877554" w14:paraId="77DBC404"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C262B6"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Other vegetable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51CCFC"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1DCE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455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45F69"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FD22A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71C8A"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E92B4"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CEE28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608E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12D83"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2,730</w:t>
            </w:r>
          </w:p>
        </w:tc>
      </w:tr>
      <w:tr w:rsidR="00C01A50" w:rsidRPr="00877554" w14:paraId="0ED0B723"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FBCDF5"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lastRenderedPageBreak/>
              <w:t>Total vegetable irrigation</w:t>
            </w:r>
            <w:r>
              <w:rPr>
                <w:rFonts w:ascii="Cambria" w:hAnsi="Cambria"/>
                <w:color w:val="000000"/>
                <w:sz w:val="16"/>
                <w:szCs w:val="16"/>
                <w:lang w:val="en-AU" w:bidi="ar-SA"/>
              </w:rPr>
              <w:t xml:space="preserve"> </w:t>
            </w:r>
            <w:r w:rsidRPr="00877554">
              <w:rPr>
                <w:rFonts w:ascii="Cambria" w:hAnsi="Cambria"/>
                <w:color w:val="000000"/>
                <w:sz w:val="16"/>
                <w:szCs w:val="16"/>
                <w:lang w:val="en-AU" w:bidi="ar-SA"/>
              </w:rPr>
              <w:t>requirements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8F744"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29536"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32A95"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57A89"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EA9C8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58,086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83E12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54,170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25809"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54,170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D81F45"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54,170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47748"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54,170</w:t>
            </w:r>
          </w:p>
        </w:tc>
      </w:tr>
      <w:tr w:rsidR="00C01A50" w:rsidRPr="00877554" w14:paraId="349C8AA7" w14:textId="77777777">
        <w:tc>
          <w:tcPr>
            <w:tcW w:w="0" w:type="auto"/>
            <w:tcBorders>
              <w:top w:val="single" w:sz="4" w:space="0" w:color="auto"/>
              <w:bottom w:val="single" w:sz="4" w:space="0" w:color="auto"/>
            </w:tcBorders>
            <w:shd w:val="clear" w:color="auto" w:fill="auto"/>
            <w:noWrap/>
            <w:vAlign w:val="bottom"/>
          </w:tcPr>
          <w:p w14:paraId="780E731C" w14:textId="77777777" w:rsidR="00C01A50" w:rsidRPr="00877554" w:rsidRDefault="00C01A50" w:rsidP="00420523">
            <w:pPr>
              <w:spacing w:before="0" w:after="0" w:line="240" w:lineRule="auto"/>
              <w:rPr>
                <w:color w:val="000000"/>
                <w:sz w:val="16"/>
                <w:szCs w:val="16"/>
                <w:lang w:val="en-AU" w:bidi="ar-SA"/>
              </w:rPr>
            </w:pPr>
          </w:p>
        </w:tc>
        <w:tc>
          <w:tcPr>
            <w:tcW w:w="0" w:type="auto"/>
            <w:tcBorders>
              <w:top w:val="single" w:sz="4" w:space="0" w:color="auto"/>
              <w:bottom w:val="single" w:sz="4" w:space="0" w:color="auto"/>
            </w:tcBorders>
            <w:shd w:val="clear" w:color="auto" w:fill="auto"/>
            <w:noWrap/>
            <w:vAlign w:val="bottom"/>
          </w:tcPr>
          <w:p w14:paraId="5D62EF42" w14:textId="77777777" w:rsidR="00C01A50" w:rsidRPr="00877554" w:rsidRDefault="00C01A50" w:rsidP="00420523">
            <w:pPr>
              <w:spacing w:before="0" w:after="0" w:line="240" w:lineRule="auto"/>
              <w:rPr>
                <w:color w:val="000000"/>
                <w:sz w:val="16"/>
                <w:szCs w:val="16"/>
                <w:lang w:val="en-AU" w:bidi="ar-SA"/>
              </w:rPr>
            </w:pPr>
          </w:p>
        </w:tc>
        <w:tc>
          <w:tcPr>
            <w:tcW w:w="0" w:type="auto"/>
            <w:tcBorders>
              <w:top w:val="single" w:sz="4" w:space="0" w:color="auto"/>
              <w:bottom w:val="single" w:sz="4" w:space="0" w:color="auto"/>
            </w:tcBorders>
            <w:shd w:val="clear" w:color="auto" w:fill="auto"/>
            <w:noWrap/>
            <w:vAlign w:val="bottom"/>
          </w:tcPr>
          <w:p w14:paraId="37819B02" w14:textId="77777777" w:rsidR="00C01A50" w:rsidRPr="00877554" w:rsidRDefault="00C01A50" w:rsidP="00420523">
            <w:pPr>
              <w:spacing w:before="0" w:after="0" w:line="240" w:lineRule="auto"/>
              <w:rPr>
                <w:color w:val="000000"/>
                <w:sz w:val="16"/>
                <w:szCs w:val="16"/>
                <w:lang w:val="en-AU" w:bidi="ar-SA"/>
              </w:rPr>
            </w:pPr>
          </w:p>
        </w:tc>
        <w:tc>
          <w:tcPr>
            <w:tcW w:w="0" w:type="auto"/>
            <w:tcBorders>
              <w:top w:val="single" w:sz="4" w:space="0" w:color="auto"/>
              <w:bottom w:val="single" w:sz="4" w:space="0" w:color="auto"/>
            </w:tcBorders>
            <w:shd w:val="clear" w:color="auto" w:fill="auto"/>
            <w:noWrap/>
            <w:vAlign w:val="bottom"/>
          </w:tcPr>
          <w:p w14:paraId="02246203" w14:textId="77777777" w:rsidR="00C01A50" w:rsidRPr="00877554" w:rsidRDefault="00C01A50" w:rsidP="00420523">
            <w:pPr>
              <w:spacing w:before="0" w:after="0" w:line="240" w:lineRule="auto"/>
              <w:rPr>
                <w:color w:val="000000"/>
                <w:sz w:val="16"/>
                <w:szCs w:val="16"/>
                <w:lang w:val="en-AU" w:bidi="ar-SA"/>
              </w:rPr>
            </w:pPr>
          </w:p>
        </w:tc>
        <w:tc>
          <w:tcPr>
            <w:tcW w:w="0" w:type="auto"/>
            <w:tcBorders>
              <w:top w:val="single" w:sz="4" w:space="0" w:color="auto"/>
              <w:bottom w:val="single" w:sz="4" w:space="0" w:color="auto"/>
            </w:tcBorders>
            <w:shd w:val="clear" w:color="auto" w:fill="auto"/>
            <w:noWrap/>
            <w:vAlign w:val="bottom"/>
          </w:tcPr>
          <w:p w14:paraId="48D0CF1A" w14:textId="77777777" w:rsidR="00C01A50" w:rsidRPr="00877554" w:rsidRDefault="00C01A50" w:rsidP="00420523">
            <w:pPr>
              <w:spacing w:before="0" w:after="0" w:line="240" w:lineRule="auto"/>
              <w:rPr>
                <w:color w:val="000000"/>
                <w:sz w:val="16"/>
                <w:szCs w:val="16"/>
                <w:lang w:val="en-AU" w:bidi="ar-SA"/>
              </w:rPr>
            </w:pPr>
          </w:p>
        </w:tc>
        <w:tc>
          <w:tcPr>
            <w:tcW w:w="0" w:type="auto"/>
            <w:tcBorders>
              <w:top w:val="single" w:sz="4" w:space="0" w:color="auto"/>
              <w:bottom w:val="single" w:sz="4" w:space="0" w:color="auto"/>
            </w:tcBorders>
            <w:shd w:val="clear" w:color="auto" w:fill="auto"/>
            <w:noWrap/>
            <w:vAlign w:val="bottom"/>
          </w:tcPr>
          <w:p w14:paraId="0DA5F344" w14:textId="77777777" w:rsidR="00C01A50" w:rsidRPr="00877554" w:rsidRDefault="00C01A50" w:rsidP="00420523">
            <w:pPr>
              <w:spacing w:before="0" w:after="0" w:line="240" w:lineRule="auto"/>
              <w:rPr>
                <w:color w:val="000000"/>
                <w:sz w:val="16"/>
                <w:szCs w:val="16"/>
                <w:lang w:val="en-AU" w:bidi="ar-SA"/>
              </w:rPr>
            </w:pPr>
          </w:p>
        </w:tc>
        <w:tc>
          <w:tcPr>
            <w:tcW w:w="0" w:type="auto"/>
            <w:tcBorders>
              <w:top w:val="single" w:sz="4" w:space="0" w:color="auto"/>
              <w:bottom w:val="single" w:sz="4" w:space="0" w:color="auto"/>
            </w:tcBorders>
            <w:shd w:val="clear" w:color="auto" w:fill="auto"/>
            <w:noWrap/>
            <w:vAlign w:val="bottom"/>
          </w:tcPr>
          <w:p w14:paraId="32722184" w14:textId="77777777" w:rsidR="00C01A50" w:rsidRPr="00877554" w:rsidRDefault="00C01A50" w:rsidP="00420523">
            <w:pPr>
              <w:spacing w:before="0" w:after="0" w:line="240" w:lineRule="auto"/>
              <w:rPr>
                <w:color w:val="000000"/>
                <w:sz w:val="16"/>
                <w:szCs w:val="16"/>
                <w:lang w:val="en-AU" w:bidi="ar-SA"/>
              </w:rPr>
            </w:pPr>
          </w:p>
        </w:tc>
        <w:tc>
          <w:tcPr>
            <w:tcW w:w="0" w:type="auto"/>
            <w:tcBorders>
              <w:top w:val="single" w:sz="4" w:space="0" w:color="auto"/>
              <w:bottom w:val="single" w:sz="4" w:space="0" w:color="auto"/>
            </w:tcBorders>
            <w:shd w:val="clear" w:color="auto" w:fill="auto"/>
            <w:noWrap/>
            <w:vAlign w:val="bottom"/>
          </w:tcPr>
          <w:p w14:paraId="5F7C8610" w14:textId="77777777" w:rsidR="00C01A50" w:rsidRPr="00877554" w:rsidRDefault="00C01A50" w:rsidP="00420523">
            <w:pPr>
              <w:spacing w:before="0" w:after="0" w:line="240" w:lineRule="auto"/>
              <w:rPr>
                <w:color w:val="000000"/>
                <w:sz w:val="16"/>
                <w:szCs w:val="16"/>
                <w:lang w:val="en-AU" w:bidi="ar-SA"/>
              </w:rPr>
            </w:pPr>
          </w:p>
        </w:tc>
        <w:tc>
          <w:tcPr>
            <w:tcW w:w="0" w:type="auto"/>
            <w:tcBorders>
              <w:top w:val="single" w:sz="4" w:space="0" w:color="auto"/>
              <w:bottom w:val="single" w:sz="4" w:space="0" w:color="auto"/>
            </w:tcBorders>
            <w:shd w:val="clear" w:color="auto" w:fill="auto"/>
            <w:noWrap/>
            <w:vAlign w:val="bottom"/>
          </w:tcPr>
          <w:p w14:paraId="47300E18" w14:textId="77777777" w:rsidR="00C01A50" w:rsidRPr="00877554" w:rsidRDefault="00C01A50" w:rsidP="00420523">
            <w:pPr>
              <w:spacing w:before="0" w:after="0" w:line="240" w:lineRule="auto"/>
              <w:rPr>
                <w:color w:val="000000"/>
                <w:sz w:val="16"/>
                <w:szCs w:val="16"/>
                <w:lang w:val="en-AU" w:bidi="ar-SA"/>
              </w:rPr>
            </w:pPr>
          </w:p>
        </w:tc>
        <w:tc>
          <w:tcPr>
            <w:tcW w:w="0" w:type="auto"/>
            <w:tcBorders>
              <w:top w:val="single" w:sz="4" w:space="0" w:color="auto"/>
              <w:bottom w:val="single" w:sz="4" w:space="0" w:color="auto"/>
            </w:tcBorders>
            <w:shd w:val="clear" w:color="auto" w:fill="auto"/>
            <w:noWrap/>
            <w:vAlign w:val="bottom"/>
          </w:tcPr>
          <w:p w14:paraId="19999958" w14:textId="77777777" w:rsidR="00C01A50" w:rsidRPr="00877554" w:rsidRDefault="00C01A50" w:rsidP="00420523">
            <w:pPr>
              <w:spacing w:before="0" w:after="0" w:line="240" w:lineRule="auto"/>
              <w:rPr>
                <w:color w:val="000000"/>
                <w:sz w:val="16"/>
                <w:szCs w:val="16"/>
                <w:lang w:val="en-AU" w:bidi="ar-SA"/>
              </w:rPr>
            </w:pPr>
          </w:p>
        </w:tc>
      </w:tr>
      <w:tr w:rsidR="00C01A50" w:rsidRPr="00877554" w14:paraId="00AA5D1A"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FFFA8"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Total long-term annual and perennial horticultural irrigation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7FCBCF"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AC719"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4F082"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B90AF" w14:textId="77777777" w:rsidR="00C01A50" w:rsidRPr="00877554" w:rsidRDefault="00C01A50" w:rsidP="00420523">
            <w:pPr>
              <w:spacing w:before="0" w:after="0" w:line="240" w:lineRule="auto"/>
              <w:rPr>
                <w:rFonts w:ascii="Cambria" w:hAnsi="Cambria"/>
                <w:color w:val="000000"/>
                <w:sz w:val="16"/>
                <w:szCs w:val="16"/>
                <w:lang w:val="en-AU" w:bidi="ar-SA"/>
              </w:rPr>
            </w:pPr>
            <w:r w:rsidRPr="00877554">
              <w:rPr>
                <w:rFonts w:ascii="Cambria" w:hAnsi="Cambria"/>
                <w:color w:val="000000"/>
                <w:sz w:val="16"/>
                <w:szCs w:val="16"/>
                <w:lang w:val="en-AU"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A3ACE"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585,261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EB147"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587,402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3C35D"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631,233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EAA710"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656,181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1820AC" w14:textId="77777777" w:rsidR="00C01A50" w:rsidRPr="00877554" w:rsidRDefault="00C01A50" w:rsidP="00420523">
            <w:pPr>
              <w:spacing w:before="0" w:after="0" w:line="240" w:lineRule="auto"/>
              <w:jc w:val="right"/>
              <w:rPr>
                <w:rFonts w:ascii="Cambria" w:hAnsi="Cambria"/>
                <w:color w:val="000000"/>
                <w:sz w:val="16"/>
                <w:szCs w:val="16"/>
                <w:lang w:val="en-AU" w:bidi="ar-SA"/>
              </w:rPr>
            </w:pPr>
            <w:r w:rsidRPr="00877554">
              <w:rPr>
                <w:rFonts w:ascii="Cambria" w:hAnsi="Cambria"/>
                <w:color w:val="000000"/>
                <w:sz w:val="16"/>
                <w:szCs w:val="16"/>
                <w:lang w:val="en-AU" w:bidi="ar-SA"/>
              </w:rPr>
              <w:t>747,707</w:t>
            </w:r>
          </w:p>
        </w:tc>
      </w:tr>
    </w:tbl>
    <w:p w14:paraId="22C2502A" w14:textId="77777777" w:rsidR="00C01A50" w:rsidRDefault="00C01A50" w:rsidP="002047C2">
      <w:pPr>
        <w:rPr>
          <w:lang w:val="en-AU"/>
        </w:rPr>
        <w:sectPr w:rsidR="00C01A50">
          <w:pgSz w:w="16820" w:h="11900" w:orient="landscape"/>
          <w:pgMar w:top="1361" w:right="567" w:bottom="1361" w:left="851" w:header="720" w:footer="720" w:gutter="0"/>
          <w:cols w:space="720"/>
        </w:sectPr>
      </w:pPr>
    </w:p>
    <w:p w14:paraId="2AF31A77" w14:textId="77777777" w:rsidR="00933E40" w:rsidRDefault="00933E40" w:rsidP="00933E40">
      <w:pPr>
        <w:pStyle w:val="Heading1"/>
        <w:numPr>
          <w:ilvl w:val="0"/>
          <w:numId w:val="31"/>
        </w:numPr>
        <w:rPr>
          <w:lang w:val="en-AU"/>
        </w:rPr>
      </w:pPr>
      <w:bookmarkStart w:id="276" w:name="_Toc347747880"/>
      <w:r>
        <w:rPr>
          <w:lang w:val="en-AU"/>
        </w:rPr>
        <w:lastRenderedPageBreak/>
        <w:t>References</w:t>
      </w:r>
      <w:bookmarkEnd w:id="276"/>
    </w:p>
    <w:p w14:paraId="4B4B1634" w14:textId="77777777" w:rsidR="00933E40" w:rsidRDefault="00933E40" w:rsidP="00933E40">
      <w:pPr>
        <w:rPr>
          <w:lang w:val="en-AU"/>
        </w:rPr>
      </w:pPr>
      <w:r>
        <w:rPr>
          <w:lang w:val="en-AU"/>
        </w:rPr>
        <w:t xml:space="preserve">ABARES 2015, </w:t>
      </w:r>
      <w:r w:rsidRPr="00E61176">
        <w:rPr>
          <w:i/>
          <w:lang w:val="en-AU"/>
        </w:rPr>
        <w:t>Dairy farms in the Murray-Darling Basin</w:t>
      </w:r>
      <w:r>
        <w:rPr>
          <w:lang w:val="en-AU"/>
        </w:rPr>
        <w:t xml:space="preserve">, </w:t>
      </w:r>
      <w:r w:rsidRPr="008D32D8">
        <w:rPr>
          <w:lang w:val="en-AU"/>
        </w:rPr>
        <w:t>research report 15.12</w:t>
      </w:r>
      <w:r>
        <w:rPr>
          <w:lang w:val="en-AU"/>
        </w:rPr>
        <w:t xml:space="preserve">, </w:t>
      </w:r>
      <w:r w:rsidRPr="008D32D8">
        <w:rPr>
          <w:lang w:val="en-AU"/>
        </w:rPr>
        <w:t>A</w:t>
      </w:r>
      <w:r>
        <w:rPr>
          <w:lang w:val="en-AU"/>
        </w:rPr>
        <w:t>ustralian Bureau of Agricultural Resource Economics and Sciences, Canberra, December 2015.</w:t>
      </w:r>
    </w:p>
    <w:p w14:paraId="1A9FB3F7" w14:textId="77777777" w:rsidR="00933E40" w:rsidRDefault="00933E40" w:rsidP="00933E40">
      <w:pPr>
        <w:rPr>
          <w:lang w:val="en-AU"/>
        </w:rPr>
      </w:pPr>
      <w:r>
        <w:rPr>
          <w:lang w:val="en-AU"/>
        </w:rPr>
        <w:t xml:space="preserve">ABARES 2016, </w:t>
      </w:r>
      <w:r w:rsidRPr="00E61176">
        <w:rPr>
          <w:i/>
          <w:lang w:val="en-AU"/>
        </w:rPr>
        <w:t>Horticulture farms in the Murray–Darling Basin</w:t>
      </w:r>
      <w:r>
        <w:rPr>
          <w:lang w:val="en-AU"/>
        </w:rPr>
        <w:t xml:space="preserve">, </w:t>
      </w:r>
      <w:r w:rsidRPr="008D32D8">
        <w:rPr>
          <w:lang w:val="en-AU"/>
        </w:rPr>
        <w:t>research report 16.4</w:t>
      </w:r>
      <w:r>
        <w:rPr>
          <w:lang w:val="en-AU"/>
        </w:rPr>
        <w:t xml:space="preserve">, </w:t>
      </w:r>
      <w:r w:rsidRPr="008D32D8">
        <w:rPr>
          <w:lang w:val="en-AU"/>
        </w:rPr>
        <w:t>A</w:t>
      </w:r>
      <w:r>
        <w:rPr>
          <w:lang w:val="en-AU"/>
        </w:rPr>
        <w:t>ustralian Bureau of Agricultural Resource Economics and Sciences, Canberra, July 2016.</w:t>
      </w:r>
    </w:p>
    <w:p w14:paraId="7BC7D3DB" w14:textId="77777777" w:rsidR="00933E40" w:rsidRPr="00867773" w:rsidRDefault="00933E40" w:rsidP="00933E40">
      <w:pPr>
        <w:rPr>
          <w:lang w:val="en-AU"/>
        </w:rPr>
      </w:pPr>
      <w:r w:rsidRPr="007E61D8">
        <w:rPr>
          <w:lang w:val="en-AU"/>
        </w:rPr>
        <w:t>ABARES n.d.</w:t>
      </w:r>
      <w:r w:rsidRPr="007E61D8">
        <w:rPr>
          <w:rStyle w:val="CommentReference"/>
        </w:rPr>
        <w:t>,</w:t>
      </w:r>
      <w:r w:rsidRPr="007E61D8">
        <w:rPr>
          <w:lang w:val="en-AU"/>
        </w:rPr>
        <w:t xml:space="preserve"> </w:t>
      </w:r>
      <w:r w:rsidRPr="007E61D8">
        <w:rPr>
          <w:i/>
          <w:lang w:val="en-AU"/>
        </w:rPr>
        <w:t>Physical, financial and selected distributions estimates by State for Dairy</w:t>
      </w:r>
      <w:r w:rsidRPr="007E61D8">
        <w:rPr>
          <w:lang w:val="en-AU"/>
        </w:rPr>
        <w:t>, Australian</w:t>
      </w:r>
      <w:r>
        <w:rPr>
          <w:lang w:val="en-AU"/>
        </w:rPr>
        <w:t xml:space="preserve"> Bureau of Agricultural Resource Economics and Sciences, Canberra, </w:t>
      </w:r>
      <w:r w:rsidRPr="0073590C">
        <w:rPr>
          <w:lang w:val="en-AU"/>
        </w:rPr>
        <w:t xml:space="preserve">viewed 3 October 2016 </w:t>
      </w:r>
      <w:r>
        <w:rPr>
          <w:lang w:val="en-AU"/>
        </w:rPr>
        <w:t xml:space="preserve">    </w:t>
      </w:r>
      <w:hyperlink r:id="rId133" w:history="1">
        <w:r w:rsidRPr="00A77BA2">
          <w:rPr>
            <w:rStyle w:val="Hyperlink"/>
            <w:lang w:val="en-AU"/>
          </w:rPr>
          <w:t>http://www.agriculture.gov.au/abares/surveys</w:t>
        </w:r>
      </w:hyperlink>
      <w:r>
        <w:rPr>
          <w:lang w:val="en-AU"/>
        </w:rPr>
        <w:t xml:space="preserve"> </w:t>
      </w:r>
    </w:p>
    <w:p w14:paraId="3C17838D" w14:textId="77777777" w:rsidR="00933E40" w:rsidRDefault="00933E40" w:rsidP="00933E40">
      <w:r>
        <w:t xml:space="preserve">Aither 2016a, </w:t>
      </w:r>
      <w:r w:rsidRPr="000F2C5C">
        <w:rPr>
          <w:i/>
        </w:rPr>
        <w:t>Supply-side drivers of water allocation prices: Identifying and modelling supply-side drivers of water allocation prices in the southern Murray-Darling Basin,</w:t>
      </w:r>
      <w:r>
        <w:t xml:space="preserve"> report for the </w:t>
      </w:r>
      <w:r w:rsidRPr="00BF5A9F">
        <w:t>Department of the Environment</w:t>
      </w:r>
      <w:r>
        <w:t>, Canberra, January 2016.</w:t>
      </w:r>
    </w:p>
    <w:p w14:paraId="6D1E8FF6" w14:textId="77777777" w:rsidR="00933E40" w:rsidRDefault="00933E40" w:rsidP="00933E40">
      <w:r>
        <w:t xml:space="preserve">Aither 2016b, </w:t>
      </w:r>
      <w:r w:rsidRPr="000F2C5C">
        <w:rPr>
          <w:i/>
        </w:rPr>
        <w:t>Water market drivers in the southern MDB: Implications for the dairy industry,</w:t>
      </w:r>
      <w:r>
        <w:t xml:space="preserve"> report for Dairy Australia, July 2016.</w:t>
      </w:r>
    </w:p>
    <w:p w14:paraId="4885C51B" w14:textId="77777777" w:rsidR="00933E40" w:rsidRDefault="00933E40" w:rsidP="00933E40">
      <w:r>
        <w:t xml:space="preserve">Aither 2016c, </w:t>
      </w:r>
      <w:r w:rsidRPr="000F2C5C">
        <w:rPr>
          <w:i/>
        </w:rPr>
        <w:t>Water markets report: 2015</w:t>
      </w:r>
      <w:r>
        <w:rPr>
          <w:i/>
        </w:rPr>
        <w:t>/</w:t>
      </w:r>
      <w:r w:rsidRPr="000F2C5C">
        <w:rPr>
          <w:i/>
        </w:rPr>
        <w:t>16 review and 2016</w:t>
      </w:r>
      <w:r>
        <w:rPr>
          <w:i/>
        </w:rPr>
        <w:t>/</w:t>
      </w:r>
      <w:r w:rsidRPr="000F2C5C">
        <w:rPr>
          <w:i/>
        </w:rPr>
        <w:t>17 outlook</w:t>
      </w:r>
      <w:r>
        <w:t>.</w:t>
      </w:r>
    </w:p>
    <w:p w14:paraId="4EE776A6" w14:textId="77777777" w:rsidR="00933E40" w:rsidRDefault="00933E40" w:rsidP="00933E40">
      <w:pPr>
        <w:rPr>
          <w:lang w:val="en-AU"/>
        </w:rPr>
      </w:pPr>
      <w:r w:rsidRPr="007E61D8">
        <w:rPr>
          <w:lang w:val="en-AU"/>
        </w:rPr>
        <w:t xml:space="preserve">Appels, D, Douglas, R &amp; Dwyer, G 2004, </w:t>
      </w:r>
      <w:r w:rsidRPr="007E61D8">
        <w:rPr>
          <w:i/>
          <w:lang w:val="en-AU"/>
        </w:rPr>
        <w:t>Responsiveness of water demand: A focus on the southern</w:t>
      </w:r>
      <w:r w:rsidRPr="00E95371">
        <w:rPr>
          <w:i/>
          <w:lang w:val="en-AU"/>
        </w:rPr>
        <w:t xml:space="preserve"> Murray-Darling Basin,</w:t>
      </w:r>
      <w:r>
        <w:rPr>
          <w:lang w:val="en-AU"/>
        </w:rPr>
        <w:t xml:space="preserve"> </w:t>
      </w:r>
      <w:r w:rsidRPr="004B6CA8">
        <w:rPr>
          <w:lang w:val="en-AU"/>
        </w:rPr>
        <w:t>Productivity</w:t>
      </w:r>
      <w:r>
        <w:rPr>
          <w:lang w:val="en-AU"/>
        </w:rPr>
        <w:t xml:space="preserve"> </w:t>
      </w:r>
      <w:r w:rsidRPr="004B6CA8">
        <w:rPr>
          <w:lang w:val="en-AU"/>
        </w:rPr>
        <w:t>Commission</w:t>
      </w:r>
      <w:r>
        <w:rPr>
          <w:lang w:val="en-AU"/>
        </w:rPr>
        <w:t xml:space="preserve"> </w:t>
      </w:r>
      <w:r w:rsidRPr="004B6CA8">
        <w:rPr>
          <w:lang w:val="en-AU"/>
        </w:rPr>
        <w:t>Staff</w:t>
      </w:r>
      <w:r>
        <w:rPr>
          <w:lang w:val="en-AU"/>
        </w:rPr>
        <w:t xml:space="preserve"> </w:t>
      </w:r>
      <w:r w:rsidRPr="004B6CA8">
        <w:rPr>
          <w:lang w:val="en-AU"/>
        </w:rPr>
        <w:t>Working</w:t>
      </w:r>
      <w:r>
        <w:rPr>
          <w:lang w:val="en-AU"/>
        </w:rPr>
        <w:t xml:space="preserve"> </w:t>
      </w:r>
      <w:r w:rsidRPr="004B6CA8">
        <w:rPr>
          <w:lang w:val="en-AU"/>
        </w:rPr>
        <w:t>Paper,</w:t>
      </w:r>
      <w:r>
        <w:rPr>
          <w:lang w:val="en-AU"/>
        </w:rPr>
        <w:t xml:space="preserve"> </w:t>
      </w:r>
      <w:r w:rsidRPr="004B6CA8">
        <w:rPr>
          <w:lang w:val="en-AU"/>
        </w:rPr>
        <w:t>Melbourne, August</w:t>
      </w:r>
      <w:r>
        <w:rPr>
          <w:lang w:val="en-AU"/>
        </w:rPr>
        <w:t xml:space="preserve"> 2004.</w:t>
      </w:r>
    </w:p>
    <w:p w14:paraId="20BF8FFB" w14:textId="77777777" w:rsidR="00933E40" w:rsidRDefault="00933E40" w:rsidP="00933E40">
      <w:pPr>
        <w:rPr>
          <w:lang w:val="en-AU"/>
        </w:rPr>
      </w:pPr>
      <w:r>
        <w:rPr>
          <w:lang w:val="en-AU"/>
        </w:rPr>
        <w:t xml:space="preserve">Argus, S 2016, </w:t>
      </w:r>
      <w:r w:rsidRPr="00452B36">
        <w:rPr>
          <w:i/>
          <w:lang w:val="en-AU"/>
        </w:rPr>
        <w:t xml:space="preserve">2015 Irrigated </w:t>
      </w:r>
      <w:r>
        <w:rPr>
          <w:i/>
          <w:lang w:val="en-AU"/>
        </w:rPr>
        <w:t>h</w:t>
      </w:r>
      <w:r w:rsidRPr="00452B36">
        <w:rPr>
          <w:i/>
          <w:lang w:val="en-AU"/>
        </w:rPr>
        <w:t xml:space="preserve">orticulture </w:t>
      </w:r>
      <w:r>
        <w:rPr>
          <w:i/>
          <w:lang w:val="en-AU"/>
        </w:rPr>
        <w:t>c</w:t>
      </w:r>
      <w:r w:rsidRPr="00452B36">
        <w:rPr>
          <w:i/>
          <w:lang w:val="en-AU"/>
        </w:rPr>
        <w:t xml:space="preserve">rop </w:t>
      </w:r>
      <w:r>
        <w:rPr>
          <w:i/>
          <w:lang w:val="en-AU"/>
        </w:rPr>
        <w:t>r</w:t>
      </w:r>
      <w:r w:rsidRPr="00452B36">
        <w:rPr>
          <w:i/>
          <w:lang w:val="en-AU"/>
        </w:rPr>
        <w:t>eport</w:t>
      </w:r>
      <w:r>
        <w:rPr>
          <w:lang w:val="en-AU"/>
        </w:rPr>
        <w:t>, Mallee Catchment Management Authority, Mildura, Victoria.</w:t>
      </w:r>
    </w:p>
    <w:p w14:paraId="70034335" w14:textId="77777777" w:rsidR="00933E40" w:rsidRPr="00867773" w:rsidRDefault="00933E40" w:rsidP="00933E40">
      <w:pPr>
        <w:rPr>
          <w:lang w:val="en-AU"/>
        </w:rPr>
      </w:pPr>
      <w:r w:rsidRPr="007E61D8">
        <w:rPr>
          <w:lang w:val="en-AU"/>
        </w:rPr>
        <w:t xml:space="preserve">Ashton, D &amp; Mackinnon, D 2008, </w:t>
      </w:r>
      <w:r w:rsidRPr="007E61D8">
        <w:rPr>
          <w:i/>
          <w:lang w:val="en-AU"/>
        </w:rPr>
        <w:t>Australian Dairy industry: Use of technology and management</w:t>
      </w:r>
      <w:r w:rsidRPr="00E1789B">
        <w:rPr>
          <w:i/>
          <w:lang w:val="en-AU"/>
        </w:rPr>
        <w:t xml:space="preserve"> practices on dairy farms, 1991</w:t>
      </w:r>
      <w:r>
        <w:rPr>
          <w:i/>
          <w:lang w:val="en-AU"/>
        </w:rPr>
        <w:t>/</w:t>
      </w:r>
      <w:r w:rsidRPr="00E1789B">
        <w:rPr>
          <w:i/>
          <w:lang w:val="en-AU"/>
        </w:rPr>
        <w:t>92 to 2006</w:t>
      </w:r>
      <w:r>
        <w:rPr>
          <w:i/>
          <w:lang w:val="en-AU"/>
        </w:rPr>
        <w:t>/</w:t>
      </w:r>
      <w:r w:rsidRPr="00E1789B">
        <w:rPr>
          <w:i/>
          <w:lang w:val="en-AU"/>
        </w:rPr>
        <w:t>07</w:t>
      </w:r>
      <w:r w:rsidRPr="00E1789B">
        <w:rPr>
          <w:lang w:val="en-AU"/>
        </w:rPr>
        <w:t>, research report 08.12</w:t>
      </w:r>
      <w:r>
        <w:rPr>
          <w:lang w:val="en-AU"/>
        </w:rPr>
        <w:t xml:space="preserve">, Australian Bureau of Agricultural Resource Economics, Canberra, December 2008. </w:t>
      </w:r>
    </w:p>
    <w:p w14:paraId="48363CD8" w14:textId="77777777" w:rsidR="00933E40" w:rsidRPr="00056297" w:rsidRDefault="00933E40" w:rsidP="00933E40">
      <w:r w:rsidRPr="00056297">
        <w:t xml:space="preserve">Barr, N 2009, </w:t>
      </w:r>
      <w:r w:rsidRPr="00056297">
        <w:rPr>
          <w:i/>
        </w:rPr>
        <w:t>The house on the hill: the transformation of Australia’s farming communities</w:t>
      </w:r>
      <w:r w:rsidRPr="00056297">
        <w:t>, Land &amp; Water Australia in association with Halstead Press, Canberra.</w:t>
      </w:r>
    </w:p>
    <w:p w14:paraId="63C8F638" w14:textId="77777777" w:rsidR="00933E40" w:rsidRPr="003D3F7E" w:rsidRDefault="00933E40" w:rsidP="00933E40">
      <w:pPr>
        <w:rPr>
          <w:lang w:val="en-AU"/>
        </w:rPr>
      </w:pPr>
      <w:r w:rsidRPr="007E61D8">
        <w:rPr>
          <w:lang w:val="en-AU"/>
        </w:rPr>
        <w:t xml:space="preserve">COAG 2013, </w:t>
      </w:r>
      <w:r w:rsidRPr="007E61D8">
        <w:rPr>
          <w:i/>
          <w:lang w:val="en-AU"/>
        </w:rPr>
        <w:t>Intergovernmental Agreement on Implementing Water Reform in the Murray Darling</w:t>
      </w:r>
      <w:r w:rsidRPr="00F22BF0">
        <w:rPr>
          <w:i/>
          <w:lang w:val="en-AU"/>
        </w:rPr>
        <w:t xml:space="preserve"> Basin</w:t>
      </w:r>
      <w:r>
        <w:rPr>
          <w:i/>
          <w:lang w:val="en-AU"/>
        </w:rPr>
        <w:t xml:space="preserve">, </w:t>
      </w:r>
      <w:r>
        <w:rPr>
          <w:lang w:val="en-AU"/>
        </w:rPr>
        <w:t xml:space="preserve">Council of Australian Governments, viewed </w:t>
      </w:r>
      <w:hyperlink r:id="rId134" w:history="1">
        <w:r w:rsidRPr="00D2173B">
          <w:rPr>
            <w:rStyle w:val="Hyperlink"/>
            <w:lang w:val="en-AU"/>
          </w:rPr>
          <w:t>https://www.coag.gov.au/about-coag/agreements/intergovernmental-agreement-implementing-water-reform-murray-darling-basin</w:t>
        </w:r>
      </w:hyperlink>
      <w:r>
        <w:rPr>
          <w:lang w:val="en-AU"/>
        </w:rPr>
        <w:t xml:space="preserve"> </w:t>
      </w:r>
    </w:p>
    <w:p w14:paraId="2F9AB4B0" w14:textId="77777777" w:rsidR="00933E40" w:rsidRPr="0070169A" w:rsidRDefault="00933E40" w:rsidP="00933E40">
      <w:pPr>
        <w:rPr>
          <w:i/>
          <w:lang w:val="en-AU"/>
        </w:rPr>
      </w:pPr>
      <w:r w:rsidRPr="00657E4D">
        <w:rPr>
          <w:lang w:val="en-AU"/>
        </w:rPr>
        <w:t>D</w:t>
      </w:r>
      <w:r w:rsidRPr="0070169A">
        <w:rPr>
          <w:lang w:val="en-AU"/>
        </w:rPr>
        <w:t xml:space="preserve">airy Australia 2009, </w:t>
      </w:r>
      <w:r w:rsidRPr="0070169A">
        <w:rPr>
          <w:i/>
          <w:lang w:val="en-AU"/>
        </w:rPr>
        <w:t>Dairy moving forward: A national research, development and extension strategy,</w:t>
      </w:r>
      <w:r w:rsidRPr="0070169A">
        <w:rPr>
          <w:lang w:val="en-AU"/>
        </w:rPr>
        <w:t xml:space="preserve"> September</w:t>
      </w:r>
      <w:r>
        <w:rPr>
          <w:lang w:val="en-AU"/>
        </w:rPr>
        <w:t xml:space="preserve"> 2009. </w:t>
      </w:r>
    </w:p>
    <w:p w14:paraId="5D127E74" w14:textId="77777777" w:rsidR="00933E40" w:rsidRPr="00867773" w:rsidRDefault="00933E40" w:rsidP="00933E40">
      <w:pPr>
        <w:rPr>
          <w:lang w:val="en-AU"/>
        </w:rPr>
      </w:pPr>
      <w:r w:rsidRPr="006D76AE">
        <w:rPr>
          <w:lang w:val="en-AU"/>
        </w:rPr>
        <w:t>Dairy Australia 2009</w:t>
      </w:r>
      <w:r>
        <w:rPr>
          <w:lang w:val="en-AU"/>
        </w:rPr>
        <w:t>b</w:t>
      </w:r>
      <w:r w:rsidRPr="006D76AE">
        <w:rPr>
          <w:lang w:val="en-AU"/>
        </w:rPr>
        <w:t xml:space="preserve">, </w:t>
      </w:r>
      <w:r w:rsidRPr="006D76AE">
        <w:rPr>
          <w:i/>
          <w:lang w:val="en-AU"/>
        </w:rPr>
        <w:t>Lower Murray-Darling Basin: the facts, the future. Preliminary response to the inquiry into dairying in the Lower Murray Darling Basin</w:t>
      </w:r>
      <w:r>
        <w:rPr>
          <w:i/>
          <w:lang w:val="en-AU"/>
        </w:rPr>
        <w:t>.</w:t>
      </w:r>
    </w:p>
    <w:p w14:paraId="298A2306" w14:textId="77777777" w:rsidR="00933E40" w:rsidRDefault="00933E40" w:rsidP="00933E40">
      <w:pPr>
        <w:rPr>
          <w:lang w:val="en-AU"/>
        </w:rPr>
      </w:pPr>
      <w:r w:rsidRPr="009E4673">
        <w:rPr>
          <w:lang w:val="en-AU"/>
        </w:rPr>
        <w:t>DAWR 2016</w:t>
      </w:r>
      <w:r>
        <w:rPr>
          <w:lang w:val="en-AU"/>
        </w:rPr>
        <w:t>a</w:t>
      </w:r>
      <w:r w:rsidRPr="009E4673">
        <w:rPr>
          <w:lang w:val="en-AU"/>
        </w:rPr>
        <w:t xml:space="preserve">, </w:t>
      </w:r>
      <w:r w:rsidRPr="009E4673">
        <w:rPr>
          <w:i/>
          <w:lang w:val="en-AU"/>
        </w:rPr>
        <w:t>Average prices of offers pursued from recent tenders</w:t>
      </w:r>
      <w:r w:rsidRPr="009E4673">
        <w:rPr>
          <w:lang w:val="en-AU"/>
        </w:rPr>
        <w:t>, Department of Agriculture and Water Resources, Canberra</w:t>
      </w:r>
      <w:r>
        <w:rPr>
          <w:lang w:val="en-AU"/>
        </w:rPr>
        <w:t xml:space="preserve">, viewed 7 January 2017 </w:t>
      </w:r>
      <w:r w:rsidRPr="009E4673">
        <w:rPr>
          <w:lang w:val="en-AU"/>
        </w:rPr>
        <w:t xml:space="preserve"> </w:t>
      </w:r>
      <w:hyperlink r:id="rId135" w:history="1">
        <w:r w:rsidRPr="00A77BA2">
          <w:rPr>
            <w:rStyle w:val="Hyperlink"/>
            <w:lang w:val="en-AU"/>
          </w:rPr>
          <w:t>http://www.agriculture.gov.au/water/markets/commonwealth-water-mdb/average-prices</w:t>
        </w:r>
      </w:hyperlink>
    </w:p>
    <w:p w14:paraId="336E72D3" w14:textId="77777777" w:rsidR="00933E40" w:rsidRPr="000C7437" w:rsidRDefault="00933E40" w:rsidP="00933E40">
      <w:r w:rsidRPr="00E95371">
        <w:lastRenderedPageBreak/>
        <w:t>DAWR 2016</w:t>
      </w:r>
      <w:r>
        <w:t>b,</w:t>
      </w:r>
      <w:r w:rsidRPr="00E95371">
        <w:t xml:space="preserve"> </w:t>
      </w:r>
      <w:r w:rsidRPr="00E95371">
        <w:rPr>
          <w:i/>
        </w:rPr>
        <w:t>Progress of water purchases under Restoring the Balance</w:t>
      </w:r>
      <w:r w:rsidRPr="00E95371">
        <w:t xml:space="preserve">, </w:t>
      </w:r>
      <w:r w:rsidRPr="0047423D">
        <w:rPr>
          <w:lang w:val="en-AU"/>
        </w:rPr>
        <w:t>Department of Agriculture and Water Resources,</w:t>
      </w:r>
      <w:r>
        <w:rPr>
          <w:lang w:val="en-AU"/>
        </w:rPr>
        <w:t xml:space="preserve"> Canberra, </w:t>
      </w:r>
      <w:r w:rsidRPr="0047423D">
        <w:t>viewed 20</w:t>
      </w:r>
      <w:r w:rsidRPr="00E95371">
        <w:t xml:space="preserve"> September 2016</w:t>
      </w:r>
      <w:r>
        <w:t xml:space="preserve"> </w:t>
      </w:r>
      <w:hyperlink r:id="rId136" w:history="1">
        <w:r w:rsidRPr="00E95371">
          <w:rPr>
            <w:rStyle w:val="Hyperlink"/>
          </w:rPr>
          <w:t>http://agriculture.gov.au/water/markets/commonwealth-water-mdb/progress-water-purchases</w:t>
        </w:r>
      </w:hyperlink>
      <w:r w:rsidRPr="00E95371">
        <w:t xml:space="preserve"> </w:t>
      </w:r>
    </w:p>
    <w:p w14:paraId="2F37D3BB" w14:textId="77777777" w:rsidR="00933E40" w:rsidRDefault="00933E40" w:rsidP="00933E40">
      <w:pPr>
        <w:rPr>
          <w:lang w:val="en-AU"/>
        </w:rPr>
      </w:pPr>
      <w:r w:rsidRPr="00657E4D">
        <w:rPr>
          <w:lang w:val="en-AU"/>
        </w:rPr>
        <w:t>D</w:t>
      </w:r>
      <w:r>
        <w:rPr>
          <w:lang w:val="en-AU"/>
        </w:rPr>
        <w:t xml:space="preserve">EDTJR 2014, </w:t>
      </w:r>
      <w:r w:rsidRPr="00E95371">
        <w:rPr>
          <w:i/>
          <w:lang w:val="en-AU"/>
        </w:rPr>
        <w:t>Fruit and Nut Industries Profile</w:t>
      </w:r>
      <w:r>
        <w:rPr>
          <w:lang w:val="en-AU"/>
        </w:rPr>
        <w:t>, Department of Economic Development, Jobs, Transport and Resources, Melbourne.</w:t>
      </w:r>
    </w:p>
    <w:p w14:paraId="0BC286ED" w14:textId="77777777" w:rsidR="00933E40" w:rsidRDefault="00933E40" w:rsidP="00933E40">
      <w:pPr>
        <w:rPr>
          <w:lang w:val="en-US"/>
        </w:rPr>
      </w:pPr>
      <w:r>
        <w:rPr>
          <w:lang w:val="en-AU"/>
        </w:rPr>
        <w:t xml:space="preserve">DELWP 2016a, </w:t>
      </w:r>
      <w:r>
        <w:rPr>
          <w:i/>
          <w:lang w:val="en-US"/>
        </w:rPr>
        <w:t>T</w:t>
      </w:r>
      <w:r w:rsidRPr="00452B36">
        <w:rPr>
          <w:i/>
          <w:lang w:val="en-US"/>
        </w:rPr>
        <w:t xml:space="preserve">rends in northern </w:t>
      </w:r>
      <w:r>
        <w:rPr>
          <w:i/>
          <w:lang w:val="en-US"/>
        </w:rPr>
        <w:t>V</w:t>
      </w:r>
      <w:r w:rsidRPr="00452B36">
        <w:rPr>
          <w:i/>
          <w:lang w:val="en-US"/>
        </w:rPr>
        <w:t>ictorian water trade 2001</w:t>
      </w:r>
      <w:r>
        <w:rPr>
          <w:i/>
          <w:lang w:val="en-US"/>
        </w:rPr>
        <w:t>/</w:t>
      </w:r>
      <w:r w:rsidRPr="00452B36">
        <w:rPr>
          <w:i/>
          <w:lang w:val="en-US"/>
        </w:rPr>
        <w:t>2015</w:t>
      </w:r>
      <w:r>
        <w:rPr>
          <w:i/>
          <w:lang w:val="en-US"/>
        </w:rPr>
        <w:t xml:space="preserve">, </w:t>
      </w:r>
      <w:r>
        <w:rPr>
          <w:lang w:val="en-US"/>
        </w:rPr>
        <w:t>Department of Environment, Land, Water and Planning, Melbourne.</w:t>
      </w:r>
    </w:p>
    <w:p w14:paraId="40BEEB58" w14:textId="77777777" w:rsidR="00933E40" w:rsidRDefault="00933E40" w:rsidP="00933E40">
      <w:r>
        <w:t xml:space="preserve">DELWP 2016b, </w:t>
      </w:r>
      <w:r w:rsidRPr="00D67679">
        <w:rPr>
          <w:i/>
        </w:rPr>
        <w:t xml:space="preserve">Water for Victoria </w:t>
      </w:r>
      <w:r>
        <w:rPr>
          <w:i/>
        </w:rPr>
        <w:t>– Water Plan</w:t>
      </w:r>
      <w:r>
        <w:t xml:space="preserve">, Department of Environment, Land, Water and Planning, </w:t>
      </w:r>
      <w:r>
        <w:rPr>
          <w:lang w:val="en-US"/>
        </w:rPr>
        <w:t>Melbourne.</w:t>
      </w:r>
    </w:p>
    <w:p w14:paraId="7757601D" w14:textId="77777777" w:rsidR="00933E40" w:rsidRPr="00867773" w:rsidRDefault="00933E40" w:rsidP="00933E40">
      <w:pPr>
        <w:rPr>
          <w:lang w:val="en-AU"/>
        </w:rPr>
      </w:pPr>
      <w:r w:rsidRPr="007C480C">
        <w:rPr>
          <w:lang w:val="en-AU"/>
        </w:rPr>
        <w:t xml:space="preserve">DEPI 2011, ‘Dairy Industry Environmental Scan’, in </w:t>
      </w:r>
      <w:r w:rsidRPr="007C480C">
        <w:rPr>
          <w:i/>
          <w:lang w:val="en-AU"/>
        </w:rPr>
        <w:t>Dairy Services Branch Business Case</w:t>
      </w:r>
      <w:r w:rsidRPr="007C480C">
        <w:rPr>
          <w:lang w:val="en-AU"/>
        </w:rPr>
        <w:t>, Department of Environment and Primary Industries, Victoria, April 2011</w:t>
      </w:r>
      <w:r>
        <w:rPr>
          <w:lang w:val="en-AU"/>
        </w:rPr>
        <w:t xml:space="preserve">. </w:t>
      </w:r>
    </w:p>
    <w:p w14:paraId="6E0F2DDF" w14:textId="77777777" w:rsidR="00933E40" w:rsidRPr="00D06094" w:rsidRDefault="00933E40" w:rsidP="00933E40">
      <w:r w:rsidRPr="007E61D8">
        <w:t xml:space="preserve">DEPI 2014, </w:t>
      </w:r>
      <w:r w:rsidRPr="007E61D8">
        <w:rPr>
          <w:i/>
        </w:rPr>
        <w:t xml:space="preserve">Trading rules for declared water systems, </w:t>
      </w:r>
      <w:r w:rsidRPr="007E61D8">
        <w:t>Department of Environment and Primary</w:t>
      </w:r>
      <w:r w:rsidRPr="00D06094">
        <w:t xml:space="preserve"> Industries, </w:t>
      </w:r>
      <w:r>
        <w:t xml:space="preserve">Melbourne, </w:t>
      </w:r>
      <w:r w:rsidRPr="00D06094">
        <w:t>30 June</w:t>
      </w:r>
      <w:r>
        <w:t xml:space="preserve"> 2014.</w:t>
      </w:r>
    </w:p>
    <w:p w14:paraId="575FAF3C" w14:textId="77777777" w:rsidR="00933E40" w:rsidRDefault="00933E40" w:rsidP="00933E40">
      <w:pPr>
        <w:rPr>
          <w:lang w:val="en-AU"/>
        </w:rPr>
      </w:pPr>
      <w:r w:rsidRPr="003D6D95">
        <w:rPr>
          <w:lang w:val="en-AU"/>
        </w:rPr>
        <w:t xml:space="preserve">Devondale Murray Goulburn 2016, </w:t>
      </w:r>
      <w:r w:rsidRPr="003D6D95">
        <w:rPr>
          <w:i/>
          <w:lang w:val="en-AU"/>
        </w:rPr>
        <w:t>Annual Report 2016.</w:t>
      </w:r>
      <w:r>
        <w:rPr>
          <w:lang w:val="en-AU"/>
        </w:rPr>
        <w:t xml:space="preserve"> </w:t>
      </w:r>
    </w:p>
    <w:p w14:paraId="0CD267F1" w14:textId="77777777" w:rsidR="00933E40" w:rsidRDefault="00933E40" w:rsidP="00933E40">
      <w:pPr>
        <w:rPr>
          <w:lang w:val="en-AU"/>
        </w:rPr>
      </w:pPr>
      <w:r w:rsidRPr="00657E4D">
        <w:rPr>
          <w:lang w:val="en-AU"/>
        </w:rPr>
        <w:t>D</w:t>
      </w:r>
      <w:r w:rsidRPr="00D50F0D">
        <w:rPr>
          <w:lang w:val="en-AU"/>
        </w:rPr>
        <w:t>EWNR</w:t>
      </w:r>
      <w:r>
        <w:rPr>
          <w:lang w:val="en-AU"/>
        </w:rPr>
        <w:t xml:space="preserve"> 2016a, </w:t>
      </w:r>
      <w:r w:rsidRPr="009818F8">
        <w:rPr>
          <w:i/>
          <w:lang w:val="en-AU"/>
        </w:rPr>
        <w:t>2016</w:t>
      </w:r>
      <w:r>
        <w:rPr>
          <w:i/>
          <w:lang w:val="en-AU"/>
        </w:rPr>
        <w:t>/</w:t>
      </w:r>
      <w:r w:rsidRPr="009818F8">
        <w:rPr>
          <w:i/>
          <w:lang w:val="en-AU"/>
        </w:rPr>
        <w:t>17 South Australian River Murray water allocation framework</w:t>
      </w:r>
      <w:r>
        <w:rPr>
          <w:lang w:val="en-AU"/>
        </w:rPr>
        <w:t>, Department of Environment, Water and Natural Resources, Adelaide.</w:t>
      </w:r>
    </w:p>
    <w:p w14:paraId="7EEA458A" w14:textId="77777777" w:rsidR="00933E40" w:rsidRPr="007E61D8" w:rsidRDefault="00933E40" w:rsidP="00933E40">
      <w:pPr>
        <w:rPr>
          <w:lang w:val="en-AU"/>
        </w:rPr>
      </w:pPr>
      <w:r w:rsidRPr="007E61D8">
        <w:rPr>
          <w:lang w:val="en-AU"/>
        </w:rPr>
        <w:t xml:space="preserve">DEWNR 2016b, </w:t>
      </w:r>
      <w:r w:rsidRPr="007E61D8">
        <w:rPr>
          <w:i/>
          <w:lang w:val="en-AU"/>
        </w:rPr>
        <w:t>SA River Murray water allocation statement</w:t>
      </w:r>
      <w:r w:rsidRPr="007E61D8">
        <w:rPr>
          <w:lang w:val="en-AU"/>
        </w:rPr>
        <w:t>, Department of Environment, Water and Natural Resources, Adelaide.</w:t>
      </w:r>
    </w:p>
    <w:p w14:paraId="7C7AB9C9" w14:textId="77777777" w:rsidR="00933E40" w:rsidRPr="00867773" w:rsidRDefault="00933E40" w:rsidP="00933E40">
      <w:pPr>
        <w:rPr>
          <w:lang w:val="en-AU"/>
        </w:rPr>
      </w:pPr>
      <w:r w:rsidRPr="007E61D8">
        <w:rPr>
          <w:lang w:val="en-AU"/>
        </w:rPr>
        <w:t xml:space="preserve">Dharma, S &amp; Martin, P 2010, </w:t>
      </w:r>
      <w:r w:rsidRPr="007E61D8">
        <w:rPr>
          <w:i/>
          <w:lang w:val="en-AU"/>
        </w:rPr>
        <w:t>Financial performance of Australian Dairy Farms, 2007/08 to 2009/10.</w:t>
      </w:r>
      <w:r w:rsidRPr="00AC555F">
        <w:rPr>
          <w:i/>
          <w:lang w:val="en-AU"/>
        </w:rPr>
        <w:t xml:space="preserve"> </w:t>
      </w:r>
      <w:r w:rsidRPr="00AC555F">
        <w:rPr>
          <w:lang w:val="en-AU"/>
        </w:rPr>
        <w:t xml:space="preserve">Report 10.1 for Dairy Australia, Australian Bureau of Agricultural Resource Economics, </w:t>
      </w:r>
      <w:r>
        <w:rPr>
          <w:lang w:val="en-AU"/>
        </w:rPr>
        <w:t xml:space="preserve">Canberra, </w:t>
      </w:r>
      <w:r w:rsidRPr="00AC555F">
        <w:rPr>
          <w:lang w:val="en-AU"/>
        </w:rPr>
        <w:t>June 2010.</w:t>
      </w:r>
      <w:r w:rsidRPr="00867773">
        <w:rPr>
          <w:lang w:val="en-AU"/>
        </w:rPr>
        <w:t xml:space="preserve"> </w:t>
      </w:r>
    </w:p>
    <w:p w14:paraId="0B366190" w14:textId="77777777" w:rsidR="00933E40" w:rsidRPr="00740DFF" w:rsidRDefault="00933E40" w:rsidP="00933E40">
      <w:pPr>
        <w:rPr>
          <w:lang w:val="en-AU"/>
        </w:rPr>
      </w:pPr>
      <w:r w:rsidRPr="007E61D8">
        <w:t xml:space="preserve">DOA 2016a, </w:t>
      </w:r>
      <w:r w:rsidRPr="007E61D8">
        <w:rPr>
          <w:i/>
        </w:rPr>
        <w:t>Southern Basin purchases secured under the Restoring the Balance in the Murray–</w:t>
      </w:r>
      <w:r w:rsidRPr="00740DFF">
        <w:rPr>
          <w:i/>
        </w:rPr>
        <w:t>Darling Basin program as at 31 July 2016</w:t>
      </w:r>
      <w:r w:rsidRPr="00740DFF">
        <w:t>, Department</w:t>
      </w:r>
      <w:r>
        <w:t xml:space="preserve"> of Agriculture, Canberra, viewed </w:t>
      </w:r>
      <w:r w:rsidRPr="00740DFF">
        <w:rPr>
          <w:lang w:val="en-AU"/>
        </w:rPr>
        <w:t>15 October 2016</w:t>
      </w:r>
      <w:r>
        <w:rPr>
          <w:lang w:val="en-AU"/>
        </w:rPr>
        <w:t xml:space="preserve">, </w:t>
      </w:r>
      <w:hyperlink r:id="rId137" w:history="1">
        <w:r w:rsidRPr="00740DFF">
          <w:rPr>
            <w:rStyle w:val="Hyperlink"/>
            <w:lang w:val="en-AU"/>
          </w:rPr>
          <w:t>http://agriculture.gov.au/water/markets/commonwealth-water-mdb/progress-water-purchases</w:t>
        </w:r>
      </w:hyperlink>
      <w:r w:rsidRPr="00740DFF">
        <w:rPr>
          <w:lang w:val="en-AU"/>
        </w:rPr>
        <w:t xml:space="preserve"> </w:t>
      </w:r>
    </w:p>
    <w:p w14:paraId="4049896F" w14:textId="77777777" w:rsidR="00933E40" w:rsidRDefault="00933E40" w:rsidP="00933E40">
      <w:pPr>
        <w:rPr>
          <w:lang w:val="en-AU"/>
        </w:rPr>
      </w:pPr>
      <w:r w:rsidRPr="007E61D8">
        <w:rPr>
          <w:lang w:val="en-AU"/>
        </w:rPr>
        <w:t xml:space="preserve">DOA 2016b, </w:t>
      </w:r>
      <w:r w:rsidRPr="007E61D8">
        <w:rPr>
          <w:i/>
          <w:lang w:val="en-AU"/>
        </w:rPr>
        <w:t>Sustainable diversion limit adjustment mechanism</w:t>
      </w:r>
      <w:r w:rsidRPr="007E61D8">
        <w:rPr>
          <w:lang w:val="en-AU"/>
        </w:rPr>
        <w:t>, Department of Agriculture,</w:t>
      </w:r>
      <w:r>
        <w:rPr>
          <w:lang w:val="en-AU"/>
        </w:rPr>
        <w:t xml:space="preserve"> Canberra</w:t>
      </w:r>
      <w:r w:rsidRPr="003D3F7E">
        <w:rPr>
          <w:lang w:val="en-AU"/>
        </w:rPr>
        <w:t xml:space="preserve">, viewed </w:t>
      </w:r>
      <w:r>
        <w:rPr>
          <w:lang w:val="en-AU"/>
        </w:rPr>
        <w:t xml:space="preserve">20 October 2016, </w:t>
      </w:r>
      <w:hyperlink r:id="rId138" w:history="1">
        <w:r w:rsidRPr="00563E6A">
          <w:rPr>
            <w:rStyle w:val="Hyperlink"/>
            <w:lang w:val="en-AU"/>
          </w:rPr>
          <w:t>http://www.agriculture.gov.au/water/mdb/policy/sdl-adjustment-mechanism</w:t>
        </w:r>
      </w:hyperlink>
    </w:p>
    <w:p w14:paraId="602A4309" w14:textId="77777777" w:rsidR="00933E40" w:rsidRDefault="00933E40" w:rsidP="00933E40">
      <w:pPr>
        <w:rPr>
          <w:lang w:val="en-AU"/>
        </w:rPr>
      </w:pPr>
      <w:r w:rsidRPr="00DE324D">
        <w:rPr>
          <w:lang w:val="en-AU"/>
        </w:rPr>
        <w:t xml:space="preserve">DOE 2014, </w:t>
      </w:r>
      <w:r w:rsidRPr="00DE324D">
        <w:rPr>
          <w:i/>
          <w:lang w:val="en-AU"/>
        </w:rPr>
        <w:t>Water recovery strategy for the Murray-Darling Basin</w:t>
      </w:r>
      <w:r w:rsidRPr="00DE324D">
        <w:rPr>
          <w:lang w:val="en-AU"/>
        </w:rPr>
        <w:t xml:space="preserve">, Department of the Environment, </w:t>
      </w:r>
      <w:r>
        <w:rPr>
          <w:lang w:val="en-AU"/>
        </w:rPr>
        <w:t xml:space="preserve">Canberra, </w:t>
      </w:r>
      <w:r w:rsidRPr="00DE324D">
        <w:rPr>
          <w:lang w:val="en-AU"/>
        </w:rPr>
        <w:t>June</w:t>
      </w:r>
      <w:r>
        <w:rPr>
          <w:lang w:val="en-AU"/>
        </w:rPr>
        <w:t xml:space="preserve"> 2014</w:t>
      </w:r>
      <w:r w:rsidRPr="00DE324D">
        <w:rPr>
          <w:lang w:val="en-AU"/>
        </w:rPr>
        <w:t>.</w:t>
      </w:r>
      <w:r>
        <w:rPr>
          <w:lang w:val="en-AU"/>
        </w:rPr>
        <w:t xml:space="preserve"> </w:t>
      </w:r>
    </w:p>
    <w:p w14:paraId="505A96B2" w14:textId="77777777" w:rsidR="00933E40" w:rsidRPr="003D3F7E" w:rsidRDefault="00933E40" w:rsidP="00933E40">
      <w:pPr>
        <w:rPr>
          <w:lang w:val="en-AU"/>
        </w:rPr>
      </w:pPr>
      <w:r w:rsidRPr="00581A96">
        <w:rPr>
          <w:lang w:val="en-AU"/>
        </w:rPr>
        <w:t>D</w:t>
      </w:r>
      <w:r w:rsidRPr="003D3F7E">
        <w:rPr>
          <w:lang w:val="en-AU"/>
        </w:rPr>
        <w:t>OE 2016</w:t>
      </w:r>
      <w:r>
        <w:rPr>
          <w:lang w:val="en-AU"/>
        </w:rPr>
        <w:t>,</w:t>
      </w:r>
      <w:r w:rsidRPr="003D3F7E">
        <w:rPr>
          <w:lang w:val="en-AU"/>
        </w:rPr>
        <w:t xml:space="preserve"> </w:t>
      </w:r>
      <w:r w:rsidRPr="003D3F7E">
        <w:rPr>
          <w:i/>
          <w:lang w:val="en-AU"/>
        </w:rPr>
        <w:t>Monitoring and reporting on the ecological outcomes of Commonwealth environmental water delivered in the lower Goulburn River and Broken Creek in 2013/14</w:t>
      </w:r>
      <w:r w:rsidRPr="003D3F7E">
        <w:rPr>
          <w:lang w:val="en-AU"/>
        </w:rPr>
        <w:t xml:space="preserve">, </w:t>
      </w:r>
      <w:r>
        <w:rPr>
          <w:lang w:val="en-AU"/>
        </w:rPr>
        <w:t>Department of the Environment, Canberra</w:t>
      </w:r>
      <w:r w:rsidRPr="003D3F7E">
        <w:rPr>
          <w:lang w:val="en-AU"/>
        </w:rPr>
        <w:t>, viewed 20 October 2016</w:t>
      </w:r>
      <w:r>
        <w:rPr>
          <w:lang w:val="en-AU"/>
        </w:rPr>
        <w:t xml:space="preserve">, </w:t>
      </w:r>
      <w:hyperlink r:id="rId139" w:history="1">
        <w:r w:rsidRPr="003D3F7E">
          <w:rPr>
            <w:rStyle w:val="Hyperlink"/>
            <w:lang w:val="en-AU"/>
          </w:rPr>
          <w:t>https://www.environment.gov.au/water/cewo/publications/monitoring-ecological-outcomes-cew-delivered-goulburn-broken-13-14</w:t>
        </w:r>
      </w:hyperlink>
      <w:r w:rsidRPr="003D3F7E">
        <w:rPr>
          <w:lang w:val="en-AU"/>
        </w:rPr>
        <w:t>,</w:t>
      </w:r>
    </w:p>
    <w:p w14:paraId="3E54101E" w14:textId="77777777" w:rsidR="00933E40" w:rsidRPr="00397F5A" w:rsidRDefault="00933E40" w:rsidP="00933E40">
      <w:pPr>
        <w:rPr>
          <w:lang w:val="en-AU"/>
        </w:rPr>
      </w:pPr>
      <w:r w:rsidRPr="00397F5A">
        <w:rPr>
          <w:lang w:val="en-AU"/>
        </w:rPr>
        <w:t xml:space="preserve">DPI 2010, </w:t>
      </w:r>
      <w:r w:rsidRPr="00397F5A">
        <w:rPr>
          <w:i/>
          <w:lang w:val="en-AU"/>
        </w:rPr>
        <w:t>Dairy industry farm monitor project, annual report 2009</w:t>
      </w:r>
      <w:r>
        <w:rPr>
          <w:i/>
          <w:lang w:val="en-AU"/>
        </w:rPr>
        <w:t>/</w:t>
      </w:r>
      <w:r w:rsidRPr="00397F5A">
        <w:rPr>
          <w:i/>
          <w:lang w:val="en-AU"/>
        </w:rPr>
        <w:t>10</w:t>
      </w:r>
      <w:r w:rsidRPr="00397F5A">
        <w:rPr>
          <w:lang w:val="en-AU"/>
        </w:rPr>
        <w:t xml:space="preserve">, Department of Primary Industries, </w:t>
      </w:r>
      <w:r>
        <w:rPr>
          <w:lang w:val="en-AU"/>
        </w:rPr>
        <w:t>Melbourne</w:t>
      </w:r>
      <w:r w:rsidRPr="00397F5A">
        <w:rPr>
          <w:lang w:val="en-AU"/>
        </w:rPr>
        <w:t>.</w:t>
      </w:r>
      <w:r>
        <w:rPr>
          <w:lang w:val="en-AU"/>
        </w:rPr>
        <w:t xml:space="preserve"> </w:t>
      </w:r>
    </w:p>
    <w:p w14:paraId="39FB267E" w14:textId="77777777" w:rsidR="00933E40" w:rsidRDefault="00933E40" w:rsidP="00933E40">
      <w:r>
        <w:lastRenderedPageBreak/>
        <w:t xml:space="preserve">DSE 2004, </w:t>
      </w:r>
      <w:r w:rsidRPr="009A3B0A">
        <w:rPr>
          <w:i/>
        </w:rPr>
        <w:t>Victorian Government white paper securing our water future together</w:t>
      </w:r>
      <w:r>
        <w:t>, Department of Sustainability and Environment, Melbourne, June 2004.</w:t>
      </w:r>
    </w:p>
    <w:p w14:paraId="73007035" w14:textId="77777777" w:rsidR="00933E40" w:rsidRPr="00786B1B" w:rsidRDefault="00933E40" w:rsidP="00933E40">
      <w:pPr>
        <w:rPr>
          <w:i/>
        </w:rPr>
      </w:pPr>
      <w:r>
        <w:t xml:space="preserve">DSE 2007, </w:t>
      </w:r>
      <w:r>
        <w:rPr>
          <w:i/>
        </w:rPr>
        <w:t xml:space="preserve">Standard Water-Use Conditions, </w:t>
      </w:r>
      <w:r>
        <w:t xml:space="preserve">Department of Sustainability and Environment, Melbourne, June 2004. Viewed 31 January 2017, </w:t>
      </w:r>
      <w:hyperlink r:id="rId140" w:history="1">
        <w:r w:rsidRPr="009F7250">
          <w:rPr>
            <w:rStyle w:val="Hyperlink"/>
          </w:rPr>
          <w:t>http://waterregister.vic.gov.au/images/documents/consolidated_standard_water_use_conditions.pdf</w:t>
        </w:r>
      </w:hyperlink>
      <w:r>
        <w:t xml:space="preserve"> </w:t>
      </w:r>
    </w:p>
    <w:p w14:paraId="72DDA98C" w14:textId="77777777" w:rsidR="00933E40" w:rsidRPr="00E6418B" w:rsidRDefault="00933E40" w:rsidP="00933E40">
      <w:r>
        <w:t xml:space="preserve">DSE 2008, </w:t>
      </w:r>
      <w:r w:rsidRPr="002E0FF3">
        <w:rPr>
          <w:i/>
        </w:rPr>
        <w:t xml:space="preserve">Draft for community comment sustainable water strategy northern region, </w:t>
      </w:r>
      <w:r w:rsidRPr="00E6418B">
        <w:t xml:space="preserve">Department of Sustainability and Environment, </w:t>
      </w:r>
      <w:r>
        <w:t xml:space="preserve">Melbourne, </w:t>
      </w:r>
      <w:r w:rsidRPr="00E6418B">
        <w:t>October</w:t>
      </w:r>
      <w:r>
        <w:t xml:space="preserve"> 2008.</w:t>
      </w:r>
      <w:r w:rsidRPr="00E6418B">
        <w:t xml:space="preserve"> </w:t>
      </w:r>
    </w:p>
    <w:p w14:paraId="3CBE4949" w14:textId="77777777" w:rsidR="00933E40" w:rsidRDefault="00933E40" w:rsidP="00933E40">
      <w:r>
        <w:t xml:space="preserve">DSE 2009, </w:t>
      </w:r>
      <w:r w:rsidRPr="00BB6811">
        <w:rPr>
          <w:i/>
        </w:rPr>
        <w:t>Northern region sustainable water strategy</w:t>
      </w:r>
      <w:r>
        <w:t>, Department of Sustainability and Environment, Melbourne, November 2009.</w:t>
      </w:r>
    </w:p>
    <w:p w14:paraId="6B0E3EDF" w14:textId="77777777" w:rsidR="00933E40" w:rsidRDefault="00933E40" w:rsidP="00933E40">
      <w:r w:rsidRPr="007E61D8">
        <w:t xml:space="preserve">ESC 2016, </w:t>
      </w:r>
      <w:r w:rsidRPr="007E61D8">
        <w:rPr>
          <w:i/>
        </w:rPr>
        <w:t>Goulburn-Murray water price review 2016, Final Decision</w:t>
      </w:r>
      <w:r w:rsidRPr="007E61D8">
        <w:t>, Essential Services Commission, Melbourne, June 2016.</w:t>
      </w:r>
    </w:p>
    <w:p w14:paraId="1C8EEA8C" w14:textId="77777777" w:rsidR="00933E40" w:rsidRDefault="00933E40" w:rsidP="00933E40">
      <w:r>
        <w:t xml:space="preserve">GMW 2009, </w:t>
      </w:r>
      <w:r w:rsidRPr="00DB452E">
        <w:rPr>
          <w:i/>
        </w:rPr>
        <w:t>Impact of Modernisation Whole of Life Cost Analysis, Part 1: Background and Results of Key Scenarios, Final Version 10.0</w:t>
      </w:r>
      <w:r>
        <w:t>, Goulburn-Murray Water, August 2009.</w:t>
      </w:r>
    </w:p>
    <w:p w14:paraId="31C8C850" w14:textId="77777777" w:rsidR="00933E40" w:rsidRDefault="00933E40" w:rsidP="00933E40">
      <w:r>
        <w:t xml:space="preserve">GMW 2013, </w:t>
      </w:r>
      <w:r w:rsidRPr="00A1130C">
        <w:rPr>
          <w:i/>
        </w:rPr>
        <w:t>Goulburn-Murray Water 201</w:t>
      </w:r>
      <w:r>
        <w:rPr>
          <w:i/>
        </w:rPr>
        <w:t>2</w:t>
      </w:r>
      <w:r w:rsidRPr="00A1130C">
        <w:rPr>
          <w:i/>
        </w:rPr>
        <w:t>/1</w:t>
      </w:r>
      <w:r>
        <w:rPr>
          <w:i/>
        </w:rPr>
        <w:t>3</w:t>
      </w:r>
      <w:r w:rsidRPr="00A1130C">
        <w:rPr>
          <w:i/>
        </w:rPr>
        <w:t xml:space="preserve"> annual report</w:t>
      </w:r>
      <w:r>
        <w:t>, Goulburn-Murray Water, September 2013.</w:t>
      </w:r>
    </w:p>
    <w:p w14:paraId="7EB97B87" w14:textId="77777777" w:rsidR="00933E40" w:rsidRDefault="00933E40" w:rsidP="00933E40">
      <w:r>
        <w:t xml:space="preserve">GMW 2013b, </w:t>
      </w:r>
      <w:r w:rsidRPr="00C17A3A">
        <w:rPr>
          <w:i/>
        </w:rPr>
        <w:t>Goulburn-Murray Water – Blueprint</w:t>
      </w:r>
      <w:r>
        <w:t>, Goulburn-Murray Water, April 2013</w:t>
      </w:r>
    </w:p>
    <w:p w14:paraId="2CC4DB69" w14:textId="77777777" w:rsidR="00933E40" w:rsidRDefault="00933E40" w:rsidP="00933E40">
      <w:r w:rsidRPr="007F6C04">
        <w:t>G</w:t>
      </w:r>
      <w:r>
        <w:t xml:space="preserve">MW 2014, </w:t>
      </w:r>
      <w:r w:rsidRPr="00A1130C">
        <w:rPr>
          <w:i/>
        </w:rPr>
        <w:t>Goulburn-Murray Water 2013/14 annual report</w:t>
      </w:r>
      <w:r>
        <w:t>, Goulburn-Murray Water, September 2014.</w:t>
      </w:r>
    </w:p>
    <w:p w14:paraId="17221E3E" w14:textId="77777777" w:rsidR="00933E40" w:rsidRDefault="00933E40" w:rsidP="00933E40">
      <w:r w:rsidRPr="007F6C04">
        <w:t>G</w:t>
      </w:r>
      <w:r>
        <w:t xml:space="preserve">MW 2015, </w:t>
      </w:r>
      <w:r w:rsidRPr="00A1130C">
        <w:rPr>
          <w:i/>
        </w:rPr>
        <w:t>Goulburn-Murray Water 2014/15 annual report</w:t>
      </w:r>
      <w:r>
        <w:t>, Goulburn-Murray Water, August 2015.</w:t>
      </w:r>
    </w:p>
    <w:p w14:paraId="12EEF4DC" w14:textId="77777777" w:rsidR="00933E40" w:rsidRDefault="00933E40" w:rsidP="00933E40">
      <w:r>
        <w:t xml:space="preserve">GMW 2016a, </w:t>
      </w:r>
      <w:r w:rsidRPr="00CB19AA">
        <w:rPr>
          <w:i/>
        </w:rPr>
        <w:t>Goulburn-Murray Rural Water Corporation submission to price review 2016</w:t>
      </w:r>
      <w:r>
        <w:t xml:space="preserve"> (Water Plan 4), Document #386599v15, Goulburn-Murray Water.</w:t>
      </w:r>
    </w:p>
    <w:p w14:paraId="74346892" w14:textId="77777777" w:rsidR="00933E40" w:rsidRDefault="00933E40" w:rsidP="00933E40">
      <w:r>
        <w:t xml:space="preserve">GMW 2016b, </w:t>
      </w:r>
      <w:r w:rsidRPr="00846EF1">
        <w:rPr>
          <w:i/>
        </w:rPr>
        <w:t xml:space="preserve">Water for Victoria GMW </w:t>
      </w:r>
      <w:r>
        <w:rPr>
          <w:i/>
        </w:rPr>
        <w:t>s</w:t>
      </w:r>
      <w:r w:rsidRPr="00846EF1">
        <w:rPr>
          <w:i/>
        </w:rPr>
        <w:t>ubmission</w:t>
      </w:r>
      <w:r>
        <w:t>, Goulburn-Murray Water, 20 May 2016.</w:t>
      </w:r>
    </w:p>
    <w:p w14:paraId="199CA247" w14:textId="77777777" w:rsidR="00933E40" w:rsidRDefault="00933E40" w:rsidP="00933E40">
      <w:r>
        <w:t xml:space="preserve">GMW 2016c, </w:t>
      </w:r>
      <w:r w:rsidRPr="00001BA5">
        <w:rPr>
          <w:i/>
        </w:rPr>
        <w:t>Connections project reset delivery plan summary</w:t>
      </w:r>
      <w:r>
        <w:t>, Goulburn-Murray Water, September 2016.</w:t>
      </w:r>
    </w:p>
    <w:p w14:paraId="290A2D60" w14:textId="77777777" w:rsidR="00933E40" w:rsidRPr="00406A39" w:rsidRDefault="00933E40" w:rsidP="00933E40">
      <w:r w:rsidRPr="00AD6E5C">
        <w:t xml:space="preserve">Goulburn Broken Catchment Management Authority (unpublished), </w:t>
      </w:r>
      <w:r w:rsidRPr="00AD6E5C">
        <w:rPr>
          <w:i/>
        </w:rPr>
        <w:t>Regional irrigated land and</w:t>
      </w:r>
      <w:r w:rsidRPr="008B3633">
        <w:rPr>
          <w:i/>
        </w:rPr>
        <w:t xml:space="preserve"> water use mapping in the GMID, 2015-16,</w:t>
      </w:r>
      <w:r w:rsidRPr="008B3633">
        <w:t xml:space="preserve"> Goulburn Broken Catchment Management Authority, Shepparton, Victoria.</w:t>
      </w:r>
    </w:p>
    <w:p w14:paraId="067B7C78" w14:textId="77777777" w:rsidR="00933E40" w:rsidRPr="00406A39" w:rsidRDefault="00933E40" w:rsidP="00933E40">
      <w:r w:rsidRPr="00AD6E5C">
        <w:rPr>
          <w:lang w:val="en-AU"/>
        </w:rPr>
        <w:t xml:space="preserve">Goulburn Broken Catchment Management Authority 1996, </w:t>
      </w:r>
      <w:r w:rsidRPr="00AD6E5C">
        <w:rPr>
          <w:i/>
          <w:lang w:val="en-AU"/>
        </w:rPr>
        <w:t>Shepparton irrigation region</w:t>
      </w:r>
      <w:r w:rsidRPr="009F0494">
        <w:rPr>
          <w:i/>
          <w:lang w:val="en-AU"/>
        </w:rPr>
        <w:t xml:space="preserve"> implementation committee annual report 1996, </w:t>
      </w:r>
      <w:r w:rsidRPr="009F0494">
        <w:t>Goulburn Broken Catchment Management Authority, Shepparton, Victoria.</w:t>
      </w:r>
    </w:p>
    <w:p w14:paraId="4A62AABC" w14:textId="77777777" w:rsidR="00933E40" w:rsidRPr="00406A39" w:rsidRDefault="00933E40" w:rsidP="00933E40">
      <w:r w:rsidRPr="00AD6E5C">
        <w:rPr>
          <w:lang w:val="en-AU"/>
        </w:rPr>
        <w:t xml:space="preserve">Goulburn Broken Catchment Management Authority 1997, </w:t>
      </w:r>
      <w:r w:rsidRPr="00AD6E5C">
        <w:rPr>
          <w:i/>
          <w:lang w:val="en-AU"/>
        </w:rPr>
        <w:t>Shepparton irrigation region</w:t>
      </w:r>
      <w:r w:rsidRPr="00744C96">
        <w:rPr>
          <w:i/>
          <w:lang w:val="en-AU"/>
        </w:rPr>
        <w:t xml:space="preserve"> implementation committee annual report 1997, </w:t>
      </w:r>
      <w:r w:rsidRPr="00744C96">
        <w:t>Goulburn</w:t>
      </w:r>
      <w:r w:rsidRPr="009F0494">
        <w:t xml:space="preserve"> Broken Catchment Management Authority, Shepparton, Victoria.</w:t>
      </w:r>
    </w:p>
    <w:p w14:paraId="463CCF67" w14:textId="77777777" w:rsidR="00933E40" w:rsidRPr="00406A39" w:rsidRDefault="00933E40" w:rsidP="00933E40">
      <w:r w:rsidRPr="00AD6E5C">
        <w:rPr>
          <w:lang w:val="en-AU"/>
        </w:rPr>
        <w:lastRenderedPageBreak/>
        <w:t xml:space="preserve">Goulburn Broken Catchment Management Authority 2015, </w:t>
      </w:r>
      <w:r w:rsidRPr="00AD6E5C">
        <w:rPr>
          <w:i/>
          <w:lang w:val="en-AU"/>
        </w:rPr>
        <w:t>Shepparton irrigation region</w:t>
      </w:r>
      <w:r w:rsidRPr="00A9459B">
        <w:rPr>
          <w:i/>
          <w:lang w:val="en-AU"/>
        </w:rPr>
        <w:t xml:space="preserve"> implementation committee annual report 2014/15, </w:t>
      </w:r>
      <w:r w:rsidRPr="00A9459B">
        <w:t>Goulburn Broken</w:t>
      </w:r>
      <w:r w:rsidRPr="009F0494">
        <w:t xml:space="preserve"> Catchment Management Authority, Shepparton, Victoria.</w:t>
      </w:r>
    </w:p>
    <w:p w14:paraId="25ED8BD8" w14:textId="77777777" w:rsidR="00933E40" w:rsidRPr="00867773" w:rsidRDefault="00933E40" w:rsidP="00933E40">
      <w:pPr>
        <w:rPr>
          <w:lang w:val="en-US"/>
        </w:rPr>
      </w:pPr>
      <w:r w:rsidRPr="00A37119">
        <w:rPr>
          <w:bCs/>
          <w:lang w:val="en-US"/>
        </w:rPr>
        <w:t>Harris, D 2011</w:t>
      </w:r>
      <w:r w:rsidRPr="00B5641A">
        <w:rPr>
          <w:bCs/>
          <w:lang w:val="en-US"/>
        </w:rPr>
        <w:t xml:space="preserve">, </w:t>
      </w:r>
      <w:r w:rsidRPr="00B5641A">
        <w:rPr>
          <w:bCs/>
          <w:i/>
          <w:lang w:val="en-US"/>
        </w:rPr>
        <w:t>Victoria’s dairy industry: An economic history of recent developments</w:t>
      </w:r>
      <w:r w:rsidRPr="00B5641A">
        <w:rPr>
          <w:bCs/>
          <w:lang w:val="en-US"/>
        </w:rPr>
        <w:t xml:space="preserve">, report for the Department of Primary Industries, Victoria and Dairy Australia Ltd, </w:t>
      </w:r>
      <w:r w:rsidRPr="00B5641A">
        <w:rPr>
          <w:lang w:val="en-US"/>
        </w:rPr>
        <w:t xml:space="preserve">D. N. Harris and Associates </w:t>
      </w:r>
      <w:r w:rsidRPr="00B5641A">
        <w:rPr>
          <w:bCs/>
          <w:lang w:val="en-US"/>
        </w:rPr>
        <w:t>Economic and Agribusiness Consultants</w:t>
      </w:r>
      <w:r>
        <w:rPr>
          <w:bCs/>
          <w:lang w:val="en-US"/>
        </w:rPr>
        <w:t>,</w:t>
      </w:r>
      <w:r w:rsidRPr="00B5641A">
        <w:rPr>
          <w:bCs/>
          <w:lang w:val="en-US"/>
        </w:rPr>
        <w:t xml:space="preserve"> Melbourne, October 2011</w:t>
      </w:r>
      <w:r>
        <w:rPr>
          <w:bCs/>
          <w:lang w:val="en-US"/>
        </w:rPr>
        <w:t>.</w:t>
      </w:r>
      <w:r w:rsidRPr="00867773">
        <w:rPr>
          <w:bCs/>
          <w:lang w:val="en-US"/>
        </w:rPr>
        <w:t xml:space="preserve"> </w:t>
      </w:r>
    </w:p>
    <w:p w14:paraId="251AA6C0" w14:textId="77777777" w:rsidR="00933E40" w:rsidRPr="00867773" w:rsidRDefault="00933E40" w:rsidP="00933E40">
      <w:pPr>
        <w:rPr>
          <w:lang w:val="en-US"/>
        </w:rPr>
      </w:pPr>
      <w:r w:rsidRPr="00AD6E5C">
        <w:t xml:space="preserve">HMC Property Group 2010, </w:t>
      </w:r>
      <w:r w:rsidRPr="00AD6E5C">
        <w:rPr>
          <w:i/>
        </w:rPr>
        <w:t>Changing land use in the GMID 2006–2010: where have all the dairies g</w:t>
      </w:r>
      <w:r w:rsidRPr="00AD6E5C">
        <w:t xml:space="preserve">one? Report </w:t>
      </w:r>
      <w:r w:rsidRPr="00AD6E5C">
        <w:rPr>
          <w:lang w:val="en-US"/>
        </w:rPr>
        <w:t xml:space="preserve">for Northern Victoria Irrigation Renewal Project and Department of Primary Industries, </w:t>
      </w:r>
      <w:r w:rsidRPr="00AD6E5C">
        <w:t>HMC Property Group, Shepparton, Victoria.</w:t>
      </w:r>
      <w:r>
        <w:t xml:space="preserve"> </w:t>
      </w:r>
    </w:p>
    <w:p w14:paraId="0A7BDFF5" w14:textId="77777777" w:rsidR="00933E40" w:rsidRDefault="00933E40" w:rsidP="00933E40">
      <w:pPr>
        <w:rPr>
          <w:lang w:val="en-US"/>
        </w:rPr>
      </w:pPr>
      <w:r w:rsidRPr="00222302">
        <w:rPr>
          <w:lang w:val="en-US"/>
        </w:rPr>
        <w:t xml:space="preserve">Little, S, Lean, I, Wales, B. King, R &amp; Doyle, P 2009 </w:t>
      </w:r>
      <w:r w:rsidRPr="00222302">
        <w:rPr>
          <w:i/>
          <w:lang w:val="en-US"/>
        </w:rPr>
        <w:t>Strategies to optimise feed conversion efficiency in the 5 different dairy feeding systems,</w:t>
      </w:r>
      <w:r w:rsidRPr="00222302">
        <w:rPr>
          <w:lang w:val="en-US"/>
        </w:rPr>
        <w:t xml:space="preserve"> DairyLive event (vodcast), Dairy Australia, December 2009 </w:t>
      </w:r>
      <w:r>
        <w:rPr>
          <w:lang w:val="en-US"/>
        </w:rPr>
        <w:t>viewed 7 January 2017</w:t>
      </w:r>
      <w:r w:rsidRPr="00222302">
        <w:rPr>
          <w:lang w:val="en-US"/>
        </w:rPr>
        <w:t xml:space="preserve"> </w:t>
      </w:r>
      <w:hyperlink r:id="rId141" w:history="1">
        <w:r w:rsidRPr="00A77BA2">
          <w:rPr>
            <w:rStyle w:val="Hyperlink"/>
            <w:lang w:val="en-US"/>
          </w:rPr>
          <w:t>http://www.dairyaustralia.com.au/Industry-information/About-the-industry/Dairy-community-and-networks/Industry-Forums/DairyLive-December-09.aspx</w:t>
        </w:r>
      </w:hyperlink>
    </w:p>
    <w:p w14:paraId="4D4B6310" w14:textId="77777777" w:rsidR="00933E40" w:rsidRDefault="00933E40" w:rsidP="00933E40">
      <w:r w:rsidRPr="00BD3307">
        <w:t xml:space="preserve">Martin, W &amp; Turner, G 2015, </w:t>
      </w:r>
      <w:r w:rsidRPr="00BD3307">
        <w:rPr>
          <w:i/>
        </w:rPr>
        <w:t>SDL Adjustment Stocktake Report</w:t>
      </w:r>
      <w:r w:rsidRPr="00BD3307">
        <w:t>, August 2015</w:t>
      </w:r>
      <w:r>
        <w:t xml:space="preserve">, viewed 7 January 2017 </w:t>
      </w:r>
      <w:hyperlink r:id="rId142" w:history="1">
        <w:r w:rsidRPr="00A77BA2">
          <w:rPr>
            <w:rStyle w:val="Hyperlink"/>
          </w:rPr>
          <w:t>http://www.mdba.gov.au/sites/default/files/pubs/SDL-Adjustment-Stocktake-Report.pdf</w:t>
        </w:r>
      </w:hyperlink>
    </w:p>
    <w:p w14:paraId="60244B55" w14:textId="77777777" w:rsidR="00933E40" w:rsidRPr="00222302" w:rsidRDefault="00933E40" w:rsidP="00933E40">
      <w:pPr>
        <w:rPr>
          <w:lang w:val="en-AU"/>
        </w:rPr>
      </w:pPr>
      <w:r w:rsidRPr="00222302">
        <w:rPr>
          <w:lang w:val="en-AU"/>
        </w:rPr>
        <w:t xml:space="preserve">MDBA 2011a, </w:t>
      </w:r>
      <w:r w:rsidRPr="00222302">
        <w:rPr>
          <w:i/>
          <w:lang w:val="en-AU"/>
        </w:rPr>
        <w:t xml:space="preserve">Fact sheet: The proposed ‘environmentally sustainable level of take’ for surface water of the Murray-Darling Basin, </w:t>
      </w:r>
      <w:r w:rsidRPr="00222302">
        <w:rPr>
          <w:lang w:val="en-AU"/>
        </w:rPr>
        <w:t>Murray-Darling Basin Authority</w:t>
      </w:r>
      <w:r>
        <w:rPr>
          <w:lang w:val="en-AU"/>
        </w:rPr>
        <w:t>, Canberra.</w:t>
      </w:r>
    </w:p>
    <w:p w14:paraId="6B6AD2A5" w14:textId="77777777" w:rsidR="00933E40" w:rsidRPr="00A97A2D" w:rsidRDefault="00933E40" w:rsidP="00933E40">
      <w:pPr>
        <w:rPr>
          <w:lang w:val="en-AU"/>
        </w:rPr>
      </w:pPr>
      <w:r w:rsidRPr="00A97A2D">
        <w:rPr>
          <w:lang w:val="en-AU"/>
        </w:rPr>
        <w:t xml:space="preserve">MDBA 2011b, </w:t>
      </w:r>
      <w:r w:rsidRPr="00A97A2D">
        <w:rPr>
          <w:i/>
          <w:lang w:val="en-AU"/>
        </w:rPr>
        <w:t xml:space="preserve">The proposed “environmentally sustainable level of take” for surface water of the Murray-Darling Basin: </w:t>
      </w:r>
      <w:r>
        <w:rPr>
          <w:i/>
          <w:lang w:val="en-AU"/>
        </w:rPr>
        <w:t>M</w:t>
      </w:r>
      <w:r w:rsidRPr="00A97A2D">
        <w:rPr>
          <w:i/>
          <w:lang w:val="en-AU"/>
        </w:rPr>
        <w:t>ethod and outcomes</w:t>
      </w:r>
      <w:r w:rsidRPr="00A97A2D">
        <w:rPr>
          <w:lang w:val="en-AU"/>
        </w:rPr>
        <w:t xml:space="preserve">, Murray-Darling Basin Authority, Canberra, November </w:t>
      </w:r>
      <w:r w:rsidRPr="0015279B">
        <w:rPr>
          <w:lang w:val="en-AU"/>
        </w:rPr>
        <w:t>2011.</w:t>
      </w:r>
    </w:p>
    <w:p w14:paraId="7C1FEAD1" w14:textId="77777777" w:rsidR="00933E40" w:rsidRDefault="00933E40" w:rsidP="00933E40">
      <w:pPr>
        <w:rPr>
          <w:lang w:val="en-AU"/>
        </w:rPr>
      </w:pPr>
      <w:r w:rsidRPr="00AD6E5C">
        <w:rPr>
          <w:lang w:val="en-AU"/>
        </w:rPr>
        <w:t xml:space="preserve">MDBA 2011c, </w:t>
      </w:r>
      <w:r w:rsidRPr="00AD6E5C">
        <w:rPr>
          <w:i/>
          <w:lang w:val="en-AU"/>
        </w:rPr>
        <w:t xml:space="preserve">Socioeconomic analysis and the draft Basin Plan, Part A – Overview and analysis, </w:t>
      </w:r>
      <w:r w:rsidRPr="00AD6E5C">
        <w:rPr>
          <w:lang w:val="en-AU"/>
        </w:rPr>
        <w:t>Murray-Darling Basin Authority, Canberra.</w:t>
      </w:r>
    </w:p>
    <w:p w14:paraId="6F803CE6" w14:textId="77777777" w:rsidR="00933E40" w:rsidRPr="003D3F7E" w:rsidRDefault="00933E40" w:rsidP="00933E40">
      <w:pPr>
        <w:rPr>
          <w:lang w:val="en-AU"/>
        </w:rPr>
      </w:pPr>
      <w:r w:rsidRPr="00A97A2D">
        <w:rPr>
          <w:lang w:val="en-AU"/>
        </w:rPr>
        <w:t xml:space="preserve">MDBA 2012, </w:t>
      </w:r>
      <w:r w:rsidRPr="00A97A2D">
        <w:rPr>
          <w:i/>
          <w:lang w:val="en-AU"/>
        </w:rPr>
        <w:t xml:space="preserve">Hydrologic modelling to inform the proposed </w:t>
      </w:r>
      <w:r w:rsidRPr="00222302">
        <w:rPr>
          <w:i/>
          <w:lang w:val="en-AU"/>
        </w:rPr>
        <w:t xml:space="preserve">Basin Plan: Methods and results, </w:t>
      </w:r>
      <w:r w:rsidRPr="00222302">
        <w:rPr>
          <w:lang w:val="en-AU"/>
        </w:rPr>
        <w:t>Murray-Darling Basin Authority, Canberra, February 2012.</w:t>
      </w:r>
    </w:p>
    <w:p w14:paraId="25AD2FD4" w14:textId="77777777" w:rsidR="00933E40" w:rsidRPr="00222302" w:rsidRDefault="00933E40" w:rsidP="00933E40">
      <w:pPr>
        <w:rPr>
          <w:lang w:val="en-AU"/>
        </w:rPr>
      </w:pPr>
      <w:r w:rsidRPr="00222302">
        <w:rPr>
          <w:lang w:val="en-AU"/>
        </w:rPr>
        <w:t>MDBA 2014</w:t>
      </w:r>
      <w:r>
        <w:rPr>
          <w:lang w:val="en-AU"/>
        </w:rPr>
        <w:t>a</w:t>
      </w:r>
      <w:r w:rsidRPr="00222302">
        <w:rPr>
          <w:lang w:val="en-AU"/>
        </w:rPr>
        <w:t xml:space="preserve">, </w:t>
      </w:r>
      <w:r w:rsidRPr="00222302">
        <w:rPr>
          <w:i/>
          <w:lang w:val="en-AU"/>
        </w:rPr>
        <w:t>Basin-wide environmental watering strategy 2014 – Summary</w:t>
      </w:r>
      <w:r w:rsidRPr="00222302">
        <w:rPr>
          <w:lang w:val="en-AU"/>
        </w:rPr>
        <w:t xml:space="preserve">, Murray-Darling Basin Authority, viewed 20 October 2016, </w:t>
      </w:r>
      <w:hyperlink r:id="rId143" w:history="1">
        <w:r w:rsidRPr="00222302">
          <w:rPr>
            <w:rStyle w:val="Hyperlink"/>
            <w:lang w:val="en-AU"/>
          </w:rPr>
          <w:t>http://www.mdba.gov.au/publications/mdba-reports/basin-wide-environmental-watering-strategy-2014</w:t>
        </w:r>
      </w:hyperlink>
    </w:p>
    <w:p w14:paraId="00109DA1" w14:textId="77777777" w:rsidR="00933E40" w:rsidRPr="00222302" w:rsidRDefault="00933E40" w:rsidP="00933E40">
      <w:pPr>
        <w:rPr>
          <w:lang w:val="en-AU"/>
        </w:rPr>
      </w:pPr>
      <w:r w:rsidRPr="00222302">
        <w:rPr>
          <w:lang w:val="en-AU"/>
        </w:rPr>
        <w:t>MDBA 2014</w:t>
      </w:r>
      <w:r>
        <w:rPr>
          <w:lang w:val="en-AU"/>
        </w:rPr>
        <w:t>b</w:t>
      </w:r>
      <w:r w:rsidRPr="00222302">
        <w:rPr>
          <w:i/>
          <w:lang w:val="en-AU"/>
        </w:rPr>
        <w:t>, General Review of Salinity Management in the Murray-Darling Basin, </w:t>
      </w:r>
      <w:r w:rsidRPr="00222302">
        <w:rPr>
          <w:lang w:val="en-AU"/>
        </w:rPr>
        <w:t>Murray-Darling Basin Authority, Canberra.</w:t>
      </w:r>
    </w:p>
    <w:p w14:paraId="187BD327" w14:textId="77777777" w:rsidR="00933E40" w:rsidRPr="00222302" w:rsidRDefault="00933E40" w:rsidP="00933E40">
      <w:r w:rsidRPr="00222302">
        <w:rPr>
          <w:lang w:val="en-AU"/>
        </w:rPr>
        <w:t>MDBA 2014</w:t>
      </w:r>
      <w:r>
        <w:rPr>
          <w:lang w:val="en-AU"/>
        </w:rPr>
        <w:t>c</w:t>
      </w:r>
      <w:r w:rsidRPr="00222302">
        <w:rPr>
          <w:lang w:val="en-AU"/>
        </w:rPr>
        <w:t xml:space="preserve">, </w:t>
      </w:r>
      <w:r w:rsidRPr="00222302">
        <w:t>Murray-Darling Basin water reforms: Framework for evaluation progress document</w:t>
      </w:r>
      <w:r w:rsidRPr="00222302">
        <w:rPr>
          <w:lang w:val="en-AU"/>
        </w:rPr>
        <w:t>,</w:t>
      </w:r>
      <w:r w:rsidRPr="00222302">
        <w:t xml:space="preserve"> Murray-Darling Basin </w:t>
      </w:r>
      <w:r w:rsidRPr="0015279B">
        <w:t>Authority</w:t>
      </w:r>
      <w:r>
        <w:t>, Canberra, viewed 7 January 2016</w:t>
      </w:r>
      <w:r w:rsidRPr="00222302">
        <w:t xml:space="preserve"> </w:t>
      </w:r>
      <w:hyperlink r:id="rId144" w:history="1">
        <w:r w:rsidRPr="00222302">
          <w:rPr>
            <w:rStyle w:val="Hyperlink"/>
          </w:rPr>
          <w:t>www.mdba.gov.au/sites/default/files/pubs/Basin-Plan-Evaluation-Framework-final.pdf</w:t>
        </w:r>
      </w:hyperlink>
    </w:p>
    <w:p w14:paraId="61603258" w14:textId="77777777" w:rsidR="00933E40" w:rsidRDefault="00933E40" w:rsidP="00933E40">
      <w:pPr>
        <w:rPr>
          <w:lang w:val="en-AU"/>
        </w:rPr>
      </w:pPr>
      <w:r>
        <w:rPr>
          <w:lang w:val="en-AU"/>
        </w:rPr>
        <w:t>MDBA 2015a,</w:t>
      </w:r>
      <w:r w:rsidRPr="003D3F7E">
        <w:rPr>
          <w:lang w:val="en-AU"/>
        </w:rPr>
        <w:t xml:space="preserve"> </w:t>
      </w:r>
      <w:r w:rsidRPr="003D3F7E">
        <w:rPr>
          <w:i/>
          <w:lang w:val="en-AU"/>
        </w:rPr>
        <w:t>Towards a healthy, working Murray-Darling Basin – Basin Plan annual report</w:t>
      </w:r>
      <w:r>
        <w:rPr>
          <w:i/>
          <w:lang w:val="en-AU"/>
        </w:rPr>
        <w:t>,</w:t>
      </w:r>
      <w:r w:rsidRPr="003D3F7E">
        <w:rPr>
          <w:i/>
          <w:lang w:val="en-AU"/>
        </w:rPr>
        <w:t xml:space="preserve"> 2014-15</w:t>
      </w:r>
      <w:r>
        <w:rPr>
          <w:i/>
          <w:lang w:val="en-AU"/>
        </w:rPr>
        <w:t xml:space="preserve">, </w:t>
      </w:r>
      <w:r w:rsidRPr="00A97A2D">
        <w:rPr>
          <w:lang w:val="en-AU"/>
        </w:rPr>
        <w:t>Murray-Darling Basin Authority, Canberra</w:t>
      </w:r>
      <w:r>
        <w:rPr>
          <w:lang w:val="en-AU"/>
        </w:rPr>
        <w:t>.</w:t>
      </w:r>
    </w:p>
    <w:p w14:paraId="427843C9" w14:textId="77777777" w:rsidR="00933E40" w:rsidRPr="00A97A2D" w:rsidRDefault="00933E40" w:rsidP="00933E40">
      <w:pPr>
        <w:rPr>
          <w:lang w:val="en-AU"/>
        </w:rPr>
      </w:pPr>
      <w:r>
        <w:rPr>
          <w:lang w:val="en-AU"/>
        </w:rPr>
        <w:t>MDBA 2015b,</w:t>
      </w:r>
      <w:r w:rsidRPr="0060546E">
        <w:rPr>
          <w:lang w:val="en-AU"/>
        </w:rPr>
        <w:t xml:space="preserve"> </w:t>
      </w:r>
      <w:r w:rsidRPr="0060546E">
        <w:rPr>
          <w:i/>
          <w:lang w:val="en-AU"/>
        </w:rPr>
        <w:t>Irrigated crop area data for the Lower Murray-Darling 2003 to 2015</w:t>
      </w:r>
      <w:r>
        <w:rPr>
          <w:i/>
          <w:lang w:val="en-AU"/>
        </w:rPr>
        <w:t xml:space="preserve">, </w:t>
      </w:r>
      <w:r w:rsidRPr="00222302">
        <w:rPr>
          <w:lang w:val="en-AU"/>
        </w:rPr>
        <w:t>Murray-Da</w:t>
      </w:r>
      <w:r>
        <w:rPr>
          <w:lang w:val="en-AU"/>
        </w:rPr>
        <w:t>rling Basin Authority, Canberra, December 2015.</w:t>
      </w:r>
    </w:p>
    <w:p w14:paraId="1ACD5A47" w14:textId="77777777" w:rsidR="00933E40" w:rsidRDefault="00933E40" w:rsidP="00933E40">
      <w:pPr>
        <w:rPr>
          <w:lang w:val="en-AU"/>
        </w:rPr>
      </w:pPr>
      <w:r w:rsidRPr="007771B1">
        <w:t>MDBA 2016</w:t>
      </w:r>
      <w:r>
        <w:t>a</w:t>
      </w:r>
      <w:r w:rsidRPr="007771B1">
        <w:t xml:space="preserve">, </w:t>
      </w:r>
      <w:r w:rsidRPr="007771B1">
        <w:rPr>
          <w:i/>
          <w:lang w:val="en-AU"/>
        </w:rPr>
        <w:t>Insights into how the Murray-Darling Basin Plan water reforms are affecting irrigators: A preliminary report</w:t>
      </w:r>
      <w:r w:rsidRPr="007771B1">
        <w:rPr>
          <w:lang w:val="en-AU"/>
        </w:rPr>
        <w:t>, unpublished, Murray-Darling Basin Authority, February</w:t>
      </w:r>
      <w:r>
        <w:rPr>
          <w:lang w:val="en-AU"/>
        </w:rPr>
        <w:t xml:space="preserve"> 2016</w:t>
      </w:r>
      <w:r w:rsidRPr="007771B1">
        <w:rPr>
          <w:lang w:val="en-AU"/>
        </w:rPr>
        <w:t>.</w:t>
      </w:r>
    </w:p>
    <w:p w14:paraId="530D0A9E" w14:textId="77777777" w:rsidR="00933E40" w:rsidRPr="000C7437" w:rsidRDefault="00933E40" w:rsidP="00933E40">
      <w:r>
        <w:t>MDBA 2016b,</w:t>
      </w:r>
      <w:r w:rsidRPr="000C7437">
        <w:t xml:space="preserve"> </w:t>
      </w:r>
      <w:r w:rsidRPr="000C7437">
        <w:rPr>
          <w:i/>
        </w:rPr>
        <w:t>Surface water recovery estimates based on 2750 GL scenario – updated with contracted water recovery at 30 June 2016 using version 2.05 factors</w:t>
      </w:r>
      <w:r w:rsidRPr="000C7437">
        <w:t xml:space="preserve">, </w:t>
      </w:r>
      <w:r>
        <w:t xml:space="preserve">Murray-Darling Basin Authority, </w:t>
      </w:r>
      <w:r w:rsidRPr="000C7437">
        <w:t>viewed 19 September 2016</w:t>
      </w:r>
      <w:r>
        <w:t>,</w:t>
      </w:r>
      <w:r w:rsidRPr="000C7437">
        <w:t xml:space="preserve"> </w:t>
      </w:r>
      <w:hyperlink r:id="rId145" w:history="1">
        <w:r w:rsidRPr="000C7437">
          <w:rPr>
            <w:rStyle w:val="Hyperlink"/>
          </w:rPr>
          <w:t>http://www.mdba.gov.au/sites/default/files/docs/Environmental-Water-Recovery-Esimates-30-June-2016-Detailed.pdf</w:t>
        </w:r>
      </w:hyperlink>
      <w:r>
        <w:t xml:space="preserve"> </w:t>
      </w:r>
      <w:r w:rsidRPr="000C7437">
        <w:t xml:space="preserve"> </w:t>
      </w:r>
    </w:p>
    <w:p w14:paraId="365D2B69" w14:textId="77777777" w:rsidR="00933E40" w:rsidRDefault="00933E40" w:rsidP="00933E40">
      <w:pPr>
        <w:rPr>
          <w:lang w:val="en-AU"/>
        </w:rPr>
      </w:pPr>
      <w:r>
        <w:rPr>
          <w:lang w:val="en-AU"/>
        </w:rPr>
        <w:t xml:space="preserve">Mickan, F 2015, </w:t>
      </w:r>
      <w:r w:rsidRPr="00D415F6">
        <w:rPr>
          <w:bCs/>
          <w:i/>
          <w:lang w:val="en-AU"/>
        </w:rPr>
        <w:t>Alternative winter forages for a variable climate</w:t>
      </w:r>
      <w:r>
        <w:rPr>
          <w:bCs/>
          <w:i/>
          <w:lang w:val="en-AU"/>
        </w:rPr>
        <w:t>,</w:t>
      </w:r>
      <w:r>
        <w:rPr>
          <w:bCs/>
          <w:lang w:val="en-AU"/>
        </w:rPr>
        <w:t xml:space="preserve"> </w:t>
      </w:r>
      <w:r>
        <w:rPr>
          <w:lang w:val="en-AU"/>
        </w:rPr>
        <w:t xml:space="preserve">Department Economic Development Transport Jobs and Resources, viewed 16 November 2016, </w:t>
      </w:r>
      <w:hyperlink r:id="rId146" w:history="1">
        <w:r w:rsidRPr="009C1E39">
          <w:rPr>
            <w:rStyle w:val="Hyperlink"/>
            <w:lang w:val="en-AU"/>
          </w:rPr>
          <w:t>http://agriculture.vic.gov.au/agriculture/dairy/pastures-management/alternative-winter-forages-for-a-variable-climate</w:t>
        </w:r>
      </w:hyperlink>
      <w:r>
        <w:rPr>
          <w:lang w:val="en-AU"/>
        </w:rPr>
        <w:t xml:space="preserve"> </w:t>
      </w:r>
    </w:p>
    <w:p w14:paraId="2F573715" w14:textId="77777777" w:rsidR="00933E40" w:rsidRPr="00867773" w:rsidRDefault="00933E40" w:rsidP="00933E40">
      <w:pPr>
        <w:rPr>
          <w:lang w:val="en-AU"/>
        </w:rPr>
      </w:pPr>
      <w:r w:rsidRPr="00AD6E5C">
        <w:rPr>
          <w:lang w:val="en-AU"/>
        </w:rPr>
        <w:t xml:space="preserve">Miller, C 2016, </w:t>
      </w:r>
      <w:r w:rsidRPr="00AD6E5C">
        <w:rPr>
          <w:i/>
          <w:lang w:val="en-AU"/>
        </w:rPr>
        <w:t>Industry data 1988 - 2016</w:t>
      </w:r>
      <w:r w:rsidRPr="00AD6E5C">
        <w:rPr>
          <w:lang w:val="en-AU"/>
        </w:rPr>
        <w:t>, Dairy Australia, 30 August 2016</w:t>
      </w:r>
      <w:r>
        <w:rPr>
          <w:lang w:val="en-AU"/>
        </w:rPr>
        <w:t xml:space="preserve"> </w:t>
      </w:r>
    </w:p>
    <w:p w14:paraId="3FE8F599" w14:textId="77777777" w:rsidR="00933E40" w:rsidRPr="003D3F7E" w:rsidRDefault="00933E40" w:rsidP="00933E40">
      <w:pPr>
        <w:rPr>
          <w:lang w:val="en-AU"/>
        </w:rPr>
      </w:pPr>
      <w:r w:rsidRPr="00AD6E5C">
        <w:rPr>
          <w:lang w:val="en-AU"/>
        </w:rPr>
        <w:t xml:space="preserve">MINCO, 2016, </w:t>
      </w:r>
      <w:r w:rsidRPr="00AD6E5C">
        <w:rPr>
          <w:i/>
          <w:lang w:val="en-AU"/>
        </w:rPr>
        <w:t>Package of supply, constraints and efficiency measures</w:t>
      </w:r>
      <w:r w:rsidRPr="00AD6E5C">
        <w:rPr>
          <w:lang w:val="en-AU"/>
        </w:rPr>
        <w:t xml:space="preserve">, agreed by the Murray-Darling Basin Ministerial Council on 22 April 2016, viewed 20 October 2016 </w:t>
      </w:r>
      <w:hyperlink r:id="rId147" w:history="1">
        <w:r w:rsidRPr="00AD6E5C">
          <w:rPr>
            <w:rStyle w:val="Hyperlink"/>
            <w:lang w:val="en-AU"/>
          </w:rPr>
          <w:t>http://www.mdba.gov.au/sites/default/files/pubs/160428-BOC-amendments-Package-of-supply-constraints-for-web.pdf</w:t>
        </w:r>
      </w:hyperlink>
      <w:r w:rsidRPr="003D3F7E">
        <w:rPr>
          <w:lang w:val="en-AU"/>
        </w:rPr>
        <w:t xml:space="preserve"> </w:t>
      </w:r>
    </w:p>
    <w:p w14:paraId="6722C7AB" w14:textId="77777777" w:rsidR="00933E40" w:rsidRPr="00867773" w:rsidRDefault="00933E40" w:rsidP="00933E40">
      <w:pPr>
        <w:rPr>
          <w:lang w:val="en-AU"/>
        </w:rPr>
      </w:pPr>
      <w:r w:rsidRPr="00581A96">
        <w:rPr>
          <w:lang w:val="en-AU"/>
        </w:rPr>
        <w:t>M</w:t>
      </w:r>
      <w:r w:rsidRPr="00867773">
        <w:rPr>
          <w:lang w:val="en-AU"/>
        </w:rPr>
        <w:t>urray Dairy</w:t>
      </w:r>
      <w:r>
        <w:rPr>
          <w:lang w:val="en-AU"/>
        </w:rPr>
        <w:t xml:space="preserve"> 2001, </w:t>
      </w:r>
      <w:r w:rsidRPr="00D4692B">
        <w:rPr>
          <w:i/>
          <w:lang w:val="en-AU"/>
        </w:rPr>
        <w:t xml:space="preserve">Annual </w:t>
      </w:r>
      <w:r>
        <w:rPr>
          <w:i/>
          <w:lang w:val="en-AU"/>
        </w:rPr>
        <w:t>r</w:t>
      </w:r>
      <w:r w:rsidRPr="00D4692B">
        <w:rPr>
          <w:i/>
          <w:lang w:val="en-AU"/>
        </w:rPr>
        <w:t>eport 2001</w:t>
      </w:r>
      <w:r w:rsidRPr="00867773">
        <w:rPr>
          <w:lang w:val="en-AU"/>
        </w:rPr>
        <w:t>, Murray Dairy</w:t>
      </w:r>
      <w:r>
        <w:rPr>
          <w:lang w:val="en-AU"/>
        </w:rPr>
        <w:t>.</w:t>
      </w:r>
    </w:p>
    <w:p w14:paraId="3C52EA33" w14:textId="77777777" w:rsidR="00933E40" w:rsidRDefault="00933E40" w:rsidP="00933E40">
      <w:r w:rsidRPr="0028256A">
        <w:t xml:space="preserve">NVIRP 2010, </w:t>
      </w:r>
      <w:r w:rsidRPr="0028256A">
        <w:rPr>
          <w:i/>
        </w:rPr>
        <w:t>Business Case for Northern Victoria Irrigation Renewal Project Stage 1.</w:t>
      </w:r>
    </w:p>
    <w:p w14:paraId="53EF82C3" w14:textId="77777777" w:rsidR="00933E40" w:rsidRPr="00867773" w:rsidRDefault="00933E40" w:rsidP="00933E40">
      <w:pPr>
        <w:rPr>
          <w:lang w:val="en-AU"/>
        </w:rPr>
      </w:pPr>
      <w:r w:rsidRPr="00AD6E5C">
        <w:rPr>
          <w:lang w:val="en-AU"/>
        </w:rPr>
        <w:t>NWC</w:t>
      </w:r>
      <w:r w:rsidRPr="00867773">
        <w:rPr>
          <w:lang w:val="en-AU"/>
        </w:rPr>
        <w:t xml:space="preserve"> 2009, </w:t>
      </w:r>
      <w:r w:rsidRPr="00FA2F14">
        <w:rPr>
          <w:i/>
          <w:lang w:val="en-AU"/>
        </w:rPr>
        <w:t>Australian water markets report 2008-2009</w:t>
      </w:r>
      <w:r w:rsidRPr="00867773">
        <w:rPr>
          <w:lang w:val="en-AU"/>
        </w:rPr>
        <w:t>, National Water Commission, Canberra</w:t>
      </w:r>
      <w:r>
        <w:rPr>
          <w:lang w:val="en-AU"/>
        </w:rPr>
        <w:t>.</w:t>
      </w:r>
    </w:p>
    <w:p w14:paraId="267863AF" w14:textId="77777777" w:rsidR="00933E40" w:rsidRPr="003D3F7E" w:rsidRDefault="00933E40" w:rsidP="00933E40">
      <w:pPr>
        <w:rPr>
          <w:lang w:val="en-AU"/>
        </w:rPr>
      </w:pPr>
      <w:r w:rsidRPr="003D3F7E">
        <w:rPr>
          <w:lang w:val="en-AU"/>
        </w:rPr>
        <w:t>Overton</w:t>
      </w:r>
      <w:r>
        <w:rPr>
          <w:lang w:val="en-AU"/>
        </w:rPr>
        <w:t>,</w:t>
      </w:r>
      <w:r w:rsidRPr="003D3F7E">
        <w:rPr>
          <w:lang w:val="en-AU"/>
        </w:rPr>
        <w:t xml:space="preserve"> IC, Pollino</w:t>
      </w:r>
      <w:r>
        <w:rPr>
          <w:lang w:val="en-AU"/>
        </w:rPr>
        <w:t>,</w:t>
      </w:r>
      <w:r w:rsidRPr="003D3F7E">
        <w:rPr>
          <w:lang w:val="en-AU"/>
        </w:rPr>
        <w:t xml:space="preserve"> CA, Roberts</w:t>
      </w:r>
      <w:r>
        <w:rPr>
          <w:lang w:val="en-AU"/>
        </w:rPr>
        <w:t>,</w:t>
      </w:r>
      <w:r w:rsidRPr="003D3F7E">
        <w:rPr>
          <w:lang w:val="en-AU"/>
        </w:rPr>
        <w:t xml:space="preserve"> J, Reid</w:t>
      </w:r>
      <w:r>
        <w:rPr>
          <w:lang w:val="en-AU"/>
        </w:rPr>
        <w:t>,</w:t>
      </w:r>
      <w:r w:rsidRPr="003D3F7E">
        <w:rPr>
          <w:lang w:val="en-AU"/>
        </w:rPr>
        <w:t xml:space="preserve"> JRW, Bond</w:t>
      </w:r>
      <w:r>
        <w:rPr>
          <w:lang w:val="en-AU"/>
        </w:rPr>
        <w:t>,</w:t>
      </w:r>
      <w:r w:rsidRPr="003D3F7E">
        <w:rPr>
          <w:lang w:val="en-AU"/>
        </w:rPr>
        <w:t xml:space="preserve"> NR, McGinness</w:t>
      </w:r>
      <w:r>
        <w:rPr>
          <w:lang w:val="en-AU"/>
        </w:rPr>
        <w:t>,</w:t>
      </w:r>
      <w:r w:rsidRPr="003D3F7E">
        <w:rPr>
          <w:lang w:val="en-AU"/>
        </w:rPr>
        <w:t xml:space="preserve"> HM, Gawne</w:t>
      </w:r>
      <w:r>
        <w:rPr>
          <w:lang w:val="en-AU"/>
        </w:rPr>
        <w:t>,</w:t>
      </w:r>
      <w:r w:rsidRPr="003D3F7E">
        <w:rPr>
          <w:lang w:val="en-AU"/>
        </w:rPr>
        <w:t xml:space="preserve"> B, Stratford</w:t>
      </w:r>
      <w:r>
        <w:rPr>
          <w:lang w:val="en-AU"/>
        </w:rPr>
        <w:t>,</w:t>
      </w:r>
      <w:r w:rsidRPr="003D3F7E">
        <w:rPr>
          <w:lang w:val="en-AU"/>
        </w:rPr>
        <w:t xml:space="preserve"> DS, Merrin</w:t>
      </w:r>
      <w:r>
        <w:rPr>
          <w:lang w:val="en-AU"/>
        </w:rPr>
        <w:t>,</w:t>
      </w:r>
      <w:r w:rsidRPr="003D3F7E">
        <w:rPr>
          <w:lang w:val="en-AU"/>
        </w:rPr>
        <w:t xml:space="preserve"> LE, Barma</w:t>
      </w:r>
      <w:r>
        <w:rPr>
          <w:lang w:val="en-AU"/>
        </w:rPr>
        <w:t>,</w:t>
      </w:r>
      <w:r w:rsidRPr="003D3F7E">
        <w:rPr>
          <w:lang w:val="en-AU"/>
        </w:rPr>
        <w:t xml:space="preserve"> D, Cuddy</w:t>
      </w:r>
      <w:r>
        <w:rPr>
          <w:lang w:val="en-AU"/>
        </w:rPr>
        <w:t>,</w:t>
      </w:r>
      <w:r w:rsidRPr="003D3F7E">
        <w:rPr>
          <w:lang w:val="en-AU"/>
        </w:rPr>
        <w:t xml:space="preserve"> SM, Nielsen</w:t>
      </w:r>
      <w:r>
        <w:rPr>
          <w:lang w:val="en-AU"/>
        </w:rPr>
        <w:t>,</w:t>
      </w:r>
      <w:r w:rsidRPr="003D3F7E">
        <w:rPr>
          <w:lang w:val="en-AU"/>
        </w:rPr>
        <w:t xml:space="preserve"> DL, Smith</w:t>
      </w:r>
      <w:r>
        <w:rPr>
          <w:lang w:val="en-AU"/>
        </w:rPr>
        <w:t>,</w:t>
      </w:r>
      <w:r w:rsidRPr="003D3F7E">
        <w:rPr>
          <w:lang w:val="en-AU"/>
        </w:rPr>
        <w:t xml:space="preserve"> T, Henderson</w:t>
      </w:r>
      <w:r>
        <w:rPr>
          <w:lang w:val="en-AU"/>
        </w:rPr>
        <w:t>,</w:t>
      </w:r>
      <w:r w:rsidRPr="003D3F7E">
        <w:rPr>
          <w:lang w:val="en-AU"/>
        </w:rPr>
        <w:t xml:space="preserve"> BL, Baldwin</w:t>
      </w:r>
      <w:r>
        <w:rPr>
          <w:lang w:val="en-AU"/>
        </w:rPr>
        <w:t>,</w:t>
      </w:r>
      <w:r w:rsidRPr="003D3F7E">
        <w:rPr>
          <w:lang w:val="en-AU"/>
        </w:rPr>
        <w:t xml:space="preserve"> DS, Chiu</w:t>
      </w:r>
      <w:r>
        <w:rPr>
          <w:lang w:val="en-AU"/>
        </w:rPr>
        <w:t>,</w:t>
      </w:r>
      <w:r w:rsidRPr="003D3F7E">
        <w:rPr>
          <w:lang w:val="en-AU"/>
        </w:rPr>
        <w:t xml:space="preserve"> GS </w:t>
      </w:r>
      <w:r>
        <w:rPr>
          <w:lang w:val="en-AU"/>
        </w:rPr>
        <w:t>&amp;</w:t>
      </w:r>
      <w:r w:rsidRPr="003D3F7E">
        <w:rPr>
          <w:lang w:val="en-AU"/>
        </w:rPr>
        <w:t xml:space="preserve"> Doody</w:t>
      </w:r>
      <w:r>
        <w:rPr>
          <w:lang w:val="en-AU"/>
        </w:rPr>
        <w:t>, TM 2014,</w:t>
      </w:r>
      <w:r w:rsidRPr="003D3F7E">
        <w:rPr>
          <w:lang w:val="en-AU"/>
        </w:rPr>
        <w:t xml:space="preserve"> </w:t>
      </w:r>
      <w:r w:rsidRPr="003D3F7E">
        <w:rPr>
          <w:i/>
          <w:lang w:val="en-AU"/>
        </w:rPr>
        <w:t>Development of the Murray-Darling Basin Plan SDL adjustment ecological elements method</w:t>
      </w:r>
      <w:r w:rsidRPr="003D3F7E">
        <w:rPr>
          <w:lang w:val="en-AU"/>
        </w:rPr>
        <w:t xml:space="preserve">, </w:t>
      </w:r>
      <w:r>
        <w:rPr>
          <w:lang w:val="en-AU"/>
        </w:rPr>
        <w:t>r</w:t>
      </w:r>
      <w:r w:rsidRPr="003D3F7E">
        <w:rPr>
          <w:lang w:val="en-AU"/>
        </w:rPr>
        <w:t>eport by CSIRO for the Murray-Darling Basin Authority</w:t>
      </w:r>
      <w:r>
        <w:rPr>
          <w:lang w:val="en-AU"/>
        </w:rPr>
        <w:t>, Canberra.</w:t>
      </w:r>
    </w:p>
    <w:p w14:paraId="7394F92D" w14:textId="77777777" w:rsidR="00933E40" w:rsidRPr="00867773" w:rsidRDefault="00933E40" w:rsidP="00933E40">
      <w:pPr>
        <w:rPr>
          <w:lang w:val="en-AU"/>
        </w:rPr>
      </w:pPr>
      <w:r w:rsidRPr="00581A96">
        <w:rPr>
          <w:lang w:val="en-AU"/>
        </w:rPr>
        <w:t>P</w:t>
      </w:r>
      <w:r>
        <w:rPr>
          <w:lang w:val="en-AU"/>
        </w:rPr>
        <w:t>roductivity Commission 2005</w:t>
      </w:r>
      <w:r w:rsidRPr="00867773">
        <w:rPr>
          <w:lang w:val="en-AU"/>
        </w:rPr>
        <w:t xml:space="preserve">, </w:t>
      </w:r>
      <w:r w:rsidRPr="00867773">
        <w:rPr>
          <w:i/>
          <w:iCs/>
          <w:lang w:val="en-AU"/>
        </w:rPr>
        <w:t xml:space="preserve">Trends in Australian </w:t>
      </w:r>
      <w:r>
        <w:rPr>
          <w:i/>
          <w:iCs/>
          <w:lang w:val="en-AU"/>
        </w:rPr>
        <w:t>a</w:t>
      </w:r>
      <w:r w:rsidRPr="00867773">
        <w:rPr>
          <w:i/>
          <w:iCs/>
          <w:lang w:val="en-AU"/>
        </w:rPr>
        <w:t>griculture</w:t>
      </w:r>
      <w:r w:rsidRPr="00867773">
        <w:rPr>
          <w:lang w:val="en-AU"/>
        </w:rPr>
        <w:t xml:space="preserve">, </w:t>
      </w:r>
      <w:r>
        <w:rPr>
          <w:lang w:val="en-AU"/>
        </w:rPr>
        <w:t>r</w:t>
      </w:r>
      <w:r w:rsidRPr="00867773">
        <w:rPr>
          <w:lang w:val="en-AU"/>
        </w:rPr>
        <w:t xml:space="preserve">esearch </w:t>
      </w:r>
      <w:r>
        <w:rPr>
          <w:lang w:val="en-AU"/>
        </w:rPr>
        <w:t>p</w:t>
      </w:r>
      <w:r w:rsidRPr="00867773">
        <w:rPr>
          <w:lang w:val="en-AU"/>
        </w:rPr>
        <w:t>aper, Canberra</w:t>
      </w:r>
      <w:r>
        <w:rPr>
          <w:lang w:val="en-AU"/>
        </w:rPr>
        <w:t>.</w:t>
      </w:r>
    </w:p>
    <w:p w14:paraId="352833ED" w14:textId="77777777" w:rsidR="00933E40" w:rsidRPr="003E34A1" w:rsidRDefault="00933E40" w:rsidP="00933E40">
      <w:pPr>
        <w:rPr>
          <w:b/>
          <w:bCs/>
          <w:lang w:val="en-AU"/>
        </w:rPr>
      </w:pPr>
      <w:r>
        <w:t xml:space="preserve">RMCG 2013, </w:t>
      </w:r>
      <w:r w:rsidRPr="00FA2F14">
        <w:rPr>
          <w:bCs/>
          <w:i/>
          <w:lang w:val="en-AU"/>
        </w:rPr>
        <w:t>Goulburn Valley fruit growing industry roadmap</w:t>
      </w:r>
      <w:r>
        <w:rPr>
          <w:bCs/>
          <w:lang w:val="en-AU"/>
        </w:rPr>
        <w:t>,</w:t>
      </w:r>
      <w:r>
        <w:rPr>
          <w:bCs/>
          <w:i/>
          <w:lang w:val="en-AU"/>
        </w:rPr>
        <w:t xml:space="preserve"> </w:t>
      </w:r>
      <w:r>
        <w:t xml:space="preserve">RM Consulting Group. </w:t>
      </w:r>
    </w:p>
    <w:p w14:paraId="625CD93F" w14:textId="77777777" w:rsidR="00933E40" w:rsidRDefault="00933E40" w:rsidP="00933E40">
      <w:r>
        <w:t xml:space="preserve">RMCG 2016, </w:t>
      </w:r>
      <w:r w:rsidRPr="00A65710">
        <w:t>Basin</w:t>
      </w:r>
      <w:r>
        <w:t xml:space="preserve"> </w:t>
      </w:r>
      <w:r w:rsidRPr="00A65710">
        <w:t>Plan</w:t>
      </w:r>
      <w:r>
        <w:t xml:space="preserve"> - </w:t>
      </w:r>
      <w:r w:rsidRPr="00FA2F14">
        <w:rPr>
          <w:i/>
        </w:rPr>
        <w:t>GMID socio-economic impact assessment</w:t>
      </w:r>
      <w:r>
        <w:t xml:space="preserve">, </w:t>
      </w:r>
      <w:r w:rsidRPr="00A65710">
        <w:t>Final</w:t>
      </w:r>
      <w:r>
        <w:t xml:space="preserve"> </w:t>
      </w:r>
      <w:r w:rsidRPr="00A65710">
        <w:t>Report</w:t>
      </w:r>
      <w:r>
        <w:t xml:space="preserve"> for the </w:t>
      </w:r>
      <w:r w:rsidRPr="00A65710">
        <w:t>GMID</w:t>
      </w:r>
      <w:r>
        <w:t xml:space="preserve"> </w:t>
      </w:r>
      <w:r w:rsidRPr="00A65710">
        <w:t>Water</w:t>
      </w:r>
      <w:r>
        <w:t xml:space="preserve"> </w:t>
      </w:r>
      <w:r w:rsidRPr="00A65710">
        <w:t>Leadership</w:t>
      </w:r>
      <w:r>
        <w:t xml:space="preserve"> </w:t>
      </w:r>
      <w:r w:rsidRPr="00A65710">
        <w:t>Forum</w:t>
      </w:r>
      <w:r>
        <w:t>, RM Consulting Group, October 2016.</w:t>
      </w:r>
    </w:p>
    <w:p w14:paraId="1F073109" w14:textId="77777777" w:rsidR="00933E40" w:rsidRPr="00AD6E5C" w:rsidRDefault="00933E40" w:rsidP="00933E40">
      <w:pPr>
        <w:rPr>
          <w:lang w:val="en-AU"/>
        </w:rPr>
      </w:pPr>
      <w:r w:rsidRPr="00AD6E5C">
        <w:rPr>
          <w:lang w:val="en-AU"/>
        </w:rPr>
        <w:t xml:space="preserve">Rural Water Commission 1989, </w:t>
      </w:r>
      <w:r w:rsidRPr="00AD6E5C">
        <w:rPr>
          <w:i/>
          <w:lang w:val="en-AU"/>
        </w:rPr>
        <w:t>Shepparton Irrigation Region Land and Water Salinity Management Plan, Background Papers, Volume 111</w:t>
      </w:r>
      <w:r w:rsidRPr="00AD6E5C">
        <w:rPr>
          <w:lang w:val="en-AU"/>
        </w:rPr>
        <w:t xml:space="preserve">, August 1989. </w:t>
      </w:r>
    </w:p>
    <w:p w14:paraId="71F0F65D" w14:textId="77777777" w:rsidR="00933E40" w:rsidRPr="00867773" w:rsidRDefault="00933E40" w:rsidP="00933E40">
      <w:pPr>
        <w:rPr>
          <w:lang w:val="en-AU"/>
        </w:rPr>
      </w:pPr>
      <w:r w:rsidRPr="00AD6E5C">
        <w:rPr>
          <w:lang w:val="en-AU"/>
        </w:rPr>
        <w:t xml:space="preserve">Sanders, O, Goesch, T &amp; Hughes, N 2010, </w:t>
      </w:r>
      <w:r w:rsidRPr="00AD6E5C">
        <w:rPr>
          <w:i/>
          <w:lang w:val="en-AU"/>
        </w:rPr>
        <w:t>Adapting to water scarcity,</w:t>
      </w:r>
      <w:r w:rsidRPr="00AD6E5C">
        <w:rPr>
          <w:lang w:val="en-AU"/>
        </w:rPr>
        <w:t xml:space="preserve"> Issues Insights 10.5, Australian Bureau of Resource Economics, Canberra, March 2010.</w:t>
      </w:r>
    </w:p>
    <w:p w14:paraId="442854A8" w14:textId="77777777" w:rsidR="00933E40" w:rsidRDefault="00933E40" w:rsidP="00933E40">
      <w:pPr>
        <w:rPr>
          <w:lang w:val="en-AU"/>
        </w:rPr>
      </w:pPr>
      <w:r>
        <w:rPr>
          <w:lang w:val="en-AU"/>
        </w:rPr>
        <w:t xml:space="preserve">Schirmer, J &amp; Peel, D 2016, </w:t>
      </w:r>
      <w:r w:rsidRPr="00FA2F14">
        <w:rPr>
          <w:i/>
          <w:lang w:val="en-AU"/>
        </w:rPr>
        <w:t>The Murray-Darling Basin Plan and farm business performance,</w:t>
      </w:r>
      <w:r>
        <w:rPr>
          <w:lang w:val="en-AU"/>
        </w:rPr>
        <w:t xml:space="preserve"> r</w:t>
      </w:r>
      <w:r w:rsidRPr="008C206E">
        <w:rPr>
          <w:lang w:val="en-AU"/>
        </w:rPr>
        <w:t>eport for the Murray</w:t>
      </w:r>
      <w:r>
        <w:rPr>
          <w:lang w:val="en-AU"/>
        </w:rPr>
        <w:t>-</w:t>
      </w:r>
      <w:r w:rsidRPr="008C206E">
        <w:rPr>
          <w:lang w:val="en-AU"/>
        </w:rPr>
        <w:t>Darling Basin Authority</w:t>
      </w:r>
      <w:r>
        <w:rPr>
          <w:lang w:val="en-AU"/>
        </w:rPr>
        <w:t xml:space="preserve">, Canberra, </w:t>
      </w:r>
      <w:r w:rsidRPr="008C206E">
        <w:rPr>
          <w:lang w:val="en-AU"/>
        </w:rPr>
        <w:t>May</w:t>
      </w:r>
      <w:r>
        <w:rPr>
          <w:lang w:val="en-AU"/>
        </w:rPr>
        <w:t xml:space="preserve"> 2016.</w:t>
      </w:r>
    </w:p>
    <w:p w14:paraId="5A448912" w14:textId="77777777" w:rsidR="00933E40" w:rsidRPr="000C7437" w:rsidRDefault="00933E40" w:rsidP="00933E40">
      <w:r w:rsidRPr="00C81863">
        <w:t xml:space="preserve">SKM 2012, </w:t>
      </w:r>
      <w:r w:rsidRPr="00C81863">
        <w:rPr>
          <w:i/>
        </w:rPr>
        <w:t>Hydrologic modelling to inform the Victorian response to the proposed Basin Plan, Draft C</w:t>
      </w:r>
      <w:r w:rsidRPr="00C81863">
        <w:t xml:space="preserve">, </w:t>
      </w:r>
      <w:r>
        <w:t xml:space="preserve">report for the Department of Sustainability and Environment, Melbourne, </w:t>
      </w:r>
      <w:r w:rsidRPr="00C81863">
        <w:t>Sinclair Knight Merz, 9 May 2012</w:t>
      </w:r>
    </w:p>
    <w:p w14:paraId="124B61CA" w14:textId="77777777" w:rsidR="00933E40" w:rsidRPr="003C300C" w:rsidRDefault="00933E40" w:rsidP="00933E40">
      <w:pPr>
        <w:rPr>
          <w:lang w:val="en-US"/>
        </w:rPr>
      </w:pPr>
      <w:r w:rsidRPr="00581A96">
        <w:rPr>
          <w:lang w:val="en-US"/>
        </w:rPr>
        <w:t>S</w:t>
      </w:r>
      <w:r>
        <w:rPr>
          <w:lang w:val="en-US"/>
        </w:rPr>
        <w:t xml:space="preserve">unrise Mapping and Research 2015, </w:t>
      </w:r>
      <w:r w:rsidRPr="00483AA4">
        <w:rPr>
          <w:i/>
          <w:lang w:val="en-US"/>
        </w:rPr>
        <w:t>Irrigated crop area data for the Lower Murray-Darling 2003 to 2015</w:t>
      </w:r>
      <w:r>
        <w:rPr>
          <w:lang w:val="en-US"/>
        </w:rPr>
        <w:t>, for the Murray-Darling Basin Authority, Canberra.</w:t>
      </w:r>
    </w:p>
    <w:p w14:paraId="70F34B96" w14:textId="77777777" w:rsidR="00933E40" w:rsidRPr="00AD6E5C" w:rsidRDefault="00933E40" w:rsidP="00933E40">
      <w:pPr>
        <w:rPr>
          <w:lang w:val="en-AU"/>
        </w:rPr>
      </w:pPr>
      <w:r w:rsidRPr="00AD6E5C">
        <w:rPr>
          <w:lang w:val="en-AU"/>
        </w:rPr>
        <w:t xml:space="preserve">TC&amp;A 2016, </w:t>
      </w:r>
      <w:r w:rsidRPr="00AD6E5C">
        <w:rPr>
          <w:i/>
          <w:lang w:val="en-AU"/>
        </w:rPr>
        <w:t>Goulburn-Murray Water Connections Project reset community consultation full report,</w:t>
      </w:r>
      <w:r w:rsidRPr="00AD6E5C">
        <w:rPr>
          <w:lang w:val="en-AU"/>
        </w:rPr>
        <w:t xml:space="preserve"> report for Goulburn-Murray Water, </w:t>
      </w:r>
      <w:r w:rsidRPr="00AD6E5C">
        <w:t>Tim Cummins &amp; Associates.</w:t>
      </w:r>
    </w:p>
    <w:p w14:paraId="40A7A517" w14:textId="77777777" w:rsidR="00933E40" w:rsidRPr="00AD6E5C" w:rsidRDefault="00933E40" w:rsidP="00933E40">
      <w:r w:rsidRPr="00AD6E5C">
        <w:t xml:space="preserve">The Asia Pacific Consulting Group 2013, </w:t>
      </w:r>
      <w:r w:rsidRPr="00AD6E5C">
        <w:rPr>
          <w:i/>
        </w:rPr>
        <w:t>Goulburn Valley industry audit &amp; trend analysis</w:t>
      </w:r>
      <w:r w:rsidRPr="00AD6E5C">
        <w:t>, report for the Goulburn Valley Fruit Growers Strategic Stakeholder Group, September 2013, Melbourne.</w:t>
      </w:r>
    </w:p>
    <w:p w14:paraId="7A7536E6" w14:textId="77777777" w:rsidR="00933E40" w:rsidRPr="00AD6E5C" w:rsidRDefault="00933E40" w:rsidP="00933E40">
      <w:pPr>
        <w:rPr>
          <w:lang w:val="en-AU"/>
        </w:rPr>
      </w:pPr>
      <w:r w:rsidRPr="00AD6E5C">
        <w:rPr>
          <w:lang w:val="en-AU"/>
        </w:rPr>
        <w:t xml:space="preserve">Tietenburg, T &amp; Lewis, L 2009, </w:t>
      </w:r>
      <w:r w:rsidRPr="00AD6E5C">
        <w:rPr>
          <w:i/>
          <w:lang w:val="en-AU"/>
        </w:rPr>
        <w:t>Environmental and natural resource economics – 8</w:t>
      </w:r>
      <w:r w:rsidRPr="00AD6E5C">
        <w:rPr>
          <w:i/>
          <w:vertAlign w:val="superscript"/>
          <w:lang w:val="en-AU"/>
        </w:rPr>
        <w:t>th</w:t>
      </w:r>
      <w:r w:rsidRPr="00AD6E5C">
        <w:rPr>
          <w:i/>
          <w:lang w:val="en-AU"/>
        </w:rPr>
        <w:t xml:space="preserve"> ed.</w:t>
      </w:r>
      <w:r w:rsidRPr="00AD6E5C">
        <w:rPr>
          <w:lang w:val="en-AU"/>
        </w:rPr>
        <w:t xml:space="preserve"> Pearson Addison Wesley, Sydney.</w:t>
      </w:r>
    </w:p>
    <w:p w14:paraId="7DC803B2" w14:textId="77777777" w:rsidR="00933E40" w:rsidRDefault="00933E40" w:rsidP="00933E40">
      <w:r w:rsidRPr="00AD6E5C">
        <w:t xml:space="preserve">VGG 2009, </w:t>
      </w:r>
      <w:r w:rsidRPr="00AD6E5C">
        <w:rPr>
          <w:i/>
        </w:rPr>
        <w:t>Order for Amendment of trading rules for declared water systems</w:t>
      </w:r>
      <w:r w:rsidRPr="00AD6E5C">
        <w:t>, Victorian Government Gazette, No. S 220, 30 June 2009.</w:t>
      </w:r>
    </w:p>
    <w:p w14:paraId="7D42C476" w14:textId="77777777" w:rsidR="00933E40" w:rsidRPr="000C7437" w:rsidRDefault="00933E40" w:rsidP="00933E40">
      <w:r w:rsidRPr="00A46AE9">
        <w:t xml:space="preserve">Walsh, P 2010, </w:t>
      </w:r>
      <w:r w:rsidRPr="00A46AE9">
        <w:rPr>
          <w:i/>
        </w:rPr>
        <w:t>2100GL reduction will secure Basin health: Walsh</w:t>
      </w:r>
      <w:r w:rsidRPr="00A46AE9">
        <w:t xml:space="preserve">, media release by the Hon Peter Walsh MP Minister for Water, </w:t>
      </w:r>
      <w:r w:rsidRPr="00E81C17">
        <w:t>19 May 2010</w:t>
      </w:r>
    </w:p>
    <w:p w14:paraId="0577EC5D" w14:textId="77777777" w:rsidR="00933E40" w:rsidRPr="003C300C" w:rsidRDefault="00933E40" w:rsidP="00933E40">
      <w:pPr>
        <w:rPr>
          <w:lang w:val="en-US"/>
        </w:rPr>
      </w:pPr>
      <w:r>
        <w:rPr>
          <w:lang w:val="en-US"/>
        </w:rPr>
        <w:t xml:space="preserve">Watson, A &amp; Cummins, T 2008, </w:t>
      </w:r>
      <w:r w:rsidRPr="00E25018">
        <w:rPr>
          <w:i/>
          <w:lang w:val="en-US"/>
        </w:rPr>
        <w:t>Drought – An analysis of impacts and responses, An overview of the 2007-08 drought, its impacts on irrigators and government agencies, and its possible lessons for managing in a drier future</w:t>
      </w:r>
      <w:r>
        <w:rPr>
          <w:lang w:val="en-US"/>
        </w:rPr>
        <w:t>, report for the Department of Sustainability and Environment, Melbourne.</w:t>
      </w:r>
      <w:r w:rsidRPr="003C300C">
        <w:rPr>
          <w:lang w:val="en-US"/>
        </w:rPr>
        <w:t xml:space="preserve"> </w:t>
      </w:r>
    </w:p>
    <w:p w14:paraId="64B36B3F" w14:textId="77777777" w:rsidR="00933E40" w:rsidRPr="003D3F7E" w:rsidRDefault="00933E40" w:rsidP="00933E40">
      <w:pPr>
        <w:rPr>
          <w:lang w:val="en-AU"/>
        </w:rPr>
      </w:pPr>
      <w:r w:rsidRPr="003D3F7E">
        <w:rPr>
          <w:lang w:val="en-AU"/>
        </w:rPr>
        <w:t xml:space="preserve">Webb, </w:t>
      </w:r>
      <w:r>
        <w:rPr>
          <w:lang w:val="en-AU"/>
        </w:rPr>
        <w:t xml:space="preserve">A, </w:t>
      </w:r>
      <w:r w:rsidRPr="003D3F7E">
        <w:rPr>
          <w:lang w:val="en-AU"/>
        </w:rPr>
        <w:t xml:space="preserve">Casanelia, </w:t>
      </w:r>
      <w:r>
        <w:rPr>
          <w:lang w:val="en-AU"/>
        </w:rPr>
        <w:t xml:space="preserve">S, </w:t>
      </w:r>
      <w:r w:rsidRPr="003D3F7E">
        <w:rPr>
          <w:lang w:val="en-AU"/>
        </w:rPr>
        <w:t xml:space="preserve">Earl, </w:t>
      </w:r>
      <w:r>
        <w:rPr>
          <w:lang w:val="en-AU"/>
        </w:rPr>
        <w:t xml:space="preserve">G, </w:t>
      </w:r>
      <w:r w:rsidRPr="003D3F7E">
        <w:rPr>
          <w:lang w:val="en-AU"/>
        </w:rPr>
        <w:t xml:space="preserve">Grace, </w:t>
      </w:r>
      <w:r>
        <w:rPr>
          <w:lang w:val="en-AU"/>
        </w:rPr>
        <w:t xml:space="preserve">M, </w:t>
      </w:r>
      <w:r w:rsidRPr="003D3F7E">
        <w:rPr>
          <w:lang w:val="en-AU"/>
        </w:rPr>
        <w:t xml:space="preserve">King, </w:t>
      </w:r>
      <w:r>
        <w:rPr>
          <w:lang w:val="en-AU"/>
        </w:rPr>
        <w:t xml:space="preserve">E, </w:t>
      </w:r>
      <w:r w:rsidRPr="003D3F7E">
        <w:rPr>
          <w:lang w:val="en-AU"/>
        </w:rPr>
        <w:t xml:space="preserve">Koster, </w:t>
      </w:r>
      <w:r>
        <w:rPr>
          <w:lang w:val="en-AU"/>
        </w:rPr>
        <w:t xml:space="preserve">W, </w:t>
      </w:r>
      <w:r w:rsidRPr="003D3F7E">
        <w:rPr>
          <w:lang w:val="en-AU"/>
        </w:rPr>
        <w:t xml:space="preserve">Morris, </w:t>
      </w:r>
      <w:r>
        <w:rPr>
          <w:lang w:val="en-AU"/>
        </w:rPr>
        <w:t xml:space="preserve">K, </w:t>
      </w:r>
      <w:r w:rsidRPr="003D3F7E">
        <w:rPr>
          <w:lang w:val="en-AU"/>
        </w:rPr>
        <w:t xml:space="preserve">Pettigrove, </w:t>
      </w:r>
      <w:r>
        <w:rPr>
          <w:lang w:val="en-AU"/>
        </w:rPr>
        <w:t xml:space="preserve">V, </w:t>
      </w:r>
      <w:r w:rsidRPr="003D3F7E">
        <w:rPr>
          <w:lang w:val="en-AU"/>
        </w:rPr>
        <w:t xml:space="preserve">Sharpe, </w:t>
      </w:r>
      <w:r>
        <w:rPr>
          <w:lang w:val="en-AU"/>
        </w:rPr>
        <w:t xml:space="preserve">A, </w:t>
      </w:r>
      <w:r w:rsidRPr="003D3F7E">
        <w:rPr>
          <w:lang w:val="en-AU"/>
        </w:rPr>
        <w:t xml:space="preserve">Townsend, </w:t>
      </w:r>
      <w:r>
        <w:rPr>
          <w:lang w:val="en-AU"/>
        </w:rPr>
        <w:t xml:space="preserve">K, </w:t>
      </w:r>
      <w:r w:rsidRPr="003D3F7E">
        <w:rPr>
          <w:lang w:val="en-AU"/>
        </w:rPr>
        <w:t xml:space="preserve">Vietz, </w:t>
      </w:r>
      <w:r>
        <w:rPr>
          <w:lang w:val="en-AU"/>
        </w:rPr>
        <w:t xml:space="preserve">G, </w:t>
      </w:r>
      <w:r w:rsidRPr="003D3F7E">
        <w:rPr>
          <w:lang w:val="en-AU"/>
        </w:rPr>
        <w:t xml:space="preserve">Woodman, </w:t>
      </w:r>
      <w:r>
        <w:rPr>
          <w:lang w:val="en-AU"/>
        </w:rPr>
        <w:t>A &amp;</w:t>
      </w:r>
      <w:r w:rsidRPr="003D3F7E">
        <w:rPr>
          <w:lang w:val="en-AU"/>
        </w:rPr>
        <w:t xml:space="preserve"> Ziebell </w:t>
      </w:r>
      <w:r>
        <w:rPr>
          <w:lang w:val="en-AU"/>
        </w:rPr>
        <w:t xml:space="preserve">A </w:t>
      </w:r>
      <w:r w:rsidRPr="003D3F7E">
        <w:rPr>
          <w:lang w:val="en-AU"/>
        </w:rPr>
        <w:t>2016</w:t>
      </w:r>
      <w:r>
        <w:rPr>
          <w:lang w:val="en-AU"/>
        </w:rPr>
        <w:t>,</w:t>
      </w:r>
      <w:r w:rsidRPr="003D3F7E">
        <w:rPr>
          <w:lang w:val="en-AU"/>
        </w:rPr>
        <w:t xml:space="preserve"> </w:t>
      </w:r>
      <w:r w:rsidRPr="003D3F7E">
        <w:rPr>
          <w:i/>
          <w:lang w:val="en-AU"/>
        </w:rPr>
        <w:t>Commonwealth Environmental Water Office long-term intervention monitoring project – Goulburn River selected area evaluation report 2014-15</w:t>
      </w:r>
      <w:r>
        <w:rPr>
          <w:i/>
          <w:lang w:val="en-AU"/>
        </w:rPr>
        <w:t xml:space="preserve">, </w:t>
      </w:r>
      <w:r w:rsidRPr="0025389E">
        <w:rPr>
          <w:lang w:val="en-AU"/>
        </w:rPr>
        <w:t>final report</w:t>
      </w:r>
      <w:r>
        <w:rPr>
          <w:lang w:val="en-AU"/>
        </w:rPr>
        <w:t xml:space="preserve"> for the Commonwealth Environmental Water Office</w:t>
      </w:r>
      <w:r w:rsidRPr="003D3F7E">
        <w:rPr>
          <w:lang w:val="en-AU"/>
        </w:rPr>
        <w:t>, University of Melbourne, 27 January 2016</w:t>
      </w:r>
      <w:r>
        <w:rPr>
          <w:lang w:val="en-AU"/>
        </w:rPr>
        <w:t>.</w:t>
      </w:r>
    </w:p>
    <w:p w14:paraId="52264A52" w14:textId="77777777" w:rsidR="00933E40" w:rsidRDefault="00933E40" w:rsidP="00933E40">
      <w:pPr>
        <w:rPr>
          <w:lang w:val="en-AU"/>
        </w:rPr>
      </w:pPr>
      <w:r w:rsidRPr="003D3F7E">
        <w:rPr>
          <w:lang w:val="en-AU"/>
        </w:rPr>
        <w:t>Young</w:t>
      </w:r>
      <w:r>
        <w:rPr>
          <w:lang w:val="en-AU"/>
        </w:rPr>
        <w:t>,</w:t>
      </w:r>
      <w:r w:rsidRPr="003D3F7E">
        <w:rPr>
          <w:lang w:val="en-AU"/>
        </w:rPr>
        <w:t xml:space="preserve"> WJ, Bond</w:t>
      </w:r>
      <w:r>
        <w:rPr>
          <w:lang w:val="en-AU"/>
        </w:rPr>
        <w:t>,</w:t>
      </w:r>
      <w:r w:rsidRPr="003D3F7E">
        <w:rPr>
          <w:lang w:val="en-AU"/>
        </w:rPr>
        <w:t xml:space="preserve"> N, Brookes</w:t>
      </w:r>
      <w:r>
        <w:rPr>
          <w:lang w:val="en-AU"/>
        </w:rPr>
        <w:t>,</w:t>
      </w:r>
      <w:r w:rsidRPr="003D3F7E">
        <w:rPr>
          <w:lang w:val="en-AU"/>
        </w:rPr>
        <w:t xml:space="preserve"> J, Gawne</w:t>
      </w:r>
      <w:r>
        <w:rPr>
          <w:lang w:val="en-AU"/>
        </w:rPr>
        <w:t>,</w:t>
      </w:r>
      <w:r w:rsidRPr="003D3F7E">
        <w:rPr>
          <w:lang w:val="en-AU"/>
        </w:rPr>
        <w:t xml:space="preserve"> B </w:t>
      </w:r>
      <w:r>
        <w:rPr>
          <w:lang w:val="en-AU"/>
        </w:rPr>
        <w:t>&amp;</w:t>
      </w:r>
      <w:r w:rsidRPr="003D3F7E">
        <w:rPr>
          <w:lang w:val="en-AU"/>
        </w:rPr>
        <w:t xml:space="preserve"> Jones</w:t>
      </w:r>
      <w:r>
        <w:rPr>
          <w:lang w:val="en-AU"/>
        </w:rPr>
        <w:t>, GJ 2011,</w:t>
      </w:r>
      <w:r w:rsidRPr="003D3F7E">
        <w:rPr>
          <w:lang w:val="en-AU"/>
        </w:rPr>
        <w:t xml:space="preserve"> </w:t>
      </w:r>
      <w:r w:rsidRPr="003D3F7E">
        <w:rPr>
          <w:i/>
          <w:lang w:val="en-AU"/>
        </w:rPr>
        <w:t>Science review of the estimation of an environmentally sustainable level of take for the murray-darling basin</w:t>
      </w:r>
      <w:r w:rsidRPr="003D3F7E">
        <w:rPr>
          <w:lang w:val="en-AU"/>
        </w:rPr>
        <w:t xml:space="preserve">, </w:t>
      </w:r>
      <w:r>
        <w:rPr>
          <w:lang w:val="en-AU"/>
        </w:rPr>
        <w:t>a</w:t>
      </w:r>
      <w:r w:rsidRPr="003D3F7E">
        <w:rPr>
          <w:lang w:val="en-AU"/>
        </w:rPr>
        <w:t xml:space="preserve"> report from the CSIRO Water for a Healthy Country Flagship </w:t>
      </w:r>
      <w:r>
        <w:rPr>
          <w:lang w:val="en-AU"/>
        </w:rPr>
        <w:t>for</w:t>
      </w:r>
      <w:r w:rsidRPr="003D3F7E">
        <w:rPr>
          <w:lang w:val="en-AU"/>
        </w:rPr>
        <w:t xml:space="preserve"> the Murray-Darling Basin Authority</w:t>
      </w:r>
      <w:r>
        <w:rPr>
          <w:lang w:val="en-AU"/>
        </w:rPr>
        <w:t>, Canberra.</w:t>
      </w:r>
    </w:p>
    <w:p w14:paraId="21FDFDFD" w14:textId="77777777" w:rsidR="00933E40" w:rsidRPr="00F97F21" w:rsidRDefault="00933E40" w:rsidP="00933E40">
      <w:pPr>
        <w:rPr>
          <w:lang w:val="en-AU"/>
        </w:rPr>
      </w:pPr>
    </w:p>
    <w:sectPr w:rsidR="00933E40" w:rsidRPr="00F97F21" w:rsidSect="00A7208C">
      <w:headerReference w:type="even" r:id="rId148"/>
      <w:headerReference w:type="default" r:id="rId149"/>
      <w:footerReference w:type="even" r:id="rId150"/>
      <w:footerReference w:type="default" r:id="rId151"/>
      <w:headerReference w:type="first" r:id="rId152"/>
      <w:footerReference w:type="first" r:id="rId1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DD364" w14:textId="77777777" w:rsidR="00A71C33" w:rsidRDefault="00A71C33" w:rsidP="002E2276">
      <w:pPr>
        <w:spacing w:before="0" w:after="0" w:line="240" w:lineRule="auto"/>
      </w:pPr>
      <w:r>
        <w:separator/>
      </w:r>
    </w:p>
  </w:endnote>
  <w:endnote w:type="continuationSeparator" w:id="0">
    <w:p w14:paraId="7C4F341B" w14:textId="77777777" w:rsidR="00A71C33" w:rsidRDefault="00A71C33" w:rsidP="002E2276">
      <w:pPr>
        <w:spacing w:before="0" w:after="0" w:line="240" w:lineRule="auto"/>
      </w:pPr>
      <w:r>
        <w:continuationSeparator/>
      </w:r>
    </w:p>
  </w:endnote>
  <w:endnote w:type="continuationNotice" w:id="1">
    <w:p w14:paraId="5707DB5B" w14:textId="77777777" w:rsidR="00A71C33" w:rsidRDefault="00A71C3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EADD" w14:textId="7C22D3B1" w:rsidR="00424EE2" w:rsidRDefault="00424EE2" w:rsidP="00A720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74097B" w14:textId="77777777" w:rsidR="00424EE2" w:rsidRDefault="00424EE2" w:rsidP="001139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5BA9" w14:textId="79AA7CFF" w:rsidR="00424EE2" w:rsidRDefault="0005651B" w:rsidP="00113949">
    <w:pPr>
      <w:pBdr>
        <w:top w:val="single" w:sz="4" w:space="1" w:color="auto"/>
      </w:pBdr>
      <w:ind w:left="1440" w:right="360" w:firstLine="720"/>
    </w:pPr>
    <w:r>
      <w:rPr>
        <w:noProof/>
      </w:rPr>
      <mc:AlternateContent>
        <mc:Choice Requires="wps">
          <w:drawing>
            <wp:anchor distT="0" distB="0" distL="114300" distR="114300" simplePos="0" relativeHeight="251665919" behindDoc="0" locked="0" layoutInCell="0" allowOverlap="1" wp14:anchorId="1C8A29F7" wp14:editId="11D4BFFF">
              <wp:simplePos x="0" y="0"/>
              <wp:positionH relativeFrom="page">
                <wp:align>center</wp:align>
              </wp:positionH>
              <wp:positionV relativeFrom="page">
                <wp:align>bottom</wp:align>
              </wp:positionV>
              <wp:extent cx="7772400" cy="463550"/>
              <wp:effectExtent l="0" t="0" r="0" b="12700"/>
              <wp:wrapNone/>
              <wp:docPr id="45" name="MSIPCM32674bcf8c6eeaea96889e77"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D64EDA" w14:textId="499B10E6"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8A29F7" id="_x0000_t202" coordsize="21600,21600" o:spt="202" path="m,l,21600r21600,l21600,xe">
              <v:stroke joinstyle="miter"/>
              <v:path gradientshapeok="t" o:connecttype="rect"/>
            </v:shapetype>
            <v:shape id="MSIPCM32674bcf8c6eeaea96889e77" o:spid="_x0000_s1026" type="#_x0000_t202" alt="{&quot;HashCode&quot;:1862493762,&quot;Height&quot;:9999999.0,&quot;Width&quot;:9999999.0,&quot;Placement&quot;:&quot;Footer&quot;,&quot;Index&quot;:&quot;Primary&quot;,&quot;Section&quot;:1,&quot;Top&quot;:0.0,&quot;Left&quot;:0.0}" style="position:absolute;left:0;text-align:left;margin-left:0;margin-top:0;width:612pt;height:36.5pt;z-index:25166591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fill o:detectmouseclick="t"/>
              <v:textbox inset=",0,,0">
                <w:txbxContent>
                  <w:p w14:paraId="5FD64EDA" w14:textId="499B10E6"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v:textbox>
              <w10:wrap anchorx="page" anchory="page"/>
            </v:shape>
          </w:pict>
        </mc:Fallback>
      </mc:AlternateContent>
    </w:r>
    <w:r w:rsidR="00424EE2">
      <w:t xml:space="preserve">TC&amp;A with Frontier Economics Pty Ltd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9435B" w14:textId="1C3F94EF" w:rsidR="00424EE2" w:rsidRDefault="0005651B" w:rsidP="00B2735A">
    <w:pPr>
      <w:pStyle w:val="Footer"/>
      <w:framePr w:wrap="around" w:vAnchor="text" w:hAnchor="margin" w:xAlign="right" w:y="1"/>
      <w:rPr>
        <w:rStyle w:val="PageNumber"/>
      </w:rPr>
    </w:pPr>
    <w:r>
      <w:rPr>
        <w:noProof/>
      </w:rPr>
      <mc:AlternateContent>
        <mc:Choice Requires="wps">
          <w:drawing>
            <wp:anchor distT="0" distB="0" distL="114300" distR="114300" simplePos="0" relativeHeight="251666175" behindDoc="0" locked="0" layoutInCell="0" allowOverlap="1" wp14:anchorId="4E4162E6" wp14:editId="64FF2EDB">
              <wp:simplePos x="0" y="0"/>
              <wp:positionH relativeFrom="page">
                <wp:align>center</wp:align>
              </wp:positionH>
              <wp:positionV relativeFrom="page">
                <wp:align>bottom</wp:align>
              </wp:positionV>
              <wp:extent cx="7772400" cy="463550"/>
              <wp:effectExtent l="0" t="0" r="0" b="12700"/>
              <wp:wrapNone/>
              <wp:docPr id="46" name="MSIPCMcabc44e785a159f07155f341"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8F0184" w14:textId="780CF163"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4162E6" id="_x0000_t202" coordsize="21600,21600" o:spt="202" path="m,l,21600r21600,l21600,xe">
              <v:stroke joinstyle="miter"/>
              <v:path gradientshapeok="t" o:connecttype="rect"/>
            </v:shapetype>
            <v:shape id="MSIPCMcabc44e785a159f07155f341" o:spid="_x0000_s1027" type="#_x0000_t202" alt="{&quot;HashCode&quot;:1862493762,&quot;Height&quot;:9999999.0,&quot;Width&quot;:9999999.0,&quot;Placement&quot;:&quot;Footer&quot;,&quot;Index&quot;:&quot;FirstPage&quot;,&quot;Section&quot;:1,&quot;Top&quot;:0.0,&quot;Left&quot;:0.0}" style="position:absolute;left:0;text-align:left;margin-left:0;margin-top:0;width:612pt;height:36.5pt;z-index:2516661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578F0184" w14:textId="780CF163"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v:textbox>
              <w10:wrap anchorx="page" anchory="page"/>
            </v:shape>
          </w:pict>
        </mc:Fallback>
      </mc:AlternateContent>
    </w:r>
    <w:r w:rsidR="00424EE2">
      <w:rPr>
        <w:rStyle w:val="PageNumber"/>
      </w:rPr>
      <w:fldChar w:fldCharType="begin"/>
    </w:r>
    <w:r w:rsidR="00424EE2">
      <w:rPr>
        <w:rStyle w:val="PageNumber"/>
      </w:rPr>
      <w:instrText xml:space="preserve">PAGE  </w:instrText>
    </w:r>
    <w:r w:rsidR="00424EE2">
      <w:rPr>
        <w:rStyle w:val="PageNumber"/>
      </w:rPr>
      <w:fldChar w:fldCharType="separate"/>
    </w:r>
    <w:r w:rsidR="00FF7F0A">
      <w:rPr>
        <w:rStyle w:val="PageNumber"/>
        <w:noProof/>
      </w:rPr>
      <w:t>i</w:t>
    </w:r>
    <w:r w:rsidR="00424EE2">
      <w:rPr>
        <w:rStyle w:val="PageNumber"/>
      </w:rPr>
      <w:fldChar w:fldCharType="end"/>
    </w:r>
  </w:p>
  <w:p w14:paraId="5F59E8A7" w14:textId="77777777" w:rsidR="00424EE2" w:rsidRDefault="00424EE2" w:rsidP="00B2735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326A" w14:textId="3F7E1599" w:rsidR="00AA20A3" w:rsidRDefault="00AA20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EE61" w14:textId="07338246" w:rsidR="00424EE2" w:rsidRDefault="0005651B" w:rsidP="00A7208C">
    <w:pPr>
      <w:pStyle w:val="Footer"/>
      <w:framePr w:wrap="around" w:vAnchor="text" w:hAnchor="margin" w:xAlign="right" w:y="1"/>
      <w:rPr>
        <w:rStyle w:val="PageNumber"/>
      </w:rPr>
    </w:pPr>
    <w:r>
      <w:rPr>
        <w:noProof/>
      </w:rPr>
      <mc:AlternateContent>
        <mc:Choice Requires="wps">
          <w:drawing>
            <wp:anchor distT="0" distB="0" distL="114300" distR="114300" simplePos="0" relativeHeight="251668480" behindDoc="0" locked="0" layoutInCell="0" allowOverlap="1" wp14:anchorId="5E196715" wp14:editId="7040CEAB">
              <wp:simplePos x="0" y="0"/>
              <wp:positionH relativeFrom="page">
                <wp:align>center</wp:align>
              </wp:positionH>
              <wp:positionV relativeFrom="page">
                <wp:align>bottom</wp:align>
              </wp:positionV>
              <wp:extent cx="7772400" cy="463550"/>
              <wp:effectExtent l="0" t="0" r="0" b="12700"/>
              <wp:wrapNone/>
              <wp:docPr id="47" name="MSIPCM54564e85a1d73da7c5a1c303" descr="{&quot;HashCode&quot;:186249376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C7AC9B" w14:textId="681161D8"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196715" id="_x0000_t202" coordsize="21600,21600" o:spt="202" path="m,l,21600r21600,l21600,xe">
              <v:stroke joinstyle="miter"/>
              <v:path gradientshapeok="t" o:connecttype="rect"/>
            </v:shapetype>
            <v:shape id="MSIPCM54564e85a1d73da7c5a1c303" o:spid="_x0000_s1028" type="#_x0000_t202" alt="{&quot;HashCode&quot;:1862493762,&quot;Height&quot;:9999999.0,&quot;Width&quot;:9999999.0,&quot;Placement&quot;:&quot;Footer&quot;,&quot;Index&quot;:&quot;Primary&quot;,&quot;Section&quot;:4,&quot;Top&quot;:0.0,&quot;Left&quot;:0.0}" style="position:absolute;left:0;text-align:left;margin-left:0;margin-top:0;width:612pt;height:36.5pt;z-index:2516684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4EC7AC9B" w14:textId="681161D8"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v:textbox>
              <w10:wrap anchorx="page" anchory="page"/>
            </v:shape>
          </w:pict>
        </mc:Fallback>
      </mc:AlternateContent>
    </w:r>
    <w:r w:rsidR="00424EE2">
      <w:rPr>
        <w:rStyle w:val="PageNumber"/>
      </w:rPr>
      <w:fldChar w:fldCharType="begin"/>
    </w:r>
    <w:r w:rsidR="00424EE2">
      <w:rPr>
        <w:rStyle w:val="PageNumber"/>
      </w:rPr>
      <w:instrText xml:space="preserve">PAGE  </w:instrText>
    </w:r>
    <w:r w:rsidR="00424EE2">
      <w:rPr>
        <w:rStyle w:val="PageNumber"/>
      </w:rPr>
      <w:fldChar w:fldCharType="separate"/>
    </w:r>
    <w:r w:rsidR="00FF7F0A">
      <w:rPr>
        <w:rStyle w:val="PageNumber"/>
        <w:noProof/>
      </w:rPr>
      <w:t>32</w:t>
    </w:r>
    <w:r w:rsidR="00424EE2">
      <w:rPr>
        <w:rStyle w:val="PageNumber"/>
      </w:rPr>
      <w:fldChar w:fldCharType="end"/>
    </w:r>
  </w:p>
  <w:p w14:paraId="68F4F52C" w14:textId="77777777" w:rsidR="00424EE2" w:rsidRDefault="00424EE2" w:rsidP="00D942E2">
    <w:pPr>
      <w:pStyle w:val="Footer"/>
      <w:ind w:right="360"/>
      <w:jc w:val="center"/>
    </w:pPr>
    <w:r>
      <w:t>TC&amp;A with Frontier Economics Pty Ltd</w:t>
    </w:r>
  </w:p>
  <w:p w14:paraId="186E9598" w14:textId="77777777" w:rsidR="00424EE2" w:rsidRDefault="00424E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62AA" w14:textId="41268AEF" w:rsidR="00AA20A3" w:rsidRDefault="0005651B">
    <w:pPr>
      <w:pStyle w:val="Footer"/>
    </w:pPr>
    <w:r>
      <w:rPr>
        <w:noProof/>
      </w:rPr>
      <mc:AlternateContent>
        <mc:Choice Requires="wps">
          <w:drawing>
            <wp:anchor distT="0" distB="0" distL="114300" distR="114300" simplePos="0" relativeHeight="251669504" behindDoc="0" locked="0" layoutInCell="0" allowOverlap="1" wp14:anchorId="7EACC491" wp14:editId="46159749">
              <wp:simplePos x="0" y="9403953"/>
              <wp:positionH relativeFrom="page">
                <wp:align>center</wp:align>
              </wp:positionH>
              <wp:positionV relativeFrom="page">
                <wp:align>bottom</wp:align>
              </wp:positionV>
              <wp:extent cx="7772400" cy="463550"/>
              <wp:effectExtent l="0" t="0" r="0" b="12700"/>
              <wp:wrapNone/>
              <wp:docPr id="48" name="MSIPCMd7d34f1da7df479f1888ca7a" descr="{&quot;HashCode&quot;:1862493762,&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C144F" w14:textId="2C06CC7F"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ACC491" id="_x0000_t202" coordsize="21600,21600" o:spt="202" path="m,l,21600r21600,l21600,xe">
              <v:stroke joinstyle="miter"/>
              <v:path gradientshapeok="t" o:connecttype="rect"/>
            </v:shapetype>
            <v:shape id="MSIPCMd7d34f1da7df479f1888ca7a" o:spid="_x0000_s1029" type="#_x0000_t202" alt="{&quot;HashCode&quot;:1862493762,&quot;Height&quot;:9999999.0,&quot;Width&quot;:9999999.0,&quot;Placement&quot;:&quot;Footer&quot;,&quot;Index&quot;:&quot;FirstPage&quot;,&quot;Section&quot;:4,&quot;Top&quot;:0.0,&quot;Left&quot;:0.0}" style="position:absolute;left:0;text-align:left;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5DBC144F" w14:textId="2C06CC7F"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6530" w14:textId="7EB8700B" w:rsidR="00424EE2" w:rsidRDefault="00424EE2" w:rsidP="00A720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33B430" w14:textId="77777777" w:rsidR="00424EE2" w:rsidRDefault="00424EE2" w:rsidP="00113949">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1F6E" w14:textId="1CCD3937" w:rsidR="00424EE2" w:rsidRDefault="0005651B" w:rsidP="00113949">
    <w:pPr>
      <w:pStyle w:val="Footer"/>
      <w:framePr w:wrap="around" w:vAnchor="text" w:hAnchor="margin" w:xAlign="right" w:y="1"/>
      <w:rPr>
        <w:rStyle w:val="PageNumber"/>
      </w:rPr>
    </w:pPr>
    <w:r>
      <w:rPr>
        <w:noProof/>
      </w:rPr>
      <mc:AlternateContent>
        <mc:Choice Requires="wps">
          <w:drawing>
            <wp:anchor distT="0" distB="0" distL="114300" distR="114300" simplePos="0" relativeHeight="251670528" behindDoc="0" locked="0" layoutInCell="0" allowOverlap="1" wp14:anchorId="0818B226" wp14:editId="75DB6B6C">
              <wp:simplePos x="0" y="0"/>
              <wp:positionH relativeFrom="page">
                <wp:align>center</wp:align>
              </wp:positionH>
              <wp:positionV relativeFrom="page">
                <wp:align>bottom</wp:align>
              </wp:positionV>
              <wp:extent cx="7772400" cy="463550"/>
              <wp:effectExtent l="0" t="0" r="0" b="12700"/>
              <wp:wrapNone/>
              <wp:docPr id="49" name="MSIPCMb0794ff6aab608e8a2368181" descr="{&quot;HashCode&quot;:1862493762,&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4726AF" w14:textId="0DE2591F"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18B226" id="_x0000_t202" coordsize="21600,21600" o:spt="202" path="m,l,21600r21600,l21600,xe">
              <v:stroke joinstyle="miter"/>
              <v:path gradientshapeok="t" o:connecttype="rect"/>
            </v:shapetype>
            <v:shape id="MSIPCMb0794ff6aab608e8a2368181" o:spid="_x0000_s1031" type="#_x0000_t202" alt="{&quot;HashCode&quot;:1862493762,&quot;Height&quot;:9999999.0,&quot;Width&quot;:9999999.0,&quot;Placement&quot;:&quot;Footer&quot;,&quot;Index&quot;:&quot;Primary&quot;,&quot;Section&quot;:8,&quot;Top&quot;:0.0,&quot;Left&quot;:0.0}" style="position:absolute;left:0;text-align:left;margin-left:0;margin-top:0;width:612pt;height:36.5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114726AF" w14:textId="0DE2591F"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v:textbox>
              <w10:wrap anchorx="page" anchory="page"/>
            </v:shape>
          </w:pict>
        </mc:Fallback>
      </mc:AlternateContent>
    </w:r>
    <w:r w:rsidR="00424EE2">
      <w:rPr>
        <w:rStyle w:val="PageNumber"/>
      </w:rPr>
      <w:fldChar w:fldCharType="begin"/>
    </w:r>
    <w:r w:rsidR="00424EE2">
      <w:rPr>
        <w:rStyle w:val="PageNumber"/>
      </w:rPr>
      <w:instrText xml:space="preserve">PAGE  </w:instrText>
    </w:r>
    <w:r w:rsidR="00424EE2">
      <w:rPr>
        <w:rStyle w:val="PageNumber"/>
      </w:rPr>
      <w:fldChar w:fldCharType="separate"/>
    </w:r>
    <w:r w:rsidR="00955CD9">
      <w:rPr>
        <w:rStyle w:val="PageNumber"/>
        <w:noProof/>
      </w:rPr>
      <w:t>186</w:t>
    </w:r>
    <w:r w:rsidR="00424EE2">
      <w:rPr>
        <w:rStyle w:val="PageNumber"/>
      </w:rPr>
      <w:fldChar w:fldCharType="end"/>
    </w:r>
  </w:p>
  <w:p w14:paraId="199A8B17" w14:textId="77777777" w:rsidR="00424EE2" w:rsidRDefault="00424EE2" w:rsidP="00113949">
    <w:pPr>
      <w:pBdr>
        <w:top w:val="single" w:sz="4" w:space="1" w:color="auto"/>
      </w:pBdr>
      <w:ind w:left="1440" w:right="360" w:firstLine="720"/>
    </w:pPr>
    <w:r>
      <w:t xml:space="preserve">TC&amp;A with Frontier Economics Pty Ltd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13F2" w14:textId="24B89EB7" w:rsidR="00AA20A3" w:rsidRDefault="0005651B">
    <w:pPr>
      <w:pStyle w:val="Footer"/>
    </w:pPr>
    <w:r>
      <w:rPr>
        <w:noProof/>
      </w:rPr>
      <mc:AlternateContent>
        <mc:Choice Requires="wps">
          <w:drawing>
            <wp:anchor distT="0" distB="0" distL="114300" distR="114300" simplePos="0" relativeHeight="251671552" behindDoc="0" locked="0" layoutInCell="0" allowOverlap="1" wp14:anchorId="59ADA905" wp14:editId="1B97AEB8">
              <wp:simplePos x="0" y="9403953"/>
              <wp:positionH relativeFrom="page">
                <wp:align>center</wp:align>
              </wp:positionH>
              <wp:positionV relativeFrom="page">
                <wp:align>bottom</wp:align>
              </wp:positionV>
              <wp:extent cx="7772400" cy="463550"/>
              <wp:effectExtent l="0" t="0" r="0" b="12700"/>
              <wp:wrapNone/>
              <wp:docPr id="50" name="MSIPCM9f0949fa85a6d6bb6761ed20" descr="{&quot;HashCode&quot;:1862493762,&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7D3012" w14:textId="51DC1427"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ADA905" id="_x0000_t202" coordsize="21600,21600" o:spt="202" path="m,l,21600r21600,l21600,xe">
              <v:stroke joinstyle="miter"/>
              <v:path gradientshapeok="t" o:connecttype="rect"/>
            </v:shapetype>
            <v:shape id="MSIPCM9f0949fa85a6d6bb6761ed20" o:spid="_x0000_s1033" type="#_x0000_t202" alt="{&quot;HashCode&quot;:1862493762,&quot;Height&quot;:9999999.0,&quot;Width&quot;:9999999.0,&quot;Placement&quot;:&quot;Footer&quot;,&quot;Index&quot;:&quot;FirstPage&quot;,&quot;Section&quot;:8,&quot;Top&quot;:0.0,&quot;Left&quot;:0.0}" style="position:absolute;left:0;text-align:left;margin-left:0;margin-top:0;width:612pt;height:36.5pt;z-index:251671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2E7D3012" w14:textId="51DC1427" w:rsidR="0005651B" w:rsidRPr="0005651B" w:rsidRDefault="0005651B" w:rsidP="0005651B">
                    <w:pPr>
                      <w:spacing w:before="0" w:after="0"/>
                      <w:jc w:val="center"/>
                      <w:rPr>
                        <w:rFonts w:cs="Calibri"/>
                        <w:color w:val="000000"/>
                        <w:sz w:val="24"/>
                      </w:rPr>
                    </w:pPr>
                    <w:r w:rsidRPr="0005651B">
                      <w:rPr>
                        <w:rFonts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48DAF" w14:textId="77777777" w:rsidR="00A71C33" w:rsidRDefault="00A71C33" w:rsidP="002E2276">
      <w:pPr>
        <w:spacing w:before="0" w:after="0" w:line="240" w:lineRule="auto"/>
      </w:pPr>
      <w:r>
        <w:separator/>
      </w:r>
    </w:p>
  </w:footnote>
  <w:footnote w:type="continuationSeparator" w:id="0">
    <w:p w14:paraId="57EDCFDE" w14:textId="77777777" w:rsidR="00A71C33" w:rsidRDefault="00A71C33" w:rsidP="002E2276">
      <w:pPr>
        <w:spacing w:before="0" w:after="0" w:line="240" w:lineRule="auto"/>
      </w:pPr>
      <w:r>
        <w:continuationSeparator/>
      </w:r>
    </w:p>
  </w:footnote>
  <w:footnote w:type="continuationNotice" w:id="1">
    <w:p w14:paraId="621B0058" w14:textId="77777777" w:rsidR="00A71C33" w:rsidRDefault="00A71C33">
      <w:pPr>
        <w:spacing w:before="0" w:after="0" w:line="240" w:lineRule="auto"/>
      </w:pPr>
    </w:p>
  </w:footnote>
  <w:footnote w:id="2">
    <w:p w14:paraId="0CC47A6D" w14:textId="77777777" w:rsidR="00424EE2" w:rsidRPr="00C74675" w:rsidRDefault="00424EE2">
      <w:pPr>
        <w:pStyle w:val="FootnoteText"/>
        <w:rPr>
          <w:lang w:val="en-US"/>
        </w:rPr>
      </w:pPr>
      <w:r>
        <w:rPr>
          <w:rStyle w:val="FootnoteReference"/>
        </w:rPr>
        <w:footnoteRef/>
      </w:r>
      <w:r>
        <w:t xml:space="preserve"> </w:t>
      </w:r>
      <w:r>
        <w:rPr>
          <w:lang w:val="en-US"/>
        </w:rPr>
        <w:t>Technically, the comparison is between the ‘observed’ and the ‘counterfactual’, and that more formal language is adopted in the body of the report.</w:t>
      </w:r>
    </w:p>
  </w:footnote>
  <w:footnote w:id="3">
    <w:p w14:paraId="68995228" w14:textId="2466247E" w:rsidR="00424EE2" w:rsidRPr="00BE4BF8" w:rsidRDefault="00424EE2">
      <w:pPr>
        <w:pStyle w:val="FootnoteText"/>
        <w:rPr>
          <w:lang w:val="en-US"/>
        </w:rPr>
      </w:pPr>
      <w:r>
        <w:rPr>
          <w:rStyle w:val="FootnoteReference"/>
        </w:rPr>
        <w:footnoteRef/>
      </w:r>
      <w:r>
        <w:t xml:space="preserve"> </w:t>
      </w:r>
      <w:r>
        <w:rPr>
          <w:lang w:val="en-US"/>
        </w:rPr>
        <w:t>This is at the conservative end of development costs provided by DELWP (Mildura).</w:t>
      </w:r>
    </w:p>
  </w:footnote>
  <w:footnote w:id="4">
    <w:p w14:paraId="5CF1A8F6" w14:textId="77777777" w:rsidR="00424EE2" w:rsidRPr="00316C57" w:rsidRDefault="00424EE2" w:rsidP="000B4488">
      <w:pPr>
        <w:pStyle w:val="FootnoteText"/>
        <w:rPr>
          <w:lang w:val="en-US"/>
        </w:rPr>
      </w:pPr>
      <w:r>
        <w:rPr>
          <w:rStyle w:val="FootnoteReference"/>
        </w:rPr>
        <w:footnoteRef/>
      </w:r>
      <w:r>
        <w:t xml:space="preserve"> </w:t>
      </w:r>
      <w:hyperlink r:id="rId1" w:history="1">
        <w:r w:rsidRPr="0090785D">
          <w:rPr>
            <w:rStyle w:val="Hyperlink"/>
          </w:rPr>
          <w:t>http://nvrm.net.au/seasonal-determinations/how-allocations-work</w:t>
        </w:r>
      </w:hyperlink>
      <w:r>
        <w:t xml:space="preserve"> on 20 September 2016</w:t>
      </w:r>
    </w:p>
  </w:footnote>
  <w:footnote w:id="5">
    <w:p w14:paraId="3DEBDCCE" w14:textId="77777777" w:rsidR="00424EE2" w:rsidRPr="005E294F" w:rsidRDefault="00424EE2">
      <w:pPr>
        <w:pStyle w:val="FootnoteText"/>
        <w:rPr>
          <w:lang w:val="en-US"/>
        </w:rPr>
      </w:pPr>
      <w:r>
        <w:rPr>
          <w:rStyle w:val="FootnoteReference"/>
        </w:rPr>
        <w:footnoteRef/>
      </w:r>
      <w:r>
        <w:t xml:space="preserve"> </w:t>
      </w:r>
      <w:r w:rsidRPr="00793CA8">
        <w:t xml:space="preserve">The sources for the data in are outlined in considerable detail beneath </w:t>
      </w:r>
      <w:r w:rsidRPr="00AB082F">
        <w:fldChar w:fldCharType="begin"/>
      </w:r>
      <w:r w:rsidRPr="00793CA8">
        <w:instrText xml:space="preserve"> REF _Ref467616952 \h </w:instrText>
      </w:r>
      <w:r w:rsidRPr="00AB082F">
        <w:fldChar w:fldCharType="separate"/>
      </w:r>
      <w:r>
        <w:t xml:space="preserve">Table </w:t>
      </w:r>
      <w:r>
        <w:rPr>
          <w:noProof/>
        </w:rPr>
        <w:t>28</w:t>
      </w:r>
      <w:r w:rsidRPr="00AB082F">
        <w:fldChar w:fldCharType="end"/>
      </w:r>
      <w:r w:rsidRPr="00793CA8">
        <w:t xml:space="preserve"> in</w:t>
      </w:r>
      <w:r>
        <w:t xml:space="preserve"> Appendix </w:t>
      </w:r>
      <w:r>
        <w:fldChar w:fldCharType="begin"/>
      </w:r>
      <w:r>
        <w:instrText xml:space="preserve"> REF _Ref342037179 \r \h </w:instrText>
      </w:r>
      <w:r>
        <w:fldChar w:fldCharType="separate"/>
      </w:r>
      <w:r>
        <w:t>2</w:t>
      </w:r>
      <w:r>
        <w:fldChar w:fldCharType="end"/>
      </w:r>
    </w:p>
  </w:footnote>
  <w:footnote w:id="6">
    <w:p w14:paraId="1C8292D8" w14:textId="77777777" w:rsidR="00424EE2" w:rsidRPr="005D7CFB" w:rsidRDefault="00424EE2">
      <w:pPr>
        <w:pStyle w:val="FootnoteText"/>
        <w:rPr>
          <w:lang w:val="en-US"/>
        </w:rPr>
      </w:pPr>
      <w:r>
        <w:rPr>
          <w:rStyle w:val="FootnoteReference"/>
        </w:rPr>
        <w:footnoteRef/>
      </w:r>
      <w:r>
        <w:t xml:space="preserve"> </w:t>
      </w:r>
      <w:r w:rsidRPr="00793CA8">
        <w:t xml:space="preserve">The sources for the data in </w:t>
      </w:r>
      <w:r>
        <w:t xml:space="preserve">Table 2 </w:t>
      </w:r>
      <w:r w:rsidRPr="00793CA8">
        <w:t xml:space="preserve">are outlined in considerable detail beneath </w:t>
      </w:r>
      <w:r w:rsidRPr="00AB082F">
        <w:fldChar w:fldCharType="begin"/>
      </w:r>
      <w:r w:rsidRPr="00793CA8">
        <w:instrText xml:space="preserve"> REF _Ref467616952 \h </w:instrText>
      </w:r>
      <w:r w:rsidRPr="00AB082F">
        <w:fldChar w:fldCharType="separate"/>
      </w:r>
      <w:r>
        <w:t xml:space="preserve">Table </w:t>
      </w:r>
      <w:r>
        <w:rPr>
          <w:noProof/>
        </w:rPr>
        <w:t>28</w:t>
      </w:r>
      <w:r w:rsidRPr="00AB082F">
        <w:fldChar w:fldCharType="end"/>
      </w:r>
      <w:r w:rsidRPr="00793CA8">
        <w:t xml:space="preserve"> in</w:t>
      </w:r>
      <w:r>
        <w:t xml:space="preserve"> Appendix </w:t>
      </w:r>
      <w:r>
        <w:fldChar w:fldCharType="begin"/>
      </w:r>
      <w:r>
        <w:instrText xml:space="preserve"> REF _Ref342037179 \r \h </w:instrText>
      </w:r>
      <w:r>
        <w:fldChar w:fldCharType="separate"/>
      </w:r>
      <w:r>
        <w:t>2</w:t>
      </w:r>
      <w:r>
        <w:fldChar w:fldCharType="end"/>
      </w:r>
    </w:p>
  </w:footnote>
  <w:footnote w:id="7">
    <w:p w14:paraId="5848314C" w14:textId="77777777" w:rsidR="00424EE2" w:rsidRPr="006825B4" w:rsidRDefault="00424EE2">
      <w:pPr>
        <w:pStyle w:val="FootnoteText"/>
        <w:rPr>
          <w:lang w:val="en-AU"/>
        </w:rPr>
      </w:pPr>
      <w:r>
        <w:rPr>
          <w:rStyle w:val="FootnoteReference"/>
        </w:rPr>
        <w:footnoteRef/>
      </w:r>
      <w:r>
        <w:t xml:space="preserve"> </w:t>
      </w:r>
      <w:r>
        <w:rPr>
          <w:lang w:val="en-AU"/>
        </w:rPr>
        <w:t>MDBA 2014, Basin Plan annual report 2013-14.</w:t>
      </w:r>
    </w:p>
  </w:footnote>
  <w:footnote w:id="8">
    <w:p w14:paraId="64981FBA" w14:textId="77777777" w:rsidR="00424EE2" w:rsidRPr="005A1734" w:rsidRDefault="00424EE2">
      <w:pPr>
        <w:pStyle w:val="FootnoteText"/>
        <w:rPr>
          <w:lang w:val="en-US"/>
        </w:rPr>
      </w:pPr>
      <w:r>
        <w:rPr>
          <w:rStyle w:val="FootnoteReference"/>
        </w:rPr>
        <w:footnoteRef/>
      </w:r>
      <w:r>
        <w:t xml:space="preserve"> </w:t>
      </w:r>
      <w:hyperlink r:id="rId2" w:history="1">
        <w:r w:rsidRPr="00020B26">
          <w:rPr>
            <w:rStyle w:val="Hyperlink"/>
          </w:rPr>
          <w:t>http://agriculture.gov.au/water/mdb/programmes/basin-wide/srwuip</w:t>
        </w:r>
      </w:hyperlink>
      <w:r>
        <w:t xml:space="preserve"> accessed on 13 October 2016</w:t>
      </w:r>
    </w:p>
  </w:footnote>
  <w:footnote w:id="9">
    <w:p w14:paraId="3B060AB9" w14:textId="77777777" w:rsidR="00424EE2" w:rsidRPr="00A34F27" w:rsidRDefault="00424EE2">
      <w:pPr>
        <w:pStyle w:val="FootnoteText"/>
        <w:rPr>
          <w:lang w:val="en-US"/>
        </w:rPr>
      </w:pPr>
      <w:r>
        <w:rPr>
          <w:rStyle w:val="FootnoteReference"/>
        </w:rPr>
        <w:footnoteRef/>
      </w:r>
      <w:r>
        <w:t xml:space="preserve"> </w:t>
      </w:r>
      <w:hyperlink r:id="rId3" w:history="1">
        <w:r w:rsidRPr="0032693E">
          <w:rPr>
            <w:rStyle w:val="Hyperlink"/>
          </w:rPr>
          <w:t>https://www.gbcma.vic.gov.au/sustainable_irrigation/farm_water/participant-profiles</w:t>
        </w:r>
      </w:hyperlink>
      <w:r>
        <w:t xml:space="preserve"> Accessed on 15 January 2017</w:t>
      </w:r>
    </w:p>
  </w:footnote>
  <w:footnote w:id="10">
    <w:p w14:paraId="71D6211D" w14:textId="77777777" w:rsidR="00424EE2" w:rsidRPr="00892DDD" w:rsidRDefault="00424EE2">
      <w:pPr>
        <w:pStyle w:val="FootnoteText"/>
        <w:rPr>
          <w:lang w:val="en-US"/>
        </w:rPr>
      </w:pPr>
      <w:r>
        <w:rPr>
          <w:rStyle w:val="FootnoteReference"/>
        </w:rPr>
        <w:footnoteRef/>
      </w:r>
      <w:r>
        <w:t xml:space="preserve"> </w:t>
      </w:r>
      <w:r>
        <w:rPr>
          <w:lang w:val="en-AU"/>
        </w:rPr>
        <w:t>It is important to note that this analysis is conservative; irrigators with high levels of indebtedness would be paying much higher interest rates than 6%.</w:t>
      </w:r>
    </w:p>
  </w:footnote>
  <w:footnote w:id="11">
    <w:p w14:paraId="3EC1416F" w14:textId="77777777" w:rsidR="00424EE2" w:rsidRDefault="00424EE2" w:rsidP="008344B9">
      <w:pPr>
        <w:pStyle w:val="FootnoteText"/>
        <w:spacing w:before="120" w:after="0"/>
      </w:pPr>
      <w:r>
        <w:rPr>
          <w:rStyle w:val="FootnoteReference"/>
        </w:rPr>
        <w:footnoteRef/>
      </w:r>
      <w:r>
        <w:t xml:space="preserve"> </w:t>
      </w:r>
      <w:r>
        <w:tab/>
        <w:t>Aither (2016b) and RMCG (2016) water price modelling presented in the Appendix.</w:t>
      </w:r>
    </w:p>
  </w:footnote>
  <w:footnote w:id="12">
    <w:p w14:paraId="16F80862" w14:textId="77777777" w:rsidR="00424EE2" w:rsidRDefault="00424EE2" w:rsidP="008344B9">
      <w:pPr>
        <w:pStyle w:val="FootnoteText"/>
        <w:spacing w:before="120" w:after="0"/>
      </w:pPr>
      <w:r>
        <w:rPr>
          <w:rStyle w:val="FootnoteReference"/>
        </w:rPr>
        <w:footnoteRef/>
      </w:r>
      <w:r>
        <w:t xml:space="preserve"> </w:t>
      </w:r>
      <w:r>
        <w:tab/>
        <w:t xml:space="preserve">Based on an </w:t>
      </w:r>
      <w:r w:rsidRPr="00023B63">
        <w:t>average</w:t>
      </w:r>
      <w:r>
        <w:t xml:space="preserve"> </w:t>
      </w:r>
      <w:r w:rsidRPr="00023B63">
        <w:t>conversion</w:t>
      </w:r>
      <w:r>
        <w:t xml:space="preserve"> </w:t>
      </w:r>
      <w:r w:rsidRPr="00023B63">
        <w:t>rate</w:t>
      </w:r>
      <w:r>
        <w:t xml:space="preserve"> </w:t>
      </w:r>
      <w:r w:rsidRPr="00023B63">
        <w:t>of</w:t>
      </w:r>
      <w:r>
        <w:t xml:space="preserve"> </w:t>
      </w:r>
      <w:r w:rsidRPr="00023B63">
        <w:t>1,872</w:t>
      </w:r>
      <w:r>
        <w:t xml:space="preserve"> </w:t>
      </w:r>
      <w:r w:rsidRPr="00023B63">
        <w:t>litres</w:t>
      </w:r>
      <w:r>
        <w:t xml:space="preserve"> of milk per ML of irrigation water applied, used by RMCG (2016).</w:t>
      </w:r>
    </w:p>
  </w:footnote>
  <w:footnote w:id="13">
    <w:p w14:paraId="44664EE6" w14:textId="77777777" w:rsidR="00424EE2" w:rsidRDefault="00424EE2" w:rsidP="008344B9">
      <w:pPr>
        <w:pStyle w:val="FootnoteText"/>
        <w:spacing w:before="120" w:after="0"/>
      </w:pPr>
      <w:r>
        <w:rPr>
          <w:rStyle w:val="FootnoteReference"/>
        </w:rPr>
        <w:footnoteRef/>
      </w:r>
      <w:r>
        <w:t xml:space="preserve"> </w:t>
      </w:r>
      <w:r>
        <w:tab/>
        <w:t>DEPI (2014), used by RMCG (2016).</w:t>
      </w:r>
    </w:p>
  </w:footnote>
  <w:footnote w:id="14">
    <w:p w14:paraId="23EDA958" w14:textId="77777777" w:rsidR="00424EE2" w:rsidRPr="00503549" w:rsidRDefault="00424EE2" w:rsidP="00F15917">
      <w:pPr>
        <w:pStyle w:val="FootnoteText"/>
        <w:rPr>
          <w:sz w:val="14"/>
        </w:rPr>
      </w:pPr>
      <w:r w:rsidRPr="00503549">
        <w:rPr>
          <w:rStyle w:val="FootnoteReference"/>
          <w:sz w:val="14"/>
        </w:rPr>
        <w:footnoteRef/>
      </w:r>
      <w:r w:rsidRPr="00503549">
        <w:rPr>
          <w:sz w:val="14"/>
        </w:rPr>
        <w:t xml:space="preserve"> Dairy Industry Farm Monitor Project, Annual Report 2009-10, p.64-79 (note that these figures are based on 71 farms participating in the project)</w:t>
      </w:r>
    </w:p>
  </w:footnote>
  <w:footnote w:id="15">
    <w:p w14:paraId="6F865C00" w14:textId="77777777" w:rsidR="00424EE2" w:rsidRPr="007C2B4A" w:rsidRDefault="00424EE2" w:rsidP="006C395C">
      <w:pPr>
        <w:pStyle w:val="FootnoteText"/>
        <w:rPr>
          <w:sz w:val="14"/>
        </w:rPr>
      </w:pPr>
      <w:r w:rsidRPr="007C2B4A">
        <w:rPr>
          <w:rStyle w:val="FootnoteReference"/>
          <w:sz w:val="14"/>
        </w:rPr>
        <w:footnoteRef/>
      </w:r>
      <w:r w:rsidRPr="007C2B4A">
        <w:rPr>
          <w:sz w:val="14"/>
        </w:rPr>
        <w:t xml:space="preserve"> N Barr, R Wilkinson and K Karunaratne, The changing social landscape of rural Victoria, Department of Primary Industries, Victoria, April 2005, p.78</w:t>
      </w:r>
    </w:p>
  </w:footnote>
  <w:footnote w:id="16">
    <w:p w14:paraId="10844D56" w14:textId="77777777" w:rsidR="00424EE2" w:rsidRDefault="00424EE2" w:rsidP="00322439">
      <w:pPr>
        <w:pStyle w:val="FootnoteText"/>
      </w:pPr>
      <w:r>
        <w:rPr>
          <w:rStyle w:val="FootnoteReference"/>
        </w:rPr>
        <w:footnoteRef/>
      </w:r>
      <w:r>
        <w:t xml:space="preserve"> The GMID holds 66% of entitlements tied to land in Northern Victoria. 116 GL is 66% of 175 GL. </w:t>
      </w:r>
    </w:p>
  </w:footnote>
  <w:footnote w:id="17">
    <w:p w14:paraId="3E978DEC" w14:textId="77777777" w:rsidR="00424EE2" w:rsidRDefault="00424EE2" w:rsidP="00641795">
      <w:pPr>
        <w:pStyle w:val="FootnoteText"/>
      </w:pPr>
      <w:r>
        <w:rPr>
          <w:rStyle w:val="FootnoteReference"/>
        </w:rPr>
        <w:footnoteRef/>
      </w:r>
      <w:r>
        <w:t xml:space="preserve"> This value is mid-way between GMW (2016a, Table 32)’s estimate of 1,150 GL and RMCG (2016, page 22)’s estimate of 1,260 GL. </w:t>
      </w:r>
    </w:p>
  </w:footnote>
  <w:footnote w:id="18">
    <w:p w14:paraId="572C5A9E" w14:textId="77777777" w:rsidR="00424EE2" w:rsidRPr="008336A0" w:rsidRDefault="00424EE2">
      <w:pPr>
        <w:pStyle w:val="FootnoteText"/>
        <w:rPr>
          <w:lang w:val="en-US"/>
        </w:rPr>
      </w:pPr>
      <w:r>
        <w:rPr>
          <w:rStyle w:val="FootnoteReference"/>
        </w:rPr>
        <w:footnoteRef/>
      </w:r>
      <w:r>
        <w:t xml:space="preserve"> </w:t>
      </w:r>
      <w:hyperlink r:id="rId4" w:history="1">
        <w:r w:rsidRPr="0037776D">
          <w:rPr>
            <w:rStyle w:val="Hyperlink"/>
          </w:rPr>
          <w:t>http://www.canberra.edu.au/research/faculty-research-centres/ceraph/regional-wellbeing/survey-results/2014-survey-results/Farmers-and-agriculture_LR.pdf</w:t>
        </w:r>
      </w:hyperlink>
    </w:p>
  </w:footnote>
  <w:footnote w:id="19">
    <w:p w14:paraId="5B9D4EF7" w14:textId="77777777" w:rsidR="00424EE2" w:rsidRPr="00E84958" w:rsidRDefault="00424EE2">
      <w:pPr>
        <w:pStyle w:val="FootnoteText"/>
        <w:rPr>
          <w:lang w:val="en-AU"/>
        </w:rPr>
      </w:pPr>
      <w:r>
        <w:rPr>
          <w:rStyle w:val="FootnoteReference"/>
        </w:rPr>
        <w:footnoteRef/>
      </w:r>
      <w:r>
        <w:t xml:space="preserve"> </w:t>
      </w:r>
      <w:r>
        <w:rPr>
          <w:lang w:val="en-AU"/>
        </w:rPr>
        <w:tab/>
      </w:r>
      <w:r w:rsidRPr="00E84958">
        <w:rPr>
          <w:lang w:val="en-AU"/>
        </w:rPr>
        <w:t>http://www.canberra.edu.au/research/faculty-research-centres/ceraph/regional-wellbeing/survey-results/Dairy-Farmer-Wellbeing-2014.pdf</w:t>
      </w:r>
    </w:p>
  </w:footnote>
  <w:footnote w:id="20">
    <w:p w14:paraId="3CEB4554" w14:textId="647EDE7B" w:rsidR="00424EE2" w:rsidRPr="00BE4BF8" w:rsidRDefault="00424EE2">
      <w:pPr>
        <w:pStyle w:val="FootnoteText"/>
        <w:rPr>
          <w:lang w:val="en-US"/>
        </w:rPr>
      </w:pPr>
      <w:r>
        <w:rPr>
          <w:rStyle w:val="FootnoteReference"/>
        </w:rPr>
        <w:footnoteRef/>
      </w:r>
      <w:r>
        <w:t xml:space="preserve"> </w:t>
      </w:r>
      <w:r>
        <w:rPr>
          <w:lang w:val="en-US"/>
        </w:rPr>
        <w:t>This is at the conservative end of development costs provided by from DELWP (Mildura).</w:t>
      </w:r>
    </w:p>
  </w:footnote>
  <w:footnote w:id="21">
    <w:p w14:paraId="28CF7B10" w14:textId="77777777" w:rsidR="00424EE2" w:rsidRDefault="00424EE2" w:rsidP="00EF1C19">
      <w:pPr>
        <w:pStyle w:val="FootnoteText"/>
      </w:pPr>
      <w:r>
        <w:rPr>
          <w:rStyle w:val="FootnoteReference"/>
        </w:rPr>
        <w:footnoteRef/>
      </w:r>
      <w:r>
        <w:t xml:space="preserve"> Viewed 18 November 2015 </w:t>
      </w:r>
      <w:hyperlink r:id="rId5" w:history="1">
        <w:r w:rsidRPr="00837327">
          <w:rPr>
            <w:rStyle w:val="Hyperlink"/>
          </w:rPr>
          <w:t>https://www.environment.gov.au/water/cewo/publications/monitoring-ecological-outcomes-cew-delivered-goulburn-broken-13-14</w:t>
        </w:r>
      </w:hyperlink>
      <w:r>
        <w:t xml:space="preserve"> </w:t>
      </w:r>
    </w:p>
  </w:footnote>
  <w:footnote w:id="22">
    <w:p w14:paraId="3AB0DC98" w14:textId="77777777" w:rsidR="00424EE2" w:rsidRDefault="00424EE2" w:rsidP="00E00AD9">
      <w:pPr>
        <w:pStyle w:val="FootnoteText"/>
      </w:pPr>
      <w:r>
        <w:rPr>
          <w:rStyle w:val="FootnoteReference"/>
        </w:rPr>
        <w:footnoteRef/>
      </w:r>
      <w:r>
        <w:t xml:space="preserve"> </w:t>
      </w:r>
      <w:r>
        <w:tab/>
      </w:r>
      <w:r>
        <w:rPr>
          <w:lang w:val="en-AU"/>
        </w:rPr>
        <w:t>Note, median weekly incomes changed from individual to household for available 2011 census data and have not been included since comparisons cannot be made.</w:t>
      </w:r>
    </w:p>
  </w:footnote>
  <w:footnote w:id="23">
    <w:p w14:paraId="2E0B8D82" w14:textId="77777777" w:rsidR="00424EE2" w:rsidRDefault="00424EE2" w:rsidP="00A17DEB">
      <w:pPr>
        <w:pStyle w:val="FootnoteText"/>
      </w:pPr>
      <w:r>
        <w:rPr>
          <w:rStyle w:val="FootnoteReference"/>
        </w:rPr>
        <w:footnoteRef/>
      </w:r>
      <w:r>
        <w:t xml:space="preserve"> 2,206 GL equals 2,750 GL minus 544 GL. </w:t>
      </w:r>
    </w:p>
  </w:footnote>
  <w:footnote w:id="24">
    <w:p w14:paraId="0C408959" w14:textId="77777777" w:rsidR="00424EE2" w:rsidRDefault="00424EE2" w:rsidP="00A17DEB">
      <w:pPr>
        <w:pStyle w:val="FootnoteText"/>
      </w:pPr>
      <w:r>
        <w:rPr>
          <w:rStyle w:val="FootnoteReference"/>
        </w:rPr>
        <w:footnoteRef/>
      </w:r>
      <w:r>
        <w:t xml:space="preserve"> See Walsh (2010)</w:t>
      </w:r>
      <w:r w:rsidRPr="00524881">
        <w:t xml:space="preserve"> and </w:t>
      </w:r>
      <w:r>
        <w:t>(SKM 2012) for example</w:t>
      </w:r>
    </w:p>
  </w:footnote>
  <w:footnote w:id="25">
    <w:p w14:paraId="22E1DBFF" w14:textId="77777777" w:rsidR="00424EE2" w:rsidRDefault="00424EE2" w:rsidP="00A17DEB">
      <w:pPr>
        <w:pStyle w:val="FootnoteText"/>
      </w:pPr>
      <w:r>
        <w:rPr>
          <w:rStyle w:val="FootnoteReference"/>
        </w:rPr>
        <w:footnoteRef/>
      </w:r>
      <w:r>
        <w:t xml:space="preserve"> 3,294 GL equals 2,750 GL plus 544 GL.</w:t>
      </w:r>
    </w:p>
  </w:footnote>
  <w:footnote w:id="26">
    <w:p w14:paraId="4DC1961C" w14:textId="77777777" w:rsidR="00424EE2" w:rsidRDefault="00424EE2" w:rsidP="00A17DEB">
      <w:pPr>
        <w:pStyle w:val="FootnoteText"/>
      </w:pPr>
      <w:r>
        <w:rPr>
          <w:rStyle w:val="FootnoteReference"/>
        </w:rPr>
        <w:footnoteRef/>
      </w:r>
      <w:r>
        <w:t xml:space="preserve"> </w:t>
      </w:r>
      <w:r w:rsidRPr="002D2485">
        <w:t>MDBA (2016)</w:t>
      </w:r>
      <w:r>
        <w:t xml:space="preserve"> presents the Baseline Diversion Limit (BDL) that is used to represent historical water use. </w:t>
      </w:r>
    </w:p>
  </w:footnote>
  <w:footnote w:id="27">
    <w:p w14:paraId="16A88D29" w14:textId="77777777" w:rsidR="00424EE2" w:rsidRDefault="00424EE2" w:rsidP="00A17DEB">
      <w:pPr>
        <w:pStyle w:val="FootnoteText"/>
      </w:pPr>
      <w:r>
        <w:rPr>
          <w:rStyle w:val="FootnoteReference"/>
        </w:rPr>
        <w:footnoteRef/>
      </w:r>
      <w:r>
        <w:t xml:space="preserve"> Basin Plan (2012) – Schedule 2 lists the Local Reduction Amounts for each valley. Shared Reduction Amounts are cited under clause 6.05(3). As per clause 6.05(4) the Shared Reduction Amounts for the Northern Basin Zone are proportioned based on the BDL for each SDL resource unit. </w:t>
      </w:r>
    </w:p>
  </w:footnote>
  <w:footnote w:id="28">
    <w:p w14:paraId="5B3C2154" w14:textId="77777777" w:rsidR="00424EE2" w:rsidRDefault="00424EE2" w:rsidP="008352C3">
      <w:pPr>
        <w:pStyle w:val="FootnoteText"/>
      </w:pPr>
      <w:r>
        <w:rPr>
          <w:rStyle w:val="FootnoteReference"/>
        </w:rPr>
        <w:footnoteRef/>
      </w:r>
      <w:r>
        <w:t xml:space="preserve"> </w:t>
      </w:r>
      <w:r>
        <w:rPr>
          <w:lang w:val="en-AU"/>
        </w:rPr>
        <w:t xml:space="preserve">Schirmer, J. and Peel, D. 2016, </w:t>
      </w:r>
      <w:r w:rsidRPr="008C206E">
        <w:rPr>
          <w:lang w:val="en-AU"/>
        </w:rPr>
        <w:t>The Murray-Darling Basin Plan and farm business performance</w:t>
      </w:r>
      <w:r>
        <w:rPr>
          <w:lang w:val="en-AU"/>
        </w:rPr>
        <w:t xml:space="preserve">, </w:t>
      </w:r>
      <w:r w:rsidRPr="008C206E">
        <w:rPr>
          <w:lang w:val="en-AU"/>
        </w:rPr>
        <w:t>Report prepared for the Murray Darling Basin Authority</w:t>
      </w:r>
      <w:r>
        <w:rPr>
          <w:lang w:val="en-AU"/>
        </w:rPr>
        <w:t xml:space="preserve">, </w:t>
      </w:r>
      <w:r w:rsidRPr="008C206E">
        <w:rPr>
          <w:lang w:val="en-AU"/>
        </w:rPr>
        <w:t>May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3C5F" w14:textId="77777777" w:rsidR="00AA20A3" w:rsidRDefault="00AA2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9C45" w14:textId="77777777" w:rsidR="00AA20A3" w:rsidRDefault="00AA20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CC80" w14:textId="77777777" w:rsidR="00AA20A3" w:rsidRDefault="00AA20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4E2C" w14:textId="77777777" w:rsidR="00424EE2" w:rsidRDefault="00424E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E0C2" w14:textId="77777777" w:rsidR="00424EE2" w:rsidRDefault="00424E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68CF" w14:textId="77777777" w:rsidR="00424EE2" w:rsidRDefault="00424E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4D2D" w14:textId="77777777" w:rsidR="00424EE2" w:rsidRDefault="00424EE2">
    <w:pPr>
      <w:pStyle w:val="Header"/>
    </w:pPr>
    <w:r>
      <w:rPr>
        <w:noProof/>
        <w:lang w:val="en-AU" w:eastAsia="en-AU" w:bidi="ar-SA"/>
      </w:rPr>
      <mc:AlternateContent>
        <mc:Choice Requires="wps">
          <w:drawing>
            <wp:anchor distT="0" distB="0" distL="114300" distR="114300" simplePos="0" relativeHeight="251662336" behindDoc="1" locked="0" layoutInCell="1" allowOverlap="1" wp14:anchorId="40EE22E9" wp14:editId="0ABE2801">
              <wp:simplePos x="0" y="0"/>
              <wp:positionH relativeFrom="margin">
                <wp:align>center</wp:align>
              </wp:positionH>
              <wp:positionV relativeFrom="margin">
                <wp:align>center</wp:align>
              </wp:positionV>
              <wp:extent cx="6926580" cy="106680"/>
              <wp:effectExtent l="0" t="2028825" r="0" b="1884045"/>
              <wp:wrapNone/>
              <wp:docPr id="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65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486E2C" w14:textId="77777777" w:rsidR="00424EE2" w:rsidRDefault="00424EE2" w:rsidP="00C77C67">
                          <w:pPr>
                            <w:pStyle w:val="NormalWeb"/>
                            <w:spacing w:before="0" w:beforeAutospacing="0" w:after="0" w:afterAutospacing="0"/>
                            <w:jc w:val="center"/>
                          </w:pPr>
                          <w:r>
                            <w:rPr>
                              <w:rFonts w:ascii="Calibri" w:hAnsi="Calibri"/>
                              <w:color w:val="C0C0C0"/>
                              <w:sz w:val="2"/>
                              <w:szCs w:val="2"/>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EE22E9" id="_x0000_t202" coordsize="21600,21600" o:spt="202" path="m,l,21600r21600,l21600,xe">
              <v:stroke joinstyle="miter"/>
              <v:path gradientshapeok="t" o:connecttype="rect"/>
            </v:shapetype>
            <v:shape id="WordArt 12" o:spid="_x0000_s1032" type="#_x0000_t202" style="position:absolute;left:0;text-align:left;margin-left:0;margin-top:0;width:545.4pt;height:8.4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" filled="f" stroked="f">
              <v:stroke joinstyle="round"/>
              <o:lock v:ext="edit" shapetype="t"/>
              <v:textbox style="mso-fit-shape-to-text:t">
                <w:txbxContent>
                  <w:p w14:paraId="62486E2C" w14:textId="77777777" w:rsidR="00424EE2" w:rsidRDefault="00424EE2" w:rsidP="00C77C67">
                    <w:pPr>
                      <w:pStyle w:val="NormalWeb"/>
                      <w:spacing w:before="0" w:beforeAutospacing="0" w:after="0" w:afterAutospacing="0"/>
                      <w:jc w:val="center"/>
                    </w:pPr>
                    <w:r>
                      <w:rPr>
                        <w:rFonts w:ascii="Calibri" w:hAnsi="Calibri"/>
                        <w:color w:val="C0C0C0"/>
                        <w:sz w:val="2"/>
                        <w:szCs w:val="2"/>
                      </w:rPr>
                      <w:t>Working 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F685" w14:textId="5FC38539" w:rsidR="00424EE2" w:rsidRDefault="00424E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32CD7" w14:textId="77777777" w:rsidR="00424EE2" w:rsidRDefault="00424EE2">
    <w:pPr>
      <w:pStyle w:val="Header"/>
    </w:pPr>
    <w:r>
      <w:rPr>
        <w:noProof/>
        <w:lang w:val="en-AU" w:eastAsia="en-AU" w:bidi="ar-SA"/>
      </w:rPr>
      <mc:AlternateContent>
        <mc:Choice Requires="wps">
          <w:drawing>
            <wp:anchor distT="0" distB="0" distL="114300" distR="114300" simplePos="0" relativeHeight="251663360" behindDoc="1" locked="0" layoutInCell="1" allowOverlap="1" wp14:anchorId="26C47DC6" wp14:editId="5B19EDCB">
              <wp:simplePos x="0" y="0"/>
              <wp:positionH relativeFrom="margin">
                <wp:align>center</wp:align>
              </wp:positionH>
              <wp:positionV relativeFrom="margin">
                <wp:align>center</wp:align>
              </wp:positionV>
              <wp:extent cx="6926580" cy="106680"/>
              <wp:effectExtent l="0" t="2028825" r="0" b="1884045"/>
              <wp:wrapNone/>
              <wp:docPr id="2"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65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6CCB6D" w14:textId="77777777" w:rsidR="00424EE2" w:rsidRDefault="00424EE2" w:rsidP="00C77C67">
                          <w:pPr>
                            <w:pStyle w:val="NormalWeb"/>
                            <w:spacing w:before="0" w:beforeAutospacing="0" w:after="0" w:afterAutospacing="0"/>
                            <w:jc w:val="center"/>
                          </w:pPr>
                          <w:r>
                            <w:rPr>
                              <w:rFonts w:ascii="Calibri" w:hAnsi="Calibri"/>
                              <w:color w:val="C0C0C0"/>
                              <w:sz w:val="2"/>
                              <w:szCs w:val="2"/>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C47DC6" id="_x0000_t202" coordsize="21600,21600" o:spt="202" path="m,l,21600r21600,l21600,xe">
              <v:stroke joinstyle="miter"/>
              <v:path gradientshapeok="t" o:connecttype="rect"/>
            </v:shapetype>
            <v:shape id="WordArt 13" o:spid="_x0000_s1035" type="#_x0000_t202" style="position:absolute;left:0;text-align:left;margin-left:0;margin-top:0;width:545.4pt;height:8.4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" filled="f" stroked="f">
              <v:stroke joinstyle="round"/>
              <o:lock v:ext="edit" shapetype="t"/>
              <v:textbox style="mso-fit-shape-to-text:t">
                <w:txbxContent>
                  <w:p w14:paraId="056CCB6D" w14:textId="77777777" w:rsidR="00424EE2" w:rsidRDefault="00424EE2" w:rsidP="00C77C67">
                    <w:pPr>
                      <w:pStyle w:val="NormalWeb"/>
                      <w:spacing w:before="0" w:beforeAutospacing="0" w:after="0" w:afterAutospacing="0"/>
                      <w:jc w:val="center"/>
                    </w:pPr>
                    <w:r>
                      <w:rPr>
                        <w:rFonts w:ascii="Calibri" w:hAnsi="Calibri"/>
                        <w:color w:val="C0C0C0"/>
                        <w:sz w:val="2"/>
                        <w:szCs w:val="2"/>
                      </w:rPr>
                      <w:t>Working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C40940"/>
    <w:multiLevelType w:val="hybridMultilevel"/>
    <w:tmpl w:val="0986A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80B15"/>
    <w:multiLevelType w:val="hybridMultilevel"/>
    <w:tmpl w:val="A44EE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E4A15"/>
    <w:multiLevelType w:val="hybridMultilevel"/>
    <w:tmpl w:val="FFD2A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F6D63"/>
    <w:multiLevelType w:val="hybridMultilevel"/>
    <w:tmpl w:val="9CA28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F5B4B"/>
    <w:multiLevelType w:val="hybridMultilevel"/>
    <w:tmpl w:val="2FB468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AE64459"/>
    <w:multiLevelType w:val="hybridMultilevel"/>
    <w:tmpl w:val="999C7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500A9C"/>
    <w:multiLevelType w:val="multilevel"/>
    <w:tmpl w:val="D76011D0"/>
    <w:lvl w:ilvl="0">
      <w:start w:val="1"/>
      <w:numFmt w:val="decimal"/>
      <w:pStyle w:val="BodyText1"/>
      <w:isLg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Letter"/>
      <w:lvlText w:val="%4)"/>
      <w:lvlJc w:val="left"/>
      <w:pPr>
        <w:tabs>
          <w:tab w:val="num" w:pos="1134"/>
        </w:tabs>
        <w:ind w:left="1134" w:hanging="567"/>
      </w:pPr>
      <w:rPr>
        <w:rFonts w:hint="default"/>
      </w:rPr>
    </w:lvl>
    <w:lvl w:ilvl="4">
      <w:start w:val="1"/>
      <w:numFmt w:val="lowerRoman"/>
      <w:lvlText w:val="%5)"/>
      <w:lvlJc w:val="left"/>
      <w:pPr>
        <w:tabs>
          <w:tab w:val="num" w:pos="1701"/>
        </w:tabs>
        <w:ind w:left="1701" w:hanging="567"/>
      </w:pPr>
      <w:rPr>
        <w:rFonts w:hint="default"/>
      </w:rPr>
    </w:lvl>
    <w:lvl w:ilvl="5">
      <w:start w:val="1"/>
      <w:numFmt w:val="lowerLetter"/>
      <w:isLgl/>
      <w:lvlText w:val="(%6)"/>
      <w:lvlJc w:val="left"/>
      <w:pPr>
        <w:tabs>
          <w:tab w:val="num" w:pos="4248"/>
        </w:tabs>
        <w:ind w:left="4248" w:hanging="708"/>
      </w:pPr>
      <w:rPr>
        <w:rFonts w:hint="default"/>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8" w15:restartNumberingAfterBreak="0">
    <w:nsid w:val="135E239F"/>
    <w:multiLevelType w:val="hybridMultilevel"/>
    <w:tmpl w:val="A6B01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B06E44"/>
    <w:multiLevelType w:val="hybridMultilevel"/>
    <w:tmpl w:val="E4F8B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31EDC"/>
    <w:multiLevelType w:val="hybridMultilevel"/>
    <w:tmpl w:val="21D2EBB0"/>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43F44"/>
    <w:multiLevelType w:val="hybridMultilevel"/>
    <w:tmpl w:val="852A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F4AAF"/>
    <w:multiLevelType w:val="hybridMultilevel"/>
    <w:tmpl w:val="7458D53E"/>
    <w:lvl w:ilvl="0" w:tplc="4F10F5B2">
      <w:start w:val="1"/>
      <w:numFmt w:val="bullet"/>
      <w:pStyle w:val="Bullet"/>
      <w:lvlText w:val=""/>
      <w:lvlJc w:val="left"/>
      <w:pPr>
        <w:tabs>
          <w:tab w:val="num" w:pos="1134"/>
        </w:tabs>
        <w:ind w:left="1134" w:hanging="283"/>
      </w:pPr>
      <w:rPr>
        <w:rFonts w:ascii="Wingdings" w:hAnsi="Wingdings"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B4739B"/>
    <w:multiLevelType w:val="hybridMultilevel"/>
    <w:tmpl w:val="C6E8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E3DE2"/>
    <w:multiLevelType w:val="hybridMultilevel"/>
    <w:tmpl w:val="7CE82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26882"/>
    <w:multiLevelType w:val="hybridMultilevel"/>
    <w:tmpl w:val="0AEC6DE0"/>
    <w:lvl w:ilvl="0" w:tplc="0C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F29F7"/>
    <w:multiLevelType w:val="hybridMultilevel"/>
    <w:tmpl w:val="3610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E50B6"/>
    <w:multiLevelType w:val="hybridMultilevel"/>
    <w:tmpl w:val="E6A84EE4"/>
    <w:lvl w:ilvl="0" w:tplc="8D2C4D4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94063C"/>
    <w:multiLevelType w:val="multilevel"/>
    <w:tmpl w:val="C3FC19C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pStyle w:val="Heading3"/>
      <w:lvlText w:val=""/>
      <w:lvlJc w:val="left"/>
      <w:pPr>
        <w:ind w:left="720" w:hanging="720"/>
      </w:pPr>
      <w:rPr>
        <w:rFonts w:hint="default"/>
      </w:rPr>
    </w:lvl>
    <w:lvl w:ilvl="3">
      <w:start w:val="1"/>
      <w:numFmt w:val="none"/>
      <w:pStyle w:val="Heading4"/>
      <w:lvlText w:val=""/>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35F4176C"/>
    <w:multiLevelType w:val="hybridMultilevel"/>
    <w:tmpl w:val="FF6C8988"/>
    <w:lvl w:ilvl="0" w:tplc="1350457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906A6C"/>
    <w:multiLevelType w:val="hybridMultilevel"/>
    <w:tmpl w:val="0352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C0E0A"/>
    <w:multiLevelType w:val="hybridMultilevel"/>
    <w:tmpl w:val="81FAD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97314E"/>
    <w:multiLevelType w:val="hybridMultilevel"/>
    <w:tmpl w:val="8F0680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BD7845"/>
    <w:multiLevelType w:val="hybridMultilevel"/>
    <w:tmpl w:val="A6FCB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D6061A"/>
    <w:multiLevelType w:val="hybridMultilevel"/>
    <w:tmpl w:val="64A0C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9F2DC7"/>
    <w:multiLevelType w:val="multilevel"/>
    <w:tmpl w:val="9686F734"/>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8E2238"/>
    <w:multiLevelType w:val="hybridMultilevel"/>
    <w:tmpl w:val="D1649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9040A9"/>
    <w:multiLevelType w:val="hybridMultilevel"/>
    <w:tmpl w:val="B9DE13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547036"/>
    <w:multiLevelType w:val="multilevel"/>
    <w:tmpl w:val="E8CC7262"/>
    <w:styleLink w:val="ABARESbulletedlist"/>
    <w:lvl w:ilvl="0">
      <w:start w:val="1"/>
      <w:numFmt w:val="bullet"/>
      <w:pStyle w:val="Bulletlist-level1"/>
      <w:lvlText w:val=""/>
      <w:lvlJc w:val="left"/>
      <w:pPr>
        <w:ind w:left="567" w:hanging="567"/>
      </w:pPr>
      <w:rPr>
        <w:rFonts w:ascii="Symbol" w:hAnsi="Symbol" w:hint="default"/>
        <w:color w:val="FF7900"/>
      </w:rPr>
    </w:lvl>
    <w:lvl w:ilvl="1">
      <w:start w:val="1"/>
      <w:numFmt w:val="bullet"/>
      <w:pStyle w:val="Bulletlist-level2"/>
      <w:lvlText w:val="-"/>
      <w:lvlJc w:val="left"/>
      <w:pPr>
        <w:ind w:left="720" w:hanging="363"/>
      </w:pPr>
      <w:rPr>
        <w:rFonts w:ascii="Calibri" w:hAnsi="Calibri" w:hint="default"/>
      </w:rPr>
    </w:lvl>
    <w:lvl w:ilvl="2">
      <w:start w:val="1"/>
      <w:numFmt w:val="none"/>
      <w:lvlText w:val=""/>
      <w:lvlJc w:val="left"/>
      <w:pPr>
        <w:ind w:left="2157" w:hanging="360"/>
      </w:pPr>
      <w:rPr>
        <w:rFonts w:hint="default"/>
      </w:rPr>
    </w:lvl>
    <w:lvl w:ilvl="3">
      <w:start w:val="1"/>
      <w:numFmt w:val="none"/>
      <w:lvlText w:val=""/>
      <w:lvlJc w:val="left"/>
      <w:pPr>
        <w:ind w:left="2517" w:hanging="360"/>
      </w:pPr>
      <w:rPr>
        <w:rFonts w:hint="default"/>
        <w:color w:val="auto"/>
      </w:rPr>
    </w:lvl>
    <w:lvl w:ilvl="4">
      <w:start w:val="1"/>
      <w:numFmt w:val="none"/>
      <w:lvlText w:val=""/>
      <w:lvlJc w:val="left"/>
      <w:pPr>
        <w:ind w:left="2877" w:hanging="360"/>
      </w:pPr>
      <w:rPr>
        <w:rFonts w:hint="default"/>
      </w:rPr>
    </w:lvl>
    <w:lvl w:ilvl="5">
      <w:start w:val="1"/>
      <w:numFmt w:val="none"/>
      <w:lvlText w:val=""/>
      <w:lvlJc w:val="left"/>
      <w:pPr>
        <w:ind w:left="3237" w:hanging="360"/>
      </w:pPr>
      <w:rPr>
        <w:rFonts w:hint="default"/>
      </w:rPr>
    </w:lvl>
    <w:lvl w:ilvl="6">
      <w:start w:val="1"/>
      <w:numFmt w:val="none"/>
      <w:lvlText w:val=""/>
      <w:lvlJc w:val="left"/>
      <w:pPr>
        <w:ind w:left="3597" w:hanging="360"/>
      </w:pPr>
      <w:rPr>
        <w:rFonts w:hint="default"/>
        <w:color w:val="auto"/>
      </w:rPr>
    </w:lvl>
    <w:lvl w:ilvl="7">
      <w:start w:val="1"/>
      <w:numFmt w:val="none"/>
      <w:lvlText w:val="%8"/>
      <w:lvlJc w:val="left"/>
      <w:pPr>
        <w:ind w:left="3957" w:hanging="360"/>
      </w:pPr>
      <w:rPr>
        <w:rFonts w:hint="default"/>
      </w:rPr>
    </w:lvl>
    <w:lvl w:ilvl="8">
      <w:start w:val="1"/>
      <w:numFmt w:val="none"/>
      <w:lvlText w:val=""/>
      <w:lvlJc w:val="left"/>
      <w:pPr>
        <w:ind w:left="4317" w:hanging="360"/>
      </w:pPr>
      <w:rPr>
        <w:rFonts w:hint="default"/>
      </w:rPr>
    </w:lvl>
  </w:abstractNum>
  <w:abstractNum w:abstractNumId="29" w15:restartNumberingAfterBreak="0">
    <w:nsid w:val="50BF67F5"/>
    <w:multiLevelType w:val="hybridMultilevel"/>
    <w:tmpl w:val="F238DF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21D5D63"/>
    <w:multiLevelType w:val="hybridMultilevel"/>
    <w:tmpl w:val="0DFCF708"/>
    <w:lvl w:ilvl="0" w:tplc="4BA204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863536"/>
    <w:multiLevelType w:val="hybridMultilevel"/>
    <w:tmpl w:val="2E12D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4A26A2"/>
    <w:multiLevelType w:val="hybridMultilevel"/>
    <w:tmpl w:val="C182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5378D"/>
    <w:multiLevelType w:val="hybridMultilevel"/>
    <w:tmpl w:val="F8D6C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0609C1"/>
    <w:multiLevelType w:val="multilevel"/>
    <w:tmpl w:val="E8CC7262"/>
    <w:numStyleLink w:val="ABARESbulletedlist"/>
  </w:abstractNum>
  <w:abstractNum w:abstractNumId="35" w15:restartNumberingAfterBreak="0">
    <w:nsid w:val="59D87D59"/>
    <w:multiLevelType w:val="hybridMultilevel"/>
    <w:tmpl w:val="1E981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B018B9"/>
    <w:multiLevelType w:val="hybridMultilevel"/>
    <w:tmpl w:val="65BA28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9E5B4A"/>
    <w:multiLevelType w:val="hybridMultilevel"/>
    <w:tmpl w:val="BDEA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40E47"/>
    <w:multiLevelType w:val="hybridMultilevel"/>
    <w:tmpl w:val="F8DE1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126188"/>
    <w:multiLevelType w:val="hybridMultilevel"/>
    <w:tmpl w:val="F580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916F59"/>
    <w:multiLevelType w:val="hybridMultilevel"/>
    <w:tmpl w:val="ED5A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5D71A2"/>
    <w:multiLevelType w:val="hybridMultilevel"/>
    <w:tmpl w:val="5CBC0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FD297A"/>
    <w:multiLevelType w:val="hybridMultilevel"/>
    <w:tmpl w:val="B69AD62E"/>
    <w:lvl w:ilvl="0" w:tplc="D9C4C83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8177BE"/>
    <w:multiLevelType w:val="hybridMultilevel"/>
    <w:tmpl w:val="FE6C2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ED3961"/>
    <w:multiLevelType w:val="hybridMultilevel"/>
    <w:tmpl w:val="0590A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6E0679"/>
    <w:multiLevelType w:val="hybridMultilevel"/>
    <w:tmpl w:val="0B08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225397"/>
    <w:multiLevelType w:val="hybridMultilevel"/>
    <w:tmpl w:val="337A53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705098"/>
    <w:multiLevelType w:val="hybridMultilevel"/>
    <w:tmpl w:val="3B406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E26BA9"/>
    <w:multiLevelType w:val="hybridMultilevel"/>
    <w:tmpl w:val="DD80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6910816">
    <w:abstractNumId w:val="7"/>
  </w:num>
  <w:num w:numId="2" w16cid:durableId="455023714">
    <w:abstractNumId w:val="12"/>
  </w:num>
  <w:num w:numId="3" w16cid:durableId="1483232675">
    <w:abstractNumId w:val="45"/>
  </w:num>
  <w:num w:numId="4" w16cid:durableId="2001233103">
    <w:abstractNumId w:val="41"/>
  </w:num>
  <w:num w:numId="5" w16cid:durableId="885601783">
    <w:abstractNumId w:val="36"/>
  </w:num>
  <w:num w:numId="6" w16cid:durableId="544022856">
    <w:abstractNumId w:val="28"/>
  </w:num>
  <w:num w:numId="7" w16cid:durableId="474612682">
    <w:abstractNumId w:val="34"/>
  </w:num>
  <w:num w:numId="8" w16cid:durableId="193928207">
    <w:abstractNumId w:val="42"/>
  </w:num>
  <w:num w:numId="9" w16cid:durableId="1465850665">
    <w:abstractNumId w:val="19"/>
  </w:num>
  <w:num w:numId="10" w16cid:durableId="1889217092">
    <w:abstractNumId w:val="17"/>
  </w:num>
  <w:num w:numId="11" w16cid:durableId="1064641535">
    <w:abstractNumId w:val="46"/>
  </w:num>
  <w:num w:numId="12" w16cid:durableId="749304142">
    <w:abstractNumId w:val="25"/>
  </w:num>
  <w:num w:numId="13" w16cid:durableId="1116296096">
    <w:abstractNumId w:val="3"/>
  </w:num>
  <w:num w:numId="14" w16cid:durableId="1766070089">
    <w:abstractNumId w:val="31"/>
  </w:num>
  <w:num w:numId="15" w16cid:durableId="1849558970">
    <w:abstractNumId w:val="24"/>
  </w:num>
  <w:num w:numId="16" w16cid:durableId="1573154378">
    <w:abstractNumId w:val="38"/>
  </w:num>
  <w:num w:numId="17" w16cid:durableId="311837465">
    <w:abstractNumId w:val="44"/>
  </w:num>
  <w:num w:numId="18" w16cid:durableId="67650936">
    <w:abstractNumId w:val="8"/>
  </w:num>
  <w:num w:numId="19" w16cid:durableId="272708039">
    <w:abstractNumId w:val="4"/>
  </w:num>
  <w:num w:numId="20" w16cid:durableId="139739592">
    <w:abstractNumId w:val="37"/>
  </w:num>
  <w:num w:numId="21" w16cid:durableId="673650365">
    <w:abstractNumId w:val="11"/>
  </w:num>
  <w:num w:numId="22" w16cid:durableId="1345747596">
    <w:abstractNumId w:val="22"/>
  </w:num>
  <w:num w:numId="23" w16cid:durableId="624963708">
    <w:abstractNumId w:val="27"/>
  </w:num>
  <w:num w:numId="24" w16cid:durableId="110517492">
    <w:abstractNumId w:val="47"/>
  </w:num>
  <w:num w:numId="25" w16cid:durableId="1483502548">
    <w:abstractNumId w:val="26"/>
  </w:num>
  <w:num w:numId="26" w16cid:durableId="1256204732">
    <w:abstractNumId w:val="21"/>
  </w:num>
  <w:num w:numId="27" w16cid:durableId="1073432210">
    <w:abstractNumId w:val="30"/>
  </w:num>
  <w:num w:numId="28" w16cid:durableId="1851680594">
    <w:abstractNumId w:val="29"/>
  </w:num>
  <w:num w:numId="29" w16cid:durableId="928194026">
    <w:abstractNumId w:val="5"/>
  </w:num>
  <w:num w:numId="30" w16cid:durableId="1630628515">
    <w:abstractNumId w:val="1"/>
  </w:num>
  <w:num w:numId="31" w16cid:durableId="1089737828">
    <w:abstractNumId w:val="18"/>
  </w:num>
  <w:num w:numId="32" w16cid:durableId="1899971560">
    <w:abstractNumId w:val="18"/>
  </w:num>
  <w:num w:numId="33" w16cid:durableId="659579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7601785">
    <w:abstractNumId w:val="16"/>
  </w:num>
  <w:num w:numId="35" w16cid:durableId="1519194794">
    <w:abstractNumId w:val="43"/>
  </w:num>
  <w:num w:numId="36" w16cid:durableId="1922644430">
    <w:abstractNumId w:val="20"/>
  </w:num>
  <w:num w:numId="37" w16cid:durableId="269164810">
    <w:abstractNumId w:val="0"/>
  </w:num>
  <w:num w:numId="38" w16cid:durableId="480541163">
    <w:abstractNumId w:val="6"/>
  </w:num>
  <w:num w:numId="39" w16cid:durableId="1107386950">
    <w:abstractNumId w:val="33"/>
  </w:num>
  <w:num w:numId="40" w16cid:durableId="1820227100">
    <w:abstractNumId w:val="32"/>
  </w:num>
  <w:num w:numId="41" w16cid:durableId="1752312972">
    <w:abstractNumId w:val="48"/>
  </w:num>
  <w:num w:numId="42" w16cid:durableId="1211915484">
    <w:abstractNumId w:val="23"/>
  </w:num>
  <w:num w:numId="43" w16cid:durableId="1080369148">
    <w:abstractNumId w:val="14"/>
  </w:num>
  <w:num w:numId="44" w16cid:durableId="1222402764">
    <w:abstractNumId w:val="9"/>
  </w:num>
  <w:num w:numId="45" w16cid:durableId="1279876217">
    <w:abstractNumId w:val="35"/>
  </w:num>
  <w:num w:numId="46" w16cid:durableId="565191394">
    <w:abstractNumId w:val="39"/>
  </w:num>
  <w:num w:numId="47" w16cid:durableId="879825078">
    <w:abstractNumId w:val="40"/>
  </w:num>
  <w:num w:numId="48" w16cid:durableId="1059401353">
    <w:abstractNumId w:val="10"/>
  </w:num>
  <w:num w:numId="49" w16cid:durableId="1428307084">
    <w:abstractNumId w:val="15"/>
  </w:num>
  <w:num w:numId="50" w16cid:durableId="1085149952">
    <w:abstractNumId w:val="2"/>
  </w:num>
  <w:num w:numId="51" w16cid:durableId="1287127279">
    <w:abstractNumId w:val="13"/>
  </w:num>
  <w:num w:numId="52" w16cid:durableId="20956616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0FF"/>
    <w:rsid w:val="000001A0"/>
    <w:rsid w:val="0000068E"/>
    <w:rsid w:val="0000281F"/>
    <w:rsid w:val="000039AA"/>
    <w:rsid w:val="0000453D"/>
    <w:rsid w:val="000054F9"/>
    <w:rsid w:val="00005B65"/>
    <w:rsid w:val="00005F9D"/>
    <w:rsid w:val="000062B3"/>
    <w:rsid w:val="000067D3"/>
    <w:rsid w:val="000068DF"/>
    <w:rsid w:val="00006A63"/>
    <w:rsid w:val="000077E1"/>
    <w:rsid w:val="0001419D"/>
    <w:rsid w:val="000143B5"/>
    <w:rsid w:val="000148D0"/>
    <w:rsid w:val="00016435"/>
    <w:rsid w:val="000165EA"/>
    <w:rsid w:val="00016C27"/>
    <w:rsid w:val="0002013F"/>
    <w:rsid w:val="00021D41"/>
    <w:rsid w:val="00021F08"/>
    <w:rsid w:val="000225DF"/>
    <w:rsid w:val="00022993"/>
    <w:rsid w:val="00024086"/>
    <w:rsid w:val="00024486"/>
    <w:rsid w:val="000247F5"/>
    <w:rsid w:val="00026B02"/>
    <w:rsid w:val="00027058"/>
    <w:rsid w:val="000271DA"/>
    <w:rsid w:val="00027563"/>
    <w:rsid w:val="000310CD"/>
    <w:rsid w:val="000317A5"/>
    <w:rsid w:val="00031C6A"/>
    <w:rsid w:val="00031FC3"/>
    <w:rsid w:val="000326F5"/>
    <w:rsid w:val="00032E00"/>
    <w:rsid w:val="000374BE"/>
    <w:rsid w:val="000422F7"/>
    <w:rsid w:val="00042583"/>
    <w:rsid w:val="000449D3"/>
    <w:rsid w:val="00044A1A"/>
    <w:rsid w:val="00044F44"/>
    <w:rsid w:val="000452FC"/>
    <w:rsid w:val="00045F0F"/>
    <w:rsid w:val="0004734A"/>
    <w:rsid w:val="00050370"/>
    <w:rsid w:val="00050AC3"/>
    <w:rsid w:val="00050FAF"/>
    <w:rsid w:val="0005195E"/>
    <w:rsid w:val="00052709"/>
    <w:rsid w:val="00052F1E"/>
    <w:rsid w:val="00053B52"/>
    <w:rsid w:val="0005416A"/>
    <w:rsid w:val="000545A3"/>
    <w:rsid w:val="0005651B"/>
    <w:rsid w:val="000565F8"/>
    <w:rsid w:val="000600F1"/>
    <w:rsid w:val="00060974"/>
    <w:rsid w:val="000609B9"/>
    <w:rsid w:val="00060C05"/>
    <w:rsid w:val="00061D0B"/>
    <w:rsid w:val="0006259D"/>
    <w:rsid w:val="000628FF"/>
    <w:rsid w:val="00063385"/>
    <w:rsid w:val="0006361D"/>
    <w:rsid w:val="0006421D"/>
    <w:rsid w:val="000652E5"/>
    <w:rsid w:val="00066D6A"/>
    <w:rsid w:val="00067853"/>
    <w:rsid w:val="00067CDB"/>
    <w:rsid w:val="0007027E"/>
    <w:rsid w:val="00070466"/>
    <w:rsid w:val="0007199D"/>
    <w:rsid w:val="00072443"/>
    <w:rsid w:val="00072BB9"/>
    <w:rsid w:val="000735FC"/>
    <w:rsid w:val="00073A37"/>
    <w:rsid w:val="00074ABB"/>
    <w:rsid w:val="00075B7B"/>
    <w:rsid w:val="00077181"/>
    <w:rsid w:val="00077C29"/>
    <w:rsid w:val="00077D94"/>
    <w:rsid w:val="000801E6"/>
    <w:rsid w:val="00080AFB"/>
    <w:rsid w:val="00081053"/>
    <w:rsid w:val="000817FE"/>
    <w:rsid w:val="00081BBC"/>
    <w:rsid w:val="00082421"/>
    <w:rsid w:val="000844DB"/>
    <w:rsid w:val="00085DC2"/>
    <w:rsid w:val="00086314"/>
    <w:rsid w:val="00086CBB"/>
    <w:rsid w:val="00090CBA"/>
    <w:rsid w:val="00090F9D"/>
    <w:rsid w:val="00091668"/>
    <w:rsid w:val="00091DAA"/>
    <w:rsid w:val="0009331A"/>
    <w:rsid w:val="000935CA"/>
    <w:rsid w:val="00093750"/>
    <w:rsid w:val="00095029"/>
    <w:rsid w:val="00095334"/>
    <w:rsid w:val="000955A4"/>
    <w:rsid w:val="000957EE"/>
    <w:rsid w:val="00096FC3"/>
    <w:rsid w:val="000A174B"/>
    <w:rsid w:val="000A5087"/>
    <w:rsid w:val="000A7A51"/>
    <w:rsid w:val="000B0574"/>
    <w:rsid w:val="000B0CEA"/>
    <w:rsid w:val="000B0E1A"/>
    <w:rsid w:val="000B115A"/>
    <w:rsid w:val="000B4488"/>
    <w:rsid w:val="000B5691"/>
    <w:rsid w:val="000B70B0"/>
    <w:rsid w:val="000B7177"/>
    <w:rsid w:val="000B73DF"/>
    <w:rsid w:val="000B78F3"/>
    <w:rsid w:val="000B7ABC"/>
    <w:rsid w:val="000B7DB2"/>
    <w:rsid w:val="000C06BB"/>
    <w:rsid w:val="000C1276"/>
    <w:rsid w:val="000C1D6C"/>
    <w:rsid w:val="000C1FBC"/>
    <w:rsid w:val="000C2160"/>
    <w:rsid w:val="000C21D0"/>
    <w:rsid w:val="000C2D43"/>
    <w:rsid w:val="000C4557"/>
    <w:rsid w:val="000C7437"/>
    <w:rsid w:val="000C7B15"/>
    <w:rsid w:val="000D0EBD"/>
    <w:rsid w:val="000D201A"/>
    <w:rsid w:val="000D3F37"/>
    <w:rsid w:val="000D4E3B"/>
    <w:rsid w:val="000D4F10"/>
    <w:rsid w:val="000D5AE9"/>
    <w:rsid w:val="000D5F26"/>
    <w:rsid w:val="000D6053"/>
    <w:rsid w:val="000D7243"/>
    <w:rsid w:val="000D78AF"/>
    <w:rsid w:val="000D7EAE"/>
    <w:rsid w:val="000E0780"/>
    <w:rsid w:val="000E0856"/>
    <w:rsid w:val="000E1B9B"/>
    <w:rsid w:val="000E22B3"/>
    <w:rsid w:val="000E26A0"/>
    <w:rsid w:val="000E361A"/>
    <w:rsid w:val="000E3770"/>
    <w:rsid w:val="000E3CE0"/>
    <w:rsid w:val="000E404E"/>
    <w:rsid w:val="000E4F51"/>
    <w:rsid w:val="000E4F78"/>
    <w:rsid w:val="000E55C9"/>
    <w:rsid w:val="000E607D"/>
    <w:rsid w:val="000E6330"/>
    <w:rsid w:val="000E700A"/>
    <w:rsid w:val="000E7D60"/>
    <w:rsid w:val="000E7E00"/>
    <w:rsid w:val="000F05CF"/>
    <w:rsid w:val="000F3DBB"/>
    <w:rsid w:val="000F4EAF"/>
    <w:rsid w:val="000F5BB9"/>
    <w:rsid w:val="000F634F"/>
    <w:rsid w:val="00100C9D"/>
    <w:rsid w:val="001012BE"/>
    <w:rsid w:val="0010132A"/>
    <w:rsid w:val="00102332"/>
    <w:rsid w:val="001026A0"/>
    <w:rsid w:val="001032A3"/>
    <w:rsid w:val="0010379E"/>
    <w:rsid w:val="00103E18"/>
    <w:rsid w:val="0010408F"/>
    <w:rsid w:val="00104463"/>
    <w:rsid w:val="00105071"/>
    <w:rsid w:val="00105335"/>
    <w:rsid w:val="001056D7"/>
    <w:rsid w:val="001061ED"/>
    <w:rsid w:val="00106379"/>
    <w:rsid w:val="00107715"/>
    <w:rsid w:val="001109C5"/>
    <w:rsid w:val="00110FAD"/>
    <w:rsid w:val="00111741"/>
    <w:rsid w:val="00112053"/>
    <w:rsid w:val="0011285A"/>
    <w:rsid w:val="001128C4"/>
    <w:rsid w:val="00113243"/>
    <w:rsid w:val="0011384D"/>
    <w:rsid w:val="00113949"/>
    <w:rsid w:val="00113CD2"/>
    <w:rsid w:val="001143DA"/>
    <w:rsid w:val="001154C2"/>
    <w:rsid w:val="00115AE8"/>
    <w:rsid w:val="0011743A"/>
    <w:rsid w:val="0012137E"/>
    <w:rsid w:val="00122B38"/>
    <w:rsid w:val="00125DC3"/>
    <w:rsid w:val="00126444"/>
    <w:rsid w:val="001276F4"/>
    <w:rsid w:val="00127A16"/>
    <w:rsid w:val="00127D40"/>
    <w:rsid w:val="00130ED8"/>
    <w:rsid w:val="001317BC"/>
    <w:rsid w:val="001332F3"/>
    <w:rsid w:val="001332F8"/>
    <w:rsid w:val="00133AC2"/>
    <w:rsid w:val="00134168"/>
    <w:rsid w:val="00134838"/>
    <w:rsid w:val="0013623F"/>
    <w:rsid w:val="00137AD3"/>
    <w:rsid w:val="00137CD1"/>
    <w:rsid w:val="0014071B"/>
    <w:rsid w:val="00141A37"/>
    <w:rsid w:val="00141C34"/>
    <w:rsid w:val="001424BD"/>
    <w:rsid w:val="00142A39"/>
    <w:rsid w:val="0014445C"/>
    <w:rsid w:val="001451E2"/>
    <w:rsid w:val="00145EA2"/>
    <w:rsid w:val="00147030"/>
    <w:rsid w:val="001504F0"/>
    <w:rsid w:val="00150933"/>
    <w:rsid w:val="001514EA"/>
    <w:rsid w:val="00152791"/>
    <w:rsid w:val="00152977"/>
    <w:rsid w:val="001539EC"/>
    <w:rsid w:val="00154F29"/>
    <w:rsid w:val="001560F0"/>
    <w:rsid w:val="0015793D"/>
    <w:rsid w:val="001607F9"/>
    <w:rsid w:val="0016249F"/>
    <w:rsid w:val="00162D3E"/>
    <w:rsid w:val="00163921"/>
    <w:rsid w:val="00163A46"/>
    <w:rsid w:val="00163C5D"/>
    <w:rsid w:val="001642E0"/>
    <w:rsid w:val="001658AF"/>
    <w:rsid w:val="00166B39"/>
    <w:rsid w:val="00167E07"/>
    <w:rsid w:val="00170191"/>
    <w:rsid w:val="00170483"/>
    <w:rsid w:val="001722E7"/>
    <w:rsid w:val="0017559C"/>
    <w:rsid w:val="00175946"/>
    <w:rsid w:val="00176B6D"/>
    <w:rsid w:val="00176D99"/>
    <w:rsid w:val="00177B9F"/>
    <w:rsid w:val="00177D34"/>
    <w:rsid w:val="00180190"/>
    <w:rsid w:val="00180B0D"/>
    <w:rsid w:val="00181726"/>
    <w:rsid w:val="00182113"/>
    <w:rsid w:val="00182B7A"/>
    <w:rsid w:val="00184CDC"/>
    <w:rsid w:val="0018675B"/>
    <w:rsid w:val="0018692B"/>
    <w:rsid w:val="00187BDC"/>
    <w:rsid w:val="00187EB1"/>
    <w:rsid w:val="0019130A"/>
    <w:rsid w:val="00191E7D"/>
    <w:rsid w:val="00192E8B"/>
    <w:rsid w:val="00193D15"/>
    <w:rsid w:val="00193D40"/>
    <w:rsid w:val="00193E8C"/>
    <w:rsid w:val="001940C5"/>
    <w:rsid w:val="00195E61"/>
    <w:rsid w:val="0019637F"/>
    <w:rsid w:val="001A17B3"/>
    <w:rsid w:val="001A194D"/>
    <w:rsid w:val="001A1B3E"/>
    <w:rsid w:val="001A3A30"/>
    <w:rsid w:val="001A448C"/>
    <w:rsid w:val="001A51F0"/>
    <w:rsid w:val="001A591F"/>
    <w:rsid w:val="001A6F58"/>
    <w:rsid w:val="001A773D"/>
    <w:rsid w:val="001A782E"/>
    <w:rsid w:val="001A7C0E"/>
    <w:rsid w:val="001B0365"/>
    <w:rsid w:val="001B0750"/>
    <w:rsid w:val="001B0CF7"/>
    <w:rsid w:val="001B1305"/>
    <w:rsid w:val="001B13F7"/>
    <w:rsid w:val="001B21E3"/>
    <w:rsid w:val="001B3731"/>
    <w:rsid w:val="001B42A8"/>
    <w:rsid w:val="001B4405"/>
    <w:rsid w:val="001B5ACB"/>
    <w:rsid w:val="001C0391"/>
    <w:rsid w:val="001C063F"/>
    <w:rsid w:val="001C0AE7"/>
    <w:rsid w:val="001C0C80"/>
    <w:rsid w:val="001C10AA"/>
    <w:rsid w:val="001C191D"/>
    <w:rsid w:val="001C281F"/>
    <w:rsid w:val="001C2B9A"/>
    <w:rsid w:val="001D0E5A"/>
    <w:rsid w:val="001D1ED8"/>
    <w:rsid w:val="001D2AB6"/>
    <w:rsid w:val="001D2D0D"/>
    <w:rsid w:val="001D43A0"/>
    <w:rsid w:val="001D4843"/>
    <w:rsid w:val="001D53CF"/>
    <w:rsid w:val="001D5A21"/>
    <w:rsid w:val="001D5F13"/>
    <w:rsid w:val="001D669F"/>
    <w:rsid w:val="001D67CA"/>
    <w:rsid w:val="001D6904"/>
    <w:rsid w:val="001D6C9D"/>
    <w:rsid w:val="001D7149"/>
    <w:rsid w:val="001D75A5"/>
    <w:rsid w:val="001E068A"/>
    <w:rsid w:val="001E1FDA"/>
    <w:rsid w:val="001E3278"/>
    <w:rsid w:val="001E43DE"/>
    <w:rsid w:val="001E45BA"/>
    <w:rsid w:val="001E66DD"/>
    <w:rsid w:val="001E7491"/>
    <w:rsid w:val="001E7ECB"/>
    <w:rsid w:val="001F1E57"/>
    <w:rsid w:val="001F3393"/>
    <w:rsid w:val="001F382A"/>
    <w:rsid w:val="001F79AF"/>
    <w:rsid w:val="0020098C"/>
    <w:rsid w:val="00200E7B"/>
    <w:rsid w:val="00202A10"/>
    <w:rsid w:val="002047C2"/>
    <w:rsid w:val="00205849"/>
    <w:rsid w:val="00205AAE"/>
    <w:rsid w:val="00211924"/>
    <w:rsid w:val="00211DED"/>
    <w:rsid w:val="00211EE7"/>
    <w:rsid w:val="002120B3"/>
    <w:rsid w:val="0021280E"/>
    <w:rsid w:val="002140A4"/>
    <w:rsid w:val="00214AE7"/>
    <w:rsid w:val="00214DCA"/>
    <w:rsid w:val="0021529A"/>
    <w:rsid w:val="00216F46"/>
    <w:rsid w:val="0021780A"/>
    <w:rsid w:val="00217BBB"/>
    <w:rsid w:val="0022025B"/>
    <w:rsid w:val="00221443"/>
    <w:rsid w:val="0022243C"/>
    <w:rsid w:val="00222C41"/>
    <w:rsid w:val="00222DB9"/>
    <w:rsid w:val="0022305D"/>
    <w:rsid w:val="002248C9"/>
    <w:rsid w:val="002265B5"/>
    <w:rsid w:val="00227CB0"/>
    <w:rsid w:val="00230FDF"/>
    <w:rsid w:val="00231174"/>
    <w:rsid w:val="00231700"/>
    <w:rsid w:val="002321AC"/>
    <w:rsid w:val="0023431D"/>
    <w:rsid w:val="00234852"/>
    <w:rsid w:val="00235718"/>
    <w:rsid w:val="00235C9C"/>
    <w:rsid w:val="00235F7D"/>
    <w:rsid w:val="002403C2"/>
    <w:rsid w:val="00240E70"/>
    <w:rsid w:val="002410F5"/>
    <w:rsid w:val="002415AA"/>
    <w:rsid w:val="00242810"/>
    <w:rsid w:val="00242F01"/>
    <w:rsid w:val="002442C4"/>
    <w:rsid w:val="00245279"/>
    <w:rsid w:val="002456D5"/>
    <w:rsid w:val="00245CD4"/>
    <w:rsid w:val="0025272E"/>
    <w:rsid w:val="002528C8"/>
    <w:rsid w:val="00254461"/>
    <w:rsid w:val="0025526B"/>
    <w:rsid w:val="002554F8"/>
    <w:rsid w:val="002605A9"/>
    <w:rsid w:val="002614D9"/>
    <w:rsid w:val="00261A37"/>
    <w:rsid w:val="00263A5B"/>
    <w:rsid w:val="00264CED"/>
    <w:rsid w:val="00264DFF"/>
    <w:rsid w:val="00265EB3"/>
    <w:rsid w:val="002660CD"/>
    <w:rsid w:val="0026692E"/>
    <w:rsid w:val="00266A16"/>
    <w:rsid w:val="00266E56"/>
    <w:rsid w:val="0026725C"/>
    <w:rsid w:val="00272634"/>
    <w:rsid w:val="00272A77"/>
    <w:rsid w:val="00276908"/>
    <w:rsid w:val="00280E74"/>
    <w:rsid w:val="0028123F"/>
    <w:rsid w:val="002873EB"/>
    <w:rsid w:val="0028745E"/>
    <w:rsid w:val="002903BC"/>
    <w:rsid w:val="002908A3"/>
    <w:rsid w:val="00291060"/>
    <w:rsid w:val="00291205"/>
    <w:rsid w:val="00291851"/>
    <w:rsid w:val="00291B87"/>
    <w:rsid w:val="00292775"/>
    <w:rsid w:val="00293699"/>
    <w:rsid w:val="002939B3"/>
    <w:rsid w:val="0029451D"/>
    <w:rsid w:val="0029551B"/>
    <w:rsid w:val="00296259"/>
    <w:rsid w:val="002964CB"/>
    <w:rsid w:val="002969B5"/>
    <w:rsid w:val="00296E81"/>
    <w:rsid w:val="00297E04"/>
    <w:rsid w:val="002A0AFC"/>
    <w:rsid w:val="002A2EB4"/>
    <w:rsid w:val="002A4BC2"/>
    <w:rsid w:val="002A4DEF"/>
    <w:rsid w:val="002A4FED"/>
    <w:rsid w:val="002A50E5"/>
    <w:rsid w:val="002A7A4A"/>
    <w:rsid w:val="002B0DF7"/>
    <w:rsid w:val="002B1251"/>
    <w:rsid w:val="002B2268"/>
    <w:rsid w:val="002B3996"/>
    <w:rsid w:val="002B684E"/>
    <w:rsid w:val="002B6D62"/>
    <w:rsid w:val="002B6E69"/>
    <w:rsid w:val="002B7CFB"/>
    <w:rsid w:val="002C1F75"/>
    <w:rsid w:val="002C287C"/>
    <w:rsid w:val="002C350D"/>
    <w:rsid w:val="002C3CC2"/>
    <w:rsid w:val="002C401F"/>
    <w:rsid w:val="002C4C18"/>
    <w:rsid w:val="002C5F31"/>
    <w:rsid w:val="002C63A2"/>
    <w:rsid w:val="002D1E55"/>
    <w:rsid w:val="002D2DFA"/>
    <w:rsid w:val="002D6A57"/>
    <w:rsid w:val="002D73A7"/>
    <w:rsid w:val="002E028A"/>
    <w:rsid w:val="002E1476"/>
    <w:rsid w:val="002E1A52"/>
    <w:rsid w:val="002E1C24"/>
    <w:rsid w:val="002E1F04"/>
    <w:rsid w:val="002E2276"/>
    <w:rsid w:val="002E4C5A"/>
    <w:rsid w:val="002E50C5"/>
    <w:rsid w:val="002E5D8F"/>
    <w:rsid w:val="002F0584"/>
    <w:rsid w:val="002F0CC5"/>
    <w:rsid w:val="002F11C5"/>
    <w:rsid w:val="002F381C"/>
    <w:rsid w:val="002F4CB4"/>
    <w:rsid w:val="002F591F"/>
    <w:rsid w:val="002F6A69"/>
    <w:rsid w:val="002F76B5"/>
    <w:rsid w:val="002F76F8"/>
    <w:rsid w:val="00301018"/>
    <w:rsid w:val="00302348"/>
    <w:rsid w:val="00302BD9"/>
    <w:rsid w:val="0030342D"/>
    <w:rsid w:val="00310606"/>
    <w:rsid w:val="00310E67"/>
    <w:rsid w:val="00310EC9"/>
    <w:rsid w:val="0031111C"/>
    <w:rsid w:val="00311C7F"/>
    <w:rsid w:val="00312132"/>
    <w:rsid w:val="00314806"/>
    <w:rsid w:val="0031546E"/>
    <w:rsid w:val="00316447"/>
    <w:rsid w:val="00316C57"/>
    <w:rsid w:val="00317117"/>
    <w:rsid w:val="0031764A"/>
    <w:rsid w:val="00317F08"/>
    <w:rsid w:val="00320B0C"/>
    <w:rsid w:val="00320C19"/>
    <w:rsid w:val="00320CCD"/>
    <w:rsid w:val="00321703"/>
    <w:rsid w:val="00322439"/>
    <w:rsid w:val="00322BE9"/>
    <w:rsid w:val="00323077"/>
    <w:rsid w:val="00323491"/>
    <w:rsid w:val="003246F6"/>
    <w:rsid w:val="003258C3"/>
    <w:rsid w:val="00325A40"/>
    <w:rsid w:val="00326952"/>
    <w:rsid w:val="00327849"/>
    <w:rsid w:val="003305B1"/>
    <w:rsid w:val="003306D2"/>
    <w:rsid w:val="0033144F"/>
    <w:rsid w:val="003320E1"/>
    <w:rsid w:val="00335EDC"/>
    <w:rsid w:val="00336669"/>
    <w:rsid w:val="003432E5"/>
    <w:rsid w:val="00343F03"/>
    <w:rsid w:val="003441C0"/>
    <w:rsid w:val="00344679"/>
    <w:rsid w:val="0034606D"/>
    <w:rsid w:val="00346504"/>
    <w:rsid w:val="0034686B"/>
    <w:rsid w:val="0034721F"/>
    <w:rsid w:val="0034734C"/>
    <w:rsid w:val="00347683"/>
    <w:rsid w:val="0035001E"/>
    <w:rsid w:val="003503A3"/>
    <w:rsid w:val="00352C44"/>
    <w:rsid w:val="0035385E"/>
    <w:rsid w:val="00353ADB"/>
    <w:rsid w:val="00354130"/>
    <w:rsid w:val="0035583A"/>
    <w:rsid w:val="00355AC9"/>
    <w:rsid w:val="00357A05"/>
    <w:rsid w:val="00357EA3"/>
    <w:rsid w:val="0036047A"/>
    <w:rsid w:val="00360BB3"/>
    <w:rsid w:val="00361215"/>
    <w:rsid w:val="00361496"/>
    <w:rsid w:val="00361D03"/>
    <w:rsid w:val="00363624"/>
    <w:rsid w:val="00364028"/>
    <w:rsid w:val="00364F4A"/>
    <w:rsid w:val="00365635"/>
    <w:rsid w:val="00365AD5"/>
    <w:rsid w:val="00366961"/>
    <w:rsid w:val="00366B4E"/>
    <w:rsid w:val="0037251A"/>
    <w:rsid w:val="00372523"/>
    <w:rsid w:val="0037287E"/>
    <w:rsid w:val="00372E13"/>
    <w:rsid w:val="00373339"/>
    <w:rsid w:val="00374139"/>
    <w:rsid w:val="00374A78"/>
    <w:rsid w:val="00376F7F"/>
    <w:rsid w:val="0037776D"/>
    <w:rsid w:val="00381B52"/>
    <w:rsid w:val="00382B59"/>
    <w:rsid w:val="00383937"/>
    <w:rsid w:val="00383F9D"/>
    <w:rsid w:val="003842A7"/>
    <w:rsid w:val="0038686F"/>
    <w:rsid w:val="00387C3F"/>
    <w:rsid w:val="003903B0"/>
    <w:rsid w:val="0039100D"/>
    <w:rsid w:val="003915F9"/>
    <w:rsid w:val="0039347E"/>
    <w:rsid w:val="00395320"/>
    <w:rsid w:val="00396621"/>
    <w:rsid w:val="00396E5D"/>
    <w:rsid w:val="00396F0D"/>
    <w:rsid w:val="003972C2"/>
    <w:rsid w:val="003A0E89"/>
    <w:rsid w:val="003A24A4"/>
    <w:rsid w:val="003A3770"/>
    <w:rsid w:val="003A3CAB"/>
    <w:rsid w:val="003A4C2C"/>
    <w:rsid w:val="003A5759"/>
    <w:rsid w:val="003A5A96"/>
    <w:rsid w:val="003A72D7"/>
    <w:rsid w:val="003B1B6D"/>
    <w:rsid w:val="003B1C26"/>
    <w:rsid w:val="003B1DA3"/>
    <w:rsid w:val="003B23F0"/>
    <w:rsid w:val="003B34D4"/>
    <w:rsid w:val="003B3530"/>
    <w:rsid w:val="003B3D58"/>
    <w:rsid w:val="003B5307"/>
    <w:rsid w:val="003B7526"/>
    <w:rsid w:val="003C17EA"/>
    <w:rsid w:val="003C1A1B"/>
    <w:rsid w:val="003C1C21"/>
    <w:rsid w:val="003C1CF4"/>
    <w:rsid w:val="003C28EB"/>
    <w:rsid w:val="003C300C"/>
    <w:rsid w:val="003C3056"/>
    <w:rsid w:val="003C478D"/>
    <w:rsid w:val="003C5264"/>
    <w:rsid w:val="003C53F0"/>
    <w:rsid w:val="003C5624"/>
    <w:rsid w:val="003C64EE"/>
    <w:rsid w:val="003C770F"/>
    <w:rsid w:val="003C7D09"/>
    <w:rsid w:val="003C7FAE"/>
    <w:rsid w:val="003D003B"/>
    <w:rsid w:val="003D0594"/>
    <w:rsid w:val="003D067C"/>
    <w:rsid w:val="003D1042"/>
    <w:rsid w:val="003D11CE"/>
    <w:rsid w:val="003D25FD"/>
    <w:rsid w:val="003D271D"/>
    <w:rsid w:val="003D3328"/>
    <w:rsid w:val="003D3F7E"/>
    <w:rsid w:val="003D569C"/>
    <w:rsid w:val="003D5C4A"/>
    <w:rsid w:val="003D6266"/>
    <w:rsid w:val="003D6671"/>
    <w:rsid w:val="003D69DA"/>
    <w:rsid w:val="003D6CFD"/>
    <w:rsid w:val="003E068F"/>
    <w:rsid w:val="003E08BE"/>
    <w:rsid w:val="003E0B8D"/>
    <w:rsid w:val="003E0DFF"/>
    <w:rsid w:val="003E2328"/>
    <w:rsid w:val="003E2857"/>
    <w:rsid w:val="003E3014"/>
    <w:rsid w:val="003E3914"/>
    <w:rsid w:val="003E3B91"/>
    <w:rsid w:val="003E4869"/>
    <w:rsid w:val="003E4941"/>
    <w:rsid w:val="003E4A05"/>
    <w:rsid w:val="003E4F83"/>
    <w:rsid w:val="003E51D0"/>
    <w:rsid w:val="003E5D7A"/>
    <w:rsid w:val="003E5ECD"/>
    <w:rsid w:val="003E6233"/>
    <w:rsid w:val="003E711B"/>
    <w:rsid w:val="003E7C9C"/>
    <w:rsid w:val="003F11CD"/>
    <w:rsid w:val="003F2555"/>
    <w:rsid w:val="003F39A0"/>
    <w:rsid w:val="003F3B7B"/>
    <w:rsid w:val="003F6949"/>
    <w:rsid w:val="003F769E"/>
    <w:rsid w:val="003F78DB"/>
    <w:rsid w:val="003F79A2"/>
    <w:rsid w:val="00400A00"/>
    <w:rsid w:val="004012B7"/>
    <w:rsid w:val="0040338A"/>
    <w:rsid w:val="00403D42"/>
    <w:rsid w:val="00404019"/>
    <w:rsid w:val="00404711"/>
    <w:rsid w:val="00404CCD"/>
    <w:rsid w:val="00406B3F"/>
    <w:rsid w:val="004072A5"/>
    <w:rsid w:val="00407880"/>
    <w:rsid w:val="0041035D"/>
    <w:rsid w:val="004104CC"/>
    <w:rsid w:val="0041093C"/>
    <w:rsid w:val="0041113D"/>
    <w:rsid w:val="00412BF2"/>
    <w:rsid w:val="004138D7"/>
    <w:rsid w:val="0041453D"/>
    <w:rsid w:val="00415319"/>
    <w:rsid w:val="004155C3"/>
    <w:rsid w:val="00416BAB"/>
    <w:rsid w:val="00420523"/>
    <w:rsid w:val="00420DFE"/>
    <w:rsid w:val="00421831"/>
    <w:rsid w:val="00421E61"/>
    <w:rsid w:val="00422516"/>
    <w:rsid w:val="00422C2C"/>
    <w:rsid w:val="00423F97"/>
    <w:rsid w:val="00424BDD"/>
    <w:rsid w:val="00424EE2"/>
    <w:rsid w:val="00426087"/>
    <w:rsid w:val="00426A1A"/>
    <w:rsid w:val="00430652"/>
    <w:rsid w:val="004310D0"/>
    <w:rsid w:val="0043223F"/>
    <w:rsid w:val="004327F0"/>
    <w:rsid w:val="004328A4"/>
    <w:rsid w:val="004334F4"/>
    <w:rsid w:val="004354E8"/>
    <w:rsid w:val="00435732"/>
    <w:rsid w:val="00435A76"/>
    <w:rsid w:val="00436D43"/>
    <w:rsid w:val="00437ABC"/>
    <w:rsid w:val="00440258"/>
    <w:rsid w:val="00440609"/>
    <w:rsid w:val="00440B4D"/>
    <w:rsid w:val="00443463"/>
    <w:rsid w:val="00444470"/>
    <w:rsid w:val="00444C0C"/>
    <w:rsid w:val="0044542B"/>
    <w:rsid w:val="00445A68"/>
    <w:rsid w:val="00447E6D"/>
    <w:rsid w:val="00447FBA"/>
    <w:rsid w:val="004507E8"/>
    <w:rsid w:val="004508F5"/>
    <w:rsid w:val="00450CDD"/>
    <w:rsid w:val="004512CB"/>
    <w:rsid w:val="004513DF"/>
    <w:rsid w:val="004515B6"/>
    <w:rsid w:val="0045184C"/>
    <w:rsid w:val="004525D4"/>
    <w:rsid w:val="00452B36"/>
    <w:rsid w:val="004538E4"/>
    <w:rsid w:val="004539D9"/>
    <w:rsid w:val="00453D67"/>
    <w:rsid w:val="004543A9"/>
    <w:rsid w:val="004560EF"/>
    <w:rsid w:val="00460AEB"/>
    <w:rsid w:val="004610C0"/>
    <w:rsid w:val="0046135E"/>
    <w:rsid w:val="00465EF4"/>
    <w:rsid w:val="00466C18"/>
    <w:rsid w:val="00466D0F"/>
    <w:rsid w:val="00466ECC"/>
    <w:rsid w:val="004671DD"/>
    <w:rsid w:val="004676BF"/>
    <w:rsid w:val="00467CC7"/>
    <w:rsid w:val="00471FE9"/>
    <w:rsid w:val="0047369D"/>
    <w:rsid w:val="00473BC3"/>
    <w:rsid w:val="00474312"/>
    <w:rsid w:val="004775A8"/>
    <w:rsid w:val="00480514"/>
    <w:rsid w:val="00480DF4"/>
    <w:rsid w:val="00480E20"/>
    <w:rsid w:val="0048116F"/>
    <w:rsid w:val="0048170D"/>
    <w:rsid w:val="00482E1C"/>
    <w:rsid w:val="00483AA4"/>
    <w:rsid w:val="00484F99"/>
    <w:rsid w:val="00485EAA"/>
    <w:rsid w:val="004863D7"/>
    <w:rsid w:val="00487C54"/>
    <w:rsid w:val="00490140"/>
    <w:rsid w:val="00490222"/>
    <w:rsid w:val="00490351"/>
    <w:rsid w:val="00490594"/>
    <w:rsid w:val="00492E02"/>
    <w:rsid w:val="00493939"/>
    <w:rsid w:val="0049472F"/>
    <w:rsid w:val="00494F33"/>
    <w:rsid w:val="00495151"/>
    <w:rsid w:val="004952F7"/>
    <w:rsid w:val="00495431"/>
    <w:rsid w:val="004955A0"/>
    <w:rsid w:val="004961C4"/>
    <w:rsid w:val="00496F6B"/>
    <w:rsid w:val="0049702E"/>
    <w:rsid w:val="004A0908"/>
    <w:rsid w:val="004A0938"/>
    <w:rsid w:val="004A1BE2"/>
    <w:rsid w:val="004A1D75"/>
    <w:rsid w:val="004A2875"/>
    <w:rsid w:val="004A342C"/>
    <w:rsid w:val="004A3F87"/>
    <w:rsid w:val="004A4770"/>
    <w:rsid w:val="004A62B9"/>
    <w:rsid w:val="004A6455"/>
    <w:rsid w:val="004A747D"/>
    <w:rsid w:val="004A765C"/>
    <w:rsid w:val="004B1235"/>
    <w:rsid w:val="004B1DB3"/>
    <w:rsid w:val="004B3ABC"/>
    <w:rsid w:val="004B6BAB"/>
    <w:rsid w:val="004B79A9"/>
    <w:rsid w:val="004B7D36"/>
    <w:rsid w:val="004C105C"/>
    <w:rsid w:val="004C1D72"/>
    <w:rsid w:val="004C3232"/>
    <w:rsid w:val="004C39F2"/>
    <w:rsid w:val="004C3DC5"/>
    <w:rsid w:val="004C400C"/>
    <w:rsid w:val="004C52E6"/>
    <w:rsid w:val="004C55B4"/>
    <w:rsid w:val="004C5DCC"/>
    <w:rsid w:val="004C667C"/>
    <w:rsid w:val="004C6C93"/>
    <w:rsid w:val="004C7AA5"/>
    <w:rsid w:val="004D0016"/>
    <w:rsid w:val="004D0842"/>
    <w:rsid w:val="004D330A"/>
    <w:rsid w:val="004D3C4E"/>
    <w:rsid w:val="004D42C3"/>
    <w:rsid w:val="004D47DD"/>
    <w:rsid w:val="004D509C"/>
    <w:rsid w:val="004D661F"/>
    <w:rsid w:val="004D6679"/>
    <w:rsid w:val="004D7D9A"/>
    <w:rsid w:val="004E009C"/>
    <w:rsid w:val="004E462E"/>
    <w:rsid w:val="004E4DE8"/>
    <w:rsid w:val="004E5EB9"/>
    <w:rsid w:val="004E664F"/>
    <w:rsid w:val="004E6B9D"/>
    <w:rsid w:val="004E6F38"/>
    <w:rsid w:val="004E788E"/>
    <w:rsid w:val="004F0173"/>
    <w:rsid w:val="004F20B4"/>
    <w:rsid w:val="004F2330"/>
    <w:rsid w:val="004F2591"/>
    <w:rsid w:val="004F4157"/>
    <w:rsid w:val="004F53D2"/>
    <w:rsid w:val="004F6CCF"/>
    <w:rsid w:val="004F718D"/>
    <w:rsid w:val="004F7560"/>
    <w:rsid w:val="00500710"/>
    <w:rsid w:val="0050165E"/>
    <w:rsid w:val="005027BA"/>
    <w:rsid w:val="00503439"/>
    <w:rsid w:val="0050359D"/>
    <w:rsid w:val="00503B67"/>
    <w:rsid w:val="00505153"/>
    <w:rsid w:val="00505691"/>
    <w:rsid w:val="0050718F"/>
    <w:rsid w:val="005102BF"/>
    <w:rsid w:val="005105C3"/>
    <w:rsid w:val="0051061D"/>
    <w:rsid w:val="00511673"/>
    <w:rsid w:val="00512890"/>
    <w:rsid w:val="00512C3A"/>
    <w:rsid w:val="005136CA"/>
    <w:rsid w:val="00513995"/>
    <w:rsid w:val="00513CB6"/>
    <w:rsid w:val="00516FE5"/>
    <w:rsid w:val="00520DD9"/>
    <w:rsid w:val="005214CA"/>
    <w:rsid w:val="00522224"/>
    <w:rsid w:val="0052274F"/>
    <w:rsid w:val="005250ED"/>
    <w:rsid w:val="0052689F"/>
    <w:rsid w:val="00530326"/>
    <w:rsid w:val="00530DF4"/>
    <w:rsid w:val="005322E9"/>
    <w:rsid w:val="0053233D"/>
    <w:rsid w:val="00534FDD"/>
    <w:rsid w:val="005362E3"/>
    <w:rsid w:val="0053713F"/>
    <w:rsid w:val="00537970"/>
    <w:rsid w:val="00542005"/>
    <w:rsid w:val="005423F6"/>
    <w:rsid w:val="005425D0"/>
    <w:rsid w:val="00544446"/>
    <w:rsid w:val="00544B04"/>
    <w:rsid w:val="00544D54"/>
    <w:rsid w:val="005458C2"/>
    <w:rsid w:val="00546825"/>
    <w:rsid w:val="00546990"/>
    <w:rsid w:val="005475D4"/>
    <w:rsid w:val="005504DA"/>
    <w:rsid w:val="0055149C"/>
    <w:rsid w:val="00552B26"/>
    <w:rsid w:val="00553E94"/>
    <w:rsid w:val="00554F08"/>
    <w:rsid w:val="00555172"/>
    <w:rsid w:val="005570F1"/>
    <w:rsid w:val="00557B18"/>
    <w:rsid w:val="00557E02"/>
    <w:rsid w:val="00560112"/>
    <w:rsid w:val="00561481"/>
    <w:rsid w:val="00562D6D"/>
    <w:rsid w:val="0056327E"/>
    <w:rsid w:val="00563911"/>
    <w:rsid w:val="00565364"/>
    <w:rsid w:val="005653D8"/>
    <w:rsid w:val="00566CF9"/>
    <w:rsid w:val="0056731E"/>
    <w:rsid w:val="005674DA"/>
    <w:rsid w:val="0056764F"/>
    <w:rsid w:val="00570D95"/>
    <w:rsid w:val="00572788"/>
    <w:rsid w:val="0057574C"/>
    <w:rsid w:val="00575D3E"/>
    <w:rsid w:val="00577457"/>
    <w:rsid w:val="00580684"/>
    <w:rsid w:val="00580E0F"/>
    <w:rsid w:val="00581ABA"/>
    <w:rsid w:val="005848B8"/>
    <w:rsid w:val="00585A8F"/>
    <w:rsid w:val="00587778"/>
    <w:rsid w:val="00590BAA"/>
    <w:rsid w:val="00591156"/>
    <w:rsid w:val="005928B2"/>
    <w:rsid w:val="00593433"/>
    <w:rsid w:val="00593A9A"/>
    <w:rsid w:val="00593C30"/>
    <w:rsid w:val="005975A7"/>
    <w:rsid w:val="005975F1"/>
    <w:rsid w:val="005976CD"/>
    <w:rsid w:val="005978D6"/>
    <w:rsid w:val="00597D55"/>
    <w:rsid w:val="005A1734"/>
    <w:rsid w:val="005A1F8F"/>
    <w:rsid w:val="005A21C9"/>
    <w:rsid w:val="005A2BB0"/>
    <w:rsid w:val="005A391B"/>
    <w:rsid w:val="005A3ABF"/>
    <w:rsid w:val="005A42F2"/>
    <w:rsid w:val="005A51C5"/>
    <w:rsid w:val="005A673C"/>
    <w:rsid w:val="005A7945"/>
    <w:rsid w:val="005B0D72"/>
    <w:rsid w:val="005B0EAA"/>
    <w:rsid w:val="005B0ECB"/>
    <w:rsid w:val="005B461B"/>
    <w:rsid w:val="005B5385"/>
    <w:rsid w:val="005B6F96"/>
    <w:rsid w:val="005B76C6"/>
    <w:rsid w:val="005B7F4C"/>
    <w:rsid w:val="005C2D32"/>
    <w:rsid w:val="005C3C6D"/>
    <w:rsid w:val="005C48BD"/>
    <w:rsid w:val="005C4C65"/>
    <w:rsid w:val="005C5099"/>
    <w:rsid w:val="005C650B"/>
    <w:rsid w:val="005C7BEF"/>
    <w:rsid w:val="005C7DE0"/>
    <w:rsid w:val="005D0073"/>
    <w:rsid w:val="005D0584"/>
    <w:rsid w:val="005D0A2F"/>
    <w:rsid w:val="005D0B25"/>
    <w:rsid w:val="005D0B4B"/>
    <w:rsid w:val="005D195C"/>
    <w:rsid w:val="005D2469"/>
    <w:rsid w:val="005D2E4C"/>
    <w:rsid w:val="005D5190"/>
    <w:rsid w:val="005D71E2"/>
    <w:rsid w:val="005D7CFB"/>
    <w:rsid w:val="005E0B4E"/>
    <w:rsid w:val="005E294F"/>
    <w:rsid w:val="005E5BCF"/>
    <w:rsid w:val="005E7966"/>
    <w:rsid w:val="005F0032"/>
    <w:rsid w:val="005F2D6E"/>
    <w:rsid w:val="005F3313"/>
    <w:rsid w:val="005F366F"/>
    <w:rsid w:val="005F3F44"/>
    <w:rsid w:val="005F533B"/>
    <w:rsid w:val="005F557E"/>
    <w:rsid w:val="005F566A"/>
    <w:rsid w:val="005F75E2"/>
    <w:rsid w:val="00600732"/>
    <w:rsid w:val="00600E9E"/>
    <w:rsid w:val="00601407"/>
    <w:rsid w:val="00601687"/>
    <w:rsid w:val="00603C0D"/>
    <w:rsid w:val="0060546E"/>
    <w:rsid w:val="0060664F"/>
    <w:rsid w:val="006104D8"/>
    <w:rsid w:val="00610916"/>
    <w:rsid w:val="006109AB"/>
    <w:rsid w:val="00612246"/>
    <w:rsid w:val="006129D4"/>
    <w:rsid w:val="00612EC4"/>
    <w:rsid w:val="00613FCC"/>
    <w:rsid w:val="00614071"/>
    <w:rsid w:val="00614464"/>
    <w:rsid w:val="00614521"/>
    <w:rsid w:val="00615121"/>
    <w:rsid w:val="00615523"/>
    <w:rsid w:val="00617032"/>
    <w:rsid w:val="00617879"/>
    <w:rsid w:val="00617991"/>
    <w:rsid w:val="0062110B"/>
    <w:rsid w:val="0062264C"/>
    <w:rsid w:val="00625B9B"/>
    <w:rsid w:val="00625D0E"/>
    <w:rsid w:val="00626323"/>
    <w:rsid w:val="00626ED0"/>
    <w:rsid w:val="006271CD"/>
    <w:rsid w:val="006273EF"/>
    <w:rsid w:val="00627B56"/>
    <w:rsid w:val="00630994"/>
    <w:rsid w:val="006319D3"/>
    <w:rsid w:val="00631C6D"/>
    <w:rsid w:val="0063248D"/>
    <w:rsid w:val="00633EC7"/>
    <w:rsid w:val="00634AF4"/>
    <w:rsid w:val="00634DF6"/>
    <w:rsid w:val="00635FD0"/>
    <w:rsid w:val="00636214"/>
    <w:rsid w:val="00641241"/>
    <w:rsid w:val="00641422"/>
    <w:rsid w:val="00641463"/>
    <w:rsid w:val="00641795"/>
    <w:rsid w:val="006438A6"/>
    <w:rsid w:val="00643F2A"/>
    <w:rsid w:val="00645572"/>
    <w:rsid w:val="00645D6F"/>
    <w:rsid w:val="0064679C"/>
    <w:rsid w:val="00647A14"/>
    <w:rsid w:val="00651A5B"/>
    <w:rsid w:val="00652080"/>
    <w:rsid w:val="006540A1"/>
    <w:rsid w:val="00654D35"/>
    <w:rsid w:val="006561EE"/>
    <w:rsid w:val="00657698"/>
    <w:rsid w:val="00657831"/>
    <w:rsid w:val="00657C0B"/>
    <w:rsid w:val="00660A20"/>
    <w:rsid w:val="00660DBC"/>
    <w:rsid w:val="00662AD1"/>
    <w:rsid w:val="00662F3E"/>
    <w:rsid w:val="006636BD"/>
    <w:rsid w:val="006636D6"/>
    <w:rsid w:val="00663A7C"/>
    <w:rsid w:val="00664C46"/>
    <w:rsid w:val="00665785"/>
    <w:rsid w:val="00665A51"/>
    <w:rsid w:val="00666229"/>
    <w:rsid w:val="00667F64"/>
    <w:rsid w:val="00670303"/>
    <w:rsid w:val="00670657"/>
    <w:rsid w:val="006724C3"/>
    <w:rsid w:val="00672A21"/>
    <w:rsid w:val="00672AD1"/>
    <w:rsid w:val="00674AFA"/>
    <w:rsid w:val="00675E82"/>
    <w:rsid w:val="006769FF"/>
    <w:rsid w:val="00676AC2"/>
    <w:rsid w:val="00676CB2"/>
    <w:rsid w:val="00677C90"/>
    <w:rsid w:val="006825B4"/>
    <w:rsid w:val="0068354A"/>
    <w:rsid w:val="00684155"/>
    <w:rsid w:val="0068562F"/>
    <w:rsid w:val="006856F7"/>
    <w:rsid w:val="00685999"/>
    <w:rsid w:val="00686120"/>
    <w:rsid w:val="00686449"/>
    <w:rsid w:val="00687CAE"/>
    <w:rsid w:val="006901FA"/>
    <w:rsid w:val="00690974"/>
    <w:rsid w:val="006939C9"/>
    <w:rsid w:val="00695F22"/>
    <w:rsid w:val="00696BA2"/>
    <w:rsid w:val="006971C0"/>
    <w:rsid w:val="00697B5C"/>
    <w:rsid w:val="00697CCD"/>
    <w:rsid w:val="006A005D"/>
    <w:rsid w:val="006A0256"/>
    <w:rsid w:val="006A0A6C"/>
    <w:rsid w:val="006A0C38"/>
    <w:rsid w:val="006A0CB6"/>
    <w:rsid w:val="006A18CB"/>
    <w:rsid w:val="006A193D"/>
    <w:rsid w:val="006A1CAA"/>
    <w:rsid w:val="006A48A0"/>
    <w:rsid w:val="006A6A1A"/>
    <w:rsid w:val="006A744A"/>
    <w:rsid w:val="006B0105"/>
    <w:rsid w:val="006B0C76"/>
    <w:rsid w:val="006B1A26"/>
    <w:rsid w:val="006B4B28"/>
    <w:rsid w:val="006B526D"/>
    <w:rsid w:val="006B5CB6"/>
    <w:rsid w:val="006B5FE9"/>
    <w:rsid w:val="006B7973"/>
    <w:rsid w:val="006B7A08"/>
    <w:rsid w:val="006B7DAA"/>
    <w:rsid w:val="006C203C"/>
    <w:rsid w:val="006C27B5"/>
    <w:rsid w:val="006C2CE8"/>
    <w:rsid w:val="006C395C"/>
    <w:rsid w:val="006C3C71"/>
    <w:rsid w:val="006C48AF"/>
    <w:rsid w:val="006C4B80"/>
    <w:rsid w:val="006C79F0"/>
    <w:rsid w:val="006D0C36"/>
    <w:rsid w:val="006D3493"/>
    <w:rsid w:val="006D4CFC"/>
    <w:rsid w:val="006D5569"/>
    <w:rsid w:val="006D60F9"/>
    <w:rsid w:val="006D687C"/>
    <w:rsid w:val="006D72EC"/>
    <w:rsid w:val="006D7C57"/>
    <w:rsid w:val="006E07C4"/>
    <w:rsid w:val="006E16B2"/>
    <w:rsid w:val="006E2277"/>
    <w:rsid w:val="006E2BD1"/>
    <w:rsid w:val="006E30FF"/>
    <w:rsid w:val="006E374F"/>
    <w:rsid w:val="006E513B"/>
    <w:rsid w:val="006E53BE"/>
    <w:rsid w:val="006E5C8D"/>
    <w:rsid w:val="006E6107"/>
    <w:rsid w:val="006E6C64"/>
    <w:rsid w:val="006E74DE"/>
    <w:rsid w:val="006F1745"/>
    <w:rsid w:val="006F1CC9"/>
    <w:rsid w:val="006F1E1F"/>
    <w:rsid w:val="006F3504"/>
    <w:rsid w:val="006F602F"/>
    <w:rsid w:val="006F634F"/>
    <w:rsid w:val="006F6CED"/>
    <w:rsid w:val="006F6D7D"/>
    <w:rsid w:val="006F6EDC"/>
    <w:rsid w:val="00700448"/>
    <w:rsid w:val="00700E2D"/>
    <w:rsid w:val="0070122C"/>
    <w:rsid w:val="007016E4"/>
    <w:rsid w:val="00702875"/>
    <w:rsid w:val="00702D41"/>
    <w:rsid w:val="00703912"/>
    <w:rsid w:val="0070753B"/>
    <w:rsid w:val="007078DB"/>
    <w:rsid w:val="0071018E"/>
    <w:rsid w:val="007101F3"/>
    <w:rsid w:val="0071126C"/>
    <w:rsid w:val="00711FC5"/>
    <w:rsid w:val="00712766"/>
    <w:rsid w:val="0071495D"/>
    <w:rsid w:val="00716341"/>
    <w:rsid w:val="00717706"/>
    <w:rsid w:val="0071776F"/>
    <w:rsid w:val="0071787E"/>
    <w:rsid w:val="00720221"/>
    <w:rsid w:val="00720728"/>
    <w:rsid w:val="00720836"/>
    <w:rsid w:val="007246EB"/>
    <w:rsid w:val="0072531D"/>
    <w:rsid w:val="007303EA"/>
    <w:rsid w:val="0073129F"/>
    <w:rsid w:val="00731AF0"/>
    <w:rsid w:val="007330CC"/>
    <w:rsid w:val="007347C0"/>
    <w:rsid w:val="00734E33"/>
    <w:rsid w:val="00735A36"/>
    <w:rsid w:val="00735D24"/>
    <w:rsid w:val="00736834"/>
    <w:rsid w:val="0073705E"/>
    <w:rsid w:val="0074063E"/>
    <w:rsid w:val="00740DFF"/>
    <w:rsid w:val="007425D9"/>
    <w:rsid w:val="00743846"/>
    <w:rsid w:val="00747CE0"/>
    <w:rsid w:val="00747CFC"/>
    <w:rsid w:val="00747E4D"/>
    <w:rsid w:val="0075142D"/>
    <w:rsid w:val="0075183E"/>
    <w:rsid w:val="00751B2F"/>
    <w:rsid w:val="007531C8"/>
    <w:rsid w:val="007534C2"/>
    <w:rsid w:val="007554BC"/>
    <w:rsid w:val="00756B39"/>
    <w:rsid w:val="007570F9"/>
    <w:rsid w:val="0075786B"/>
    <w:rsid w:val="00762004"/>
    <w:rsid w:val="007636BF"/>
    <w:rsid w:val="00766877"/>
    <w:rsid w:val="007672DB"/>
    <w:rsid w:val="0077208B"/>
    <w:rsid w:val="007724E3"/>
    <w:rsid w:val="00773C68"/>
    <w:rsid w:val="00774389"/>
    <w:rsid w:val="0077491E"/>
    <w:rsid w:val="00776085"/>
    <w:rsid w:val="00776434"/>
    <w:rsid w:val="00780821"/>
    <w:rsid w:val="00781E57"/>
    <w:rsid w:val="007825C4"/>
    <w:rsid w:val="007862AA"/>
    <w:rsid w:val="00786B1B"/>
    <w:rsid w:val="0078736D"/>
    <w:rsid w:val="007875FE"/>
    <w:rsid w:val="007905AF"/>
    <w:rsid w:val="00791F3A"/>
    <w:rsid w:val="00792106"/>
    <w:rsid w:val="0079268E"/>
    <w:rsid w:val="0079311C"/>
    <w:rsid w:val="00793CA8"/>
    <w:rsid w:val="00794ABC"/>
    <w:rsid w:val="00794C43"/>
    <w:rsid w:val="0079559C"/>
    <w:rsid w:val="007961E7"/>
    <w:rsid w:val="007A0350"/>
    <w:rsid w:val="007A0362"/>
    <w:rsid w:val="007A0929"/>
    <w:rsid w:val="007A2092"/>
    <w:rsid w:val="007A3241"/>
    <w:rsid w:val="007A380D"/>
    <w:rsid w:val="007A3960"/>
    <w:rsid w:val="007A6A0E"/>
    <w:rsid w:val="007A788C"/>
    <w:rsid w:val="007B0B0C"/>
    <w:rsid w:val="007B1598"/>
    <w:rsid w:val="007B1D54"/>
    <w:rsid w:val="007B283D"/>
    <w:rsid w:val="007B5693"/>
    <w:rsid w:val="007B5FC4"/>
    <w:rsid w:val="007B6934"/>
    <w:rsid w:val="007C0EBD"/>
    <w:rsid w:val="007C147A"/>
    <w:rsid w:val="007C1492"/>
    <w:rsid w:val="007C2143"/>
    <w:rsid w:val="007C38F6"/>
    <w:rsid w:val="007C47D4"/>
    <w:rsid w:val="007C4E97"/>
    <w:rsid w:val="007C5852"/>
    <w:rsid w:val="007C623D"/>
    <w:rsid w:val="007C6B24"/>
    <w:rsid w:val="007C7752"/>
    <w:rsid w:val="007C77EF"/>
    <w:rsid w:val="007D02CC"/>
    <w:rsid w:val="007D032B"/>
    <w:rsid w:val="007D0680"/>
    <w:rsid w:val="007D0C62"/>
    <w:rsid w:val="007D2259"/>
    <w:rsid w:val="007D2A0E"/>
    <w:rsid w:val="007D3253"/>
    <w:rsid w:val="007D55D1"/>
    <w:rsid w:val="007D6FF6"/>
    <w:rsid w:val="007D7993"/>
    <w:rsid w:val="007E0DAD"/>
    <w:rsid w:val="007E1A2E"/>
    <w:rsid w:val="007E4B8E"/>
    <w:rsid w:val="007E4F3E"/>
    <w:rsid w:val="007E5F0F"/>
    <w:rsid w:val="007E61D8"/>
    <w:rsid w:val="007E7334"/>
    <w:rsid w:val="007E78D5"/>
    <w:rsid w:val="007E7D85"/>
    <w:rsid w:val="007F037B"/>
    <w:rsid w:val="007F1AFC"/>
    <w:rsid w:val="007F1F4D"/>
    <w:rsid w:val="007F2024"/>
    <w:rsid w:val="007F2EBC"/>
    <w:rsid w:val="007F3C35"/>
    <w:rsid w:val="007F5AE7"/>
    <w:rsid w:val="007F5FE2"/>
    <w:rsid w:val="007F6BF7"/>
    <w:rsid w:val="007F6CC4"/>
    <w:rsid w:val="007F7277"/>
    <w:rsid w:val="007F7FF1"/>
    <w:rsid w:val="00800C86"/>
    <w:rsid w:val="008011AE"/>
    <w:rsid w:val="00801319"/>
    <w:rsid w:val="00801598"/>
    <w:rsid w:val="00802981"/>
    <w:rsid w:val="00803012"/>
    <w:rsid w:val="00803572"/>
    <w:rsid w:val="008039A6"/>
    <w:rsid w:val="00804A79"/>
    <w:rsid w:val="00810A9C"/>
    <w:rsid w:val="0081139A"/>
    <w:rsid w:val="00811DFE"/>
    <w:rsid w:val="00812242"/>
    <w:rsid w:val="00812626"/>
    <w:rsid w:val="00812A90"/>
    <w:rsid w:val="00813BBE"/>
    <w:rsid w:val="008154AC"/>
    <w:rsid w:val="0082080C"/>
    <w:rsid w:val="0082140A"/>
    <w:rsid w:val="008217F4"/>
    <w:rsid w:val="00821E48"/>
    <w:rsid w:val="008225D8"/>
    <w:rsid w:val="00822653"/>
    <w:rsid w:val="00822F8B"/>
    <w:rsid w:val="00822FA9"/>
    <w:rsid w:val="00823638"/>
    <w:rsid w:val="008240F7"/>
    <w:rsid w:val="00824B4E"/>
    <w:rsid w:val="0082534B"/>
    <w:rsid w:val="0082640E"/>
    <w:rsid w:val="00827A11"/>
    <w:rsid w:val="0083099B"/>
    <w:rsid w:val="00830DBB"/>
    <w:rsid w:val="008311EA"/>
    <w:rsid w:val="00831EEC"/>
    <w:rsid w:val="008336A0"/>
    <w:rsid w:val="00833984"/>
    <w:rsid w:val="0083400A"/>
    <w:rsid w:val="0083413C"/>
    <w:rsid w:val="008344B9"/>
    <w:rsid w:val="00834703"/>
    <w:rsid w:val="008348EB"/>
    <w:rsid w:val="008352C3"/>
    <w:rsid w:val="008360A0"/>
    <w:rsid w:val="00837797"/>
    <w:rsid w:val="00837A34"/>
    <w:rsid w:val="008401C2"/>
    <w:rsid w:val="0084336D"/>
    <w:rsid w:val="008434AC"/>
    <w:rsid w:val="008438C2"/>
    <w:rsid w:val="00843F36"/>
    <w:rsid w:val="00844B7D"/>
    <w:rsid w:val="00844EB7"/>
    <w:rsid w:val="008455B9"/>
    <w:rsid w:val="00845DD8"/>
    <w:rsid w:val="00846758"/>
    <w:rsid w:val="00847116"/>
    <w:rsid w:val="00850250"/>
    <w:rsid w:val="0085216B"/>
    <w:rsid w:val="008532C8"/>
    <w:rsid w:val="00853627"/>
    <w:rsid w:val="00854DD4"/>
    <w:rsid w:val="008550CB"/>
    <w:rsid w:val="00856850"/>
    <w:rsid w:val="00857874"/>
    <w:rsid w:val="00860944"/>
    <w:rsid w:val="00861577"/>
    <w:rsid w:val="00861BE5"/>
    <w:rsid w:val="008621D9"/>
    <w:rsid w:val="0086229A"/>
    <w:rsid w:val="00862692"/>
    <w:rsid w:val="00862B85"/>
    <w:rsid w:val="00862C60"/>
    <w:rsid w:val="00863408"/>
    <w:rsid w:val="00863A25"/>
    <w:rsid w:val="00866806"/>
    <w:rsid w:val="00867205"/>
    <w:rsid w:val="00867773"/>
    <w:rsid w:val="008706AC"/>
    <w:rsid w:val="00870779"/>
    <w:rsid w:val="00871517"/>
    <w:rsid w:val="00873A28"/>
    <w:rsid w:val="0087570B"/>
    <w:rsid w:val="00875A7E"/>
    <w:rsid w:val="008762FC"/>
    <w:rsid w:val="00877554"/>
    <w:rsid w:val="00877AFD"/>
    <w:rsid w:val="00877C98"/>
    <w:rsid w:val="00880811"/>
    <w:rsid w:val="00880D25"/>
    <w:rsid w:val="00882560"/>
    <w:rsid w:val="00882C80"/>
    <w:rsid w:val="008875A4"/>
    <w:rsid w:val="00891368"/>
    <w:rsid w:val="00891DA3"/>
    <w:rsid w:val="00892DDD"/>
    <w:rsid w:val="00893252"/>
    <w:rsid w:val="008939DF"/>
    <w:rsid w:val="00895405"/>
    <w:rsid w:val="00895960"/>
    <w:rsid w:val="00896C52"/>
    <w:rsid w:val="00897F1B"/>
    <w:rsid w:val="008A022D"/>
    <w:rsid w:val="008A18A9"/>
    <w:rsid w:val="008A3849"/>
    <w:rsid w:val="008A39DE"/>
    <w:rsid w:val="008A40DF"/>
    <w:rsid w:val="008A42AF"/>
    <w:rsid w:val="008A47FF"/>
    <w:rsid w:val="008A65E6"/>
    <w:rsid w:val="008A712A"/>
    <w:rsid w:val="008A7CF1"/>
    <w:rsid w:val="008B0866"/>
    <w:rsid w:val="008B10A6"/>
    <w:rsid w:val="008B10A8"/>
    <w:rsid w:val="008B1485"/>
    <w:rsid w:val="008B1EE1"/>
    <w:rsid w:val="008B250A"/>
    <w:rsid w:val="008B300E"/>
    <w:rsid w:val="008B3AFF"/>
    <w:rsid w:val="008B48DA"/>
    <w:rsid w:val="008B5C1C"/>
    <w:rsid w:val="008B6ADC"/>
    <w:rsid w:val="008B6BC9"/>
    <w:rsid w:val="008B7484"/>
    <w:rsid w:val="008B780E"/>
    <w:rsid w:val="008B7E2F"/>
    <w:rsid w:val="008C0A30"/>
    <w:rsid w:val="008C0BB7"/>
    <w:rsid w:val="008C2311"/>
    <w:rsid w:val="008C2CCE"/>
    <w:rsid w:val="008C450E"/>
    <w:rsid w:val="008C4B29"/>
    <w:rsid w:val="008C5AA6"/>
    <w:rsid w:val="008C6FC8"/>
    <w:rsid w:val="008C7157"/>
    <w:rsid w:val="008C7327"/>
    <w:rsid w:val="008D1266"/>
    <w:rsid w:val="008D2521"/>
    <w:rsid w:val="008D348D"/>
    <w:rsid w:val="008D473C"/>
    <w:rsid w:val="008D50F3"/>
    <w:rsid w:val="008D62D1"/>
    <w:rsid w:val="008D67B4"/>
    <w:rsid w:val="008D685B"/>
    <w:rsid w:val="008D742E"/>
    <w:rsid w:val="008E062F"/>
    <w:rsid w:val="008E0BD8"/>
    <w:rsid w:val="008E0F57"/>
    <w:rsid w:val="008E1912"/>
    <w:rsid w:val="008E1997"/>
    <w:rsid w:val="008E2457"/>
    <w:rsid w:val="008E2955"/>
    <w:rsid w:val="008E2F2C"/>
    <w:rsid w:val="008E300C"/>
    <w:rsid w:val="008E388E"/>
    <w:rsid w:val="008E38E1"/>
    <w:rsid w:val="008E5D7A"/>
    <w:rsid w:val="008E610E"/>
    <w:rsid w:val="008E7381"/>
    <w:rsid w:val="008E746D"/>
    <w:rsid w:val="008F04D7"/>
    <w:rsid w:val="008F0AF6"/>
    <w:rsid w:val="008F3CA1"/>
    <w:rsid w:val="008F4DCC"/>
    <w:rsid w:val="008F50FD"/>
    <w:rsid w:val="008F527A"/>
    <w:rsid w:val="008F5436"/>
    <w:rsid w:val="008F5CC3"/>
    <w:rsid w:val="008F6098"/>
    <w:rsid w:val="008F6319"/>
    <w:rsid w:val="00901A1B"/>
    <w:rsid w:val="00902185"/>
    <w:rsid w:val="00902EC8"/>
    <w:rsid w:val="009032A5"/>
    <w:rsid w:val="009038EC"/>
    <w:rsid w:val="00903DF6"/>
    <w:rsid w:val="00904892"/>
    <w:rsid w:val="00906BC0"/>
    <w:rsid w:val="0091035E"/>
    <w:rsid w:val="0091056C"/>
    <w:rsid w:val="009108F4"/>
    <w:rsid w:val="00910ECB"/>
    <w:rsid w:val="00912197"/>
    <w:rsid w:val="00912613"/>
    <w:rsid w:val="00912B00"/>
    <w:rsid w:val="00912DFA"/>
    <w:rsid w:val="00914729"/>
    <w:rsid w:val="0091485B"/>
    <w:rsid w:val="00914A10"/>
    <w:rsid w:val="0091528D"/>
    <w:rsid w:val="00915AE1"/>
    <w:rsid w:val="00917F39"/>
    <w:rsid w:val="00920B1E"/>
    <w:rsid w:val="00922065"/>
    <w:rsid w:val="009225DF"/>
    <w:rsid w:val="00922B7D"/>
    <w:rsid w:val="0092336D"/>
    <w:rsid w:val="00925120"/>
    <w:rsid w:val="0092545A"/>
    <w:rsid w:val="009259A2"/>
    <w:rsid w:val="00925C31"/>
    <w:rsid w:val="0092708B"/>
    <w:rsid w:val="0092723B"/>
    <w:rsid w:val="00932CD9"/>
    <w:rsid w:val="00933E40"/>
    <w:rsid w:val="00935473"/>
    <w:rsid w:val="00936528"/>
    <w:rsid w:val="00936EDC"/>
    <w:rsid w:val="0093757E"/>
    <w:rsid w:val="0094664A"/>
    <w:rsid w:val="009468C5"/>
    <w:rsid w:val="009469C4"/>
    <w:rsid w:val="0095157A"/>
    <w:rsid w:val="00953036"/>
    <w:rsid w:val="0095352A"/>
    <w:rsid w:val="00954E6E"/>
    <w:rsid w:val="00955CD9"/>
    <w:rsid w:val="00956CB0"/>
    <w:rsid w:val="00956D4A"/>
    <w:rsid w:val="0095726D"/>
    <w:rsid w:val="00957F38"/>
    <w:rsid w:val="00960690"/>
    <w:rsid w:val="009609A1"/>
    <w:rsid w:val="00963984"/>
    <w:rsid w:val="00964755"/>
    <w:rsid w:val="0096598F"/>
    <w:rsid w:val="00965DA3"/>
    <w:rsid w:val="00965FA6"/>
    <w:rsid w:val="009665A1"/>
    <w:rsid w:val="009704E6"/>
    <w:rsid w:val="00970BB2"/>
    <w:rsid w:val="00972069"/>
    <w:rsid w:val="0097229D"/>
    <w:rsid w:val="00974D58"/>
    <w:rsid w:val="00975036"/>
    <w:rsid w:val="00977B73"/>
    <w:rsid w:val="009818F8"/>
    <w:rsid w:val="00982219"/>
    <w:rsid w:val="00982399"/>
    <w:rsid w:val="009826DF"/>
    <w:rsid w:val="00982996"/>
    <w:rsid w:val="00983B7A"/>
    <w:rsid w:val="00984401"/>
    <w:rsid w:val="00984ADD"/>
    <w:rsid w:val="009853AF"/>
    <w:rsid w:val="00985556"/>
    <w:rsid w:val="00985C78"/>
    <w:rsid w:val="00986A42"/>
    <w:rsid w:val="00990F8A"/>
    <w:rsid w:val="00991D7A"/>
    <w:rsid w:val="00992441"/>
    <w:rsid w:val="0099386E"/>
    <w:rsid w:val="00993F32"/>
    <w:rsid w:val="009946E1"/>
    <w:rsid w:val="009949AF"/>
    <w:rsid w:val="00995A7E"/>
    <w:rsid w:val="009976F4"/>
    <w:rsid w:val="00997AA2"/>
    <w:rsid w:val="009A0270"/>
    <w:rsid w:val="009A150E"/>
    <w:rsid w:val="009A33C1"/>
    <w:rsid w:val="009A38F6"/>
    <w:rsid w:val="009A3C3A"/>
    <w:rsid w:val="009A634A"/>
    <w:rsid w:val="009A69B0"/>
    <w:rsid w:val="009B10D9"/>
    <w:rsid w:val="009B1BCB"/>
    <w:rsid w:val="009B40DA"/>
    <w:rsid w:val="009B55A2"/>
    <w:rsid w:val="009B671D"/>
    <w:rsid w:val="009B73B5"/>
    <w:rsid w:val="009B7427"/>
    <w:rsid w:val="009C0870"/>
    <w:rsid w:val="009C0FCD"/>
    <w:rsid w:val="009C2A88"/>
    <w:rsid w:val="009C3841"/>
    <w:rsid w:val="009C3C64"/>
    <w:rsid w:val="009C44FC"/>
    <w:rsid w:val="009C46F3"/>
    <w:rsid w:val="009C4D2B"/>
    <w:rsid w:val="009C564F"/>
    <w:rsid w:val="009C60B3"/>
    <w:rsid w:val="009C617E"/>
    <w:rsid w:val="009C6CD0"/>
    <w:rsid w:val="009C74C6"/>
    <w:rsid w:val="009C7D66"/>
    <w:rsid w:val="009D03D9"/>
    <w:rsid w:val="009D07AF"/>
    <w:rsid w:val="009D1026"/>
    <w:rsid w:val="009D16E5"/>
    <w:rsid w:val="009D1CC7"/>
    <w:rsid w:val="009D20B7"/>
    <w:rsid w:val="009D2E5B"/>
    <w:rsid w:val="009D3356"/>
    <w:rsid w:val="009D6A04"/>
    <w:rsid w:val="009D6B03"/>
    <w:rsid w:val="009D7391"/>
    <w:rsid w:val="009E00E9"/>
    <w:rsid w:val="009E0D85"/>
    <w:rsid w:val="009E3D32"/>
    <w:rsid w:val="009E3E6C"/>
    <w:rsid w:val="009E581A"/>
    <w:rsid w:val="009E5B4D"/>
    <w:rsid w:val="009E6150"/>
    <w:rsid w:val="009E652A"/>
    <w:rsid w:val="009E6DA3"/>
    <w:rsid w:val="009F035D"/>
    <w:rsid w:val="009F1794"/>
    <w:rsid w:val="009F1926"/>
    <w:rsid w:val="009F2A50"/>
    <w:rsid w:val="009F3268"/>
    <w:rsid w:val="009F3EC1"/>
    <w:rsid w:val="009F48C0"/>
    <w:rsid w:val="009F6941"/>
    <w:rsid w:val="009F6A40"/>
    <w:rsid w:val="00A003F4"/>
    <w:rsid w:val="00A00984"/>
    <w:rsid w:val="00A00F65"/>
    <w:rsid w:val="00A01C99"/>
    <w:rsid w:val="00A02805"/>
    <w:rsid w:val="00A02B20"/>
    <w:rsid w:val="00A04EC2"/>
    <w:rsid w:val="00A07C29"/>
    <w:rsid w:val="00A07CCC"/>
    <w:rsid w:val="00A10010"/>
    <w:rsid w:val="00A1253A"/>
    <w:rsid w:val="00A1402E"/>
    <w:rsid w:val="00A152EB"/>
    <w:rsid w:val="00A16915"/>
    <w:rsid w:val="00A172DA"/>
    <w:rsid w:val="00A176FF"/>
    <w:rsid w:val="00A17BD7"/>
    <w:rsid w:val="00A17DEB"/>
    <w:rsid w:val="00A2057E"/>
    <w:rsid w:val="00A22B5B"/>
    <w:rsid w:val="00A23853"/>
    <w:rsid w:val="00A23F7A"/>
    <w:rsid w:val="00A26D8E"/>
    <w:rsid w:val="00A26F9B"/>
    <w:rsid w:val="00A27EC9"/>
    <w:rsid w:val="00A306B5"/>
    <w:rsid w:val="00A30AAF"/>
    <w:rsid w:val="00A3127D"/>
    <w:rsid w:val="00A318A4"/>
    <w:rsid w:val="00A31EDE"/>
    <w:rsid w:val="00A33BD7"/>
    <w:rsid w:val="00A34F27"/>
    <w:rsid w:val="00A362EF"/>
    <w:rsid w:val="00A3666D"/>
    <w:rsid w:val="00A36716"/>
    <w:rsid w:val="00A3786A"/>
    <w:rsid w:val="00A40829"/>
    <w:rsid w:val="00A425D3"/>
    <w:rsid w:val="00A433B0"/>
    <w:rsid w:val="00A44B56"/>
    <w:rsid w:val="00A464F0"/>
    <w:rsid w:val="00A46922"/>
    <w:rsid w:val="00A46AC1"/>
    <w:rsid w:val="00A470BB"/>
    <w:rsid w:val="00A4798E"/>
    <w:rsid w:val="00A53161"/>
    <w:rsid w:val="00A5477B"/>
    <w:rsid w:val="00A54910"/>
    <w:rsid w:val="00A54D6D"/>
    <w:rsid w:val="00A557B4"/>
    <w:rsid w:val="00A56817"/>
    <w:rsid w:val="00A56F80"/>
    <w:rsid w:val="00A61ADD"/>
    <w:rsid w:val="00A61F22"/>
    <w:rsid w:val="00A628DD"/>
    <w:rsid w:val="00A64245"/>
    <w:rsid w:val="00A64EEB"/>
    <w:rsid w:val="00A65192"/>
    <w:rsid w:val="00A656A3"/>
    <w:rsid w:val="00A656CC"/>
    <w:rsid w:val="00A6570E"/>
    <w:rsid w:val="00A6585D"/>
    <w:rsid w:val="00A65F51"/>
    <w:rsid w:val="00A66A4D"/>
    <w:rsid w:val="00A67029"/>
    <w:rsid w:val="00A676A0"/>
    <w:rsid w:val="00A677FA"/>
    <w:rsid w:val="00A7180F"/>
    <w:rsid w:val="00A718D5"/>
    <w:rsid w:val="00A71C33"/>
    <w:rsid w:val="00A7208C"/>
    <w:rsid w:val="00A729F5"/>
    <w:rsid w:val="00A72CC7"/>
    <w:rsid w:val="00A73EB9"/>
    <w:rsid w:val="00A750E2"/>
    <w:rsid w:val="00A7518E"/>
    <w:rsid w:val="00A75B02"/>
    <w:rsid w:val="00A75CB6"/>
    <w:rsid w:val="00A80151"/>
    <w:rsid w:val="00A8072F"/>
    <w:rsid w:val="00A80F1F"/>
    <w:rsid w:val="00A839F4"/>
    <w:rsid w:val="00A83CF0"/>
    <w:rsid w:val="00A83E58"/>
    <w:rsid w:val="00A83E5D"/>
    <w:rsid w:val="00A9002C"/>
    <w:rsid w:val="00A90337"/>
    <w:rsid w:val="00A90793"/>
    <w:rsid w:val="00A90F6D"/>
    <w:rsid w:val="00A91214"/>
    <w:rsid w:val="00A91835"/>
    <w:rsid w:val="00A91C6E"/>
    <w:rsid w:val="00A92805"/>
    <w:rsid w:val="00A92E77"/>
    <w:rsid w:val="00A9373D"/>
    <w:rsid w:val="00A93B94"/>
    <w:rsid w:val="00A94F0E"/>
    <w:rsid w:val="00A94F22"/>
    <w:rsid w:val="00A9537B"/>
    <w:rsid w:val="00A97201"/>
    <w:rsid w:val="00A97394"/>
    <w:rsid w:val="00A97FC9"/>
    <w:rsid w:val="00AA0A8F"/>
    <w:rsid w:val="00AA20A3"/>
    <w:rsid w:val="00AA2246"/>
    <w:rsid w:val="00AA27D7"/>
    <w:rsid w:val="00AA3800"/>
    <w:rsid w:val="00AA3BA7"/>
    <w:rsid w:val="00AA55E6"/>
    <w:rsid w:val="00AA76F0"/>
    <w:rsid w:val="00AB082F"/>
    <w:rsid w:val="00AB116F"/>
    <w:rsid w:val="00AB1CB7"/>
    <w:rsid w:val="00AB2EEF"/>
    <w:rsid w:val="00AB6F39"/>
    <w:rsid w:val="00AC0402"/>
    <w:rsid w:val="00AC04C4"/>
    <w:rsid w:val="00AC342A"/>
    <w:rsid w:val="00AC44FF"/>
    <w:rsid w:val="00AC7270"/>
    <w:rsid w:val="00AC741F"/>
    <w:rsid w:val="00AC7505"/>
    <w:rsid w:val="00AD071D"/>
    <w:rsid w:val="00AD13BC"/>
    <w:rsid w:val="00AD2DE7"/>
    <w:rsid w:val="00AD2FA0"/>
    <w:rsid w:val="00AD37FB"/>
    <w:rsid w:val="00AD42A1"/>
    <w:rsid w:val="00AD52F8"/>
    <w:rsid w:val="00AD5398"/>
    <w:rsid w:val="00AD6698"/>
    <w:rsid w:val="00AD6A23"/>
    <w:rsid w:val="00AD6E5C"/>
    <w:rsid w:val="00AD6FAB"/>
    <w:rsid w:val="00AD730D"/>
    <w:rsid w:val="00AE0902"/>
    <w:rsid w:val="00AE0B4C"/>
    <w:rsid w:val="00AE26B4"/>
    <w:rsid w:val="00AE424A"/>
    <w:rsid w:val="00AE578B"/>
    <w:rsid w:val="00AE77B5"/>
    <w:rsid w:val="00AF12AD"/>
    <w:rsid w:val="00AF2018"/>
    <w:rsid w:val="00AF301B"/>
    <w:rsid w:val="00AF3275"/>
    <w:rsid w:val="00AF3CBA"/>
    <w:rsid w:val="00AF5C7B"/>
    <w:rsid w:val="00AF5F98"/>
    <w:rsid w:val="00AF6617"/>
    <w:rsid w:val="00AF6C26"/>
    <w:rsid w:val="00AF7683"/>
    <w:rsid w:val="00AF7EA3"/>
    <w:rsid w:val="00B005FF"/>
    <w:rsid w:val="00B00D35"/>
    <w:rsid w:val="00B02BA0"/>
    <w:rsid w:val="00B02D53"/>
    <w:rsid w:val="00B02DF7"/>
    <w:rsid w:val="00B03446"/>
    <w:rsid w:val="00B03F0D"/>
    <w:rsid w:val="00B05427"/>
    <w:rsid w:val="00B054AB"/>
    <w:rsid w:val="00B1189B"/>
    <w:rsid w:val="00B132E9"/>
    <w:rsid w:val="00B1341D"/>
    <w:rsid w:val="00B139F5"/>
    <w:rsid w:val="00B14A57"/>
    <w:rsid w:val="00B15C66"/>
    <w:rsid w:val="00B1647C"/>
    <w:rsid w:val="00B17571"/>
    <w:rsid w:val="00B17C07"/>
    <w:rsid w:val="00B20163"/>
    <w:rsid w:val="00B21064"/>
    <w:rsid w:val="00B211B4"/>
    <w:rsid w:val="00B21CE0"/>
    <w:rsid w:val="00B23DDF"/>
    <w:rsid w:val="00B24389"/>
    <w:rsid w:val="00B2466A"/>
    <w:rsid w:val="00B24FE3"/>
    <w:rsid w:val="00B256DC"/>
    <w:rsid w:val="00B25BDF"/>
    <w:rsid w:val="00B2601D"/>
    <w:rsid w:val="00B2735A"/>
    <w:rsid w:val="00B32428"/>
    <w:rsid w:val="00B329D5"/>
    <w:rsid w:val="00B33EBA"/>
    <w:rsid w:val="00B35A46"/>
    <w:rsid w:val="00B35C22"/>
    <w:rsid w:val="00B35E7C"/>
    <w:rsid w:val="00B36AB1"/>
    <w:rsid w:val="00B37983"/>
    <w:rsid w:val="00B37BA3"/>
    <w:rsid w:val="00B42123"/>
    <w:rsid w:val="00B427E3"/>
    <w:rsid w:val="00B4379F"/>
    <w:rsid w:val="00B44A09"/>
    <w:rsid w:val="00B4530F"/>
    <w:rsid w:val="00B47C04"/>
    <w:rsid w:val="00B50F6B"/>
    <w:rsid w:val="00B51972"/>
    <w:rsid w:val="00B520B0"/>
    <w:rsid w:val="00B5327B"/>
    <w:rsid w:val="00B534C5"/>
    <w:rsid w:val="00B54EA4"/>
    <w:rsid w:val="00B55EA1"/>
    <w:rsid w:val="00B60218"/>
    <w:rsid w:val="00B60B76"/>
    <w:rsid w:val="00B624A5"/>
    <w:rsid w:val="00B640B4"/>
    <w:rsid w:val="00B650FE"/>
    <w:rsid w:val="00B66927"/>
    <w:rsid w:val="00B6762D"/>
    <w:rsid w:val="00B6784D"/>
    <w:rsid w:val="00B67B3A"/>
    <w:rsid w:val="00B67F6E"/>
    <w:rsid w:val="00B67FCE"/>
    <w:rsid w:val="00B70BF9"/>
    <w:rsid w:val="00B71745"/>
    <w:rsid w:val="00B724CE"/>
    <w:rsid w:val="00B72C6B"/>
    <w:rsid w:val="00B735E8"/>
    <w:rsid w:val="00B736A9"/>
    <w:rsid w:val="00B73A54"/>
    <w:rsid w:val="00B74005"/>
    <w:rsid w:val="00B7632F"/>
    <w:rsid w:val="00B80EB7"/>
    <w:rsid w:val="00B80F1A"/>
    <w:rsid w:val="00B81136"/>
    <w:rsid w:val="00B81FA6"/>
    <w:rsid w:val="00B82A4D"/>
    <w:rsid w:val="00B84773"/>
    <w:rsid w:val="00B84831"/>
    <w:rsid w:val="00B852AB"/>
    <w:rsid w:val="00B86C5F"/>
    <w:rsid w:val="00B87F8A"/>
    <w:rsid w:val="00B90FC6"/>
    <w:rsid w:val="00B935AF"/>
    <w:rsid w:val="00B94A75"/>
    <w:rsid w:val="00B95B63"/>
    <w:rsid w:val="00B978D2"/>
    <w:rsid w:val="00B97ADE"/>
    <w:rsid w:val="00B97DA7"/>
    <w:rsid w:val="00B97E1D"/>
    <w:rsid w:val="00BA0B21"/>
    <w:rsid w:val="00BA0D84"/>
    <w:rsid w:val="00BA0F68"/>
    <w:rsid w:val="00BA4A33"/>
    <w:rsid w:val="00BA502C"/>
    <w:rsid w:val="00BA505A"/>
    <w:rsid w:val="00BA7056"/>
    <w:rsid w:val="00BA7D84"/>
    <w:rsid w:val="00BB0E13"/>
    <w:rsid w:val="00BB15E1"/>
    <w:rsid w:val="00BB1DB7"/>
    <w:rsid w:val="00BB2AC0"/>
    <w:rsid w:val="00BB31B8"/>
    <w:rsid w:val="00BB3AE7"/>
    <w:rsid w:val="00BB6C3F"/>
    <w:rsid w:val="00BB7C76"/>
    <w:rsid w:val="00BC00D2"/>
    <w:rsid w:val="00BC0407"/>
    <w:rsid w:val="00BC1685"/>
    <w:rsid w:val="00BC1FAE"/>
    <w:rsid w:val="00BC2096"/>
    <w:rsid w:val="00BC2D27"/>
    <w:rsid w:val="00BC2D4E"/>
    <w:rsid w:val="00BC327C"/>
    <w:rsid w:val="00BC38B9"/>
    <w:rsid w:val="00BC3E49"/>
    <w:rsid w:val="00BC520E"/>
    <w:rsid w:val="00BC5921"/>
    <w:rsid w:val="00BC6651"/>
    <w:rsid w:val="00BC6737"/>
    <w:rsid w:val="00BD048D"/>
    <w:rsid w:val="00BD1064"/>
    <w:rsid w:val="00BD19ED"/>
    <w:rsid w:val="00BD1F9F"/>
    <w:rsid w:val="00BD2C75"/>
    <w:rsid w:val="00BD2F20"/>
    <w:rsid w:val="00BD4059"/>
    <w:rsid w:val="00BE0565"/>
    <w:rsid w:val="00BE0EE1"/>
    <w:rsid w:val="00BE10CF"/>
    <w:rsid w:val="00BE1483"/>
    <w:rsid w:val="00BE1BB6"/>
    <w:rsid w:val="00BE26AD"/>
    <w:rsid w:val="00BE34AD"/>
    <w:rsid w:val="00BE4BF8"/>
    <w:rsid w:val="00BF01A1"/>
    <w:rsid w:val="00BF077A"/>
    <w:rsid w:val="00BF1168"/>
    <w:rsid w:val="00BF3636"/>
    <w:rsid w:val="00BF37DB"/>
    <w:rsid w:val="00BF3CEC"/>
    <w:rsid w:val="00BF487E"/>
    <w:rsid w:val="00BF69B1"/>
    <w:rsid w:val="00BF6A20"/>
    <w:rsid w:val="00C00167"/>
    <w:rsid w:val="00C00DBC"/>
    <w:rsid w:val="00C01A50"/>
    <w:rsid w:val="00C01B00"/>
    <w:rsid w:val="00C01DBC"/>
    <w:rsid w:val="00C02AD4"/>
    <w:rsid w:val="00C03D01"/>
    <w:rsid w:val="00C0520D"/>
    <w:rsid w:val="00C05E3D"/>
    <w:rsid w:val="00C0604B"/>
    <w:rsid w:val="00C0784F"/>
    <w:rsid w:val="00C10118"/>
    <w:rsid w:val="00C108B5"/>
    <w:rsid w:val="00C10D55"/>
    <w:rsid w:val="00C113FE"/>
    <w:rsid w:val="00C11DFC"/>
    <w:rsid w:val="00C12256"/>
    <w:rsid w:val="00C1300A"/>
    <w:rsid w:val="00C13ACE"/>
    <w:rsid w:val="00C14EF1"/>
    <w:rsid w:val="00C16D1E"/>
    <w:rsid w:val="00C17642"/>
    <w:rsid w:val="00C1789A"/>
    <w:rsid w:val="00C20A90"/>
    <w:rsid w:val="00C21069"/>
    <w:rsid w:val="00C215BA"/>
    <w:rsid w:val="00C21C9F"/>
    <w:rsid w:val="00C21EC2"/>
    <w:rsid w:val="00C2405C"/>
    <w:rsid w:val="00C242F6"/>
    <w:rsid w:val="00C25365"/>
    <w:rsid w:val="00C25464"/>
    <w:rsid w:val="00C2759C"/>
    <w:rsid w:val="00C27A7B"/>
    <w:rsid w:val="00C27D91"/>
    <w:rsid w:val="00C3105B"/>
    <w:rsid w:val="00C31084"/>
    <w:rsid w:val="00C312DB"/>
    <w:rsid w:val="00C31EF0"/>
    <w:rsid w:val="00C32671"/>
    <w:rsid w:val="00C326E3"/>
    <w:rsid w:val="00C32CCF"/>
    <w:rsid w:val="00C33F4C"/>
    <w:rsid w:val="00C33F8C"/>
    <w:rsid w:val="00C3415A"/>
    <w:rsid w:val="00C345DD"/>
    <w:rsid w:val="00C34DA8"/>
    <w:rsid w:val="00C34E12"/>
    <w:rsid w:val="00C35263"/>
    <w:rsid w:val="00C35BFA"/>
    <w:rsid w:val="00C376D8"/>
    <w:rsid w:val="00C37C92"/>
    <w:rsid w:val="00C436B0"/>
    <w:rsid w:val="00C43725"/>
    <w:rsid w:val="00C447D9"/>
    <w:rsid w:val="00C45337"/>
    <w:rsid w:val="00C46641"/>
    <w:rsid w:val="00C47B69"/>
    <w:rsid w:val="00C47E11"/>
    <w:rsid w:val="00C47EE8"/>
    <w:rsid w:val="00C510FF"/>
    <w:rsid w:val="00C5125B"/>
    <w:rsid w:val="00C5161B"/>
    <w:rsid w:val="00C5213D"/>
    <w:rsid w:val="00C52F12"/>
    <w:rsid w:val="00C54071"/>
    <w:rsid w:val="00C540D3"/>
    <w:rsid w:val="00C572BA"/>
    <w:rsid w:val="00C60559"/>
    <w:rsid w:val="00C61737"/>
    <w:rsid w:val="00C61AE7"/>
    <w:rsid w:val="00C6263C"/>
    <w:rsid w:val="00C626B1"/>
    <w:rsid w:val="00C626FF"/>
    <w:rsid w:val="00C65BF0"/>
    <w:rsid w:val="00C668DB"/>
    <w:rsid w:val="00C6692B"/>
    <w:rsid w:val="00C6790B"/>
    <w:rsid w:val="00C70BE7"/>
    <w:rsid w:val="00C71803"/>
    <w:rsid w:val="00C71BE0"/>
    <w:rsid w:val="00C71C86"/>
    <w:rsid w:val="00C72145"/>
    <w:rsid w:val="00C72E9E"/>
    <w:rsid w:val="00C73B6F"/>
    <w:rsid w:val="00C7429B"/>
    <w:rsid w:val="00C74675"/>
    <w:rsid w:val="00C747BC"/>
    <w:rsid w:val="00C75408"/>
    <w:rsid w:val="00C760F5"/>
    <w:rsid w:val="00C77BD3"/>
    <w:rsid w:val="00C77C67"/>
    <w:rsid w:val="00C77D8C"/>
    <w:rsid w:val="00C814E9"/>
    <w:rsid w:val="00C829F9"/>
    <w:rsid w:val="00C82DA1"/>
    <w:rsid w:val="00C8325D"/>
    <w:rsid w:val="00C83968"/>
    <w:rsid w:val="00C8472B"/>
    <w:rsid w:val="00C85A0D"/>
    <w:rsid w:val="00C8640F"/>
    <w:rsid w:val="00C87D83"/>
    <w:rsid w:val="00C87DAC"/>
    <w:rsid w:val="00C87EC9"/>
    <w:rsid w:val="00C903DB"/>
    <w:rsid w:val="00C90D76"/>
    <w:rsid w:val="00C911F5"/>
    <w:rsid w:val="00C915DC"/>
    <w:rsid w:val="00C918FB"/>
    <w:rsid w:val="00C919FE"/>
    <w:rsid w:val="00C9214B"/>
    <w:rsid w:val="00C950D3"/>
    <w:rsid w:val="00C9522A"/>
    <w:rsid w:val="00C955F7"/>
    <w:rsid w:val="00C97562"/>
    <w:rsid w:val="00CA015C"/>
    <w:rsid w:val="00CA05AD"/>
    <w:rsid w:val="00CA087A"/>
    <w:rsid w:val="00CA0A9E"/>
    <w:rsid w:val="00CA0E48"/>
    <w:rsid w:val="00CA0FF9"/>
    <w:rsid w:val="00CA42E6"/>
    <w:rsid w:val="00CA461B"/>
    <w:rsid w:val="00CA494D"/>
    <w:rsid w:val="00CA609F"/>
    <w:rsid w:val="00CA65C8"/>
    <w:rsid w:val="00CA694C"/>
    <w:rsid w:val="00CA760D"/>
    <w:rsid w:val="00CA7AD9"/>
    <w:rsid w:val="00CB00DD"/>
    <w:rsid w:val="00CB1084"/>
    <w:rsid w:val="00CB1521"/>
    <w:rsid w:val="00CB3E85"/>
    <w:rsid w:val="00CB4735"/>
    <w:rsid w:val="00CB619A"/>
    <w:rsid w:val="00CB6E5E"/>
    <w:rsid w:val="00CB7524"/>
    <w:rsid w:val="00CC23A0"/>
    <w:rsid w:val="00CC4392"/>
    <w:rsid w:val="00CC4755"/>
    <w:rsid w:val="00CC5E2A"/>
    <w:rsid w:val="00CC7FC5"/>
    <w:rsid w:val="00CD0B81"/>
    <w:rsid w:val="00CD0CBB"/>
    <w:rsid w:val="00CD325F"/>
    <w:rsid w:val="00CD3C5A"/>
    <w:rsid w:val="00CD479B"/>
    <w:rsid w:val="00CD4DE0"/>
    <w:rsid w:val="00CD4FEE"/>
    <w:rsid w:val="00CD52D3"/>
    <w:rsid w:val="00CD5E37"/>
    <w:rsid w:val="00CD601B"/>
    <w:rsid w:val="00CD6496"/>
    <w:rsid w:val="00CD64EC"/>
    <w:rsid w:val="00CE09C2"/>
    <w:rsid w:val="00CE0B8D"/>
    <w:rsid w:val="00CE148E"/>
    <w:rsid w:val="00CE3340"/>
    <w:rsid w:val="00CE394E"/>
    <w:rsid w:val="00CE40F3"/>
    <w:rsid w:val="00CE45B5"/>
    <w:rsid w:val="00CE470A"/>
    <w:rsid w:val="00CE5163"/>
    <w:rsid w:val="00CE64C5"/>
    <w:rsid w:val="00CE792C"/>
    <w:rsid w:val="00CF0A21"/>
    <w:rsid w:val="00CF0E0E"/>
    <w:rsid w:val="00CF2E26"/>
    <w:rsid w:val="00CF3481"/>
    <w:rsid w:val="00CF3BAC"/>
    <w:rsid w:val="00CF51F1"/>
    <w:rsid w:val="00CF5485"/>
    <w:rsid w:val="00CF5671"/>
    <w:rsid w:val="00CF5E95"/>
    <w:rsid w:val="00CF5EE1"/>
    <w:rsid w:val="00CF7018"/>
    <w:rsid w:val="00CF715F"/>
    <w:rsid w:val="00CF71B4"/>
    <w:rsid w:val="00CF732B"/>
    <w:rsid w:val="00CF787B"/>
    <w:rsid w:val="00D0043F"/>
    <w:rsid w:val="00D02355"/>
    <w:rsid w:val="00D02675"/>
    <w:rsid w:val="00D02FD9"/>
    <w:rsid w:val="00D03713"/>
    <w:rsid w:val="00D0408B"/>
    <w:rsid w:val="00D04425"/>
    <w:rsid w:val="00D05E08"/>
    <w:rsid w:val="00D06900"/>
    <w:rsid w:val="00D07E8D"/>
    <w:rsid w:val="00D10FBB"/>
    <w:rsid w:val="00D13D36"/>
    <w:rsid w:val="00D14E2F"/>
    <w:rsid w:val="00D15DB3"/>
    <w:rsid w:val="00D16C15"/>
    <w:rsid w:val="00D17182"/>
    <w:rsid w:val="00D17BA2"/>
    <w:rsid w:val="00D17D2F"/>
    <w:rsid w:val="00D17F15"/>
    <w:rsid w:val="00D20B1B"/>
    <w:rsid w:val="00D23AC7"/>
    <w:rsid w:val="00D23B4F"/>
    <w:rsid w:val="00D2451F"/>
    <w:rsid w:val="00D24C99"/>
    <w:rsid w:val="00D26260"/>
    <w:rsid w:val="00D276FC"/>
    <w:rsid w:val="00D2781C"/>
    <w:rsid w:val="00D30EFA"/>
    <w:rsid w:val="00D342D2"/>
    <w:rsid w:val="00D34872"/>
    <w:rsid w:val="00D34D5F"/>
    <w:rsid w:val="00D34F06"/>
    <w:rsid w:val="00D359AC"/>
    <w:rsid w:val="00D36F9F"/>
    <w:rsid w:val="00D404DD"/>
    <w:rsid w:val="00D415F6"/>
    <w:rsid w:val="00D41FC2"/>
    <w:rsid w:val="00D42069"/>
    <w:rsid w:val="00D436E8"/>
    <w:rsid w:val="00D43B2E"/>
    <w:rsid w:val="00D45DED"/>
    <w:rsid w:val="00D45EE7"/>
    <w:rsid w:val="00D45F35"/>
    <w:rsid w:val="00D460AD"/>
    <w:rsid w:val="00D4763C"/>
    <w:rsid w:val="00D50234"/>
    <w:rsid w:val="00D50ACD"/>
    <w:rsid w:val="00D50DD7"/>
    <w:rsid w:val="00D50F0D"/>
    <w:rsid w:val="00D51ECC"/>
    <w:rsid w:val="00D537F1"/>
    <w:rsid w:val="00D54D03"/>
    <w:rsid w:val="00D55F87"/>
    <w:rsid w:val="00D560BB"/>
    <w:rsid w:val="00D56978"/>
    <w:rsid w:val="00D569D6"/>
    <w:rsid w:val="00D57631"/>
    <w:rsid w:val="00D602EF"/>
    <w:rsid w:val="00D61747"/>
    <w:rsid w:val="00D61E1F"/>
    <w:rsid w:val="00D62D9B"/>
    <w:rsid w:val="00D631D4"/>
    <w:rsid w:val="00D6324A"/>
    <w:rsid w:val="00D642A7"/>
    <w:rsid w:val="00D644F1"/>
    <w:rsid w:val="00D66934"/>
    <w:rsid w:val="00D67D09"/>
    <w:rsid w:val="00D70E10"/>
    <w:rsid w:val="00D71F19"/>
    <w:rsid w:val="00D7221C"/>
    <w:rsid w:val="00D73224"/>
    <w:rsid w:val="00D76502"/>
    <w:rsid w:val="00D81D75"/>
    <w:rsid w:val="00D81EDF"/>
    <w:rsid w:val="00D81F89"/>
    <w:rsid w:val="00D820D6"/>
    <w:rsid w:val="00D82EB2"/>
    <w:rsid w:val="00D85286"/>
    <w:rsid w:val="00D901C9"/>
    <w:rsid w:val="00D927C6"/>
    <w:rsid w:val="00D93379"/>
    <w:rsid w:val="00D940FC"/>
    <w:rsid w:val="00D942E2"/>
    <w:rsid w:val="00D94747"/>
    <w:rsid w:val="00D9729A"/>
    <w:rsid w:val="00D97F6F"/>
    <w:rsid w:val="00DA03A6"/>
    <w:rsid w:val="00DA239D"/>
    <w:rsid w:val="00DA2B8A"/>
    <w:rsid w:val="00DA2CB2"/>
    <w:rsid w:val="00DA2CCE"/>
    <w:rsid w:val="00DA49EF"/>
    <w:rsid w:val="00DA53C2"/>
    <w:rsid w:val="00DA6663"/>
    <w:rsid w:val="00DA768B"/>
    <w:rsid w:val="00DB0A4D"/>
    <w:rsid w:val="00DB15F9"/>
    <w:rsid w:val="00DB1A76"/>
    <w:rsid w:val="00DB2259"/>
    <w:rsid w:val="00DB2786"/>
    <w:rsid w:val="00DB27B1"/>
    <w:rsid w:val="00DB2DB1"/>
    <w:rsid w:val="00DB2E21"/>
    <w:rsid w:val="00DB3EF6"/>
    <w:rsid w:val="00DB452E"/>
    <w:rsid w:val="00DB50C7"/>
    <w:rsid w:val="00DB61A1"/>
    <w:rsid w:val="00DB68CA"/>
    <w:rsid w:val="00DB6CF8"/>
    <w:rsid w:val="00DB72EA"/>
    <w:rsid w:val="00DB75C1"/>
    <w:rsid w:val="00DB7B2F"/>
    <w:rsid w:val="00DC019F"/>
    <w:rsid w:val="00DC02A7"/>
    <w:rsid w:val="00DC0F32"/>
    <w:rsid w:val="00DC177C"/>
    <w:rsid w:val="00DC21A4"/>
    <w:rsid w:val="00DC2A80"/>
    <w:rsid w:val="00DC2C6F"/>
    <w:rsid w:val="00DC56CC"/>
    <w:rsid w:val="00DC5770"/>
    <w:rsid w:val="00DC6E50"/>
    <w:rsid w:val="00DC7155"/>
    <w:rsid w:val="00DC7449"/>
    <w:rsid w:val="00DD04F9"/>
    <w:rsid w:val="00DD1EE5"/>
    <w:rsid w:val="00DD2E2C"/>
    <w:rsid w:val="00DD335C"/>
    <w:rsid w:val="00DE0C51"/>
    <w:rsid w:val="00DE1E1E"/>
    <w:rsid w:val="00DE37CA"/>
    <w:rsid w:val="00DE413F"/>
    <w:rsid w:val="00DE4404"/>
    <w:rsid w:val="00DE47A0"/>
    <w:rsid w:val="00DE7091"/>
    <w:rsid w:val="00DE714B"/>
    <w:rsid w:val="00DF0D83"/>
    <w:rsid w:val="00DF11DF"/>
    <w:rsid w:val="00DF1900"/>
    <w:rsid w:val="00DF1B9D"/>
    <w:rsid w:val="00DF5A6B"/>
    <w:rsid w:val="00DF600B"/>
    <w:rsid w:val="00DF7A6B"/>
    <w:rsid w:val="00DF7D38"/>
    <w:rsid w:val="00E00AD9"/>
    <w:rsid w:val="00E012A1"/>
    <w:rsid w:val="00E019B1"/>
    <w:rsid w:val="00E0299F"/>
    <w:rsid w:val="00E031C9"/>
    <w:rsid w:val="00E042F5"/>
    <w:rsid w:val="00E047CC"/>
    <w:rsid w:val="00E0500F"/>
    <w:rsid w:val="00E054FB"/>
    <w:rsid w:val="00E05A84"/>
    <w:rsid w:val="00E05F22"/>
    <w:rsid w:val="00E0721E"/>
    <w:rsid w:val="00E074A0"/>
    <w:rsid w:val="00E1182E"/>
    <w:rsid w:val="00E11DF2"/>
    <w:rsid w:val="00E13228"/>
    <w:rsid w:val="00E133F4"/>
    <w:rsid w:val="00E209D5"/>
    <w:rsid w:val="00E20F85"/>
    <w:rsid w:val="00E214A5"/>
    <w:rsid w:val="00E2293D"/>
    <w:rsid w:val="00E24DD1"/>
    <w:rsid w:val="00E25A13"/>
    <w:rsid w:val="00E2610A"/>
    <w:rsid w:val="00E27111"/>
    <w:rsid w:val="00E274F8"/>
    <w:rsid w:val="00E275E2"/>
    <w:rsid w:val="00E277C2"/>
    <w:rsid w:val="00E330A4"/>
    <w:rsid w:val="00E36F53"/>
    <w:rsid w:val="00E3766B"/>
    <w:rsid w:val="00E4035D"/>
    <w:rsid w:val="00E4086B"/>
    <w:rsid w:val="00E411C0"/>
    <w:rsid w:val="00E42374"/>
    <w:rsid w:val="00E4252F"/>
    <w:rsid w:val="00E44882"/>
    <w:rsid w:val="00E44B37"/>
    <w:rsid w:val="00E44F7B"/>
    <w:rsid w:val="00E45742"/>
    <w:rsid w:val="00E479E2"/>
    <w:rsid w:val="00E50101"/>
    <w:rsid w:val="00E50F82"/>
    <w:rsid w:val="00E51324"/>
    <w:rsid w:val="00E52A70"/>
    <w:rsid w:val="00E54520"/>
    <w:rsid w:val="00E54A85"/>
    <w:rsid w:val="00E55C3F"/>
    <w:rsid w:val="00E561A9"/>
    <w:rsid w:val="00E565F7"/>
    <w:rsid w:val="00E56CC7"/>
    <w:rsid w:val="00E60068"/>
    <w:rsid w:val="00E60AC9"/>
    <w:rsid w:val="00E61057"/>
    <w:rsid w:val="00E61C31"/>
    <w:rsid w:val="00E61D99"/>
    <w:rsid w:val="00E627DE"/>
    <w:rsid w:val="00E63EB1"/>
    <w:rsid w:val="00E64054"/>
    <w:rsid w:val="00E64BA5"/>
    <w:rsid w:val="00E65CEF"/>
    <w:rsid w:val="00E6776C"/>
    <w:rsid w:val="00E7012C"/>
    <w:rsid w:val="00E7037E"/>
    <w:rsid w:val="00E717F9"/>
    <w:rsid w:val="00E71943"/>
    <w:rsid w:val="00E756B5"/>
    <w:rsid w:val="00E81865"/>
    <w:rsid w:val="00E81C17"/>
    <w:rsid w:val="00E81E9B"/>
    <w:rsid w:val="00E8367D"/>
    <w:rsid w:val="00E83B24"/>
    <w:rsid w:val="00E84958"/>
    <w:rsid w:val="00E85006"/>
    <w:rsid w:val="00E86BF2"/>
    <w:rsid w:val="00E86C9C"/>
    <w:rsid w:val="00E871F0"/>
    <w:rsid w:val="00E90186"/>
    <w:rsid w:val="00E90A79"/>
    <w:rsid w:val="00E92731"/>
    <w:rsid w:val="00E94D4F"/>
    <w:rsid w:val="00E959D0"/>
    <w:rsid w:val="00E95A5F"/>
    <w:rsid w:val="00E964AE"/>
    <w:rsid w:val="00E965D6"/>
    <w:rsid w:val="00EA01AB"/>
    <w:rsid w:val="00EA055A"/>
    <w:rsid w:val="00EA1EB6"/>
    <w:rsid w:val="00EA2808"/>
    <w:rsid w:val="00EA3B50"/>
    <w:rsid w:val="00EA44CD"/>
    <w:rsid w:val="00EA51F9"/>
    <w:rsid w:val="00EA6A7B"/>
    <w:rsid w:val="00EA6F0B"/>
    <w:rsid w:val="00EA79EE"/>
    <w:rsid w:val="00EA7A6A"/>
    <w:rsid w:val="00EA7CBA"/>
    <w:rsid w:val="00EB02EE"/>
    <w:rsid w:val="00EB0E2A"/>
    <w:rsid w:val="00EB0F48"/>
    <w:rsid w:val="00EB1B60"/>
    <w:rsid w:val="00EB24E5"/>
    <w:rsid w:val="00EB37A8"/>
    <w:rsid w:val="00EB3F9A"/>
    <w:rsid w:val="00EB4A64"/>
    <w:rsid w:val="00EB5043"/>
    <w:rsid w:val="00EB52CF"/>
    <w:rsid w:val="00EB64DA"/>
    <w:rsid w:val="00EB70A0"/>
    <w:rsid w:val="00EB79A3"/>
    <w:rsid w:val="00EC0C5E"/>
    <w:rsid w:val="00EC10E1"/>
    <w:rsid w:val="00EC2525"/>
    <w:rsid w:val="00EC2E5E"/>
    <w:rsid w:val="00EC43CD"/>
    <w:rsid w:val="00EC4B8B"/>
    <w:rsid w:val="00EC4DD9"/>
    <w:rsid w:val="00EC53B1"/>
    <w:rsid w:val="00EC5EE6"/>
    <w:rsid w:val="00EC6378"/>
    <w:rsid w:val="00EC66C1"/>
    <w:rsid w:val="00EC6C5A"/>
    <w:rsid w:val="00ED0315"/>
    <w:rsid w:val="00ED1F82"/>
    <w:rsid w:val="00ED2249"/>
    <w:rsid w:val="00ED2592"/>
    <w:rsid w:val="00ED2721"/>
    <w:rsid w:val="00ED5205"/>
    <w:rsid w:val="00ED5AFC"/>
    <w:rsid w:val="00ED7742"/>
    <w:rsid w:val="00ED7F09"/>
    <w:rsid w:val="00EE187C"/>
    <w:rsid w:val="00EE2BE6"/>
    <w:rsid w:val="00EE3A18"/>
    <w:rsid w:val="00EE43A5"/>
    <w:rsid w:val="00EE4AEF"/>
    <w:rsid w:val="00EE7229"/>
    <w:rsid w:val="00EF0C8F"/>
    <w:rsid w:val="00EF1C19"/>
    <w:rsid w:val="00EF23F9"/>
    <w:rsid w:val="00EF2D3E"/>
    <w:rsid w:val="00EF3262"/>
    <w:rsid w:val="00EF4B34"/>
    <w:rsid w:val="00EF59F4"/>
    <w:rsid w:val="00EF5BBA"/>
    <w:rsid w:val="00EF5D06"/>
    <w:rsid w:val="00EF646B"/>
    <w:rsid w:val="00EF69EF"/>
    <w:rsid w:val="00F02302"/>
    <w:rsid w:val="00F04B3B"/>
    <w:rsid w:val="00F054A4"/>
    <w:rsid w:val="00F05671"/>
    <w:rsid w:val="00F0723D"/>
    <w:rsid w:val="00F10132"/>
    <w:rsid w:val="00F11A8D"/>
    <w:rsid w:val="00F11CB6"/>
    <w:rsid w:val="00F1282E"/>
    <w:rsid w:val="00F12D94"/>
    <w:rsid w:val="00F13407"/>
    <w:rsid w:val="00F14248"/>
    <w:rsid w:val="00F144AE"/>
    <w:rsid w:val="00F14540"/>
    <w:rsid w:val="00F15546"/>
    <w:rsid w:val="00F156C5"/>
    <w:rsid w:val="00F15917"/>
    <w:rsid w:val="00F17477"/>
    <w:rsid w:val="00F177BD"/>
    <w:rsid w:val="00F17AE4"/>
    <w:rsid w:val="00F17B0D"/>
    <w:rsid w:val="00F17E83"/>
    <w:rsid w:val="00F202B2"/>
    <w:rsid w:val="00F21BE1"/>
    <w:rsid w:val="00F220FF"/>
    <w:rsid w:val="00F22254"/>
    <w:rsid w:val="00F243B9"/>
    <w:rsid w:val="00F26868"/>
    <w:rsid w:val="00F26C4E"/>
    <w:rsid w:val="00F2712F"/>
    <w:rsid w:val="00F30B0E"/>
    <w:rsid w:val="00F32024"/>
    <w:rsid w:val="00F3213F"/>
    <w:rsid w:val="00F32289"/>
    <w:rsid w:val="00F32753"/>
    <w:rsid w:val="00F330E1"/>
    <w:rsid w:val="00F3392E"/>
    <w:rsid w:val="00F34EC3"/>
    <w:rsid w:val="00F34F96"/>
    <w:rsid w:val="00F3576B"/>
    <w:rsid w:val="00F35886"/>
    <w:rsid w:val="00F359BC"/>
    <w:rsid w:val="00F35D76"/>
    <w:rsid w:val="00F35FA1"/>
    <w:rsid w:val="00F3607D"/>
    <w:rsid w:val="00F367DB"/>
    <w:rsid w:val="00F36CE7"/>
    <w:rsid w:val="00F36EAF"/>
    <w:rsid w:val="00F37652"/>
    <w:rsid w:val="00F377D0"/>
    <w:rsid w:val="00F37FA3"/>
    <w:rsid w:val="00F411A3"/>
    <w:rsid w:val="00F41AFC"/>
    <w:rsid w:val="00F448EE"/>
    <w:rsid w:val="00F44A2F"/>
    <w:rsid w:val="00F44F42"/>
    <w:rsid w:val="00F46AB3"/>
    <w:rsid w:val="00F46B35"/>
    <w:rsid w:val="00F46BAA"/>
    <w:rsid w:val="00F50E4C"/>
    <w:rsid w:val="00F50EE8"/>
    <w:rsid w:val="00F53A23"/>
    <w:rsid w:val="00F53EB6"/>
    <w:rsid w:val="00F549FC"/>
    <w:rsid w:val="00F54F98"/>
    <w:rsid w:val="00F55C0A"/>
    <w:rsid w:val="00F60210"/>
    <w:rsid w:val="00F608B7"/>
    <w:rsid w:val="00F60D90"/>
    <w:rsid w:val="00F61D67"/>
    <w:rsid w:val="00F622E1"/>
    <w:rsid w:val="00F645BF"/>
    <w:rsid w:val="00F65062"/>
    <w:rsid w:val="00F66B86"/>
    <w:rsid w:val="00F66D59"/>
    <w:rsid w:val="00F72318"/>
    <w:rsid w:val="00F727B7"/>
    <w:rsid w:val="00F72B5A"/>
    <w:rsid w:val="00F73084"/>
    <w:rsid w:val="00F74879"/>
    <w:rsid w:val="00F74C7E"/>
    <w:rsid w:val="00F7574A"/>
    <w:rsid w:val="00F75D38"/>
    <w:rsid w:val="00F75DDD"/>
    <w:rsid w:val="00F826F5"/>
    <w:rsid w:val="00F83982"/>
    <w:rsid w:val="00F83FBE"/>
    <w:rsid w:val="00F84FA4"/>
    <w:rsid w:val="00F85370"/>
    <w:rsid w:val="00F85BEF"/>
    <w:rsid w:val="00F863B3"/>
    <w:rsid w:val="00F86DE6"/>
    <w:rsid w:val="00F870B1"/>
    <w:rsid w:val="00F8716D"/>
    <w:rsid w:val="00F871D3"/>
    <w:rsid w:val="00F904ED"/>
    <w:rsid w:val="00F913B0"/>
    <w:rsid w:val="00F917B6"/>
    <w:rsid w:val="00F9330C"/>
    <w:rsid w:val="00F933E0"/>
    <w:rsid w:val="00F93F37"/>
    <w:rsid w:val="00F94E26"/>
    <w:rsid w:val="00F97A78"/>
    <w:rsid w:val="00F97D52"/>
    <w:rsid w:val="00F97DA2"/>
    <w:rsid w:val="00F97F21"/>
    <w:rsid w:val="00FA04A4"/>
    <w:rsid w:val="00FA0692"/>
    <w:rsid w:val="00FA0C32"/>
    <w:rsid w:val="00FA2839"/>
    <w:rsid w:val="00FA46BE"/>
    <w:rsid w:val="00FA46C3"/>
    <w:rsid w:val="00FA562F"/>
    <w:rsid w:val="00FA6106"/>
    <w:rsid w:val="00FB08C1"/>
    <w:rsid w:val="00FB0EFE"/>
    <w:rsid w:val="00FB1C9E"/>
    <w:rsid w:val="00FB21B2"/>
    <w:rsid w:val="00FB269F"/>
    <w:rsid w:val="00FB2CB3"/>
    <w:rsid w:val="00FB2D17"/>
    <w:rsid w:val="00FB2DC5"/>
    <w:rsid w:val="00FB3799"/>
    <w:rsid w:val="00FB4108"/>
    <w:rsid w:val="00FB4829"/>
    <w:rsid w:val="00FB4C95"/>
    <w:rsid w:val="00FB547C"/>
    <w:rsid w:val="00FB6F52"/>
    <w:rsid w:val="00FB6FCA"/>
    <w:rsid w:val="00FB785F"/>
    <w:rsid w:val="00FB7CE0"/>
    <w:rsid w:val="00FC0232"/>
    <w:rsid w:val="00FC0351"/>
    <w:rsid w:val="00FC069A"/>
    <w:rsid w:val="00FC0B2A"/>
    <w:rsid w:val="00FC0EC5"/>
    <w:rsid w:val="00FC18F6"/>
    <w:rsid w:val="00FC38ED"/>
    <w:rsid w:val="00FC4918"/>
    <w:rsid w:val="00FC553A"/>
    <w:rsid w:val="00FC5E0C"/>
    <w:rsid w:val="00FC7267"/>
    <w:rsid w:val="00FC7E84"/>
    <w:rsid w:val="00FC7EE3"/>
    <w:rsid w:val="00FD22B7"/>
    <w:rsid w:val="00FD2991"/>
    <w:rsid w:val="00FD3BE1"/>
    <w:rsid w:val="00FD4AD8"/>
    <w:rsid w:val="00FD5C4C"/>
    <w:rsid w:val="00FD61D5"/>
    <w:rsid w:val="00FE106B"/>
    <w:rsid w:val="00FE25D5"/>
    <w:rsid w:val="00FE306B"/>
    <w:rsid w:val="00FE42DB"/>
    <w:rsid w:val="00FE5213"/>
    <w:rsid w:val="00FE75E6"/>
    <w:rsid w:val="00FE7D40"/>
    <w:rsid w:val="00FF0A12"/>
    <w:rsid w:val="00FF0CDF"/>
    <w:rsid w:val="00FF118A"/>
    <w:rsid w:val="00FF192A"/>
    <w:rsid w:val="00FF4E5E"/>
    <w:rsid w:val="00FF545B"/>
    <w:rsid w:val="00FF56DC"/>
    <w:rsid w:val="00FF5F56"/>
    <w:rsid w:val="00FF65E8"/>
    <w:rsid w:val="00FF6A9E"/>
    <w:rsid w:val="00FF6D67"/>
    <w:rsid w:val="00FF6ED4"/>
    <w:rsid w:val="00FF70AA"/>
    <w:rsid w:val="00FF7AFA"/>
    <w:rsid w:val="00FF7F0A"/>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D3869B"/>
  <w15:docId w15:val="{488FB89B-CDF6-4582-A740-2917A48E5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82F"/>
    <w:pPr>
      <w:spacing w:before="200" w:after="200" w:line="276" w:lineRule="auto"/>
      <w:jc w:val="both"/>
    </w:pPr>
    <w:rPr>
      <w:rFonts w:eastAsia="Times New Roman"/>
      <w:sz w:val="22"/>
      <w:lang w:val="en-GB" w:bidi="en-US"/>
    </w:rPr>
  </w:style>
  <w:style w:type="paragraph" w:styleId="Heading1">
    <w:name w:val="heading 1"/>
    <w:basedOn w:val="Normal"/>
    <w:next w:val="Normal"/>
    <w:link w:val="Heading1Char"/>
    <w:uiPriority w:val="9"/>
    <w:qFormat/>
    <w:rsid w:val="00103D1E"/>
    <w:pPr>
      <w:keepNext/>
      <w:numPr>
        <w:numId w:val="3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Cs w:val="22"/>
    </w:rPr>
  </w:style>
  <w:style w:type="paragraph" w:styleId="Heading2">
    <w:name w:val="heading 2"/>
    <w:basedOn w:val="Normal"/>
    <w:next w:val="Normal"/>
    <w:link w:val="Heading2Char"/>
    <w:uiPriority w:val="9"/>
    <w:qFormat/>
    <w:rsid w:val="008401C2"/>
    <w:pPr>
      <w:keepNext/>
      <w:numPr>
        <w:ilvl w:val="1"/>
        <w:numId w:val="32"/>
      </w:numPr>
      <w:pBdr>
        <w:top w:val="single" w:sz="24" w:space="0" w:color="DBE5F1"/>
        <w:left w:val="single" w:sz="24" w:space="0" w:color="DBE5F1"/>
        <w:bottom w:val="single" w:sz="24" w:space="0" w:color="DBE5F1"/>
        <w:right w:val="single" w:sz="24" w:space="0" w:color="DBE5F1"/>
      </w:pBdr>
      <w:shd w:val="clear" w:color="auto" w:fill="DBE5F1"/>
      <w:spacing w:after="0"/>
      <w:jc w:val="left"/>
      <w:outlineLvl w:val="1"/>
    </w:pPr>
    <w:rPr>
      <w:caps/>
      <w:spacing w:val="15"/>
      <w:szCs w:val="22"/>
    </w:rPr>
  </w:style>
  <w:style w:type="paragraph" w:styleId="Heading3">
    <w:name w:val="heading 3"/>
    <w:basedOn w:val="Normal"/>
    <w:next w:val="Normal"/>
    <w:link w:val="Heading3Char"/>
    <w:uiPriority w:val="9"/>
    <w:qFormat/>
    <w:rsid w:val="00917F39"/>
    <w:pPr>
      <w:keepNext/>
      <w:numPr>
        <w:ilvl w:val="2"/>
        <w:numId w:val="32"/>
      </w:numPr>
      <w:pBdr>
        <w:top w:val="single" w:sz="6" w:space="2" w:color="4F81BD"/>
        <w:left w:val="single" w:sz="6" w:space="2" w:color="4F81BD"/>
      </w:pBdr>
      <w:spacing w:before="300" w:after="0"/>
      <w:outlineLvl w:val="2"/>
    </w:pPr>
    <w:rPr>
      <w:caps/>
      <w:color w:val="243F60"/>
      <w:spacing w:val="15"/>
      <w:szCs w:val="22"/>
    </w:rPr>
  </w:style>
  <w:style w:type="paragraph" w:styleId="Heading4">
    <w:name w:val="heading 4"/>
    <w:basedOn w:val="Normal"/>
    <w:next w:val="Normal"/>
    <w:link w:val="Heading4Char"/>
    <w:uiPriority w:val="9"/>
    <w:qFormat/>
    <w:rsid w:val="00902EC8"/>
    <w:pPr>
      <w:keepNext/>
      <w:numPr>
        <w:ilvl w:val="3"/>
        <w:numId w:val="32"/>
      </w:numPr>
      <w:spacing w:before="240" w:after="60"/>
      <w:outlineLvl w:val="3"/>
    </w:pPr>
    <w:rPr>
      <w:rFonts w:eastAsia="MS Mincho"/>
      <w:b/>
      <w:bCs/>
      <w:szCs w:val="22"/>
      <w:u w:val="single"/>
    </w:rPr>
  </w:style>
  <w:style w:type="paragraph" w:styleId="Heading5">
    <w:name w:val="heading 5"/>
    <w:basedOn w:val="Normal"/>
    <w:next w:val="Normal"/>
    <w:link w:val="Heading5Char"/>
    <w:uiPriority w:val="9"/>
    <w:unhideWhenUsed/>
    <w:qFormat/>
    <w:rsid w:val="00657831"/>
    <w:pPr>
      <w:keepNext/>
      <w:keepLines/>
      <w:numPr>
        <w:ilvl w:val="4"/>
        <w:numId w:val="32"/>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955F7"/>
    <w:pPr>
      <w:keepNext/>
      <w:keepLines/>
      <w:numPr>
        <w:ilvl w:val="5"/>
        <w:numId w:val="32"/>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955F7"/>
    <w:pPr>
      <w:keepNext/>
      <w:keepLines/>
      <w:numPr>
        <w:ilvl w:val="6"/>
        <w:numId w:val="32"/>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955F7"/>
    <w:pPr>
      <w:keepNext/>
      <w:keepLines/>
      <w:numPr>
        <w:ilvl w:val="7"/>
        <w:numId w:val="32"/>
      </w:numPr>
      <w:spacing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C955F7"/>
    <w:pPr>
      <w:keepNext/>
      <w:keepLines/>
      <w:numPr>
        <w:ilvl w:val="8"/>
        <w:numId w:val="32"/>
      </w:numPr>
      <w:spacing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E30C49"/>
    <w:pPr>
      <w:spacing w:before="0"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2A6FE1"/>
    <w:rPr>
      <w:rFonts w:ascii="Lucida Grande" w:hAnsi="Lucida Grande"/>
      <w:sz w:val="18"/>
      <w:szCs w:val="18"/>
    </w:rPr>
  </w:style>
  <w:style w:type="character" w:customStyle="1" w:styleId="Heading1Char">
    <w:name w:val="Heading 1 Char"/>
    <w:link w:val="Heading1"/>
    <w:uiPriority w:val="9"/>
    <w:rsid w:val="00103D1E"/>
    <w:rPr>
      <w:rFonts w:eastAsia="Times New Roman"/>
      <w:b/>
      <w:bCs/>
      <w:caps/>
      <w:color w:val="FFFFFF"/>
      <w:spacing w:val="15"/>
      <w:sz w:val="22"/>
      <w:szCs w:val="22"/>
      <w:shd w:val="clear" w:color="auto" w:fill="4F81BD"/>
      <w:lang w:val="en-GB" w:bidi="en-US"/>
    </w:rPr>
  </w:style>
  <w:style w:type="character" w:customStyle="1" w:styleId="Heading2Char">
    <w:name w:val="Heading 2 Char"/>
    <w:link w:val="Heading2"/>
    <w:uiPriority w:val="9"/>
    <w:rsid w:val="008401C2"/>
    <w:rPr>
      <w:rFonts w:eastAsia="Times New Roman"/>
      <w:caps/>
      <w:spacing w:val="15"/>
      <w:sz w:val="22"/>
      <w:szCs w:val="22"/>
      <w:shd w:val="clear" w:color="auto" w:fill="DBE5F1"/>
      <w:lang w:val="en-GB" w:bidi="en-US"/>
    </w:rPr>
  </w:style>
  <w:style w:type="character" w:customStyle="1" w:styleId="Heading3Char">
    <w:name w:val="Heading 3 Char"/>
    <w:link w:val="Heading3"/>
    <w:uiPriority w:val="9"/>
    <w:rsid w:val="00917F39"/>
    <w:rPr>
      <w:rFonts w:eastAsia="Times New Roman"/>
      <w:caps/>
      <w:color w:val="243F60"/>
      <w:spacing w:val="15"/>
      <w:sz w:val="22"/>
      <w:szCs w:val="22"/>
      <w:lang w:val="en-GB" w:bidi="en-US"/>
    </w:rPr>
  </w:style>
  <w:style w:type="paragraph" w:customStyle="1" w:styleId="GridTable31">
    <w:name w:val="Grid Table 31"/>
    <w:basedOn w:val="Heading1"/>
    <w:next w:val="Normal"/>
    <w:uiPriority w:val="39"/>
    <w:qFormat/>
    <w:rsid w:val="006E30FF"/>
    <w:pPr>
      <w:outlineLvl w:val="9"/>
    </w:pPr>
  </w:style>
  <w:style w:type="paragraph" w:styleId="TOC1">
    <w:name w:val="toc 1"/>
    <w:basedOn w:val="Normal"/>
    <w:next w:val="Normal"/>
    <w:autoRedefine/>
    <w:uiPriority w:val="39"/>
    <w:unhideWhenUsed/>
    <w:rsid w:val="00A3786A"/>
    <w:pPr>
      <w:tabs>
        <w:tab w:val="right" w:leader="dot" w:pos="9016"/>
      </w:tabs>
      <w:spacing w:before="120" w:after="0"/>
    </w:pPr>
    <w:rPr>
      <w:rFonts w:ascii="Cambria" w:hAnsi="Cambria"/>
      <w:b/>
      <w:sz w:val="24"/>
      <w:szCs w:val="24"/>
    </w:rPr>
  </w:style>
  <w:style w:type="paragraph" w:styleId="TOC2">
    <w:name w:val="toc 2"/>
    <w:basedOn w:val="Normal"/>
    <w:next w:val="Normal"/>
    <w:autoRedefine/>
    <w:uiPriority w:val="39"/>
    <w:unhideWhenUsed/>
    <w:rsid w:val="006E30FF"/>
    <w:pPr>
      <w:spacing w:before="0" w:after="0"/>
      <w:ind w:left="200"/>
    </w:pPr>
    <w:rPr>
      <w:rFonts w:ascii="Cambria" w:hAnsi="Cambria"/>
      <w:b/>
      <w:szCs w:val="22"/>
    </w:rPr>
  </w:style>
  <w:style w:type="character" w:styleId="Hyperlink">
    <w:name w:val="Hyperlink"/>
    <w:uiPriority w:val="99"/>
    <w:unhideWhenUsed/>
    <w:rsid w:val="006E30FF"/>
    <w:rPr>
      <w:color w:val="0000FF"/>
      <w:u w:val="single"/>
    </w:rPr>
  </w:style>
  <w:style w:type="paragraph" w:customStyle="1" w:styleId="B7A3AA4F82F84F2E8D122C3B6DBBE8C9">
    <w:name w:val="B7A3AA4F82F84F2E8D122C3B6DBBE8C9"/>
    <w:rsid w:val="007B62F0"/>
    <w:pPr>
      <w:spacing w:after="200" w:line="276" w:lineRule="auto"/>
    </w:pPr>
    <w:rPr>
      <w:rFonts w:eastAsia="Times New Roman"/>
      <w:sz w:val="22"/>
      <w:szCs w:val="22"/>
      <w:lang w:val="en-US"/>
    </w:rPr>
  </w:style>
  <w:style w:type="paragraph" w:customStyle="1" w:styleId="MediumGrid2-Accent11">
    <w:name w:val="Medium Grid 2 - Accent 11"/>
    <w:link w:val="MediumGrid2-Accent1Char"/>
    <w:uiPriority w:val="1"/>
    <w:qFormat/>
    <w:rsid w:val="007B62F0"/>
    <w:rPr>
      <w:rFonts w:eastAsia="Times New Roman"/>
      <w:sz w:val="22"/>
      <w:szCs w:val="22"/>
      <w:lang w:val="en-US"/>
    </w:rPr>
  </w:style>
  <w:style w:type="character" w:customStyle="1" w:styleId="MediumGrid2-Accent1Char">
    <w:name w:val="Medium Grid 2 - Accent 1 Char"/>
    <w:link w:val="MediumGrid2-Accent11"/>
    <w:uiPriority w:val="1"/>
    <w:rsid w:val="007B62F0"/>
    <w:rPr>
      <w:rFonts w:eastAsia="Times New Roman"/>
      <w:sz w:val="22"/>
      <w:szCs w:val="22"/>
      <w:lang w:val="en-US" w:eastAsia="en-US" w:bidi="ar-SA"/>
    </w:rPr>
  </w:style>
  <w:style w:type="paragraph" w:styleId="Header">
    <w:name w:val="header"/>
    <w:basedOn w:val="Normal"/>
    <w:link w:val="HeaderChar"/>
    <w:uiPriority w:val="99"/>
    <w:unhideWhenUsed/>
    <w:rsid w:val="0043002A"/>
    <w:pPr>
      <w:tabs>
        <w:tab w:val="center" w:pos="4513"/>
        <w:tab w:val="right" w:pos="9026"/>
      </w:tabs>
    </w:pPr>
  </w:style>
  <w:style w:type="character" w:customStyle="1" w:styleId="HeaderChar">
    <w:name w:val="Header Char"/>
    <w:link w:val="Header"/>
    <w:uiPriority w:val="99"/>
    <w:rsid w:val="0043002A"/>
    <w:rPr>
      <w:rFonts w:eastAsia="Times New Roman"/>
      <w:lang w:eastAsia="en-US" w:bidi="en-US"/>
    </w:rPr>
  </w:style>
  <w:style w:type="paragraph" w:styleId="Footer">
    <w:name w:val="footer"/>
    <w:basedOn w:val="Normal"/>
    <w:link w:val="FooterChar"/>
    <w:uiPriority w:val="99"/>
    <w:unhideWhenUsed/>
    <w:rsid w:val="0043002A"/>
    <w:pPr>
      <w:tabs>
        <w:tab w:val="center" w:pos="4513"/>
        <w:tab w:val="right" w:pos="9026"/>
      </w:tabs>
    </w:pPr>
  </w:style>
  <w:style w:type="character" w:customStyle="1" w:styleId="FooterChar">
    <w:name w:val="Footer Char"/>
    <w:link w:val="Footer"/>
    <w:uiPriority w:val="99"/>
    <w:rsid w:val="0043002A"/>
    <w:rPr>
      <w:rFonts w:eastAsia="Times New Roman"/>
      <w:lang w:eastAsia="en-US" w:bidi="en-US"/>
    </w:rPr>
  </w:style>
  <w:style w:type="table" w:styleId="TableGrid">
    <w:name w:val="Table Grid"/>
    <w:basedOn w:val="TableNormal"/>
    <w:uiPriority w:val="39"/>
    <w:rsid w:val="00EC34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aliases w:val="Figure text or caption"/>
    <w:basedOn w:val="Normal"/>
    <w:next w:val="Normal"/>
    <w:uiPriority w:val="35"/>
    <w:qFormat/>
    <w:rsid w:val="001A11E4"/>
    <w:rPr>
      <w:b/>
      <w:bCs/>
    </w:rPr>
  </w:style>
  <w:style w:type="paragraph" w:styleId="FootnoteText">
    <w:name w:val="footnote text"/>
    <w:basedOn w:val="Normal"/>
    <w:link w:val="FootnoteTextChar"/>
    <w:uiPriority w:val="99"/>
    <w:unhideWhenUsed/>
    <w:rsid w:val="00370D84"/>
    <w:rPr>
      <w:sz w:val="16"/>
    </w:rPr>
  </w:style>
  <w:style w:type="character" w:customStyle="1" w:styleId="FootnoteTextChar">
    <w:name w:val="Footnote Text Char"/>
    <w:link w:val="FootnoteText"/>
    <w:uiPriority w:val="99"/>
    <w:rsid w:val="00370D84"/>
    <w:rPr>
      <w:rFonts w:eastAsia="Times New Roman"/>
      <w:sz w:val="16"/>
      <w:lang w:val="en-GB" w:eastAsia="en-US" w:bidi="en-US"/>
    </w:rPr>
  </w:style>
  <w:style w:type="character" w:styleId="FootnoteReference">
    <w:name w:val="footnote reference"/>
    <w:uiPriority w:val="99"/>
    <w:unhideWhenUsed/>
    <w:rsid w:val="002B5288"/>
    <w:rPr>
      <w:vertAlign w:val="superscript"/>
    </w:rPr>
  </w:style>
  <w:style w:type="paragraph" w:styleId="TOC3">
    <w:name w:val="toc 3"/>
    <w:basedOn w:val="Normal"/>
    <w:next w:val="Normal"/>
    <w:autoRedefine/>
    <w:uiPriority w:val="39"/>
    <w:unhideWhenUsed/>
    <w:rsid w:val="00025311"/>
    <w:pPr>
      <w:spacing w:before="0" w:after="0"/>
      <w:ind w:left="400"/>
    </w:pPr>
    <w:rPr>
      <w:rFonts w:ascii="Cambria" w:hAnsi="Cambria"/>
      <w:szCs w:val="22"/>
    </w:rPr>
  </w:style>
  <w:style w:type="paragraph" w:styleId="TOC4">
    <w:name w:val="toc 4"/>
    <w:basedOn w:val="Normal"/>
    <w:next w:val="Normal"/>
    <w:autoRedefine/>
    <w:uiPriority w:val="39"/>
    <w:unhideWhenUsed/>
    <w:rsid w:val="00025311"/>
    <w:pPr>
      <w:spacing w:before="0" w:after="0"/>
      <w:ind w:left="600"/>
    </w:pPr>
    <w:rPr>
      <w:rFonts w:ascii="Cambria" w:hAnsi="Cambria"/>
    </w:rPr>
  </w:style>
  <w:style w:type="paragraph" w:styleId="TOC5">
    <w:name w:val="toc 5"/>
    <w:basedOn w:val="Normal"/>
    <w:next w:val="Normal"/>
    <w:autoRedefine/>
    <w:uiPriority w:val="39"/>
    <w:unhideWhenUsed/>
    <w:rsid w:val="00025311"/>
    <w:pPr>
      <w:spacing w:before="0" w:after="0"/>
      <w:ind w:left="800"/>
    </w:pPr>
    <w:rPr>
      <w:rFonts w:ascii="Cambria" w:hAnsi="Cambria"/>
    </w:rPr>
  </w:style>
  <w:style w:type="paragraph" w:styleId="TOC6">
    <w:name w:val="toc 6"/>
    <w:basedOn w:val="Normal"/>
    <w:next w:val="Normal"/>
    <w:autoRedefine/>
    <w:uiPriority w:val="39"/>
    <w:unhideWhenUsed/>
    <w:rsid w:val="00025311"/>
    <w:pPr>
      <w:spacing w:before="0" w:after="0"/>
      <w:ind w:left="1000"/>
    </w:pPr>
    <w:rPr>
      <w:rFonts w:ascii="Cambria" w:hAnsi="Cambria"/>
    </w:rPr>
  </w:style>
  <w:style w:type="paragraph" w:styleId="TOC7">
    <w:name w:val="toc 7"/>
    <w:basedOn w:val="Normal"/>
    <w:next w:val="Normal"/>
    <w:autoRedefine/>
    <w:uiPriority w:val="39"/>
    <w:unhideWhenUsed/>
    <w:rsid w:val="00025311"/>
    <w:pPr>
      <w:spacing w:before="0" w:after="0"/>
      <w:ind w:left="1200"/>
    </w:pPr>
    <w:rPr>
      <w:rFonts w:ascii="Cambria" w:hAnsi="Cambria"/>
    </w:rPr>
  </w:style>
  <w:style w:type="paragraph" w:styleId="TOC8">
    <w:name w:val="toc 8"/>
    <w:basedOn w:val="Normal"/>
    <w:next w:val="Normal"/>
    <w:autoRedefine/>
    <w:uiPriority w:val="39"/>
    <w:unhideWhenUsed/>
    <w:rsid w:val="00025311"/>
    <w:pPr>
      <w:spacing w:before="0" w:after="0"/>
      <w:ind w:left="1400"/>
    </w:pPr>
    <w:rPr>
      <w:rFonts w:ascii="Cambria" w:hAnsi="Cambria"/>
    </w:rPr>
  </w:style>
  <w:style w:type="paragraph" w:styleId="TOC9">
    <w:name w:val="toc 9"/>
    <w:basedOn w:val="Normal"/>
    <w:next w:val="Normal"/>
    <w:autoRedefine/>
    <w:uiPriority w:val="39"/>
    <w:unhideWhenUsed/>
    <w:rsid w:val="00025311"/>
    <w:pPr>
      <w:spacing w:before="0" w:after="0"/>
      <w:ind w:left="1600"/>
    </w:pPr>
    <w:rPr>
      <w:rFonts w:ascii="Cambria" w:hAnsi="Cambria"/>
    </w:rPr>
  </w:style>
  <w:style w:type="character" w:styleId="CommentReference">
    <w:name w:val="annotation reference"/>
    <w:uiPriority w:val="99"/>
    <w:semiHidden/>
    <w:unhideWhenUsed/>
    <w:rsid w:val="00E30C49"/>
    <w:rPr>
      <w:sz w:val="16"/>
      <w:szCs w:val="16"/>
    </w:rPr>
  </w:style>
  <w:style w:type="paragraph" w:styleId="CommentText">
    <w:name w:val="annotation text"/>
    <w:basedOn w:val="Normal"/>
    <w:link w:val="CommentTextChar"/>
    <w:uiPriority w:val="99"/>
    <w:unhideWhenUsed/>
    <w:rsid w:val="00E30C49"/>
  </w:style>
  <w:style w:type="character" w:customStyle="1" w:styleId="CommentTextChar">
    <w:name w:val="Comment Text Char"/>
    <w:link w:val="CommentText"/>
    <w:uiPriority w:val="99"/>
    <w:rsid w:val="00E30C49"/>
    <w:rPr>
      <w:rFonts w:eastAsia="Times New Roman"/>
      <w:lang w:val="en-GB" w:eastAsia="en-US" w:bidi="en-US"/>
    </w:rPr>
  </w:style>
  <w:style w:type="paragraph" w:styleId="CommentSubject">
    <w:name w:val="annotation subject"/>
    <w:basedOn w:val="CommentText"/>
    <w:next w:val="CommentText"/>
    <w:link w:val="CommentSubjectChar"/>
    <w:uiPriority w:val="99"/>
    <w:semiHidden/>
    <w:unhideWhenUsed/>
    <w:rsid w:val="00E30C49"/>
    <w:rPr>
      <w:b/>
      <w:bCs/>
    </w:rPr>
  </w:style>
  <w:style w:type="character" w:customStyle="1" w:styleId="CommentSubjectChar">
    <w:name w:val="Comment Subject Char"/>
    <w:link w:val="CommentSubject"/>
    <w:uiPriority w:val="99"/>
    <w:semiHidden/>
    <w:rsid w:val="00E30C49"/>
    <w:rPr>
      <w:rFonts w:eastAsia="Times New Roman"/>
      <w:b/>
      <w:bCs/>
      <w:lang w:val="en-GB" w:eastAsia="en-US" w:bidi="en-US"/>
    </w:rPr>
  </w:style>
  <w:style w:type="paragraph" w:customStyle="1" w:styleId="LightList-Accent31">
    <w:name w:val="Light List - Accent 31"/>
    <w:hidden/>
    <w:uiPriority w:val="99"/>
    <w:semiHidden/>
    <w:rsid w:val="00E30C49"/>
    <w:rPr>
      <w:rFonts w:eastAsia="Times New Roman"/>
      <w:lang w:val="en-GB" w:bidi="en-US"/>
    </w:rPr>
  </w:style>
  <w:style w:type="character" w:customStyle="1" w:styleId="BalloonTextChar1">
    <w:name w:val="Balloon Text Char1"/>
    <w:link w:val="BalloonText"/>
    <w:uiPriority w:val="99"/>
    <w:semiHidden/>
    <w:rsid w:val="00E30C49"/>
    <w:rPr>
      <w:rFonts w:ascii="Tahoma" w:eastAsia="Times New Roman" w:hAnsi="Tahoma" w:cs="Tahoma"/>
      <w:sz w:val="16"/>
      <w:szCs w:val="16"/>
      <w:lang w:val="en-GB" w:eastAsia="en-US" w:bidi="en-US"/>
    </w:rPr>
  </w:style>
  <w:style w:type="paragraph" w:customStyle="1" w:styleId="BodyText1">
    <w:name w:val="Body Text1"/>
    <w:basedOn w:val="Normal"/>
    <w:rsid w:val="003973D9"/>
    <w:pPr>
      <w:numPr>
        <w:numId w:val="1"/>
      </w:numPr>
      <w:spacing w:before="240" w:after="0" w:line="240" w:lineRule="auto"/>
    </w:pPr>
    <w:rPr>
      <w:rFonts w:ascii="Times New Roman" w:hAnsi="Times New Roman"/>
      <w:sz w:val="24"/>
      <w:lang w:bidi="ar-SA"/>
    </w:rPr>
  </w:style>
  <w:style w:type="paragraph" w:customStyle="1" w:styleId="Bullet">
    <w:name w:val="Bullet"/>
    <w:rsid w:val="00E3626A"/>
    <w:pPr>
      <w:numPr>
        <w:numId w:val="2"/>
      </w:numPr>
      <w:spacing w:after="120" w:line="288" w:lineRule="auto"/>
      <w:jc w:val="both"/>
    </w:pPr>
    <w:rPr>
      <w:rFonts w:ascii="Arial" w:eastAsia="Times New Roman" w:hAnsi="Arial"/>
    </w:rPr>
  </w:style>
  <w:style w:type="character" w:styleId="FollowedHyperlink">
    <w:name w:val="FollowedHyperlink"/>
    <w:uiPriority w:val="99"/>
    <w:semiHidden/>
    <w:unhideWhenUsed/>
    <w:rsid w:val="00AD5E26"/>
    <w:rPr>
      <w:color w:val="800080"/>
      <w:u w:val="single"/>
    </w:rPr>
  </w:style>
  <w:style w:type="paragraph" w:customStyle="1" w:styleId="MediumShading1-Accent31">
    <w:name w:val="Medium Shading 1 - Accent 31"/>
    <w:basedOn w:val="Normal"/>
    <w:next w:val="Normal"/>
    <w:link w:val="MediumShading1-Accent3Char"/>
    <w:uiPriority w:val="29"/>
    <w:qFormat/>
    <w:rsid w:val="00D0152D"/>
    <w:pPr>
      <w:spacing w:before="0" w:after="0" w:line="240" w:lineRule="auto"/>
    </w:pPr>
    <w:rPr>
      <w:rFonts w:ascii="Times New Roman" w:hAnsi="Times New Roman"/>
      <w:i/>
      <w:iCs/>
      <w:color w:val="000000"/>
      <w:lang w:bidi="ar-SA"/>
    </w:rPr>
  </w:style>
  <w:style w:type="character" w:customStyle="1" w:styleId="MediumShading1-Accent3Char">
    <w:name w:val="Medium Shading 1 - Accent 3 Char"/>
    <w:link w:val="MediumShading1-Accent31"/>
    <w:uiPriority w:val="29"/>
    <w:rsid w:val="00D0152D"/>
    <w:rPr>
      <w:rFonts w:ascii="Times New Roman" w:eastAsia="Times New Roman" w:hAnsi="Times New Roman"/>
      <w:i/>
      <w:iCs/>
      <w:color w:val="000000"/>
      <w:lang w:val="en-GB" w:eastAsia="en-US"/>
    </w:rPr>
  </w:style>
  <w:style w:type="paragraph" w:customStyle="1" w:styleId="Default">
    <w:name w:val="Default"/>
    <w:rsid w:val="003D7B56"/>
    <w:pPr>
      <w:autoSpaceDE w:val="0"/>
      <w:autoSpaceDN w:val="0"/>
      <w:adjustRightInd w:val="0"/>
    </w:pPr>
    <w:rPr>
      <w:rFonts w:ascii="Arial" w:hAnsi="Arial" w:cs="Arial"/>
      <w:color w:val="000000"/>
      <w:sz w:val="24"/>
      <w:szCs w:val="24"/>
    </w:rPr>
  </w:style>
  <w:style w:type="paragraph" w:customStyle="1" w:styleId="MediumShading2-Accent31">
    <w:name w:val="Medium Shading 2 - Accent 31"/>
    <w:basedOn w:val="Normal"/>
    <w:next w:val="Normal"/>
    <w:link w:val="MediumShading2-Accent3Char"/>
    <w:uiPriority w:val="30"/>
    <w:qFormat/>
    <w:rsid w:val="005612F0"/>
    <w:pPr>
      <w:pBdr>
        <w:bottom w:val="single" w:sz="4" w:space="4" w:color="4F81BD"/>
      </w:pBdr>
      <w:spacing w:after="280"/>
      <w:ind w:left="936" w:right="936"/>
    </w:pPr>
    <w:rPr>
      <w:b/>
      <w:bCs/>
      <w:i/>
      <w:iCs/>
      <w:color w:val="4F81BD"/>
    </w:rPr>
  </w:style>
  <w:style w:type="character" w:customStyle="1" w:styleId="MediumShading2-Accent3Char">
    <w:name w:val="Medium Shading 2 - Accent 3 Char"/>
    <w:link w:val="MediumShading2-Accent31"/>
    <w:uiPriority w:val="30"/>
    <w:rsid w:val="005612F0"/>
    <w:rPr>
      <w:rFonts w:eastAsia="Times New Roman"/>
      <w:b/>
      <w:bCs/>
      <w:i/>
      <w:iCs/>
      <w:color w:val="4F81BD"/>
      <w:lang w:val="en-GB" w:eastAsia="en-US" w:bidi="en-US"/>
    </w:rPr>
  </w:style>
  <w:style w:type="character" w:styleId="PageNumber">
    <w:name w:val="page number"/>
    <w:uiPriority w:val="99"/>
    <w:semiHidden/>
    <w:unhideWhenUsed/>
    <w:rsid w:val="00113949"/>
  </w:style>
  <w:style w:type="paragraph" w:customStyle="1" w:styleId="LightGrid-Accent31">
    <w:name w:val="Light Grid - Accent 31"/>
    <w:basedOn w:val="Normal"/>
    <w:uiPriority w:val="34"/>
    <w:qFormat/>
    <w:rsid w:val="000310CD"/>
    <w:pPr>
      <w:spacing w:before="0" w:after="120" w:line="270" w:lineRule="atLeast"/>
      <w:ind w:left="720"/>
      <w:contextualSpacing/>
    </w:pPr>
    <w:rPr>
      <w:szCs w:val="22"/>
      <w:lang w:val="en-AU" w:eastAsia="en-AU" w:bidi="ar-SA"/>
    </w:rPr>
  </w:style>
  <w:style w:type="character" w:customStyle="1" w:styleId="Heading4Char">
    <w:name w:val="Heading 4 Char"/>
    <w:link w:val="Heading4"/>
    <w:uiPriority w:val="9"/>
    <w:rsid w:val="00902EC8"/>
    <w:rPr>
      <w:rFonts w:eastAsia="MS Mincho"/>
      <w:b/>
      <w:bCs/>
      <w:sz w:val="22"/>
      <w:szCs w:val="22"/>
      <w:u w:val="single"/>
      <w:lang w:val="en-GB" w:bidi="en-US"/>
    </w:rPr>
  </w:style>
  <w:style w:type="paragraph" w:customStyle="1" w:styleId="BodyText10">
    <w:name w:val="Body Text10"/>
    <w:basedOn w:val="Normal"/>
    <w:link w:val="BodytextChar"/>
    <w:uiPriority w:val="9"/>
    <w:qFormat/>
    <w:rsid w:val="00404019"/>
    <w:pPr>
      <w:tabs>
        <w:tab w:val="num" w:pos="567"/>
      </w:tabs>
      <w:spacing w:before="240" w:after="0" w:line="240" w:lineRule="auto"/>
      <w:ind w:left="567" w:hanging="567"/>
    </w:pPr>
    <w:rPr>
      <w:rFonts w:ascii="Times New Roman" w:hAnsi="Times New Roman"/>
      <w:sz w:val="24"/>
      <w:lang w:bidi="ar-SA"/>
    </w:rPr>
  </w:style>
  <w:style w:type="paragraph" w:customStyle="1" w:styleId="ColorfulShading-Accent11">
    <w:name w:val="Colorful Shading - Accent 11"/>
    <w:hidden/>
    <w:uiPriority w:val="71"/>
    <w:rsid w:val="00066D6A"/>
    <w:rPr>
      <w:rFonts w:eastAsia="Times New Roman"/>
      <w:sz w:val="22"/>
      <w:lang w:val="en-GB" w:bidi="en-US"/>
    </w:rPr>
  </w:style>
  <w:style w:type="paragraph" w:customStyle="1" w:styleId="ColorfulList-Accent11">
    <w:name w:val="Colorful List - Accent 11"/>
    <w:basedOn w:val="Normal"/>
    <w:uiPriority w:val="34"/>
    <w:qFormat/>
    <w:rsid w:val="00641795"/>
    <w:pPr>
      <w:spacing w:before="0" w:after="160" w:line="259" w:lineRule="auto"/>
      <w:ind w:left="720"/>
      <w:contextualSpacing/>
    </w:pPr>
    <w:rPr>
      <w:rFonts w:eastAsia="Calibri"/>
      <w:szCs w:val="22"/>
      <w:lang w:val="en-AU" w:bidi="ar-SA"/>
    </w:rPr>
  </w:style>
  <w:style w:type="paragraph" w:customStyle="1" w:styleId="ColorfulGrid-Accent11">
    <w:name w:val="Colorful Grid - Accent 11"/>
    <w:basedOn w:val="Normal"/>
    <w:next w:val="Normal"/>
    <w:link w:val="ColorfulGrid-Accent1Char"/>
    <w:uiPriority w:val="29"/>
    <w:qFormat/>
    <w:rsid w:val="00AC44FF"/>
    <w:pPr>
      <w:spacing w:after="160"/>
      <w:ind w:left="864" w:right="864"/>
      <w:jc w:val="center"/>
    </w:pPr>
    <w:rPr>
      <w:i/>
      <w:iCs/>
      <w:color w:val="404040"/>
    </w:rPr>
  </w:style>
  <w:style w:type="character" w:customStyle="1" w:styleId="ColorfulGrid-Accent1Char">
    <w:name w:val="Colorful Grid - Accent 1 Char"/>
    <w:link w:val="ColorfulGrid-Accent11"/>
    <w:uiPriority w:val="29"/>
    <w:rsid w:val="00AC44FF"/>
    <w:rPr>
      <w:rFonts w:eastAsia="Times New Roman"/>
      <w:i/>
      <w:iCs/>
      <w:color w:val="404040"/>
      <w:sz w:val="22"/>
      <w:lang w:val="en-GB" w:bidi="en-US"/>
    </w:rPr>
  </w:style>
  <w:style w:type="paragraph" w:customStyle="1" w:styleId="Notesourcetext">
    <w:name w:val="Note/source text"/>
    <w:next w:val="BodyText10"/>
    <w:link w:val="NotesourcetextChar"/>
    <w:autoRedefine/>
    <w:uiPriority w:val="25"/>
    <w:qFormat/>
    <w:rsid w:val="00AC44FF"/>
    <w:pPr>
      <w:keepLines/>
      <w:spacing w:after="240"/>
      <w:contextualSpacing/>
    </w:pPr>
    <w:rPr>
      <w:color w:val="000000"/>
      <w:sz w:val="18"/>
      <w:szCs w:val="22"/>
    </w:rPr>
  </w:style>
  <w:style w:type="character" w:customStyle="1" w:styleId="NotesourcetextChar">
    <w:name w:val="Note/source text Char"/>
    <w:link w:val="Notesourcetext"/>
    <w:uiPriority w:val="25"/>
    <w:rsid w:val="00AC44FF"/>
    <w:rPr>
      <w:color w:val="000000"/>
      <w:sz w:val="18"/>
      <w:szCs w:val="22"/>
    </w:rPr>
  </w:style>
  <w:style w:type="numbering" w:customStyle="1" w:styleId="ABARESbulletedlist">
    <w:name w:val="ABARES bulleted list"/>
    <w:uiPriority w:val="99"/>
    <w:rsid w:val="00AC44FF"/>
    <w:pPr>
      <w:numPr>
        <w:numId w:val="6"/>
      </w:numPr>
    </w:pPr>
  </w:style>
  <w:style w:type="paragraph" w:customStyle="1" w:styleId="Bulletlist-level2">
    <w:name w:val="Bullet list - level 2"/>
    <w:uiPriority w:val="25"/>
    <w:qFormat/>
    <w:rsid w:val="00AC44FF"/>
    <w:pPr>
      <w:numPr>
        <w:ilvl w:val="1"/>
        <w:numId w:val="7"/>
      </w:numPr>
      <w:spacing w:before="120" w:after="120"/>
      <w:ind w:left="1080" w:hanging="360"/>
    </w:pPr>
    <w:rPr>
      <w:rFonts w:ascii="Cambria" w:hAnsi="Cambria"/>
      <w:color w:val="000000"/>
      <w:sz w:val="22"/>
      <w:szCs w:val="22"/>
    </w:rPr>
  </w:style>
  <w:style w:type="paragraph" w:customStyle="1" w:styleId="Bulletlist-level1">
    <w:name w:val="Bullet list - level 1"/>
    <w:uiPriority w:val="24"/>
    <w:qFormat/>
    <w:rsid w:val="00AC44FF"/>
    <w:pPr>
      <w:numPr>
        <w:numId w:val="7"/>
      </w:numPr>
      <w:spacing w:before="120" w:after="120"/>
    </w:pPr>
    <w:rPr>
      <w:rFonts w:ascii="Cambria" w:hAnsi="Cambria"/>
      <w:color w:val="000000"/>
      <w:sz w:val="22"/>
      <w:szCs w:val="22"/>
    </w:rPr>
  </w:style>
  <w:style w:type="character" w:customStyle="1" w:styleId="BodytextChar">
    <w:name w:val="Body text Char"/>
    <w:link w:val="BodyText10"/>
    <w:uiPriority w:val="9"/>
    <w:locked/>
    <w:rsid w:val="00D631D4"/>
    <w:rPr>
      <w:rFonts w:ascii="Times New Roman" w:eastAsia="Times New Roman" w:hAnsi="Times New Roman"/>
      <w:sz w:val="24"/>
      <w:lang w:val="en-GB"/>
    </w:rPr>
  </w:style>
  <w:style w:type="character" w:customStyle="1" w:styleId="m-599224622825647032gmail-metainfobutton">
    <w:name w:val="m_-599224622825647032gmail-metainfobutton"/>
    <w:rsid w:val="00F46B35"/>
  </w:style>
  <w:style w:type="character" w:customStyle="1" w:styleId="m-599224622825647032gmail-sortcontrols">
    <w:name w:val="m_-599224622825647032gmail-sortcontrols"/>
    <w:rsid w:val="00F46B35"/>
  </w:style>
  <w:style w:type="character" w:customStyle="1" w:styleId="m-599224622825647032gmail-cell-data">
    <w:name w:val="m_-599224622825647032gmail-cell-data"/>
    <w:rsid w:val="00F46B35"/>
  </w:style>
  <w:style w:type="paragraph" w:styleId="ListParagraph">
    <w:name w:val="List Paragraph"/>
    <w:aliases w:val="Bullet 1,Bullet list"/>
    <w:basedOn w:val="Normal"/>
    <w:link w:val="ListParagraphChar"/>
    <w:uiPriority w:val="34"/>
    <w:qFormat/>
    <w:rsid w:val="00627B56"/>
    <w:pPr>
      <w:ind w:left="720"/>
      <w:contextualSpacing/>
    </w:pPr>
  </w:style>
  <w:style w:type="paragraph" w:styleId="Revision">
    <w:name w:val="Revision"/>
    <w:hidden/>
    <w:uiPriority w:val="71"/>
    <w:rsid w:val="00187EB1"/>
    <w:rPr>
      <w:rFonts w:eastAsia="Times New Roman"/>
      <w:sz w:val="22"/>
      <w:lang w:val="en-GB" w:bidi="en-US"/>
    </w:rPr>
  </w:style>
  <w:style w:type="character" w:customStyle="1" w:styleId="Heading5Char">
    <w:name w:val="Heading 5 Char"/>
    <w:basedOn w:val="DefaultParagraphFont"/>
    <w:link w:val="Heading5"/>
    <w:uiPriority w:val="9"/>
    <w:rsid w:val="00657831"/>
    <w:rPr>
      <w:rFonts w:asciiTheme="majorHAnsi" w:eastAsiaTheme="majorEastAsia" w:hAnsiTheme="majorHAnsi" w:cstheme="majorBidi"/>
      <w:color w:val="243F60" w:themeColor="accent1" w:themeShade="7F"/>
      <w:sz w:val="22"/>
      <w:lang w:val="en-GB" w:bidi="en-US"/>
    </w:rPr>
  </w:style>
  <w:style w:type="paragraph" w:styleId="Quote">
    <w:name w:val="Quote"/>
    <w:basedOn w:val="Normal"/>
    <w:next w:val="Normal"/>
    <w:link w:val="QuoteChar"/>
    <w:uiPriority w:val="29"/>
    <w:qFormat/>
    <w:rsid w:val="009F035D"/>
    <w:pPr>
      <w:spacing w:after="160"/>
      <w:ind w:left="864" w:right="864"/>
    </w:pPr>
    <w:rPr>
      <w:i/>
      <w:iCs/>
      <w:color w:val="404040" w:themeColor="text1" w:themeTint="BF"/>
    </w:rPr>
  </w:style>
  <w:style w:type="character" w:customStyle="1" w:styleId="QuoteChar">
    <w:name w:val="Quote Char"/>
    <w:basedOn w:val="DefaultParagraphFont"/>
    <w:link w:val="Quote"/>
    <w:uiPriority w:val="29"/>
    <w:rsid w:val="009F035D"/>
    <w:rPr>
      <w:rFonts w:eastAsia="Times New Roman"/>
      <w:i/>
      <w:iCs/>
      <w:color w:val="404040" w:themeColor="text1" w:themeTint="BF"/>
      <w:sz w:val="22"/>
      <w:lang w:val="en-GB" w:bidi="en-US"/>
    </w:rPr>
  </w:style>
  <w:style w:type="paragraph" w:customStyle="1" w:styleId="Figuretablesubtitle">
    <w:name w:val="Figure/table subtitle"/>
    <w:next w:val="BodyText10"/>
    <w:link w:val="FiguretablesubtitleChar"/>
    <w:uiPriority w:val="26"/>
    <w:qFormat/>
    <w:rsid w:val="00580684"/>
    <w:pPr>
      <w:keepNext/>
    </w:pPr>
    <w:rPr>
      <w:color w:val="000000" w:themeColor="text1"/>
      <w:sz w:val="21"/>
      <w:szCs w:val="21"/>
    </w:rPr>
  </w:style>
  <w:style w:type="character" w:customStyle="1" w:styleId="FiguretablesubtitleChar">
    <w:name w:val="Figure/table subtitle Char"/>
    <w:basedOn w:val="DefaultParagraphFont"/>
    <w:link w:val="Figuretablesubtitle"/>
    <w:uiPriority w:val="26"/>
    <w:rsid w:val="00580684"/>
    <w:rPr>
      <w:color w:val="000000" w:themeColor="text1"/>
      <w:sz w:val="21"/>
      <w:szCs w:val="21"/>
    </w:rPr>
  </w:style>
  <w:style w:type="paragraph" w:styleId="NoSpacing">
    <w:name w:val="No Spacing"/>
    <w:uiPriority w:val="99"/>
    <w:qFormat/>
    <w:rsid w:val="00580684"/>
    <w:pPr>
      <w:keepNext/>
    </w:pPr>
    <w:rPr>
      <w:rFonts w:ascii="Cambria" w:hAnsi="Cambria"/>
      <w:color w:val="000000" w:themeColor="text1"/>
      <w:szCs w:val="22"/>
    </w:rPr>
  </w:style>
  <w:style w:type="paragraph" w:customStyle="1" w:styleId="BodyText2">
    <w:name w:val="Body Text2"/>
    <w:basedOn w:val="Normal"/>
    <w:rsid w:val="008352C3"/>
    <w:pPr>
      <w:tabs>
        <w:tab w:val="num" w:pos="567"/>
      </w:tabs>
      <w:spacing w:before="240" w:after="0" w:line="240" w:lineRule="auto"/>
      <w:ind w:left="567" w:hanging="567"/>
    </w:pPr>
    <w:rPr>
      <w:rFonts w:ascii="Times New Roman" w:hAnsi="Times New Roman"/>
      <w:sz w:val="24"/>
      <w:lang w:bidi="ar-SA"/>
    </w:rPr>
  </w:style>
  <w:style w:type="table" w:customStyle="1" w:styleId="GridTable4-Accent11">
    <w:name w:val="Grid Table 4 - Accent 11"/>
    <w:basedOn w:val="TableNormal"/>
    <w:uiPriority w:val="49"/>
    <w:rsid w:val="007D2A0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6Char">
    <w:name w:val="Heading 6 Char"/>
    <w:basedOn w:val="DefaultParagraphFont"/>
    <w:link w:val="Heading6"/>
    <w:uiPriority w:val="9"/>
    <w:semiHidden/>
    <w:rsid w:val="00C955F7"/>
    <w:rPr>
      <w:rFonts w:asciiTheme="majorHAnsi" w:eastAsiaTheme="majorEastAsia" w:hAnsiTheme="majorHAnsi" w:cstheme="majorBidi"/>
      <w:i/>
      <w:iCs/>
      <w:color w:val="243F60" w:themeColor="accent1" w:themeShade="7F"/>
      <w:sz w:val="22"/>
      <w:lang w:val="en-GB" w:bidi="en-US"/>
    </w:rPr>
  </w:style>
  <w:style w:type="character" w:customStyle="1" w:styleId="Heading7Char">
    <w:name w:val="Heading 7 Char"/>
    <w:basedOn w:val="DefaultParagraphFont"/>
    <w:link w:val="Heading7"/>
    <w:uiPriority w:val="9"/>
    <w:semiHidden/>
    <w:rsid w:val="00C955F7"/>
    <w:rPr>
      <w:rFonts w:asciiTheme="majorHAnsi" w:eastAsiaTheme="majorEastAsia" w:hAnsiTheme="majorHAnsi" w:cstheme="majorBidi"/>
      <w:i/>
      <w:iCs/>
      <w:color w:val="404040" w:themeColor="text1" w:themeTint="BF"/>
      <w:sz w:val="22"/>
      <w:lang w:val="en-GB" w:bidi="en-US"/>
    </w:rPr>
  </w:style>
  <w:style w:type="character" w:customStyle="1" w:styleId="Heading8Char">
    <w:name w:val="Heading 8 Char"/>
    <w:basedOn w:val="DefaultParagraphFont"/>
    <w:link w:val="Heading8"/>
    <w:uiPriority w:val="9"/>
    <w:semiHidden/>
    <w:rsid w:val="00C955F7"/>
    <w:rPr>
      <w:rFonts w:asciiTheme="majorHAnsi" w:eastAsiaTheme="majorEastAsia" w:hAnsiTheme="majorHAnsi" w:cstheme="majorBidi"/>
      <w:color w:val="404040" w:themeColor="text1" w:themeTint="BF"/>
      <w:lang w:val="en-GB" w:bidi="en-US"/>
    </w:rPr>
  </w:style>
  <w:style w:type="character" w:customStyle="1" w:styleId="Heading9Char">
    <w:name w:val="Heading 9 Char"/>
    <w:basedOn w:val="DefaultParagraphFont"/>
    <w:link w:val="Heading9"/>
    <w:uiPriority w:val="9"/>
    <w:semiHidden/>
    <w:rsid w:val="00C955F7"/>
    <w:rPr>
      <w:rFonts w:asciiTheme="majorHAnsi" w:eastAsiaTheme="majorEastAsia" w:hAnsiTheme="majorHAnsi" w:cstheme="majorBidi"/>
      <w:i/>
      <w:iCs/>
      <w:color w:val="404040" w:themeColor="text1" w:themeTint="BF"/>
      <w:lang w:val="en-GB" w:bidi="en-US"/>
    </w:rPr>
  </w:style>
  <w:style w:type="character" w:customStyle="1" w:styleId="ListParagraphChar">
    <w:name w:val="List Paragraph Char"/>
    <w:aliases w:val="Bullet 1 Char,Bullet list Char"/>
    <w:link w:val="ListParagraph"/>
    <w:uiPriority w:val="34"/>
    <w:locked/>
    <w:rsid w:val="00E00AD9"/>
    <w:rPr>
      <w:rFonts w:eastAsia="Times New Roman"/>
      <w:sz w:val="22"/>
      <w:lang w:val="en-GB" w:bidi="en-US"/>
    </w:rPr>
  </w:style>
  <w:style w:type="table" w:customStyle="1" w:styleId="GridTable4-Accent110">
    <w:name w:val="Grid Table 4 - Accent 110"/>
    <w:basedOn w:val="TableNormal"/>
    <w:uiPriority w:val="49"/>
    <w:rsid w:val="00E00AD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Bullet3">
    <w:name w:val="List Bullet 3"/>
    <w:basedOn w:val="Normal"/>
    <w:semiHidden/>
    <w:rsid w:val="00663A7C"/>
    <w:pPr>
      <w:numPr>
        <w:numId w:val="37"/>
      </w:numPr>
      <w:spacing w:before="0" w:after="120" w:line="240" w:lineRule="auto"/>
      <w:jc w:val="left"/>
    </w:pPr>
    <w:rPr>
      <w:szCs w:val="22"/>
      <w:lang w:val="en-AU" w:eastAsia="en-AU" w:bidi="ar-SA"/>
    </w:rPr>
  </w:style>
  <w:style w:type="character" w:customStyle="1" w:styleId="tgc">
    <w:name w:val="_tgc"/>
    <w:basedOn w:val="DefaultParagraphFont"/>
    <w:rsid w:val="003C1CF4"/>
  </w:style>
  <w:style w:type="paragraph" w:styleId="NormalWeb">
    <w:name w:val="Normal (Web)"/>
    <w:basedOn w:val="Normal"/>
    <w:uiPriority w:val="99"/>
    <w:semiHidden/>
    <w:unhideWhenUsed/>
    <w:rsid w:val="00C77C67"/>
    <w:pPr>
      <w:spacing w:before="100" w:beforeAutospacing="1" w:after="100" w:afterAutospacing="1" w:line="240" w:lineRule="auto"/>
      <w:jc w:val="left"/>
    </w:pPr>
    <w:rPr>
      <w:rFonts w:ascii="Times New Roman" w:eastAsiaTheme="minorEastAsia" w:hAnsi="Times New Roman"/>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8039">
      <w:bodyDiv w:val="1"/>
      <w:marLeft w:val="0"/>
      <w:marRight w:val="0"/>
      <w:marTop w:val="0"/>
      <w:marBottom w:val="0"/>
      <w:divBdr>
        <w:top w:val="none" w:sz="0" w:space="0" w:color="auto"/>
        <w:left w:val="none" w:sz="0" w:space="0" w:color="auto"/>
        <w:bottom w:val="none" w:sz="0" w:space="0" w:color="auto"/>
        <w:right w:val="none" w:sz="0" w:space="0" w:color="auto"/>
      </w:divBdr>
    </w:div>
    <w:div w:id="63184723">
      <w:bodyDiv w:val="1"/>
      <w:marLeft w:val="0"/>
      <w:marRight w:val="0"/>
      <w:marTop w:val="0"/>
      <w:marBottom w:val="0"/>
      <w:divBdr>
        <w:top w:val="none" w:sz="0" w:space="0" w:color="auto"/>
        <w:left w:val="none" w:sz="0" w:space="0" w:color="auto"/>
        <w:bottom w:val="none" w:sz="0" w:space="0" w:color="auto"/>
        <w:right w:val="none" w:sz="0" w:space="0" w:color="auto"/>
      </w:divBdr>
      <w:divsChild>
        <w:div w:id="1728793652">
          <w:marLeft w:val="0"/>
          <w:marRight w:val="0"/>
          <w:marTop w:val="195"/>
          <w:marBottom w:val="195"/>
          <w:divBdr>
            <w:top w:val="none" w:sz="0" w:space="0" w:color="auto"/>
            <w:left w:val="none" w:sz="0" w:space="0" w:color="auto"/>
            <w:bottom w:val="none" w:sz="0" w:space="0" w:color="auto"/>
            <w:right w:val="none" w:sz="0" w:space="0" w:color="auto"/>
          </w:divBdr>
        </w:div>
        <w:div w:id="1938244053">
          <w:marLeft w:val="0"/>
          <w:marRight w:val="0"/>
          <w:marTop w:val="195"/>
          <w:marBottom w:val="195"/>
          <w:divBdr>
            <w:top w:val="none" w:sz="0" w:space="0" w:color="auto"/>
            <w:left w:val="none" w:sz="0" w:space="0" w:color="auto"/>
            <w:bottom w:val="none" w:sz="0" w:space="0" w:color="auto"/>
            <w:right w:val="none" w:sz="0" w:space="0" w:color="auto"/>
          </w:divBdr>
        </w:div>
        <w:div w:id="679746518">
          <w:marLeft w:val="0"/>
          <w:marRight w:val="0"/>
          <w:marTop w:val="195"/>
          <w:marBottom w:val="195"/>
          <w:divBdr>
            <w:top w:val="none" w:sz="0" w:space="0" w:color="auto"/>
            <w:left w:val="none" w:sz="0" w:space="0" w:color="auto"/>
            <w:bottom w:val="none" w:sz="0" w:space="0" w:color="auto"/>
            <w:right w:val="none" w:sz="0" w:space="0" w:color="auto"/>
          </w:divBdr>
        </w:div>
        <w:div w:id="38821054">
          <w:marLeft w:val="0"/>
          <w:marRight w:val="0"/>
          <w:marTop w:val="195"/>
          <w:marBottom w:val="195"/>
          <w:divBdr>
            <w:top w:val="none" w:sz="0" w:space="0" w:color="auto"/>
            <w:left w:val="none" w:sz="0" w:space="0" w:color="auto"/>
            <w:bottom w:val="none" w:sz="0" w:space="0" w:color="auto"/>
            <w:right w:val="none" w:sz="0" w:space="0" w:color="auto"/>
          </w:divBdr>
        </w:div>
        <w:div w:id="128978464">
          <w:marLeft w:val="720"/>
          <w:marRight w:val="0"/>
          <w:marTop w:val="195"/>
          <w:marBottom w:val="0"/>
          <w:divBdr>
            <w:top w:val="none" w:sz="0" w:space="0" w:color="auto"/>
            <w:left w:val="none" w:sz="0" w:space="0" w:color="auto"/>
            <w:bottom w:val="none" w:sz="0" w:space="0" w:color="auto"/>
            <w:right w:val="none" w:sz="0" w:space="0" w:color="auto"/>
          </w:divBdr>
        </w:div>
        <w:div w:id="2009167209">
          <w:marLeft w:val="720"/>
          <w:marRight w:val="0"/>
          <w:marTop w:val="0"/>
          <w:marBottom w:val="0"/>
          <w:divBdr>
            <w:top w:val="none" w:sz="0" w:space="0" w:color="auto"/>
            <w:left w:val="none" w:sz="0" w:space="0" w:color="auto"/>
            <w:bottom w:val="none" w:sz="0" w:space="0" w:color="auto"/>
            <w:right w:val="none" w:sz="0" w:space="0" w:color="auto"/>
          </w:divBdr>
        </w:div>
        <w:div w:id="1760441583">
          <w:marLeft w:val="1440"/>
          <w:marRight w:val="0"/>
          <w:marTop w:val="0"/>
          <w:marBottom w:val="0"/>
          <w:divBdr>
            <w:top w:val="none" w:sz="0" w:space="0" w:color="auto"/>
            <w:left w:val="none" w:sz="0" w:space="0" w:color="auto"/>
            <w:bottom w:val="none" w:sz="0" w:space="0" w:color="auto"/>
            <w:right w:val="none" w:sz="0" w:space="0" w:color="auto"/>
          </w:divBdr>
        </w:div>
        <w:div w:id="1131286941">
          <w:marLeft w:val="1440"/>
          <w:marRight w:val="0"/>
          <w:marTop w:val="0"/>
          <w:marBottom w:val="0"/>
          <w:divBdr>
            <w:top w:val="none" w:sz="0" w:space="0" w:color="auto"/>
            <w:left w:val="none" w:sz="0" w:space="0" w:color="auto"/>
            <w:bottom w:val="none" w:sz="0" w:space="0" w:color="auto"/>
            <w:right w:val="none" w:sz="0" w:space="0" w:color="auto"/>
          </w:divBdr>
        </w:div>
        <w:div w:id="784497251">
          <w:marLeft w:val="720"/>
          <w:marRight w:val="0"/>
          <w:marTop w:val="0"/>
          <w:marBottom w:val="0"/>
          <w:divBdr>
            <w:top w:val="none" w:sz="0" w:space="0" w:color="auto"/>
            <w:left w:val="none" w:sz="0" w:space="0" w:color="auto"/>
            <w:bottom w:val="none" w:sz="0" w:space="0" w:color="auto"/>
            <w:right w:val="none" w:sz="0" w:space="0" w:color="auto"/>
          </w:divBdr>
        </w:div>
        <w:div w:id="1636914294">
          <w:marLeft w:val="1440"/>
          <w:marRight w:val="0"/>
          <w:marTop w:val="0"/>
          <w:marBottom w:val="0"/>
          <w:divBdr>
            <w:top w:val="none" w:sz="0" w:space="0" w:color="auto"/>
            <w:left w:val="none" w:sz="0" w:space="0" w:color="auto"/>
            <w:bottom w:val="none" w:sz="0" w:space="0" w:color="auto"/>
            <w:right w:val="none" w:sz="0" w:space="0" w:color="auto"/>
          </w:divBdr>
        </w:div>
        <w:div w:id="1481968926">
          <w:marLeft w:val="1440"/>
          <w:marRight w:val="0"/>
          <w:marTop w:val="0"/>
          <w:marBottom w:val="0"/>
          <w:divBdr>
            <w:top w:val="none" w:sz="0" w:space="0" w:color="auto"/>
            <w:left w:val="none" w:sz="0" w:space="0" w:color="auto"/>
            <w:bottom w:val="none" w:sz="0" w:space="0" w:color="auto"/>
            <w:right w:val="none" w:sz="0" w:space="0" w:color="auto"/>
          </w:divBdr>
        </w:div>
        <w:div w:id="1057970925">
          <w:marLeft w:val="720"/>
          <w:marRight w:val="0"/>
          <w:marTop w:val="0"/>
          <w:marBottom w:val="0"/>
          <w:divBdr>
            <w:top w:val="none" w:sz="0" w:space="0" w:color="auto"/>
            <w:left w:val="none" w:sz="0" w:space="0" w:color="auto"/>
            <w:bottom w:val="none" w:sz="0" w:space="0" w:color="auto"/>
            <w:right w:val="none" w:sz="0" w:space="0" w:color="auto"/>
          </w:divBdr>
        </w:div>
        <w:div w:id="1317758084">
          <w:marLeft w:val="720"/>
          <w:marRight w:val="0"/>
          <w:marTop w:val="0"/>
          <w:marBottom w:val="0"/>
          <w:divBdr>
            <w:top w:val="none" w:sz="0" w:space="0" w:color="auto"/>
            <w:left w:val="none" w:sz="0" w:space="0" w:color="auto"/>
            <w:bottom w:val="none" w:sz="0" w:space="0" w:color="auto"/>
            <w:right w:val="none" w:sz="0" w:space="0" w:color="auto"/>
          </w:divBdr>
        </w:div>
        <w:div w:id="976489523">
          <w:marLeft w:val="720"/>
          <w:marRight w:val="0"/>
          <w:marTop w:val="0"/>
          <w:marBottom w:val="0"/>
          <w:divBdr>
            <w:top w:val="none" w:sz="0" w:space="0" w:color="auto"/>
            <w:left w:val="none" w:sz="0" w:space="0" w:color="auto"/>
            <w:bottom w:val="none" w:sz="0" w:space="0" w:color="auto"/>
            <w:right w:val="none" w:sz="0" w:space="0" w:color="auto"/>
          </w:divBdr>
        </w:div>
        <w:div w:id="132069108">
          <w:marLeft w:val="720"/>
          <w:marRight w:val="0"/>
          <w:marTop w:val="0"/>
          <w:marBottom w:val="0"/>
          <w:divBdr>
            <w:top w:val="none" w:sz="0" w:space="0" w:color="auto"/>
            <w:left w:val="none" w:sz="0" w:space="0" w:color="auto"/>
            <w:bottom w:val="none" w:sz="0" w:space="0" w:color="auto"/>
            <w:right w:val="none" w:sz="0" w:space="0" w:color="auto"/>
          </w:divBdr>
        </w:div>
        <w:div w:id="1030035234">
          <w:marLeft w:val="720"/>
          <w:marRight w:val="0"/>
          <w:marTop w:val="0"/>
          <w:marBottom w:val="0"/>
          <w:divBdr>
            <w:top w:val="none" w:sz="0" w:space="0" w:color="auto"/>
            <w:left w:val="none" w:sz="0" w:space="0" w:color="auto"/>
            <w:bottom w:val="none" w:sz="0" w:space="0" w:color="auto"/>
            <w:right w:val="none" w:sz="0" w:space="0" w:color="auto"/>
          </w:divBdr>
        </w:div>
        <w:div w:id="76903288">
          <w:marLeft w:val="720"/>
          <w:marRight w:val="0"/>
          <w:marTop w:val="0"/>
          <w:marBottom w:val="0"/>
          <w:divBdr>
            <w:top w:val="none" w:sz="0" w:space="0" w:color="auto"/>
            <w:left w:val="none" w:sz="0" w:space="0" w:color="auto"/>
            <w:bottom w:val="none" w:sz="0" w:space="0" w:color="auto"/>
            <w:right w:val="none" w:sz="0" w:space="0" w:color="auto"/>
          </w:divBdr>
        </w:div>
        <w:div w:id="1993950213">
          <w:marLeft w:val="720"/>
          <w:marRight w:val="0"/>
          <w:marTop w:val="0"/>
          <w:marBottom w:val="195"/>
          <w:divBdr>
            <w:top w:val="none" w:sz="0" w:space="0" w:color="auto"/>
            <w:left w:val="none" w:sz="0" w:space="0" w:color="auto"/>
            <w:bottom w:val="none" w:sz="0" w:space="0" w:color="auto"/>
            <w:right w:val="none" w:sz="0" w:space="0" w:color="auto"/>
          </w:divBdr>
        </w:div>
      </w:divsChild>
    </w:div>
    <w:div w:id="400369425">
      <w:bodyDiv w:val="1"/>
      <w:marLeft w:val="0"/>
      <w:marRight w:val="0"/>
      <w:marTop w:val="0"/>
      <w:marBottom w:val="0"/>
      <w:divBdr>
        <w:top w:val="none" w:sz="0" w:space="0" w:color="auto"/>
        <w:left w:val="none" w:sz="0" w:space="0" w:color="auto"/>
        <w:bottom w:val="none" w:sz="0" w:space="0" w:color="auto"/>
        <w:right w:val="none" w:sz="0" w:space="0" w:color="auto"/>
      </w:divBdr>
    </w:div>
    <w:div w:id="445858025">
      <w:bodyDiv w:val="1"/>
      <w:marLeft w:val="0"/>
      <w:marRight w:val="0"/>
      <w:marTop w:val="0"/>
      <w:marBottom w:val="0"/>
      <w:divBdr>
        <w:top w:val="none" w:sz="0" w:space="0" w:color="auto"/>
        <w:left w:val="none" w:sz="0" w:space="0" w:color="auto"/>
        <w:bottom w:val="none" w:sz="0" w:space="0" w:color="auto"/>
        <w:right w:val="none" w:sz="0" w:space="0" w:color="auto"/>
      </w:divBdr>
      <w:divsChild>
        <w:div w:id="19285975">
          <w:marLeft w:val="432"/>
          <w:marRight w:val="0"/>
          <w:marTop w:val="77"/>
          <w:marBottom w:val="77"/>
          <w:divBdr>
            <w:top w:val="none" w:sz="0" w:space="0" w:color="auto"/>
            <w:left w:val="none" w:sz="0" w:space="0" w:color="auto"/>
            <w:bottom w:val="none" w:sz="0" w:space="0" w:color="auto"/>
            <w:right w:val="none" w:sz="0" w:space="0" w:color="auto"/>
          </w:divBdr>
        </w:div>
        <w:div w:id="42755060">
          <w:marLeft w:val="432"/>
          <w:marRight w:val="0"/>
          <w:marTop w:val="77"/>
          <w:marBottom w:val="77"/>
          <w:divBdr>
            <w:top w:val="none" w:sz="0" w:space="0" w:color="auto"/>
            <w:left w:val="none" w:sz="0" w:space="0" w:color="auto"/>
            <w:bottom w:val="none" w:sz="0" w:space="0" w:color="auto"/>
            <w:right w:val="none" w:sz="0" w:space="0" w:color="auto"/>
          </w:divBdr>
        </w:div>
        <w:div w:id="691609052">
          <w:marLeft w:val="979"/>
          <w:marRight w:val="0"/>
          <w:marTop w:val="67"/>
          <w:marBottom w:val="67"/>
          <w:divBdr>
            <w:top w:val="none" w:sz="0" w:space="0" w:color="auto"/>
            <w:left w:val="none" w:sz="0" w:space="0" w:color="auto"/>
            <w:bottom w:val="none" w:sz="0" w:space="0" w:color="auto"/>
            <w:right w:val="none" w:sz="0" w:space="0" w:color="auto"/>
          </w:divBdr>
        </w:div>
        <w:div w:id="862131350">
          <w:marLeft w:val="432"/>
          <w:marRight w:val="0"/>
          <w:marTop w:val="77"/>
          <w:marBottom w:val="77"/>
          <w:divBdr>
            <w:top w:val="none" w:sz="0" w:space="0" w:color="auto"/>
            <w:left w:val="none" w:sz="0" w:space="0" w:color="auto"/>
            <w:bottom w:val="none" w:sz="0" w:space="0" w:color="auto"/>
            <w:right w:val="none" w:sz="0" w:space="0" w:color="auto"/>
          </w:divBdr>
        </w:div>
        <w:div w:id="1629166826">
          <w:marLeft w:val="979"/>
          <w:marRight w:val="0"/>
          <w:marTop w:val="67"/>
          <w:marBottom w:val="67"/>
          <w:divBdr>
            <w:top w:val="none" w:sz="0" w:space="0" w:color="auto"/>
            <w:left w:val="none" w:sz="0" w:space="0" w:color="auto"/>
            <w:bottom w:val="none" w:sz="0" w:space="0" w:color="auto"/>
            <w:right w:val="none" w:sz="0" w:space="0" w:color="auto"/>
          </w:divBdr>
        </w:div>
        <w:div w:id="1756440153">
          <w:marLeft w:val="432"/>
          <w:marRight w:val="0"/>
          <w:marTop w:val="77"/>
          <w:marBottom w:val="77"/>
          <w:divBdr>
            <w:top w:val="none" w:sz="0" w:space="0" w:color="auto"/>
            <w:left w:val="none" w:sz="0" w:space="0" w:color="auto"/>
            <w:bottom w:val="none" w:sz="0" w:space="0" w:color="auto"/>
            <w:right w:val="none" w:sz="0" w:space="0" w:color="auto"/>
          </w:divBdr>
        </w:div>
        <w:div w:id="2039965016">
          <w:marLeft w:val="979"/>
          <w:marRight w:val="0"/>
          <w:marTop w:val="67"/>
          <w:marBottom w:val="67"/>
          <w:divBdr>
            <w:top w:val="none" w:sz="0" w:space="0" w:color="auto"/>
            <w:left w:val="none" w:sz="0" w:space="0" w:color="auto"/>
            <w:bottom w:val="none" w:sz="0" w:space="0" w:color="auto"/>
            <w:right w:val="none" w:sz="0" w:space="0" w:color="auto"/>
          </w:divBdr>
        </w:div>
      </w:divsChild>
    </w:div>
    <w:div w:id="498348820">
      <w:bodyDiv w:val="1"/>
      <w:marLeft w:val="0"/>
      <w:marRight w:val="0"/>
      <w:marTop w:val="0"/>
      <w:marBottom w:val="0"/>
      <w:divBdr>
        <w:top w:val="none" w:sz="0" w:space="0" w:color="auto"/>
        <w:left w:val="none" w:sz="0" w:space="0" w:color="auto"/>
        <w:bottom w:val="none" w:sz="0" w:space="0" w:color="auto"/>
        <w:right w:val="none" w:sz="0" w:space="0" w:color="auto"/>
      </w:divBdr>
    </w:div>
    <w:div w:id="527571688">
      <w:bodyDiv w:val="1"/>
      <w:marLeft w:val="0"/>
      <w:marRight w:val="0"/>
      <w:marTop w:val="0"/>
      <w:marBottom w:val="0"/>
      <w:divBdr>
        <w:top w:val="none" w:sz="0" w:space="0" w:color="auto"/>
        <w:left w:val="none" w:sz="0" w:space="0" w:color="auto"/>
        <w:bottom w:val="none" w:sz="0" w:space="0" w:color="auto"/>
        <w:right w:val="none" w:sz="0" w:space="0" w:color="auto"/>
      </w:divBdr>
      <w:divsChild>
        <w:div w:id="214204245">
          <w:marLeft w:val="0"/>
          <w:marRight w:val="0"/>
          <w:marTop w:val="0"/>
          <w:marBottom w:val="0"/>
          <w:divBdr>
            <w:top w:val="none" w:sz="0" w:space="0" w:color="auto"/>
            <w:left w:val="none" w:sz="0" w:space="0" w:color="auto"/>
            <w:bottom w:val="none" w:sz="0" w:space="0" w:color="auto"/>
            <w:right w:val="none" w:sz="0" w:space="0" w:color="auto"/>
          </w:divBdr>
          <w:divsChild>
            <w:div w:id="2005279181">
              <w:marLeft w:val="0"/>
              <w:marRight w:val="0"/>
              <w:marTop w:val="0"/>
              <w:marBottom w:val="0"/>
              <w:divBdr>
                <w:top w:val="none" w:sz="0" w:space="0" w:color="auto"/>
                <w:left w:val="none" w:sz="0" w:space="0" w:color="auto"/>
                <w:bottom w:val="none" w:sz="0" w:space="0" w:color="auto"/>
                <w:right w:val="none" w:sz="0" w:space="0" w:color="auto"/>
              </w:divBdr>
            </w:div>
            <w:div w:id="935136024">
              <w:marLeft w:val="0"/>
              <w:marRight w:val="0"/>
              <w:marTop w:val="0"/>
              <w:marBottom w:val="0"/>
              <w:divBdr>
                <w:top w:val="none" w:sz="0" w:space="0" w:color="auto"/>
                <w:left w:val="none" w:sz="0" w:space="0" w:color="auto"/>
                <w:bottom w:val="none" w:sz="0" w:space="0" w:color="auto"/>
                <w:right w:val="none" w:sz="0" w:space="0" w:color="auto"/>
              </w:divBdr>
            </w:div>
            <w:div w:id="373122534">
              <w:marLeft w:val="0"/>
              <w:marRight w:val="0"/>
              <w:marTop w:val="0"/>
              <w:marBottom w:val="0"/>
              <w:divBdr>
                <w:top w:val="none" w:sz="0" w:space="0" w:color="auto"/>
                <w:left w:val="none" w:sz="0" w:space="0" w:color="auto"/>
                <w:bottom w:val="none" w:sz="0" w:space="0" w:color="auto"/>
                <w:right w:val="none" w:sz="0" w:space="0" w:color="auto"/>
              </w:divBdr>
            </w:div>
            <w:div w:id="11033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2257">
      <w:bodyDiv w:val="1"/>
      <w:marLeft w:val="0"/>
      <w:marRight w:val="0"/>
      <w:marTop w:val="0"/>
      <w:marBottom w:val="0"/>
      <w:divBdr>
        <w:top w:val="none" w:sz="0" w:space="0" w:color="auto"/>
        <w:left w:val="none" w:sz="0" w:space="0" w:color="auto"/>
        <w:bottom w:val="none" w:sz="0" w:space="0" w:color="auto"/>
        <w:right w:val="none" w:sz="0" w:space="0" w:color="auto"/>
      </w:divBdr>
      <w:divsChild>
        <w:div w:id="1386951098">
          <w:marLeft w:val="0"/>
          <w:marRight w:val="0"/>
          <w:marTop w:val="0"/>
          <w:marBottom w:val="0"/>
          <w:divBdr>
            <w:top w:val="none" w:sz="0" w:space="0" w:color="auto"/>
            <w:left w:val="none" w:sz="0" w:space="0" w:color="auto"/>
            <w:bottom w:val="none" w:sz="0" w:space="0" w:color="auto"/>
            <w:right w:val="none" w:sz="0" w:space="0" w:color="auto"/>
          </w:divBdr>
        </w:div>
        <w:div w:id="1246575270">
          <w:marLeft w:val="0"/>
          <w:marRight w:val="0"/>
          <w:marTop w:val="0"/>
          <w:marBottom w:val="0"/>
          <w:divBdr>
            <w:top w:val="none" w:sz="0" w:space="0" w:color="auto"/>
            <w:left w:val="none" w:sz="0" w:space="0" w:color="auto"/>
            <w:bottom w:val="none" w:sz="0" w:space="0" w:color="auto"/>
            <w:right w:val="none" w:sz="0" w:space="0" w:color="auto"/>
          </w:divBdr>
        </w:div>
        <w:div w:id="470171251">
          <w:marLeft w:val="0"/>
          <w:marRight w:val="0"/>
          <w:marTop w:val="0"/>
          <w:marBottom w:val="0"/>
          <w:divBdr>
            <w:top w:val="none" w:sz="0" w:space="0" w:color="auto"/>
            <w:left w:val="none" w:sz="0" w:space="0" w:color="auto"/>
            <w:bottom w:val="none" w:sz="0" w:space="0" w:color="auto"/>
            <w:right w:val="none" w:sz="0" w:space="0" w:color="auto"/>
          </w:divBdr>
        </w:div>
        <w:div w:id="1300455525">
          <w:marLeft w:val="0"/>
          <w:marRight w:val="0"/>
          <w:marTop w:val="0"/>
          <w:marBottom w:val="0"/>
          <w:divBdr>
            <w:top w:val="none" w:sz="0" w:space="0" w:color="auto"/>
            <w:left w:val="none" w:sz="0" w:space="0" w:color="auto"/>
            <w:bottom w:val="none" w:sz="0" w:space="0" w:color="auto"/>
            <w:right w:val="none" w:sz="0" w:space="0" w:color="auto"/>
          </w:divBdr>
        </w:div>
        <w:div w:id="461652748">
          <w:marLeft w:val="0"/>
          <w:marRight w:val="0"/>
          <w:marTop w:val="0"/>
          <w:marBottom w:val="0"/>
          <w:divBdr>
            <w:top w:val="none" w:sz="0" w:space="0" w:color="auto"/>
            <w:left w:val="none" w:sz="0" w:space="0" w:color="auto"/>
            <w:bottom w:val="none" w:sz="0" w:space="0" w:color="auto"/>
            <w:right w:val="none" w:sz="0" w:space="0" w:color="auto"/>
          </w:divBdr>
        </w:div>
        <w:div w:id="1071804530">
          <w:marLeft w:val="0"/>
          <w:marRight w:val="0"/>
          <w:marTop w:val="0"/>
          <w:marBottom w:val="0"/>
          <w:divBdr>
            <w:top w:val="none" w:sz="0" w:space="0" w:color="auto"/>
            <w:left w:val="none" w:sz="0" w:space="0" w:color="auto"/>
            <w:bottom w:val="none" w:sz="0" w:space="0" w:color="auto"/>
            <w:right w:val="none" w:sz="0" w:space="0" w:color="auto"/>
          </w:divBdr>
        </w:div>
        <w:div w:id="1698578651">
          <w:marLeft w:val="0"/>
          <w:marRight w:val="0"/>
          <w:marTop w:val="0"/>
          <w:marBottom w:val="0"/>
          <w:divBdr>
            <w:top w:val="none" w:sz="0" w:space="0" w:color="auto"/>
            <w:left w:val="none" w:sz="0" w:space="0" w:color="auto"/>
            <w:bottom w:val="none" w:sz="0" w:space="0" w:color="auto"/>
            <w:right w:val="none" w:sz="0" w:space="0" w:color="auto"/>
          </w:divBdr>
        </w:div>
        <w:div w:id="551042735">
          <w:marLeft w:val="0"/>
          <w:marRight w:val="0"/>
          <w:marTop w:val="0"/>
          <w:marBottom w:val="0"/>
          <w:divBdr>
            <w:top w:val="none" w:sz="0" w:space="0" w:color="auto"/>
            <w:left w:val="none" w:sz="0" w:space="0" w:color="auto"/>
            <w:bottom w:val="none" w:sz="0" w:space="0" w:color="auto"/>
            <w:right w:val="none" w:sz="0" w:space="0" w:color="auto"/>
          </w:divBdr>
        </w:div>
        <w:div w:id="1690132468">
          <w:marLeft w:val="0"/>
          <w:marRight w:val="0"/>
          <w:marTop w:val="0"/>
          <w:marBottom w:val="0"/>
          <w:divBdr>
            <w:top w:val="none" w:sz="0" w:space="0" w:color="auto"/>
            <w:left w:val="none" w:sz="0" w:space="0" w:color="auto"/>
            <w:bottom w:val="none" w:sz="0" w:space="0" w:color="auto"/>
            <w:right w:val="none" w:sz="0" w:space="0" w:color="auto"/>
          </w:divBdr>
        </w:div>
        <w:div w:id="799684522">
          <w:marLeft w:val="0"/>
          <w:marRight w:val="0"/>
          <w:marTop w:val="0"/>
          <w:marBottom w:val="0"/>
          <w:divBdr>
            <w:top w:val="none" w:sz="0" w:space="0" w:color="auto"/>
            <w:left w:val="none" w:sz="0" w:space="0" w:color="auto"/>
            <w:bottom w:val="none" w:sz="0" w:space="0" w:color="auto"/>
            <w:right w:val="none" w:sz="0" w:space="0" w:color="auto"/>
          </w:divBdr>
        </w:div>
        <w:div w:id="427193972">
          <w:marLeft w:val="0"/>
          <w:marRight w:val="0"/>
          <w:marTop w:val="0"/>
          <w:marBottom w:val="0"/>
          <w:divBdr>
            <w:top w:val="none" w:sz="0" w:space="0" w:color="auto"/>
            <w:left w:val="none" w:sz="0" w:space="0" w:color="auto"/>
            <w:bottom w:val="none" w:sz="0" w:space="0" w:color="auto"/>
            <w:right w:val="none" w:sz="0" w:space="0" w:color="auto"/>
          </w:divBdr>
        </w:div>
        <w:div w:id="1848135272">
          <w:marLeft w:val="0"/>
          <w:marRight w:val="0"/>
          <w:marTop w:val="0"/>
          <w:marBottom w:val="0"/>
          <w:divBdr>
            <w:top w:val="none" w:sz="0" w:space="0" w:color="auto"/>
            <w:left w:val="none" w:sz="0" w:space="0" w:color="auto"/>
            <w:bottom w:val="none" w:sz="0" w:space="0" w:color="auto"/>
            <w:right w:val="none" w:sz="0" w:space="0" w:color="auto"/>
          </w:divBdr>
        </w:div>
        <w:div w:id="2071998412">
          <w:marLeft w:val="0"/>
          <w:marRight w:val="0"/>
          <w:marTop w:val="0"/>
          <w:marBottom w:val="0"/>
          <w:divBdr>
            <w:top w:val="none" w:sz="0" w:space="0" w:color="auto"/>
            <w:left w:val="none" w:sz="0" w:space="0" w:color="auto"/>
            <w:bottom w:val="none" w:sz="0" w:space="0" w:color="auto"/>
            <w:right w:val="none" w:sz="0" w:space="0" w:color="auto"/>
          </w:divBdr>
        </w:div>
        <w:div w:id="1230652905">
          <w:marLeft w:val="0"/>
          <w:marRight w:val="0"/>
          <w:marTop w:val="0"/>
          <w:marBottom w:val="0"/>
          <w:divBdr>
            <w:top w:val="none" w:sz="0" w:space="0" w:color="auto"/>
            <w:left w:val="none" w:sz="0" w:space="0" w:color="auto"/>
            <w:bottom w:val="none" w:sz="0" w:space="0" w:color="auto"/>
            <w:right w:val="none" w:sz="0" w:space="0" w:color="auto"/>
          </w:divBdr>
        </w:div>
        <w:div w:id="376852471">
          <w:marLeft w:val="0"/>
          <w:marRight w:val="0"/>
          <w:marTop w:val="0"/>
          <w:marBottom w:val="0"/>
          <w:divBdr>
            <w:top w:val="none" w:sz="0" w:space="0" w:color="auto"/>
            <w:left w:val="none" w:sz="0" w:space="0" w:color="auto"/>
            <w:bottom w:val="none" w:sz="0" w:space="0" w:color="auto"/>
            <w:right w:val="none" w:sz="0" w:space="0" w:color="auto"/>
          </w:divBdr>
        </w:div>
        <w:div w:id="1410999412">
          <w:marLeft w:val="0"/>
          <w:marRight w:val="0"/>
          <w:marTop w:val="0"/>
          <w:marBottom w:val="0"/>
          <w:divBdr>
            <w:top w:val="none" w:sz="0" w:space="0" w:color="auto"/>
            <w:left w:val="none" w:sz="0" w:space="0" w:color="auto"/>
            <w:bottom w:val="none" w:sz="0" w:space="0" w:color="auto"/>
            <w:right w:val="none" w:sz="0" w:space="0" w:color="auto"/>
          </w:divBdr>
        </w:div>
        <w:div w:id="245849466">
          <w:marLeft w:val="0"/>
          <w:marRight w:val="0"/>
          <w:marTop w:val="0"/>
          <w:marBottom w:val="0"/>
          <w:divBdr>
            <w:top w:val="none" w:sz="0" w:space="0" w:color="auto"/>
            <w:left w:val="none" w:sz="0" w:space="0" w:color="auto"/>
            <w:bottom w:val="none" w:sz="0" w:space="0" w:color="auto"/>
            <w:right w:val="none" w:sz="0" w:space="0" w:color="auto"/>
          </w:divBdr>
        </w:div>
        <w:div w:id="1105491951">
          <w:marLeft w:val="0"/>
          <w:marRight w:val="0"/>
          <w:marTop w:val="0"/>
          <w:marBottom w:val="0"/>
          <w:divBdr>
            <w:top w:val="none" w:sz="0" w:space="0" w:color="auto"/>
            <w:left w:val="none" w:sz="0" w:space="0" w:color="auto"/>
            <w:bottom w:val="none" w:sz="0" w:space="0" w:color="auto"/>
            <w:right w:val="none" w:sz="0" w:space="0" w:color="auto"/>
          </w:divBdr>
        </w:div>
        <w:div w:id="1075208230">
          <w:marLeft w:val="0"/>
          <w:marRight w:val="0"/>
          <w:marTop w:val="0"/>
          <w:marBottom w:val="0"/>
          <w:divBdr>
            <w:top w:val="none" w:sz="0" w:space="0" w:color="auto"/>
            <w:left w:val="none" w:sz="0" w:space="0" w:color="auto"/>
            <w:bottom w:val="none" w:sz="0" w:space="0" w:color="auto"/>
            <w:right w:val="none" w:sz="0" w:space="0" w:color="auto"/>
          </w:divBdr>
        </w:div>
        <w:div w:id="1215965658">
          <w:marLeft w:val="0"/>
          <w:marRight w:val="0"/>
          <w:marTop w:val="0"/>
          <w:marBottom w:val="0"/>
          <w:divBdr>
            <w:top w:val="none" w:sz="0" w:space="0" w:color="auto"/>
            <w:left w:val="none" w:sz="0" w:space="0" w:color="auto"/>
            <w:bottom w:val="none" w:sz="0" w:space="0" w:color="auto"/>
            <w:right w:val="none" w:sz="0" w:space="0" w:color="auto"/>
          </w:divBdr>
        </w:div>
        <w:div w:id="792213625">
          <w:marLeft w:val="0"/>
          <w:marRight w:val="0"/>
          <w:marTop w:val="0"/>
          <w:marBottom w:val="0"/>
          <w:divBdr>
            <w:top w:val="none" w:sz="0" w:space="0" w:color="auto"/>
            <w:left w:val="none" w:sz="0" w:space="0" w:color="auto"/>
            <w:bottom w:val="none" w:sz="0" w:space="0" w:color="auto"/>
            <w:right w:val="none" w:sz="0" w:space="0" w:color="auto"/>
          </w:divBdr>
        </w:div>
        <w:div w:id="151334709">
          <w:marLeft w:val="0"/>
          <w:marRight w:val="0"/>
          <w:marTop w:val="0"/>
          <w:marBottom w:val="0"/>
          <w:divBdr>
            <w:top w:val="none" w:sz="0" w:space="0" w:color="auto"/>
            <w:left w:val="none" w:sz="0" w:space="0" w:color="auto"/>
            <w:bottom w:val="none" w:sz="0" w:space="0" w:color="auto"/>
            <w:right w:val="none" w:sz="0" w:space="0" w:color="auto"/>
          </w:divBdr>
        </w:div>
        <w:div w:id="446241509">
          <w:marLeft w:val="0"/>
          <w:marRight w:val="0"/>
          <w:marTop w:val="0"/>
          <w:marBottom w:val="0"/>
          <w:divBdr>
            <w:top w:val="none" w:sz="0" w:space="0" w:color="auto"/>
            <w:left w:val="none" w:sz="0" w:space="0" w:color="auto"/>
            <w:bottom w:val="none" w:sz="0" w:space="0" w:color="auto"/>
            <w:right w:val="none" w:sz="0" w:space="0" w:color="auto"/>
          </w:divBdr>
        </w:div>
        <w:div w:id="1330597023">
          <w:marLeft w:val="0"/>
          <w:marRight w:val="0"/>
          <w:marTop w:val="0"/>
          <w:marBottom w:val="0"/>
          <w:divBdr>
            <w:top w:val="none" w:sz="0" w:space="0" w:color="auto"/>
            <w:left w:val="none" w:sz="0" w:space="0" w:color="auto"/>
            <w:bottom w:val="none" w:sz="0" w:space="0" w:color="auto"/>
            <w:right w:val="none" w:sz="0" w:space="0" w:color="auto"/>
          </w:divBdr>
        </w:div>
        <w:div w:id="2119134984">
          <w:marLeft w:val="0"/>
          <w:marRight w:val="0"/>
          <w:marTop w:val="0"/>
          <w:marBottom w:val="0"/>
          <w:divBdr>
            <w:top w:val="none" w:sz="0" w:space="0" w:color="auto"/>
            <w:left w:val="none" w:sz="0" w:space="0" w:color="auto"/>
            <w:bottom w:val="none" w:sz="0" w:space="0" w:color="auto"/>
            <w:right w:val="none" w:sz="0" w:space="0" w:color="auto"/>
          </w:divBdr>
        </w:div>
        <w:div w:id="656963172">
          <w:marLeft w:val="0"/>
          <w:marRight w:val="0"/>
          <w:marTop w:val="0"/>
          <w:marBottom w:val="0"/>
          <w:divBdr>
            <w:top w:val="none" w:sz="0" w:space="0" w:color="auto"/>
            <w:left w:val="none" w:sz="0" w:space="0" w:color="auto"/>
            <w:bottom w:val="none" w:sz="0" w:space="0" w:color="auto"/>
            <w:right w:val="none" w:sz="0" w:space="0" w:color="auto"/>
          </w:divBdr>
        </w:div>
        <w:div w:id="1948392097">
          <w:marLeft w:val="0"/>
          <w:marRight w:val="0"/>
          <w:marTop w:val="0"/>
          <w:marBottom w:val="0"/>
          <w:divBdr>
            <w:top w:val="none" w:sz="0" w:space="0" w:color="auto"/>
            <w:left w:val="none" w:sz="0" w:space="0" w:color="auto"/>
            <w:bottom w:val="none" w:sz="0" w:space="0" w:color="auto"/>
            <w:right w:val="none" w:sz="0" w:space="0" w:color="auto"/>
          </w:divBdr>
        </w:div>
        <w:div w:id="799884937">
          <w:marLeft w:val="0"/>
          <w:marRight w:val="0"/>
          <w:marTop w:val="0"/>
          <w:marBottom w:val="0"/>
          <w:divBdr>
            <w:top w:val="none" w:sz="0" w:space="0" w:color="auto"/>
            <w:left w:val="none" w:sz="0" w:space="0" w:color="auto"/>
            <w:bottom w:val="none" w:sz="0" w:space="0" w:color="auto"/>
            <w:right w:val="none" w:sz="0" w:space="0" w:color="auto"/>
          </w:divBdr>
        </w:div>
        <w:div w:id="301618582">
          <w:marLeft w:val="0"/>
          <w:marRight w:val="0"/>
          <w:marTop w:val="0"/>
          <w:marBottom w:val="0"/>
          <w:divBdr>
            <w:top w:val="none" w:sz="0" w:space="0" w:color="auto"/>
            <w:left w:val="none" w:sz="0" w:space="0" w:color="auto"/>
            <w:bottom w:val="none" w:sz="0" w:space="0" w:color="auto"/>
            <w:right w:val="none" w:sz="0" w:space="0" w:color="auto"/>
          </w:divBdr>
        </w:div>
        <w:div w:id="1954238705">
          <w:marLeft w:val="0"/>
          <w:marRight w:val="0"/>
          <w:marTop w:val="0"/>
          <w:marBottom w:val="0"/>
          <w:divBdr>
            <w:top w:val="none" w:sz="0" w:space="0" w:color="auto"/>
            <w:left w:val="none" w:sz="0" w:space="0" w:color="auto"/>
            <w:bottom w:val="none" w:sz="0" w:space="0" w:color="auto"/>
            <w:right w:val="none" w:sz="0" w:space="0" w:color="auto"/>
          </w:divBdr>
        </w:div>
        <w:div w:id="1446076436">
          <w:marLeft w:val="0"/>
          <w:marRight w:val="0"/>
          <w:marTop w:val="0"/>
          <w:marBottom w:val="0"/>
          <w:divBdr>
            <w:top w:val="none" w:sz="0" w:space="0" w:color="auto"/>
            <w:left w:val="none" w:sz="0" w:space="0" w:color="auto"/>
            <w:bottom w:val="none" w:sz="0" w:space="0" w:color="auto"/>
            <w:right w:val="none" w:sz="0" w:space="0" w:color="auto"/>
          </w:divBdr>
        </w:div>
        <w:div w:id="65736869">
          <w:marLeft w:val="0"/>
          <w:marRight w:val="0"/>
          <w:marTop w:val="0"/>
          <w:marBottom w:val="0"/>
          <w:divBdr>
            <w:top w:val="none" w:sz="0" w:space="0" w:color="auto"/>
            <w:left w:val="none" w:sz="0" w:space="0" w:color="auto"/>
            <w:bottom w:val="none" w:sz="0" w:space="0" w:color="auto"/>
            <w:right w:val="none" w:sz="0" w:space="0" w:color="auto"/>
          </w:divBdr>
        </w:div>
        <w:div w:id="364329480">
          <w:marLeft w:val="0"/>
          <w:marRight w:val="0"/>
          <w:marTop w:val="0"/>
          <w:marBottom w:val="0"/>
          <w:divBdr>
            <w:top w:val="none" w:sz="0" w:space="0" w:color="auto"/>
            <w:left w:val="none" w:sz="0" w:space="0" w:color="auto"/>
            <w:bottom w:val="none" w:sz="0" w:space="0" w:color="auto"/>
            <w:right w:val="none" w:sz="0" w:space="0" w:color="auto"/>
          </w:divBdr>
        </w:div>
        <w:div w:id="1734159690">
          <w:marLeft w:val="0"/>
          <w:marRight w:val="0"/>
          <w:marTop w:val="0"/>
          <w:marBottom w:val="0"/>
          <w:divBdr>
            <w:top w:val="none" w:sz="0" w:space="0" w:color="auto"/>
            <w:left w:val="none" w:sz="0" w:space="0" w:color="auto"/>
            <w:bottom w:val="none" w:sz="0" w:space="0" w:color="auto"/>
            <w:right w:val="none" w:sz="0" w:space="0" w:color="auto"/>
          </w:divBdr>
        </w:div>
        <w:div w:id="1932397784">
          <w:marLeft w:val="0"/>
          <w:marRight w:val="0"/>
          <w:marTop w:val="0"/>
          <w:marBottom w:val="0"/>
          <w:divBdr>
            <w:top w:val="none" w:sz="0" w:space="0" w:color="auto"/>
            <w:left w:val="none" w:sz="0" w:space="0" w:color="auto"/>
            <w:bottom w:val="none" w:sz="0" w:space="0" w:color="auto"/>
            <w:right w:val="none" w:sz="0" w:space="0" w:color="auto"/>
          </w:divBdr>
        </w:div>
        <w:div w:id="1265726380">
          <w:marLeft w:val="0"/>
          <w:marRight w:val="0"/>
          <w:marTop w:val="0"/>
          <w:marBottom w:val="0"/>
          <w:divBdr>
            <w:top w:val="none" w:sz="0" w:space="0" w:color="auto"/>
            <w:left w:val="none" w:sz="0" w:space="0" w:color="auto"/>
            <w:bottom w:val="none" w:sz="0" w:space="0" w:color="auto"/>
            <w:right w:val="none" w:sz="0" w:space="0" w:color="auto"/>
          </w:divBdr>
        </w:div>
        <w:div w:id="1172644958">
          <w:marLeft w:val="0"/>
          <w:marRight w:val="0"/>
          <w:marTop w:val="0"/>
          <w:marBottom w:val="0"/>
          <w:divBdr>
            <w:top w:val="none" w:sz="0" w:space="0" w:color="auto"/>
            <w:left w:val="none" w:sz="0" w:space="0" w:color="auto"/>
            <w:bottom w:val="none" w:sz="0" w:space="0" w:color="auto"/>
            <w:right w:val="none" w:sz="0" w:space="0" w:color="auto"/>
          </w:divBdr>
        </w:div>
        <w:div w:id="1175150391">
          <w:marLeft w:val="0"/>
          <w:marRight w:val="0"/>
          <w:marTop w:val="0"/>
          <w:marBottom w:val="0"/>
          <w:divBdr>
            <w:top w:val="none" w:sz="0" w:space="0" w:color="auto"/>
            <w:left w:val="none" w:sz="0" w:space="0" w:color="auto"/>
            <w:bottom w:val="none" w:sz="0" w:space="0" w:color="auto"/>
            <w:right w:val="none" w:sz="0" w:space="0" w:color="auto"/>
          </w:divBdr>
        </w:div>
        <w:div w:id="1869446369">
          <w:marLeft w:val="0"/>
          <w:marRight w:val="0"/>
          <w:marTop w:val="0"/>
          <w:marBottom w:val="0"/>
          <w:divBdr>
            <w:top w:val="none" w:sz="0" w:space="0" w:color="auto"/>
            <w:left w:val="none" w:sz="0" w:space="0" w:color="auto"/>
            <w:bottom w:val="none" w:sz="0" w:space="0" w:color="auto"/>
            <w:right w:val="none" w:sz="0" w:space="0" w:color="auto"/>
          </w:divBdr>
        </w:div>
        <w:div w:id="1652177990">
          <w:marLeft w:val="0"/>
          <w:marRight w:val="0"/>
          <w:marTop w:val="0"/>
          <w:marBottom w:val="0"/>
          <w:divBdr>
            <w:top w:val="none" w:sz="0" w:space="0" w:color="auto"/>
            <w:left w:val="none" w:sz="0" w:space="0" w:color="auto"/>
            <w:bottom w:val="none" w:sz="0" w:space="0" w:color="auto"/>
            <w:right w:val="none" w:sz="0" w:space="0" w:color="auto"/>
          </w:divBdr>
        </w:div>
        <w:div w:id="1488550368">
          <w:marLeft w:val="0"/>
          <w:marRight w:val="0"/>
          <w:marTop w:val="0"/>
          <w:marBottom w:val="0"/>
          <w:divBdr>
            <w:top w:val="none" w:sz="0" w:space="0" w:color="auto"/>
            <w:left w:val="none" w:sz="0" w:space="0" w:color="auto"/>
            <w:bottom w:val="none" w:sz="0" w:space="0" w:color="auto"/>
            <w:right w:val="none" w:sz="0" w:space="0" w:color="auto"/>
          </w:divBdr>
        </w:div>
        <w:div w:id="677538479">
          <w:marLeft w:val="0"/>
          <w:marRight w:val="0"/>
          <w:marTop w:val="0"/>
          <w:marBottom w:val="0"/>
          <w:divBdr>
            <w:top w:val="none" w:sz="0" w:space="0" w:color="auto"/>
            <w:left w:val="none" w:sz="0" w:space="0" w:color="auto"/>
            <w:bottom w:val="none" w:sz="0" w:space="0" w:color="auto"/>
            <w:right w:val="none" w:sz="0" w:space="0" w:color="auto"/>
          </w:divBdr>
        </w:div>
        <w:div w:id="1877768180">
          <w:marLeft w:val="0"/>
          <w:marRight w:val="0"/>
          <w:marTop w:val="0"/>
          <w:marBottom w:val="0"/>
          <w:divBdr>
            <w:top w:val="none" w:sz="0" w:space="0" w:color="auto"/>
            <w:left w:val="none" w:sz="0" w:space="0" w:color="auto"/>
            <w:bottom w:val="none" w:sz="0" w:space="0" w:color="auto"/>
            <w:right w:val="none" w:sz="0" w:space="0" w:color="auto"/>
          </w:divBdr>
        </w:div>
        <w:div w:id="29110406">
          <w:marLeft w:val="0"/>
          <w:marRight w:val="0"/>
          <w:marTop w:val="0"/>
          <w:marBottom w:val="0"/>
          <w:divBdr>
            <w:top w:val="none" w:sz="0" w:space="0" w:color="auto"/>
            <w:left w:val="none" w:sz="0" w:space="0" w:color="auto"/>
            <w:bottom w:val="none" w:sz="0" w:space="0" w:color="auto"/>
            <w:right w:val="none" w:sz="0" w:space="0" w:color="auto"/>
          </w:divBdr>
        </w:div>
        <w:div w:id="693075272">
          <w:marLeft w:val="0"/>
          <w:marRight w:val="0"/>
          <w:marTop w:val="0"/>
          <w:marBottom w:val="0"/>
          <w:divBdr>
            <w:top w:val="none" w:sz="0" w:space="0" w:color="auto"/>
            <w:left w:val="none" w:sz="0" w:space="0" w:color="auto"/>
            <w:bottom w:val="none" w:sz="0" w:space="0" w:color="auto"/>
            <w:right w:val="none" w:sz="0" w:space="0" w:color="auto"/>
          </w:divBdr>
        </w:div>
        <w:div w:id="1443110742">
          <w:marLeft w:val="0"/>
          <w:marRight w:val="0"/>
          <w:marTop w:val="0"/>
          <w:marBottom w:val="0"/>
          <w:divBdr>
            <w:top w:val="none" w:sz="0" w:space="0" w:color="auto"/>
            <w:left w:val="none" w:sz="0" w:space="0" w:color="auto"/>
            <w:bottom w:val="none" w:sz="0" w:space="0" w:color="auto"/>
            <w:right w:val="none" w:sz="0" w:space="0" w:color="auto"/>
          </w:divBdr>
        </w:div>
        <w:div w:id="826092625">
          <w:marLeft w:val="0"/>
          <w:marRight w:val="0"/>
          <w:marTop w:val="0"/>
          <w:marBottom w:val="0"/>
          <w:divBdr>
            <w:top w:val="none" w:sz="0" w:space="0" w:color="auto"/>
            <w:left w:val="none" w:sz="0" w:space="0" w:color="auto"/>
            <w:bottom w:val="none" w:sz="0" w:space="0" w:color="auto"/>
            <w:right w:val="none" w:sz="0" w:space="0" w:color="auto"/>
          </w:divBdr>
        </w:div>
        <w:div w:id="584732429">
          <w:marLeft w:val="0"/>
          <w:marRight w:val="0"/>
          <w:marTop w:val="0"/>
          <w:marBottom w:val="0"/>
          <w:divBdr>
            <w:top w:val="none" w:sz="0" w:space="0" w:color="auto"/>
            <w:left w:val="none" w:sz="0" w:space="0" w:color="auto"/>
            <w:bottom w:val="none" w:sz="0" w:space="0" w:color="auto"/>
            <w:right w:val="none" w:sz="0" w:space="0" w:color="auto"/>
          </w:divBdr>
        </w:div>
        <w:div w:id="1377391219">
          <w:marLeft w:val="0"/>
          <w:marRight w:val="0"/>
          <w:marTop w:val="0"/>
          <w:marBottom w:val="0"/>
          <w:divBdr>
            <w:top w:val="none" w:sz="0" w:space="0" w:color="auto"/>
            <w:left w:val="none" w:sz="0" w:space="0" w:color="auto"/>
            <w:bottom w:val="none" w:sz="0" w:space="0" w:color="auto"/>
            <w:right w:val="none" w:sz="0" w:space="0" w:color="auto"/>
          </w:divBdr>
        </w:div>
        <w:div w:id="946356100">
          <w:marLeft w:val="0"/>
          <w:marRight w:val="0"/>
          <w:marTop w:val="0"/>
          <w:marBottom w:val="0"/>
          <w:divBdr>
            <w:top w:val="none" w:sz="0" w:space="0" w:color="auto"/>
            <w:left w:val="none" w:sz="0" w:space="0" w:color="auto"/>
            <w:bottom w:val="none" w:sz="0" w:space="0" w:color="auto"/>
            <w:right w:val="none" w:sz="0" w:space="0" w:color="auto"/>
          </w:divBdr>
        </w:div>
        <w:div w:id="962033007">
          <w:marLeft w:val="0"/>
          <w:marRight w:val="0"/>
          <w:marTop w:val="0"/>
          <w:marBottom w:val="0"/>
          <w:divBdr>
            <w:top w:val="none" w:sz="0" w:space="0" w:color="auto"/>
            <w:left w:val="none" w:sz="0" w:space="0" w:color="auto"/>
            <w:bottom w:val="none" w:sz="0" w:space="0" w:color="auto"/>
            <w:right w:val="none" w:sz="0" w:space="0" w:color="auto"/>
          </w:divBdr>
        </w:div>
        <w:div w:id="1313482833">
          <w:marLeft w:val="0"/>
          <w:marRight w:val="0"/>
          <w:marTop w:val="0"/>
          <w:marBottom w:val="0"/>
          <w:divBdr>
            <w:top w:val="none" w:sz="0" w:space="0" w:color="auto"/>
            <w:left w:val="none" w:sz="0" w:space="0" w:color="auto"/>
            <w:bottom w:val="none" w:sz="0" w:space="0" w:color="auto"/>
            <w:right w:val="none" w:sz="0" w:space="0" w:color="auto"/>
          </w:divBdr>
        </w:div>
        <w:div w:id="909924137">
          <w:marLeft w:val="0"/>
          <w:marRight w:val="0"/>
          <w:marTop w:val="0"/>
          <w:marBottom w:val="0"/>
          <w:divBdr>
            <w:top w:val="none" w:sz="0" w:space="0" w:color="auto"/>
            <w:left w:val="none" w:sz="0" w:space="0" w:color="auto"/>
            <w:bottom w:val="none" w:sz="0" w:space="0" w:color="auto"/>
            <w:right w:val="none" w:sz="0" w:space="0" w:color="auto"/>
          </w:divBdr>
        </w:div>
        <w:div w:id="1829900628">
          <w:marLeft w:val="0"/>
          <w:marRight w:val="0"/>
          <w:marTop w:val="0"/>
          <w:marBottom w:val="0"/>
          <w:divBdr>
            <w:top w:val="none" w:sz="0" w:space="0" w:color="auto"/>
            <w:left w:val="none" w:sz="0" w:space="0" w:color="auto"/>
            <w:bottom w:val="none" w:sz="0" w:space="0" w:color="auto"/>
            <w:right w:val="none" w:sz="0" w:space="0" w:color="auto"/>
          </w:divBdr>
        </w:div>
        <w:div w:id="1230533781">
          <w:marLeft w:val="0"/>
          <w:marRight w:val="0"/>
          <w:marTop w:val="0"/>
          <w:marBottom w:val="0"/>
          <w:divBdr>
            <w:top w:val="none" w:sz="0" w:space="0" w:color="auto"/>
            <w:left w:val="none" w:sz="0" w:space="0" w:color="auto"/>
            <w:bottom w:val="none" w:sz="0" w:space="0" w:color="auto"/>
            <w:right w:val="none" w:sz="0" w:space="0" w:color="auto"/>
          </w:divBdr>
        </w:div>
        <w:div w:id="515115497">
          <w:marLeft w:val="0"/>
          <w:marRight w:val="0"/>
          <w:marTop w:val="0"/>
          <w:marBottom w:val="0"/>
          <w:divBdr>
            <w:top w:val="none" w:sz="0" w:space="0" w:color="auto"/>
            <w:left w:val="none" w:sz="0" w:space="0" w:color="auto"/>
            <w:bottom w:val="none" w:sz="0" w:space="0" w:color="auto"/>
            <w:right w:val="none" w:sz="0" w:space="0" w:color="auto"/>
          </w:divBdr>
        </w:div>
        <w:div w:id="1240942691">
          <w:marLeft w:val="0"/>
          <w:marRight w:val="0"/>
          <w:marTop w:val="0"/>
          <w:marBottom w:val="0"/>
          <w:divBdr>
            <w:top w:val="none" w:sz="0" w:space="0" w:color="auto"/>
            <w:left w:val="none" w:sz="0" w:space="0" w:color="auto"/>
            <w:bottom w:val="none" w:sz="0" w:space="0" w:color="auto"/>
            <w:right w:val="none" w:sz="0" w:space="0" w:color="auto"/>
          </w:divBdr>
        </w:div>
        <w:div w:id="163597329">
          <w:marLeft w:val="0"/>
          <w:marRight w:val="0"/>
          <w:marTop w:val="0"/>
          <w:marBottom w:val="0"/>
          <w:divBdr>
            <w:top w:val="none" w:sz="0" w:space="0" w:color="auto"/>
            <w:left w:val="none" w:sz="0" w:space="0" w:color="auto"/>
            <w:bottom w:val="none" w:sz="0" w:space="0" w:color="auto"/>
            <w:right w:val="none" w:sz="0" w:space="0" w:color="auto"/>
          </w:divBdr>
        </w:div>
        <w:div w:id="938606874">
          <w:marLeft w:val="0"/>
          <w:marRight w:val="0"/>
          <w:marTop w:val="0"/>
          <w:marBottom w:val="0"/>
          <w:divBdr>
            <w:top w:val="none" w:sz="0" w:space="0" w:color="auto"/>
            <w:left w:val="none" w:sz="0" w:space="0" w:color="auto"/>
            <w:bottom w:val="none" w:sz="0" w:space="0" w:color="auto"/>
            <w:right w:val="none" w:sz="0" w:space="0" w:color="auto"/>
          </w:divBdr>
        </w:div>
        <w:div w:id="1505171314">
          <w:marLeft w:val="0"/>
          <w:marRight w:val="0"/>
          <w:marTop w:val="0"/>
          <w:marBottom w:val="0"/>
          <w:divBdr>
            <w:top w:val="none" w:sz="0" w:space="0" w:color="auto"/>
            <w:left w:val="none" w:sz="0" w:space="0" w:color="auto"/>
            <w:bottom w:val="none" w:sz="0" w:space="0" w:color="auto"/>
            <w:right w:val="none" w:sz="0" w:space="0" w:color="auto"/>
          </w:divBdr>
        </w:div>
        <w:div w:id="96295350">
          <w:marLeft w:val="0"/>
          <w:marRight w:val="0"/>
          <w:marTop w:val="0"/>
          <w:marBottom w:val="0"/>
          <w:divBdr>
            <w:top w:val="none" w:sz="0" w:space="0" w:color="auto"/>
            <w:left w:val="none" w:sz="0" w:space="0" w:color="auto"/>
            <w:bottom w:val="none" w:sz="0" w:space="0" w:color="auto"/>
            <w:right w:val="none" w:sz="0" w:space="0" w:color="auto"/>
          </w:divBdr>
        </w:div>
        <w:div w:id="1202981473">
          <w:marLeft w:val="0"/>
          <w:marRight w:val="0"/>
          <w:marTop w:val="0"/>
          <w:marBottom w:val="0"/>
          <w:divBdr>
            <w:top w:val="none" w:sz="0" w:space="0" w:color="auto"/>
            <w:left w:val="none" w:sz="0" w:space="0" w:color="auto"/>
            <w:bottom w:val="none" w:sz="0" w:space="0" w:color="auto"/>
            <w:right w:val="none" w:sz="0" w:space="0" w:color="auto"/>
          </w:divBdr>
        </w:div>
        <w:div w:id="656766923">
          <w:marLeft w:val="0"/>
          <w:marRight w:val="0"/>
          <w:marTop w:val="0"/>
          <w:marBottom w:val="0"/>
          <w:divBdr>
            <w:top w:val="none" w:sz="0" w:space="0" w:color="auto"/>
            <w:left w:val="none" w:sz="0" w:space="0" w:color="auto"/>
            <w:bottom w:val="none" w:sz="0" w:space="0" w:color="auto"/>
            <w:right w:val="none" w:sz="0" w:space="0" w:color="auto"/>
          </w:divBdr>
        </w:div>
        <w:div w:id="1425805871">
          <w:marLeft w:val="0"/>
          <w:marRight w:val="0"/>
          <w:marTop w:val="0"/>
          <w:marBottom w:val="0"/>
          <w:divBdr>
            <w:top w:val="none" w:sz="0" w:space="0" w:color="auto"/>
            <w:left w:val="none" w:sz="0" w:space="0" w:color="auto"/>
            <w:bottom w:val="none" w:sz="0" w:space="0" w:color="auto"/>
            <w:right w:val="none" w:sz="0" w:space="0" w:color="auto"/>
          </w:divBdr>
        </w:div>
        <w:div w:id="410473105">
          <w:marLeft w:val="0"/>
          <w:marRight w:val="0"/>
          <w:marTop w:val="0"/>
          <w:marBottom w:val="0"/>
          <w:divBdr>
            <w:top w:val="none" w:sz="0" w:space="0" w:color="auto"/>
            <w:left w:val="none" w:sz="0" w:space="0" w:color="auto"/>
            <w:bottom w:val="none" w:sz="0" w:space="0" w:color="auto"/>
            <w:right w:val="none" w:sz="0" w:space="0" w:color="auto"/>
          </w:divBdr>
        </w:div>
        <w:div w:id="653949010">
          <w:marLeft w:val="0"/>
          <w:marRight w:val="0"/>
          <w:marTop w:val="0"/>
          <w:marBottom w:val="0"/>
          <w:divBdr>
            <w:top w:val="none" w:sz="0" w:space="0" w:color="auto"/>
            <w:left w:val="none" w:sz="0" w:space="0" w:color="auto"/>
            <w:bottom w:val="none" w:sz="0" w:space="0" w:color="auto"/>
            <w:right w:val="none" w:sz="0" w:space="0" w:color="auto"/>
          </w:divBdr>
        </w:div>
        <w:div w:id="2056156740">
          <w:marLeft w:val="0"/>
          <w:marRight w:val="0"/>
          <w:marTop w:val="0"/>
          <w:marBottom w:val="0"/>
          <w:divBdr>
            <w:top w:val="none" w:sz="0" w:space="0" w:color="auto"/>
            <w:left w:val="none" w:sz="0" w:space="0" w:color="auto"/>
            <w:bottom w:val="none" w:sz="0" w:space="0" w:color="auto"/>
            <w:right w:val="none" w:sz="0" w:space="0" w:color="auto"/>
          </w:divBdr>
        </w:div>
        <w:div w:id="696004379">
          <w:marLeft w:val="0"/>
          <w:marRight w:val="0"/>
          <w:marTop w:val="0"/>
          <w:marBottom w:val="0"/>
          <w:divBdr>
            <w:top w:val="none" w:sz="0" w:space="0" w:color="auto"/>
            <w:left w:val="none" w:sz="0" w:space="0" w:color="auto"/>
            <w:bottom w:val="none" w:sz="0" w:space="0" w:color="auto"/>
            <w:right w:val="none" w:sz="0" w:space="0" w:color="auto"/>
          </w:divBdr>
        </w:div>
        <w:div w:id="672538225">
          <w:marLeft w:val="0"/>
          <w:marRight w:val="0"/>
          <w:marTop w:val="0"/>
          <w:marBottom w:val="0"/>
          <w:divBdr>
            <w:top w:val="none" w:sz="0" w:space="0" w:color="auto"/>
            <w:left w:val="none" w:sz="0" w:space="0" w:color="auto"/>
            <w:bottom w:val="none" w:sz="0" w:space="0" w:color="auto"/>
            <w:right w:val="none" w:sz="0" w:space="0" w:color="auto"/>
          </w:divBdr>
        </w:div>
        <w:div w:id="1806049480">
          <w:marLeft w:val="0"/>
          <w:marRight w:val="0"/>
          <w:marTop w:val="0"/>
          <w:marBottom w:val="0"/>
          <w:divBdr>
            <w:top w:val="none" w:sz="0" w:space="0" w:color="auto"/>
            <w:left w:val="none" w:sz="0" w:space="0" w:color="auto"/>
            <w:bottom w:val="none" w:sz="0" w:space="0" w:color="auto"/>
            <w:right w:val="none" w:sz="0" w:space="0" w:color="auto"/>
          </w:divBdr>
        </w:div>
        <w:div w:id="837886294">
          <w:marLeft w:val="0"/>
          <w:marRight w:val="0"/>
          <w:marTop w:val="0"/>
          <w:marBottom w:val="0"/>
          <w:divBdr>
            <w:top w:val="none" w:sz="0" w:space="0" w:color="auto"/>
            <w:left w:val="none" w:sz="0" w:space="0" w:color="auto"/>
            <w:bottom w:val="none" w:sz="0" w:space="0" w:color="auto"/>
            <w:right w:val="none" w:sz="0" w:space="0" w:color="auto"/>
          </w:divBdr>
        </w:div>
        <w:div w:id="2078086214">
          <w:marLeft w:val="0"/>
          <w:marRight w:val="0"/>
          <w:marTop w:val="0"/>
          <w:marBottom w:val="0"/>
          <w:divBdr>
            <w:top w:val="none" w:sz="0" w:space="0" w:color="auto"/>
            <w:left w:val="none" w:sz="0" w:space="0" w:color="auto"/>
            <w:bottom w:val="none" w:sz="0" w:space="0" w:color="auto"/>
            <w:right w:val="none" w:sz="0" w:space="0" w:color="auto"/>
          </w:divBdr>
        </w:div>
        <w:div w:id="1481196559">
          <w:marLeft w:val="0"/>
          <w:marRight w:val="0"/>
          <w:marTop w:val="0"/>
          <w:marBottom w:val="0"/>
          <w:divBdr>
            <w:top w:val="none" w:sz="0" w:space="0" w:color="auto"/>
            <w:left w:val="none" w:sz="0" w:space="0" w:color="auto"/>
            <w:bottom w:val="none" w:sz="0" w:space="0" w:color="auto"/>
            <w:right w:val="none" w:sz="0" w:space="0" w:color="auto"/>
          </w:divBdr>
        </w:div>
        <w:div w:id="520245916">
          <w:marLeft w:val="0"/>
          <w:marRight w:val="0"/>
          <w:marTop w:val="0"/>
          <w:marBottom w:val="0"/>
          <w:divBdr>
            <w:top w:val="none" w:sz="0" w:space="0" w:color="auto"/>
            <w:left w:val="none" w:sz="0" w:space="0" w:color="auto"/>
            <w:bottom w:val="none" w:sz="0" w:space="0" w:color="auto"/>
            <w:right w:val="none" w:sz="0" w:space="0" w:color="auto"/>
          </w:divBdr>
        </w:div>
        <w:div w:id="1500849085">
          <w:marLeft w:val="0"/>
          <w:marRight w:val="0"/>
          <w:marTop w:val="0"/>
          <w:marBottom w:val="0"/>
          <w:divBdr>
            <w:top w:val="none" w:sz="0" w:space="0" w:color="auto"/>
            <w:left w:val="none" w:sz="0" w:space="0" w:color="auto"/>
            <w:bottom w:val="none" w:sz="0" w:space="0" w:color="auto"/>
            <w:right w:val="none" w:sz="0" w:space="0" w:color="auto"/>
          </w:divBdr>
        </w:div>
        <w:div w:id="256600800">
          <w:marLeft w:val="0"/>
          <w:marRight w:val="0"/>
          <w:marTop w:val="0"/>
          <w:marBottom w:val="0"/>
          <w:divBdr>
            <w:top w:val="none" w:sz="0" w:space="0" w:color="auto"/>
            <w:left w:val="none" w:sz="0" w:space="0" w:color="auto"/>
            <w:bottom w:val="none" w:sz="0" w:space="0" w:color="auto"/>
            <w:right w:val="none" w:sz="0" w:space="0" w:color="auto"/>
          </w:divBdr>
        </w:div>
        <w:div w:id="826819087">
          <w:marLeft w:val="0"/>
          <w:marRight w:val="0"/>
          <w:marTop w:val="0"/>
          <w:marBottom w:val="0"/>
          <w:divBdr>
            <w:top w:val="none" w:sz="0" w:space="0" w:color="auto"/>
            <w:left w:val="none" w:sz="0" w:space="0" w:color="auto"/>
            <w:bottom w:val="none" w:sz="0" w:space="0" w:color="auto"/>
            <w:right w:val="none" w:sz="0" w:space="0" w:color="auto"/>
          </w:divBdr>
        </w:div>
        <w:div w:id="1544639436">
          <w:marLeft w:val="0"/>
          <w:marRight w:val="0"/>
          <w:marTop w:val="0"/>
          <w:marBottom w:val="0"/>
          <w:divBdr>
            <w:top w:val="none" w:sz="0" w:space="0" w:color="auto"/>
            <w:left w:val="none" w:sz="0" w:space="0" w:color="auto"/>
            <w:bottom w:val="none" w:sz="0" w:space="0" w:color="auto"/>
            <w:right w:val="none" w:sz="0" w:space="0" w:color="auto"/>
          </w:divBdr>
        </w:div>
        <w:div w:id="1785074328">
          <w:marLeft w:val="0"/>
          <w:marRight w:val="0"/>
          <w:marTop w:val="0"/>
          <w:marBottom w:val="0"/>
          <w:divBdr>
            <w:top w:val="none" w:sz="0" w:space="0" w:color="auto"/>
            <w:left w:val="none" w:sz="0" w:space="0" w:color="auto"/>
            <w:bottom w:val="none" w:sz="0" w:space="0" w:color="auto"/>
            <w:right w:val="none" w:sz="0" w:space="0" w:color="auto"/>
          </w:divBdr>
        </w:div>
        <w:div w:id="1427074363">
          <w:marLeft w:val="0"/>
          <w:marRight w:val="0"/>
          <w:marTop w:val="0"/>
          <w:marBottom w:val="0"/>
          <w:divBdr>
            <w:top w:val="none" w:sz="0" w:space="0" w:color="auto"/>
            <w:left w:val="none" w:sz="0" w:space="0" w:color="auto"/>
            <w:bottom w:val="none" w:sz="0" w:space="0" w:color="auto"/>
            <w:right w:val="none" w:sz="0" w:space="0" w:color="auto"/>
          </w:divBdr>
        </w:div>
        <w:div w:id="105514082">
          <w:marLeft w:val="0"/>
          <w:marRight w:val="0"/>
          <w:marTop w:val="0"/>
          <w:marBottom w:val="0"/>
          <w:divBdr>
            <w:top w:val="none" w:sz="0" w:space="0" w:color="auto"/>
            <w:left w:val="none" w:sz="0" w:space="0" w:color="auto"/>
            <w:bottom w:val="none" w:sz="0" w:space="0" w:color="auto"/>
            <w:right w:val="none" w:sz="0" w:space="0" w:color="auto"/>
          </w:divBdr>
        </w:div>
        <w:div w:id="1000738859">
          <w:marLeft w:val="0"/>
          <w:marRight w:val="0"/>
          <w:marTop w:val="0"/>
          <w:marBottom w:val="0"/>
          <w:divBdr>
            <w:top w:val="none" w:sz="0" w:space="0" w:color="auto"/>
            <w:left w:val="none" w:sz="0" w:space="0" w:color="auto"/>
            <w:bottom w:val="none" w:sz="0" w:space="0" w:color="auto"/>
            <w:right w:val="none" w:sz="0" w:space="0" w:color="auto"/>
          </w:divBdr>
        </w:div>
        <w:div w:id="1121655786">
          <w:marLeft w:val="0"/>
          <w:marRight w:val="0"/>
          <w:marTop w:val="0"/>
          <w:marBottom w:val="0"/>
          <w:divBdr>
            <w:top w:val="none" w:sz="0" w:space="0" w:color="auto"/>
            <w:left w:val="none" w:sz="0" w:space="0" w:color="auto"/>
            <w:bottom w:val="none" w:sz="0" w:space="0" w:color="auto"/>
            <w:right w:val="none" w:sz="0" w:space="0" w:color="auto"/>
          </w:divBdr>
        </w:div>
        <w:div w:id="41098800">
          <w:marLeft w:val="0"/>
          <w:marRight w:val="0"/>
          <w:marTop w:val="0"/>
          <w:marBottom w:val="0"/>
          <w:divBdr>
            <w:top w:val="none" w:sz="0" w:space="0" w:color="auto"/>
            <w:left w:val="none" w:sz="0" w:space="0" w:color="auto"/>
            <w:bottom w:val="none" w:sz="0" w:space="0" w:color="auto"/>
            <w:right w:val="none" w:sz="0" w:space="0" w:color="auto"/>
          </w:divBdr>
        </w:div>
        <w:div w:id="881526774">
          <w:marLeft w:val="0"/>
          <w:marRight w:val="0"/>
          <w:marTop w:val="0"/>
          <w:marBottom w:val="0"/>
          <w:divBdr>
            <w:top w:val="none" w:sz="0" w:space="0" w:color="auto"/>
            <w:left w:val="none" w:sz="0" w:space="0" w:color="auto"/>
            <w:bottom w:val="none" w:sz="0" w:space="0" w:color="auto"/>
            <w:right w:val="none" w:sz="0" w:space="0" w:color="auto"/>
          </w:divBdr>
        </w:div>
        <w:div w:id="2105687193">
          <w:marLeft w:val="0"/>
          <w:marRight w:val="0"/>
          <w:marTop w:val="0"/>
          <w:marBottom w:val="0"/>
          <w:divBdr>
            <w:top w:val="none" w:sz="0" w:space="0" w:color="auto"/>
            <w:left w:val="none" w:sz="0" w:space="0" w:color="auto"/>
            <w:bottom w:val="none" w:sz="0" w:space="0" w:color="auto"/>
            <w:right w:val="none" w:sz="0" w:space="0" w:color="auto"/>
          </w:divBdr>
        </w:div>
        <w:div w:id="1120606317">
          <w:marLeft w:val="0"/>
          <w:marRight w:val="0"/>
          <w:marTop w:val="0"/>
          <w:marBottom w:val="0"/>
          <w:divBdr>
            <w:top w:val="none" w:sz="0" w:space="0" w:color="auto"/>
            <w:left w:val="none" w:sz="0" w:space="0" w:color="auto"/>
            <w:bottom w:val="none" w:sz="0" w:space="0" w:color="auto"/>
            <w:right w:val="none" w:sz="0" w:space="0" w:color="auto"/>
          </w:divBdr>
        </w:div>
        <w:div w:id="791627878">
          <w:marLeft w:val="0"/>
          <w:marRight w:val="0"/>
          <w:marTop w:val="0"/>
          <w:marBottom w:val="0"/>
          <w:divBdr>
            <w:top w:val="none" w:sz="0" w:space="0" w:color="auto"/>
            <w:left w:val="none" w:sz="0" w:space="0" w:color="auto"/>
            <w:bottom w:val="none" w:sz="0" w:space="0" w:color="auto"/>
            <w:right w:val="none" w:sz="0" w:space="0" w:color="auto"/>
          </w:divBdr>
        </w:div>
        <w:div w:id="258173858">
          <w:marLeft w:val="0"/>
          <w:marRight w:val="0"/>
          <w:marTop w:val="0"/>
          <w:marBottom w:val="0"/>
          <w:divBdr>
            <w:top w:val="none" w:sz="0" w:space="0" w:color="auto"/>
            <w:left w:val="none" w:sz="0" w:space="0" w:color="auto"/>
            <w:bottom w:val="none" w:sz="0" w:space="0" w:color="auto"/>
            <w:right w:val="none" w:sz="0" w:space="0" w:color="auto"/>
          </w:divBdr>
        </w:div>
        <w:div w:id="1046415896">
          <w:marLeft w:val="0"/>
          <w:marRight w:val="0"/>
          <w:marTop w:val="0"/>
          <w:marBottom w:val="0"/>
          <w:divBdr>
            <w:top w:val="none" w:sz="0" w:space="0" w:color="auto"/>
            <w:left w:val="none" w:sz="0" w:space="0" w:color="auto"/>
            <w:bottom w:val="none" w:sz="0" w:space="0" w:color="auto"/>
            <w:right w:val="none" w:sz="0" w:space="0" w:color="auto"/>
          </w:divBdr>
        </w:div>
        <w:div w:id="991449454">
          <w:marLeft w:val="0"/>
          <w:marRight w:val="0"/>
          <w:marTop w:val="0"/>
          <w:marBottom w:val="0"/>
          <w:divBdr>
            <w:top w:val="none" w:sz="0" w:space="0" w:color="auto"/>
            <w:left w:val="none" w:sz="0" w:space="0" w:color="auto"/>
            <w:bottom w:val="none" w:sz="0" w:space="0" w:color="auto"/>
            <w:right w:val="none" w:sz="0" w:space="0" w:color="auto"/>
          </w:divBdr>
        </w:div>
        <w:div w:id="2028483749">
          <w:marLeft w:val="0"/>
          <w:marRight w:val="0"/>
          <w:marTop w:val="0"/>
          <w:marBottom w:val="0"/>
          <w:divBdr>
            <w:top w:val="none" w:sz="0" w:space="0" w:color="auto"/>
            <w:left w:val="none" w:sz="0" w:space="0" w:color="auto"/>
            <w:bottom w:val="none" w:sz="0" w:space="0" w:color="auto"/>
            <w:right w:val="none" w:sz="0" w:space="0" w:color="auto"/>
          </w:divBdr>
        </w:div>
        <w:div w:id="945886701">
          <w:marLeft w:val="0"/>
          <w:marRight w:val="0"/>
          <w:marTop w:val="0"/>
          <w:marBottom w:val="0"/>
          <w:divBdr>
            <w:top w:val="none" w:sz="0" w:space="0" w:color="auto"/>
            <w:left w:val="none" w:sz="0" w:space="0" w:color="auto"/>
            <w:bottom w:val="none" w:sz="0" w:space="0" w:color="auto"/>
            <w:right w:val="none" w:sz="0" w:space="0" w:color="auto"/>
          </w:divBdr>
        </w:div>
        <w:div w:id="555433430">
          <w:marLeft w:val="0"/>
          <w:marRight w:val="0"/>
          <w:marTop w:val="0"/>
          <w:marBottom w:val="0"/>
          <w:divBdr>
            <w:top w:val="none" w:sz="0" w:space="0" w:color="auto"/>
            <w:left w:val="none" w:sz="0" w:space="0" w:color="auto"/>
            <w:bottom w:val="none" w:sz="0" w:space="0" w:color="auto"/>
            <w:right w:val="none" w:sz="0" w:space="0" w:color="auto"/>
          </w:divBdr>
        </w:div>
        <w:div w:id="1715347169">
          <w:marLeft w:val="0"/>
          <w:marRight w:val="0"/>
          <w:marTop w:val="0"/>
          <w:marBottom w:val="0"/>
          <w:divBdr>
            <w:top w:val="none" w:sz="0" w:space="0" w:color="auto"/>
            <w:left w:val="none" w:sz="0" w:space="0" w:color="auto"/>
            <w:bottom w:val="none" w:sz="0" w:space="0" w:color="auto"/>
            <w:right w:val="none" w:sz="0" w:space="0" w:color="auto"/>
          </w:divBdr>
        </w:div>
        <w:div w:id="790780684">
          <w:marLeft w:val="0"/>
          <w:marRight w:val="0"/>
          <w:marTop w:val="0"/>
          <w:marBottom w:val="0"/>
          <w:divBdr>
            <w:top w:val="none" w:sz="0" w:space="0" w:color="auto"/>
            <w:left w:val="none" w:sz="0" w:space="0" w:color="auto"/>
            <w:bottom w:val="none" w:sz="0" w:space="0" w:color="auto"/>
            <w:right w:val="none" w:sz="0" w:space="0" w:color="auto"/>
          </w:divBdr>
        </w:div>
        <w:div w:id="60760806">
          <w:marLeft w:val="0"/>
          <w:marRight w:val="0"/>
          <w:marTop w:val="0"/>
          <w:marBottom w:val="0"/>
          <w:divBdr>
            <w:top w:val="none" w:sz="0" w:space="0" w:color="auto"/>
            <w:left w:val="none" w:sz="0" w:space="0" w:color="auto"/>
            <w:bottom w:val="none" w:sz="0" w:space="0" w:color="auto"/>
            <w:right w:val="none" w:sz="0" w:space="0" w:color="auto"/>
          </w:divBdr>
        </w:div>
        <w:div w:id="1653488905">
          <w:marLeft w:val="0"/>
          <w:marRight w:val="0"/>
          <w:marTop w:val="0"/>
          <w:marBottom w:val="0"/>
          <w:divBdr>
            <w:top w:val="none" w:sz="0" w:space="0" w:color="auto"/>
            <w:left w:val="none" w:sz="0" w:space="0" w:color="auto"/>
            <w:bottom w:val="none" w:sz="0" w:space="0" w:color="auto"/>
            <w:right w:val="none" w:sz="0" w:space="0" w:color="auto"/>
          </w:divBdr>
        </w:div>
      </w:divsChild>
    </w:div>
    <w:div w:id="629751416">
      <w:bodyDiv w:val="1"/>
      <w:marLeft w:val="0"/>
      <w:marRight w:val="0"/>
      <w:marTop w:val="0"/>
      <w:marBottom w:val="0"/>
      <w:divBdr>
        <w:top w:val="none" w:sz="0" w:space="0" w:color="auto"/>
        <w:left w:val="none" w:sz="0" w:space="0" w:color="auto"/>
        <w:bottom w:val="none" w:sz="0" w:space="0" w:color="auto"/>
        <w:right w:val="none" w:sz="0" w:space="0" w:color="auto"/>
      </w:divBdr>
    </w:div>
    <w:div w:id="651367394">
      <w:bodyDiv w:val="1"/>
      <w:marLeft w:val="0"/>
      <w:marRight w:val="0"/>
      <w:marTop w:val="0"/>
      <w:marBottom w:val="0"/>
      <w:divBdr>
        <w:top w:val="none" w:sz="0" w:space="0" w:color="auto"/>
        <w:left w:val="none" w:sz="0" w:space="0" w:color="auto"/>
        <w:bottom w:val="none" w:sz="0" w:space="0" w:color="auto"/>
        <w:right w:val="none" w:sz="0" w:space="0" w:color="auto"/>
      </w:divBdr>
      <w:divsChild>
        <w:div w:id="299893327">
          <w:marLeft w:val="0"/>
          <w:marRight w:val="0"/>
          <w:marTop w:val="0"/>
          <w:marBottom w:val="0"/>
          <w:divBdr>
            <w:top w:val="none" w:sz="0" w:space="0" w:color="auto"/>
            <w:left w:val="none" w:sz="0" w:space="0" w:color="auto"/>
            <w:bottom w:val="none" w:sz="0" w:space="0" w:color="auto"/>
            <w:right w:val="none" w:sz="0" w:space="0" w:color="auto"/>
          </w:divBdr>
          <w:divsChild>
            <w:div w:id="146820238">
              <w:marLeft w:val="0"/>
              <w:marRight w:val="0"/>
              <w:marTop w:val="0"/>
              <w:marBottom w:val="0"/>
              <w:divBdr>
                <w:top w:val="none" w:sz="0" w:space="0" w:color="auto"/>
                <w:left w:val="none" w:sz="0" w:space="0" w:color="auto"/>
                <w:bottom w:val="none" w:sz="0" w:space="0" w:color="auto"/>
                <w:right w:val="none" w:sz="0" w:space="0" w:color="auto"/>
              </w:divBdr>
              <w:divsChild>
                <w:div w:id="718436033">
                  <w:marLeft w:val="0"/>
                  <w:marRight w:val="0"/>
                  <w:marTop w:val="0"/>
                  <w:marBottom w:val="0"/>
                  <w:divBdr>
                    <w:top w:val="none" w:sz="0" w:space="0" w:color="auto"/>
                    <w:left w:val="none" w:sz="0" w:space="0" w:color="auto"/>
                    <w:bottom w:val="none" w:sz="0" w:space="0" w:color="auto"/>
                    <w:right w:val="none" w:sz="0" w:space="0" w:color="auto"/>
                  </w:divBdr>
                  <w:divsChild>
                    <w:div w:id="1103451707">
                      <w:marLeft w:val="0"/>
                      <w:marRight w:val="0"/>
                      <w:marTop w:val="0"/>
                      <w:marBottom w:val="0"/>
                      <w:divBdr>
                        <w:top w:val="none" w:sz="0" w:space="0" w:color="auto"/>
                        <w:left w:val="none" w:sz="0" w:space="0" w:color="auto"/>
                        <w:bottom w:val="none" w:sz="0" w:space="0" w:color="auto"/>
                        <w:right w:val="none" w:sz="0" w:space="0" w:color="auto"/>
                      </w:divBdr>
                      <w:divsChild>
                        <w:div w:id="202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272685">
      <w:bodyDiv w:val="1"/>
      <w:marLeft w:val="0"/>
      <w:marRight w:val="0"/>
      <w:marTop w:val="0"/>
      <w:marBottom w:val="0"/>
      <w:divBdr>
        <w:top w:val="none" w:sz="0" w:space="0" w:color="auto"/>
        <w:left w:val="none" w:sz="0" w:space="0" w:color="auto"/>
        <w:bottom w:val="none" w:sz="0" w:space="0" w:color="auto"/>
        <w:right w:val="none" w:sz="0" w:space="0" w:color="auto"/>
      </w:divBdr>
    </w:div>
    <w:div w:id="677345103">
      <w:bodyDiv w:val="1"/>
      <w:marLeft w:val="0"/>
      <w:marRight w:val="0"/>
      <w:marTop w:val="0"/>
      <w:marBottom w:val="0"/>
      <w:divBdr>
        <w:top w:val="none" w:sz="0" w:space="0" w:color="auto"/>
        <w:left w:val="none" w:sz="0" w:space="0" w:color="auto"/>
        <w:bottom w:val="none" w:sz="0" w:space="0" w:color="auto"/>
        <w:right w:val="none" w:sz="0" w:space="0" w:color="auto"/>
      </w:divBdr>
    </w:div>
    <w:div w:id="725684138">
      <w:bodyDiv w:val="1"/>
      <w:marLeft w:val="0"/>
      <w:marRight w:val="0"/>
      <w:marTop w:val="0"/>
      <w:marBottom w:val="0"/>
      <w:divBdr>
        <w:top w:val="none" w:sz="0" w:space="0" w:color="auto"/>
        <w:left w:val="none" w:sz="0" w:space="0" w:color="auto"/>
        <w:bottom w:val="none" w:sz="0" w:space="0" w:color="auto"/>
        <w:right w:val="none" w:sz="0" w:space="0" w:color="auto"/>
      </w:divBdr>
    </w:div>
    <w:div w:id="737899794">
      <w:bodyDiv w:val="1"/>
      <w:marLeft w:val="0"/>
      <w:marRight w:val="0"/>
      <w:marTop w:val="0"/>
      <w:marBottom w:val="0"/>
      <w:divBdr>
        <w:top w:val="none" w:sz="0" w:space="0" w:color="auto"/>
        <w:left w:val="none" w:sz="0" w:space="0" w:color="auto"/>
        <w:bottom w:val="none" w:sz="0" w:space="0" w:color="auto"/>
        <w:right w:val="none" w:sz="0" w:space="0" w:color="auto"/>
      </w:divBdr>
    </w:div>
    <w:div w:id="800341734">
      <w:bodyDiv w:val="1"/>
      <w:marLeft w:val="0"/>
      <w:marRight w:val="0"/>
      <w:marTop w:val="0"/>
      <w:marBottom w:val="0"/>
      <w:divBdr>
        <w:top w:val="none" w:sz="0" w:space="0" w:color="auto"/>
        <w:left w:val="none" w:sz="0" w:space="0" w:color="auto"/>
        <w:bottom w:val="none" w:sz="0" w:space="0" w:color="auto"/>
        <w:right w:val="none" w:sz="0" w:space="0" w:color="auto"/>
      </w:divBdr>
    </w:div>
    <w:div w:id="886112531">
      <w:bodyDiv w:val="1"/>
      <w:marLeft w:val="0"/>
      <w:marRight w:val="0"/>
      <w:marTop w:val="0"/>
      <w:marBottom w:val="0"/>
      <w:divBdr>
        <w:top w:val="none" w:sz="0" w:space="0" w:color="auto"/>
        <w:left w:val="none" w:sz="0" w:space="0" w:color="auto"/>
        <w:bottom w:val="none" w:sz="0" w:space="0" w:color="auto"/>
        <w:right w:val="none" w:sz="0" w:space="0" w:color="auto"/>
      </w:divBdr>
    </w:div>
    <w:div w:id="890069004">
      <w:bodyDiv w:val="1"/>
      <w:marLeft w:val="0"/>
      <w:marRight w:val="0"/>
      <w:marTop w:val="0"/>
      <w:marBottom w:val="0"/>
      <w:divBdr>
        <w:top w:val="none" w:sz="0" w:space="0" w:color="auto"/>
        <w:left w:val="none" w:sz="0" w:space="0" w:color="auto"/>
        <w:bottom w:val="none" w:sz="0" w:space="0" w:color="auto"/>
        <w:right w:val="none" w:sz="0" w:space="0" w:color="auto"/>
      </w:divBdr>
    </w:div>
    <w:div w:id="932857384">
      <w:bodyDiv w:val="1"/>
      <w:marLeft w:val="0"/>
      <w:marRight w:val="0"/>
      <w:marTop w:val="0"/>
      <w:marBottom w:val="0"/>
      <w:divBdr>
        <w:top w:val="none" w:sz="0" w:space="0" w:color="auto"/>
        <w:left w:val="none" w:sz="0" w:space="0" w:color="auto"/>
        <w:bottom w:val="none" w:sz="0" w:space="0" w:color="auto"/>
        <w:right w:val="none" w:sz="0" w:space="0" w:color="auto"/>
      </w:divBdr>
      <w:divsChild>
        <w:div w:id="1880773993">
          <w:marLeft w:val="0"/>
          <w:marRight w:val="0"/>
          <w:marTop w:val="0"/>
          <w:marBottom w:val="0"/>
          <w:divBdr>
            <w:top w:val="none" w:sz="0" w:space="0" w:color="auto"/>
            <w:left w:val="none" w:sz="0" w:space="0" w:color="auto"/>
            <w:bottom w:val="none" w:sz="0" w:space="0" w:color="auto"/>
            <w:right w:val="none" w:sz="0" w:space="0" w:color="auto"/>
          </w:divBdr>
          <w:divsChild>
            <w:div w:id="398747842">
              <w:marLeft w:val="0"/>
              <w:marRight w:val="0"/>
              <w:marTop w:val="0"/>
              <w:marBottom w:val="0"/>
              <w:divBdr>
                <w:top w:val="none" w:sz="0" w:space="0" w:color="auto"/>
                <w:left w:val="none" w:sz="0" w:space="0" w:color="auto"/>
                <w:bottom w:val="none" w:sz="0" w:space="0" w:color="auto"/>
                <w:right w:val="none" w:sz="0" w:space="0" w:color="auto"/>
              </w:divBdr>
              <w:divsChild>
                <w:div w:id="1870098607">
                  <w:marLeft w:val="0"/>
                  <w:marRight w:val="0"/>
                  <w:marTop w:val="0"/>
                  <w:marBottom w:val="0"/>
                  <w:divBdr>
                    <w:top w:val="none" w:sz="0" w:space="0" w:color="auto"/>
                    <w:left w:val="none" w:sz="0" w:space="0" w:color="auto"/>
                    <w:bottom w:val="none" w:sz="0" w:space="0" w:color="auto"/>
                    <w:right w:val="none" w:sz="0" w:space="0" w:color="auto"/>
                  </w:divBdr>
                  <w:divsChild>
                    <w:div w:id="1984196205">
                      <w:marLeft w:val="0"/>
                      <w:marRight w:val="0"/>
                      <w:marTop w:val="0"/>
                      <w:marBottom w:val="0"/>
                      <w:divBdr>
                        <w:top w:val="none" w:sz="0" w:space="0" w:color="auto"/>
                        <w:left w:val="none" w:sz="0" w:space="0" w:color="auto"/>
                        <w:bottom w:val="none" w:sz="0" w:space="0" w:color="auto"/>
                        <w:right w:val="none" w:sz="0" w:space="0" w:color="auto"/>
                      </w:divBdr>
                      <w:divsChild>
                        <w:div w:id="12871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15060">
      <w:bodyDiv w:val="1"/>
      <w:marLeft w:val="0"/>
      <w:marRight w:val="0"/>
      <w:marTop w:val="0"/>
      <w:marBottom w:val="0"/>
      <w:divBdr>
        <w:top w:val="none" w:sz="0" w:space="0" w:color="auto"/>
        <w:left w:val="none" w:sz="0" w:space="0" w:color="auto"/>
        <w:bottom w:val="none" w:sz="0" w:space="0" w:color="auto"/>
        <w:right w:val="none" w:sz="0" w:space="0" w:color="auto"/>
      </w:divBdr>
      <w:divsChild>
        <w:div w:id="1763408987">
          <w:marLeft w:val="0"/>
          <w:marRight w:val="0"/>
          <w:marTop w:val="0"/>
          <w:marBottom w:val="0"/>
          <w:divBdr>
            <w:top w:val="none" w:sz="0" w:space="0" w:color="auto"/>
            <w:left w:val="none" w:sz="0" w:space="0" w:color="auto"/>
            <w:bottom w:val="none" w:sz="0" w:space="0" w:color="auto"/>
            <w:right w:val="none" w:sz="0" w:space="0" w:color="auto"/>
          </w:divBdr>
        </w:div>
        <w:div w:id="1606956202">
          <w:marLeft w:val="0"/>
          <w:marRight w:val="0"/>
          <w:marTop w:val="0"/>
          <w:marBottom w:val="0"/>
          <w:divBdr>
            <w:top w:val="none" w:sz="0" w:space="0" w:color="auto"/>
            <w:left w:val="none" w:sz="0" w:space="0" w:color="auto"/>
            <w:bottom w:val="none" w:sz="0" w:space="0" w:color="auto"/>
            <w:right w:val="none" w:sz="0" w:space="0" w:color="auto"/>
          </w:divBdr>
        </w:div>
        <w:div w:id="1990355015">
          <w:marLeft w:val="0"/>
          <w:marRight w:val="0"/>
          <w:marTop w:val="0"/>
          <w:marBottom w:val="0"/>
          <w:divBdr>
            <w:top w:val="none" w:sz="0" w:space="0" w:color="auto"/>
            <w:left w:val="none" w:sz="0" w:space="0" w:color="auto"/>
            <w:bottom w:val="none" w:sz="0" w:space="0" w:color="auto"/>
            <w:right w:val="none" w:sz="0" w:space="0" w:color="auto"/>
          </w:divBdr>
        </w:div>
        <w:div w:id="630095256">
          <w:marLeft w:val="0"/>
          <w:marRight w:val="0"/>
          <w:marTop w:val="0"/>
          <w:marBottom w:val="0"/>
          <w:divBdr>
            <w:top w:val="none" w:sz="0" w:space="0" w:color="auto"/>
            <w:left w:val="none" w:sz="0" w:space="0" w:color="auto"/>
            <w:bottom w:val="none" w:sz="0" w:space="0" w:color="auto"/>
            <w:right w:val="none" w:sz="0" w:space="0" w:color="auto"/>
          </w:divBdr>
        </w:div>
        <w:div w:id="1391463248">
          <w:marLeft w:val="0"/>
          <w:marRight w:val="0"/>
          <w:marTop w:val="0"/>
          <w:marBottom w:val="0"/>
          <w:divBdr>
            <w:top w:val="none" w:sz="0" w:space="0" w:color="auto"/>
            <w:left w:val="none" w:sz="0" w:space="0" w:color="auto"/>
            <w:bottom w:val="none" w:sz="0" w:space="0" w:color="auto"/>
            <w:right w:val="none" w:sz="0" w:space="0" w:color="auto"/>
          </w:divBdr>
        </w:div>
        <w:div w:id="2127500721">
          <w:marLeft w:val="0"/>
          <w:marRight w:val="0"/>
          <w:marTop w:val="0"/>
          <w:marBottom w:val="0"/>
          <w:divBdr>
            <w:top w:val="none" w:sz="0" w:space="0" w:color="auto"/>
            <w:left w:val="none" w:sz="0" w:space="0" w:color="auto"/>
            <w:bottom w:val="none" w:sz="0" w:space="0" w:color="auto"/>
            <w:right w:val="none" w:sz="0" w:space="0" w:color="auto"/>
          </w:divBdr>
        </w:div>
        <w:div w:id="949897775">
          <w:marLeft w:val="0"/>
          <w:marRight w:val="0"/>
          <w:marTop w:val="0"/>
          <w:marBottom w:val="0"/>
          <w:divBdr>
            <w:top w:val="none" w:sz="0" w:space="0" w:color="auto"/>
            <w:left w:val="none" w:sz="0" w:space="0" w:color="auto"/>
            <w:bottom w:val="none" w:sz="0" w:space="0" w:color="auto"/>
            <w:right w:val="none" w:sz="0" w:space="0" w:color="auto"/>
          </w:divBdr>
        </w:div>
        <w:div w:id="2068524762">
          <w:marLeft w:val="0"/>
          <w:marRight w:val="0"/>
          <w:marTop w:val="0"/>
          <w:marBottom w:val="0"/>
          <w:divBdr>
            <w:top w:val="none" w:sz="0" w:space="0" w:color="auto"/>
            <w:left w:val="none" w:sz="0" w:space="0" w:color="auto"/>
            <w:bottom w:val="none" w:sz="0" w:space="0" w:color="auto"/>
            <w:right w:val="none" w:sz="0" w:space="0" w:color="auto"/>
          </w:divBdr>
        </w:div>
        <w:div w:id="83654083">
          <w:marLeft w:val="0"/>
          <w:marRight w:val="0"/>
          <w:marTop w:val="0"/>
          <w:marBottom w:val="0"/>
          <w:divBdr>
            <w:top w:val="none" w:sz="0" w:space="0" w:color="auto"/>
            <w:left w:val="none" w:sz="0" w:space="0" w:color="auto"/>
            <w:bottom w:val="none" w:sz="0" w:space="0" w:color="auto"/>
            <w:right w:val="none" w:sz="0" w:space="0" w:color="auto"/>
          </w:divBdr>
        </w:div>
        <w:div w:id="1410881768">
          <w:marLeft w:val="0"/>
          <w:marRight w:val="0"/>
          <w:marTop w:val="0"/>
          <w:marBottom w:val="0"/>
          <w:divBdr>
            <w:top w:val="none" w:sz="0" w:space="0" w:color="auto"/>
            <w:left w:val="none" w:sz="0" w:space="0" w:color="auto"/>
            <w:bottom w:val="none" w:sz="0" w:space="0" w:color="auto"/>
            <w:right w:val="none" w:sz="0" w:space="0" w:color="auto"/>
          </w:divBdr>
        </w:div>
        <w:div w:id="1449277960">
          <w:marLeft w:val="0"/>
          <w:marRight w:val="0"/>
          <w:marTop w:val="0"/>
          <w:marBottom w:val="0"/>
          <w:divBdr>
            <w:top w:val="none" w:sz="0" w:space="0" w:color="auto"/>
            <w:left w:val="none" w:sz="0" w:space="0" w:color="auto"/>
            <w:bottom w:val="none" w:sz="0" w:space="0" w:color="auto"/>
            <w:right w:val="none" w:sz="0" w:space="0" w:color="auto"/>
          </w:divBdr>
        </w:div>
        <w:div w:id="1405950782">
          <w:marLeft w:val="0"/>
          <w:marRight w:val="0"/>
          <w:marTop w:val="0"/>
          <w:marBottom w:val="0"/>
          <w:divBdr>
            <w:top w:val="none" w:sz="0" w:space="0" w:color="auto"/>
            <w:left w:val="none" w:sz="0" w:space="0" w:color="auto"/>
            <w:bottom w:val="none" w:sz="0" w:space="0" w:color="auto"/>
            <w:right w:val="none" w:sz="0" w:space="0" w:color="auto"/>
          </w:divBdr>
        </w:div>
        <w:div w:id="922690102">
          <w:marLeft w:val="0"/>
          <w:marRight w:val="0"/>
          <w:marTop w:val="0"/>
          <w:marBottom w:val="0"/>
          <w:divBdr>
            <w:top w:val="none" w:sz="0" w:space="0" w:color="auto"/>
            <w:left w:val="none" w:sz="0" w:space="0" w:color="auto"/>
            <w:bottom w:val="none" w:sz="0" w:space="0" w:color="auto"/>
            <w:right w:val="none" w:sz="0" w:space="0" w:color="auto"/>
          </w:divBdr>
        </w:div>
        <w:div w:id="2101026794">
          <w:marLeft w:val="0"/>
          <w:marRight w:val="0"/>
          <w:marTop w:val="0"/>
          <w:marBottom w:val="0"/>
          <w:divBdr>
            <w:top w:val="none" w:sz="0" w:space="0" w:color="auto"/>
            <w:left w:val="none" w:sz="0" w:space="0" w:color="auto"/>
            <w:bottom w:val="none" w:sz="0" w:space="0" w:color="auto"/>
            <w:right w:val="none" w:sz="0" w:space="0" w:color="auto"/>
          </w:divBdr>
        </w:div>
        <w:div w:id="1729764064">
          <w:marLeft w:val="0"/>
          <w:marRight w:val="0"/>
          <w:marTop w:val="0"/>
          <w:marBottom w:val="0"/>
          <w:divBdr>
            <w:top w:val="none" w:sz="0" w:space="0" w:color="auto"/>
            <w:left w:val="none" w:sz="0" w:space="0" w:color="auto"/>
            <w:bottom w:val="none" w:sz="0" w:space="0" w:color="auto"/>
            <w:right w:val="none" w:sz="0" w:space="0" w:color="auto"/>
          </w:divBdr>
        </w:div>
        <w:div w:id="564268726">
          <w:marLeft w:val="0"/>
          <w:marRight w:val="0"/>
          <w:marTop w:val="0"/>
          <w:marBottom w:val="0"/>
          <w:divBdr>
            <w:top w:val="none" w:sz="0" w:space="0" w:color="auto"/>
            <w:left w:val="none" w:sz="0" w:space="0" w:color="auto"/>
            <w:bottom w:val="none" w:sz="0" w:space="0" w:color="auto"/>
            <w:right w:val="none" w:sz="0" w:space="0" w:color="auto"/>
          </w:divBdr>
        </w:div>
        <w:div w:id="1947615617">
          <w:marLeft w:val="0"/>
          <w:marRight w:val="0"/>
          <w:marTop w:val="0"/>
          <w:marBottom w:val="0"/>
          <w:divBdr>
            <w:top w:val="none" w:sz="0" w:space="0" w:color="auto"/>
            <w:left w:val="none" w:sz="0" w:space="0" w:color="auto"/>
            <w:bottom w:val="none" w:sz="0" w:space="0" w:color="auto"/>
            <w:right w:val="none" w:sz="0" w:space="0" w:color="auto"/>
          </w:divBdr>
        </w:div>
        <w:div w:id="360127459">
          <w:marLeft w:val="0"/>
          <w:marRight w:val="0"/>
          <w:marTop w:val="0"/>
          <w:marBottom w:val="0"/>
          <w:divBdr>
            <w:top w:val="none" w:sz="0" w:space="0" w:color="auto"/>
            <w:left w:val="none" w:sz="0" w:space="0" w:color="auto"/>
            <w:bottom w:val="none" w:sz="0" w:space="0" w:color="auto"/>
            <w:right w:val="none" w:sz="0" w:space="0" w:color="auto"/>
          </w:divBdr>
        </w:div>
        <w:div w:id="1810319615">
          <w:marLeft w:val="0"/>
          <w:marRight w:val="0"/>
          <w:marTop w:val="0"/>
          <w:marBottom w:val="0"/>
          <w:divBdr>
            <w:top w:val="none" w:sz="0" w:space="0" w:color="auto"/>
            <w:left w:val="none" w:sz="0" w:space="0" w:color="auto"/>
            <w:bottom w:val="none" w:sz="0" w:space="0" w:color="auto"/>
            <w:right w:val="none" w:sz="0" w:space="0" w:color="auto"/>
          </w:divBdr>
        </w:div>
        <w:div w:id="1943682680">
          <w:marLeft w:val="0"/>
          <w:marRight w:val="0"/>
          <w:marTop w:val="0"/>
          <w:marBottom w:val="0"/>
          <w:divBdr>
            <w:top w:val="none" w:sz="0" w:space="0" w:color="auto"/>
            <w:left w:val="none" w:sz="0" w:space="0" w:color="auto"/>
            <w:bottom w:val="none" w:sz="0" w:space="0" w:color="auto"/>
            <w:right w:val="none" w:sz="0" w:space="0" w:color="auto"/>
          </w:divBdr>
        </w:div>
        <w:div w:id="181551060">
          <w:marLeft w:val="0"/>
          <w:marRight w:val="0"/>
          <w:marTop w:val="0"/>
          <w:marBottom w:val="0"/>
          <w:divBdr>
            <w:top w:val="none" w:sz="0" w:space="0" w:color="auto"/>
            <w:left w:val="none" w:sz="0" w:space="0" w:color="auto"/>
            <w:bottom w:val="none" w:sz="0" w:space="0" w:color="auto"/>
            <w:right w:val="none" w:sz="0" w:space="0" w:color="auto"/>
          </w:divBdr>
        </w:div>
        <w:div w:id="1033504128">
          <w:marLeft w:val="0"/>
          <w:marRight w:val="0"/>
          <w:marTop w:val="0"/>
          <w:marBottom w:val="0"/>
          <w:divBdr>
            <w:top w:val="none" w:sz="0" w:space="0" w:color="auto"/>
            <w:left w:val="none" w:sz="0" w:space="0" w:color="auto"/>
            <w:bottom w:val="none" w:sz="0" w:space="0" w:color="auto"/>
            <w:right w:val="none" w:sz="0" w:space="0" w:color="auto"/>
          </w:divBdr>
        </w:div>
        <w:div w:id="434522635">
          <w:marLeft w:val="0"/>
          <w:marRight w:val="0"/>
          <w:marTop w:val="0"/>
          <w:marBottom w:val="0"/>
          <w:divBdr>
            <w:top w:val="none" w:sz="0" w:space="0" w:color="auto"/>
            <w:left w:val="none" w:sz="0" w:space="0" w:color="auto"/>
            <w:bottom w:val="none" w:sz="0" w:space="0" w:color="auto"/>
            <w:right w:val="none" w:sz="0" w:space="0" w:color="auto"/>
          </w:divBdr>
        </w:div>
        <w:div w:id="462310527">
          <w:marLeft w:val="0"/>
          <w:marRight w:val="0"/>
          <w:marTop w:val="0"/>
          <w:marBottom w:val="0"/>
          <w:divBdr>
            <w:top w:val="none" w:sz="0" w:space="0" w:color="auto"/>
            <w:left w:val="none" w:sz="0" w:space="0" w:color="auto"/>
            <w:bottom w:val="none" w:sz="0" w:space="0" w:color="auto"/>
            <w:right w:val="none" w:sz="0" w:space="0" w:color="auto"/>
          </w:divBdr>
        </w:div>
        <w:div w:id="1133063563">
          <w:marLeft w:val="0"/>
          <w:marRight w:val="0"/>
          <w:marTop w:val="0"/>
          <w:marBottom w:val="0"/>
          <w:divBdr>
            <w:top w:val="none" w:sz="0" w:space="0" w:color="auto"/>
            <w:left w:val="none" w:sz="0" w:space="0" w:color="auto"/>
            <w:bottom w:val="none" w:sz="0" w:space="0" w:color="auto"/>
            <w:right w:val="none" w:sz="0" w:space="0" w:color="auto"/>
          </w:divBdr>
        </w:div>
        <w:div w:id="1379933881">
          <w:marLeft w:val="0"/>
          <w:marRight w:val="0"/>
          <w:marTop w:val="0"/>
          <w:marBottom w:val="0"/>
          <w:divBdr>
            <w:top w:val="none" w:sz="0" w:space="0" w:color="auto"/>
            <w:left w:val="none" w:sz="0" w:space="0" w:color="auto"/>
            <w:bottom w:val="none" w:sz="0" w:space="0" w:color="auto"/>
            <w:right w:val="none" w:sz="0" w:space="0" w:color="auto"/>
          </w:divBdr>
        </w:div>
        <w:div w:id="618219087">
          <w:marLeft w:val="0"/>
          <w:marRight w:val="0"/>
          <w:marTop w:val="0"/>
          <w:marBottom w:val="0"/>
          <w:divBdr>
            <w:top w:val="none" w:sz="0" w:space="0" w:color="auto"/>
            <w:left w:val="none" w:sz="0" w:space="0" w:color="auto"/>
            <w:bottom w:val="none" w:sz="0" w:space="0" w:color="auto"/>
            <w:right w:val="none" w:sz="0" w:space="0" w:color="auto"/>
          </w:divBdr>
        </w:div>
        <w:div w:id="1905098657">
          <w:marLeft w:val="0"/>
          <w:marRight w:val="0"/>
          <w:marTop w:val="0"/>
          <w:marBottom w:val="0"/>
          <w:divBdr>
            <w:top w:val="none" w:sz="0" w:space="0" w:color="auto"/>
            <w:left w:val="none" w:sz="0" w:space="0" w:color="auto"/>
            <w:bottom w:val="none" w:sz="0" w:space="0" w:color="auto"/>
            <w:right w:val="none" w:sz="0" w:space="0" w:color="auto"/>
          </w:divBdr>
        </w:div>
        <w:div w:id="1622568414">
          <w:marLeft w:val="0"/>
          <w:marRight w:val="0"/>
          <w:marTop w:val="0"/>
          <w:marBottom w:val="0"/>
          <w:divBdr>
            <w:top w:val="none" w:sz="0" w:space="0" w:color="auto"/>
            <w:left w:val="none" w:sz="0" w:space="0" w:color="auto"/>
            <w:bottom w:val="none" w:sz="0" w:space="0" w:color="auto"/>
            <w:right w:val="none" w:sz="0" w:space="0" w:color="auto"/>
          </w:divBdr>
        </w:div>
        <w:div w:id="1991907180">
          <w:marLeft w:val="0"/>
          <w:marRight w:val="0"/>
          <w:marTop w:val="0"/>
          <w:marBottom w:val="0"/>
          <w:divBdr>
            <w:top w:val="none" w:sz="0" w:space="0" w:color="auto"/>
            <w:left w:val="none" w:sz="0" w:space="0" w:color="auto"/>
            <w:bottom w:val="none" w:sz="0" w:space="0" w:color="auto"/>
            <w:right w:val="none" w:sz="0" w:space="0" w:color="auto"/>
          </w:divBdr>
        </w:div>
        <w:div w:id="329912839">
          <w:marLeft w:val="0"/>
          <w:marRight w:val="0"/>
          <w:marTop w:val="0"/>
          <w:marBottom w:val="0"/>
          <w:divBdr>
            <w:top w:val="none" w:sz="0" w:space="0" w:color="auto"/>
            <w:left w:val="none" w:sz="0" w:space="0" w:color="auto"/>
            <w:bottom w:val="none" w:sz="0" w:space="0" w:color="auto"/>
            <w:right w:val="none" w:sz="0" w:space="0" w:color="auto"/>
          </w:divBdr>
        </w:div>
        <w:div w:id="882255192">
          <w:marLeft w:val="0"/>
          <w:marRight w:val="0"/>
          <w:marTop w:val="0"/>
          <w:marBottom w:val="0"/>
          <w:divBdr>
            <w:top w:val="none" w:sz="0" w:space="0" w:color="auto"/>
            <w:left w:val="none" w:sz="0" w:space="0" w:color="auto"/>
            <w:bottom w:val="none" w:sz="0" w:space="0" w:color="auto"/>
            <w:right w:val="none" w:sz="0" w:space="0" w:color="auto"/>
          </w:divBdr>
        </w:div>
        <w:div w:id="865219657">
          <w:marLeft w:val="0"/>
          <w:marRight w:val="0"/>
          <w:marTop w:val="0"/>
          <w:marBottom w:val="0"/>
          <w:divBdr>
            <w:top w:val="none" w:sz="0" w:space="0" w:color="auto"/>
            <w:left w:val="none" w:sz="0" w:space="0" w:color="auto"/>
            <w:bottom w:val="none" w:sz="0" w:space="0" w:color="auto"/>
            <w:right w:val="none" w:sz="0" w:space="0" w:color="auto"/>
          </w:divBdr>
        </w:div>
        <w:div w:id="1696348329">
          <w:marLeft w:val="0"/>
          <w:marRight w:val="0"/>
          <w:marTop w:val="0"/>
          <w:marBottom w:val="0"/>
          <w:divBdr>
            <w:top w:val="none" w:sz="0" w:space="0" w:color="auto"/>
            <w:left w:val="none" w:sz="0" w:space="0" w:color="auto"/>
            <w:bottom w:val="none" w:sz="0" w:space="0" w:color="auto"/>
            <w:right w:val="none" w:sz="0" w:space="0" w:color="auto"/>
          </w:divBdr>
        </w:div>
        <w:div w:id="1149132367">
          <w:marLeft w:val="0"/>
          <w:marRight w:val="0"/>
          <w:marTop w:val="0"/>
          <w:marBottom w:val="0"/>
          <w:divBdr>
            <w:top w:val="none" w:sz="0" w:space="0" w:color="auto"/>
            <w:left w:val="none" w:sz="0" w:space="0" w:color="auto"/>
            <w:bottom w:val="none" w:sz="0" w:space="0" w:color="auto"/>
            <w:right w:val="none" w:sz="0" w:space="0" w:color="auto"/>
          </w:divBdr>
        </w:div>
        <w:div w:id="439691763">
          <w:marLeft w:val="0"/>
          <w:marRight w:val="0"/>
          <w:marTop w:val="0"/>
          <w:marBottom w:val="0"/>
          <w:divBdr>
            <w:top w:val="none" w:sz="0" w:space="0" w:color="auto"/>
            <w:left w:val="none" w:sz="0" w:space="0" w:color="auto"/>
            <w:bottom w:val="none" w:sz="0" w:space="0" w:color="auto"/>
            <w:right w:val="none" w:sz="0" w:space="0" w:color="auto"/>
          </w:divBdr>
        </w:div>
        <w:div w:id="1943567000">
          <w:marLeft w:val="0"/>
          <w:marRight w:val="0"/>
          <w:marTop w:val="0"/>
          <w:marBottom w:val="0"/>
          <w:divBdr>
            <w:top w:val="none" w:sz="0" w:space="0" w:color="auto"/>
            <w:left w:val="none" w:sz="0" w:space="0" w:color="auto"/>
            <w:bottom w:val="none" w:sz="0" w:space="0" w:color="auto"/>
            <w:right w:val="none" w:sz="0" w:space="0" w:color="auto"/>
          </w:divBdr>
        </w:div>
        <w:div w:id="1182860807">
          <w:marLeft w:val="0"/>
          <w:marRight w:val="0"/>
          <w:marTop w:val="0"/>
          <w:marBottom w:val="0"/>
          <w:divBdr>
            <w:top w:val="none" w:sz="0" w:space="0" w:color="auto"/>
            <w:left w:val="none" w:sz="0" w:space="0" w:color="auto"/>
            <w:bottom w:val="none" w:sz="0" w:space="0" w:color="auto"/>
            <w:right w:val="none" w:sz="0" w:space="0" w:color="auto"/>
          </w:divBdr>
        </w:div>
        <w:div w:id="1025601109">
          <w:marLeft w:val="0"/>
          <w:marRight w:val="0"/>
          <w:marTop w:val="0"/>
          <w:marBottom w:val="0"/>
          <w:divBdr>
            <w:top w:val="none" w:sz="0" w:space="0" w:color="auto"/>
            <w:left w:val="none" w:sz="0" w:space="0" w:color="auto"/>
            <w:bottom w:val="none" w:sz="0" w:space="0" w:color="auto"/>
            <w:right w:val="none" w:sz="0" w:space="0" w:color="auto"/>
          </w:divBdr>
        </w:div>
        <w:div w:id="1702433740">
          <w:marLeft w:val="0"/>
          <w:marRight w:val="0"/>
          <w:marTop w:val="0"/>
          <w:marBottom w:val="0"/>
          <w:divBdr>
            <w:top w:val="none" w:sz="0" w:space="0" w:color="auto"/>
            <w:left w:val="none" w:sz="0" w:space="0" w:color="auto"/>
            <w:bottom w:val="none" w:sz="0" w:space="0" w:color="auto"/>
            <w:right w:val="none" w:sz="0" w:space="0" w:color="auto"/>
          </w:divBdr>
        </w:div>
        <w:div w:id="154148369">
          <w:marLeft w:val="0"/>
          <w:marRight w:val="0"/>
          <w:marTop w:val="0"/>
          <w:marBottom w:val="0"/>
          <w:divBdr>
            <w:top w:val="none" w:sz="0" w:space="0" w:color="auto"/>
            <w:left w:val="none" w:sz="0" w:space="0" w:color="auto"/>
            <w:bottom w:val="none" w:sz="0" w:space="0" w:color="auto"/>
            <w:right w:val="none" w:sz="0" w:space="0" w:color="auto"/>
          </w:divBdr>
        </w:div>
        <w:div w:id="2042969409">
          <w:marLeft w:val="0"/>
          <w:marRight w:val="0"/>
          <w:marTop w:val="0"/>
          <w:marBottom w:val="0"/>
          <w:divBdr>
            <w:top w:val="none" w:sz="0" w:space="0" w:color="auto"/>
            <w:left w:val="none" w:sz="0" w:space="0" w:color="auto"/>
            <w:bottom w:val="none" w:sz="0" w:space="0" w:color="auto"/>
            <w:right w:val="none" w:sz="0" w:space="0" w:color="auto"/>
          </w:divBdr>
        </w:div>
        <w:div w:id="2102792901">
          <w:marLeft w:val="0"/>
          <w:marRight w:val="0"/>
          <w:marTop w:val="0"/>
          <w:marBottom w:val="0"/>
          <w:divBdr>
            <w:top w:val="none" w:sz="0" w:space="0" w:color="auto"/>
            <w:left w:val="none" w:sz="0" w:space="0" w:color="auto"/>
            <w:bottom w:val="none" w:sz="0" w:space="0" w:color="auto"/>
            <w:right w:val="none" w:sz="0" w:space="0" w:color="auto"/>
          </w:divBdr>
        </w:div>
        <w:div w:id="431560234">
          <w:marLeft w:val="0"/>
          <w:marRight w:val="0"/>
          <w:marTop w:val="0"/>
          <w:marBottom w:val="0"/>
          <w:divBdr>
            <w:top w:val="none" w:sz="0" w:space="0" w:color="auto"/>
            <w:left w:val="none" w:sz="0" w:space="0" w:color="auto"/>
            <w:bottom w:val="none" w:sz="0" w:space="0" w:color="auto"/>
            <w:right w:val="none" w:sz="0" w:space="0" w:color="auto"/>
          </w:divBdr>
        </w:div>
        <w:div w:id="1375423583">
          <w:marLeft w:val="0"/>
          <w:marRight w:val="0"/>
          <w:marTop w:val="0"/>
          <w:marBottom w:val="0"/>
          <w:divBdr>
            <w:top w:val="none" w:sz="0" w:space="0" w:color="auto"/>
            <w:left w:val="none" w:sz="0" w:space="0" w:color="auto"/>
            <w:bottom w:val="none" w:sz="0" w:space="0" w:color="auto"/>
            <w:right w:val="none" w:sz="0" w:space="0" w:color="auto"/>
          </w:divBdr>
        </w:div>
        <w:div w:id="1920823784">
          <w:marLeft w:val="0"/>
          <w:marRight w:val="0"/>
          <w:marTop w:val="0"/>
          <w:marBottom w:val="0"/>
          <w:divBdr>
            <w:top w:val="none" w:sz="0" w:space="0" w:color="auto"/>
            <w:left w:val="none" w:sz="0" w:space="0" w:color="auto"/>
            <w:bottom w:val="none" w:sz="0" w:space="0" w:color="auto"/>
            <w:right w:val="none" w:sz="0" w:space="0" w:color="auto"/>
          </w:divBdr>
        </w:div>
        <w:div w:id="15616964">
          <w:marLeft w:val="0"/>
          <w:marRight w:val="0"/>
          <w:marTop w:val="0"/>
          <w:marBottom w:val="0"/>
          <w:divBdr>
            <w:top w:val="none" w:sz="0" w:space="0" w:color="auto"/>
            <w:left w:val="none" w:sz="0" w:space="0" w:color="auto"/>
            <w:bottom w:val="none" w:sz="0" w:space="0" w:color="auto"/>
            <w:right w:val="none" w:sz="0" w:space="0" w:color="auto"/>
          </w:divBdr>
        </w:div>
        <w:div w:id="1062555369">
          <w:marLeft w:val="0"/>
          <w:marRight w:val="0"/>
          <w:marTop w:val="0"/>
          <w:marBottom w:val="0"/>
          <w:divBdr>
            <w:top w:val="none" w:sz="0" w:space="0" w:color="auto"/>
            <w:left w:val="none" w:sz="0" w:space="0" w:color="auto"/>
            <w:bottom w:val="none" w:sz="0" w:space="0" w:color="auto"/>
            <w:right w:val="none" w:sz="0" w:space="0" w:color="auto"/>
          </w:divBdr>
        </w:div>
        <w:div w:id="1689595914">
          <w:marLeft w:val="0"/>
          <w:marRight w:val="0"/>
          <w:marTop w:val="0"/>
          <w:marBottom w:val="0"/>
          <w:divBdr>
            <w:top w:val="none" w:sz="0" w:space="0" w:color="auto"/>
            <w:left w:val="none" w:sz="0" w:space="0" w:color="auto"/>
            <w:bottom w:val="none" w:sz="0" w:space="0" w:color="auto"/>
            <w:right w:val="none" w:sz="0" w:space="0" w:color="auto"/>
          </w:divBdr>
        </w:div>
        <w:div w:id="2002584265">
          <w:marLeft w:val="0"/>
          <w:marRight w:val="0"/>
          <w:marTop w:val="0"/>
          <w:marBottom w:val="0"/>
          <w:divBdr>
            <w:top w:val="none" w:sz="0" w:space="0" w:color="auto"/>
            <w:left w:val="none" w:sz="0" w:space="0" w:color="auto"/>
            <w:bottom w:val="none" w:sz="0" w:space="0" w:color="auto"/>
            <w:right w:val="none" w:sz="0" w:space="0" w:color="auto"/>
          </w:divBdr>
        </w:div>
        <w:div w:id="1717925838">
          <w:marLeft w:val="0"/>
          <w:marRight w:val="0"/>
          <w:marTop w:val="0"/>
          <w:marBottom w:val="0"/>
          <w:divBdr>
            <w:top w:val="none" w:sz="0" w:space="0" w:color="auto"/>
            <w:left w:val="none" w:sz="0" w:space="0" w:color="auto"/>
            <w:bottom w:val="none" w:sz="0" w:space="0" w:color="auto"/>
            <w:right w:val="none" w:sz="0" w:space="0" w:color="auto"/>
          </w:divBdr>
        </w:div>
        <w:div w:id="1427846147">
          <w:marLeft w:val="0"/>
          <w:marRight w:val="0"/>
          <w:marTop w:val="0"/>
          <w:marBottom w:val="0"/>
          <w:divBdr>
            <w:top w:val="none" w:sz="0" w:space="0" w:color="auto"/>
            <w:left w:val="none" w:sz="0" w:space="0" w:color="auto"/>
            <w:bottom w:val="none" w:sz="0" w:space="0" w:color="auto"/>
            <w:right w:val="none" w:sz="0" w:space="0" w:color="auto"/>
          </w:divBdr>
        </w:div>
        <w:div w:id="1588003772">
          <w:marLeft w:val="0"/>
          <w:marRight w:val="0"/>
          <w:marTop w:val="0"/>
          <w:marBottom w:val="0"/>
          <w:divBdr>
            <w:top w:val="none" w:sz="0" w:space="0" w:color="auto"/>
            <w:left w:val="none" w:sz="0" w:space="0" w:color="auto"/>
            <w:bottom w:val="none" w:sz="0" w:space="0" w:color="auto"/>
            <w:right w:val="none" w:sz="0" w:space="0" w:color="auto"/>
          </w:divBdr>
        </w:div>
        <w:div w:id="1279335025">
          <w:marLeft w:val="0"/>
          <w:marRight w:val="0"/>
          <w:marTop w:val="0"/>
          <w:marBottom w:val="0"/>
          <w:divBdr>
            <w:top w:val="none" w:sz="0" w:space="0" w:color="auto"/>
            <w:left w:val="none" w:sz="0" w:space="0" w:color="auto"/>
            <w:bottom w:val="none" w:sz="0" w:space="0" w:color="auto"/>
            <w:right w:val="none" w:sz="0" w:space="0" w:color="auto"/>
          </w:divBdr>
        </w:div>
        <w:div w:id="2145392153">
          <w:marLeft w:val="0"/>
          <w:marRight w:val="0"/>
          <w:marTop w:val="0"/>
          <w:marBottom w:val="0"/>
          <w:divBdr>
            <w:top w:val="none" w:sz="0" w:space="0" w:color="auto"/>
            <w:left w:val="none" w:sz="0" w:space="0" w:color="auto"/>
            <w:bottom w:val="none" w:sz="0" w:space="0" w:color="auto"/>
            <w:right w:val="none" w:sz="0" w:space="0" w:color="auto"/>
          </w:divBdr>
        </w:div>
        <w:div w:id="993879566">
          <w:marLeft w:val="0"/>
          <w:marRight w:val="0"/>
          <w:marTop w:val="0"/>
          <w:marBottom w:val="0"/>
          <w:divBdr>
            <w:top w:val="none" w:sz="0" w:space="0" w:color="auto"/>
            <w:left w:val="none" w:sz="0" w:space="0" w:color="auto"/>
            <w:bottom w:val="none" w:sz="0" w:space="0" w:color="auto"/>
            <w:right w:val="none" w:sz="0" w:space="0" w:color="auto"/>
          </w:divBdr>
        </w:div>
        <w:div w:id="1133867042">
          <w:marLeft w:val="0"/>
          <w:marRight w:val="0"/>
          <w:marTop w:val="0"/>
          <w:marBottom w:val="0"/>
          <w:divBdr>
            <w:top w:val="none" w:sz="0" w:space="0" w:color="auto"/>
            <w:left w:val="none" w:sz="0" w:space="0" w:color="auto"/>
            <w:bottom w:val="none" w:sz="0" w:space="0" w:color="auto"/>
            <w:right w:val="none" w:sz="0" w:space="0" w:color="auto"/>
          </w:divBdr>
        </w:div>
        <w:div w:id="2058313776">
          <w:marLeft w:val="0"/>
          <w:marRight w:val="0"/>
          <w:marTop w:val="0"/>
          <w:marBottom w:val="0"/>
          <w:divBdr>
            <w:top w:val="none" w:sz="0" w:space="0" w:color="auto"/>
            <w:left w:val="none" w:sz="0" w:space="0" w:color="auto"/>
            <w:bottom w:val="none" w:sz="0" w:space="0" w:color="auto"/>
            <w:right w:val="none" w:sz="0" w:space="0" w:color="auto"/>
          </w:divBdr>
        </w:div>
        <w:div w:id="966005063">
          <w:marLeft w:val="0"/>
          <w:marRight w:val="0"/>
          <w:marTop w:val="0"/>
          <w:marBottom w:val="0"/>
          <w:divBdr>
            <w:top w:val="none" w:sz="0" w:space="0" w:color="auto"/>
            <w:left w:val="none" w:sz="0" w:space="0" w:color="auto"/>
            <w:bottom w:val="none" w:sz="0" w:space="0" w:color="auto"/>
            <w:right w:val="none" w:sz="0" w:space="0" w:color="auto"/>
          </w:divBdr>
        </w:div>
        <w:div w:id="1279679186">
          <w:marLeft w:val="0"/>
          <w:marRight w:val="0"/>
          <w:marTop w:val="0"/>
          <w:marBottom w:val="0"/>
          <w:divBdr>
            <w:top w:val="none" w:sz="0" w:space="0" w:color="auto"/>
            <w:left w:val="none" w:sz="0" w:space="0" w:color="auto"/>
            <w:bottom w:val="none" w:sz="0" w:space="0" w:color="auto"/>
            <w:right w:val="none" w:sz="0" w:space="0" w:color="auto"/>
          </w:divBdr>
        </w:div>
        <w:div w:id="1409185324">
          <w:marLeft w:val="0"/>
          <w:marRight w:val="0"/>
          <w:marTop w:val="0"/>
          <w:marBottom w:val="0"/>
          <w:divBdr>
            <w:top w:val="none" w:sz="0" w:space="0" w:color="auto"/>
            <w:left w:val="none" w:sz="0" w:space="0" w:color="auto"/>
            <w:bottom w:val="none" w:sz="0" w:space="0" w:color="auto"/>
            <w:right w:val="none" w:sz="0" w:space="0" w:color="auto"/>
          </w:divBdr>
        </w:div>
        <w:div w:id="634333195">
          <w:marLeft w:val="0"/>
          <w:marRight w:val="0"/>
          <w:marTop w:val="0"/>
          <w:marBottom w:val="0"/>
          <w:divBdr>
            <w:top w:val="none" w:sz="0" w:space="0" w:color="auto"/>
            <w:left w:val="none" w:sz="0" w:space="0" w:color="auto"/>
            <w:bottom w:val="none" w:sz="0" w:space="0" w:color="auto"/>
            <w:right w:val="none" w:sz="0" w:space="0" w:color="auto"/>
          </w:divBdr>
        </w:div>
        <w:div w:id="1382900050">
          <w:marLeft w:val="0"/>
          <w:marRight w:val="0"/>
          <w:marTop w:val="0"/>
          <w:marBottom w:val="0"/>
          <w:divBdr>
            <w:top w:val="none" w:sz="0" w:space="0" w:color="auto"/>
            <w:left w:val="none" w:sz="0" w:space="0" w:color="auto"/>
            <w:bottom w:val="none" w:sz="0" w:space="0" w:color="auto"/>
            <w:right w:val="none" w:sz="0" w:space="0" w:color="auto"/>
          </w:divBdr>
        </w:div>
        <w:div w:id="814302855">
          <w:marLeft w:val="0"/>
          <w:marRight w:val="0"/>
          <w:marTop w:val="0"/>
          <w:marBottom w:val="0"/>
          <w:divBdr>
            <w:top w:val="none" w:sz="0" w:space="0" w:color="auto"/>
            <w:left w:val="none" w:sz="0" w:space="0" w:color="auto"/>
            <w:bottom w:val="none" w:sz="0" w:space="0" w:color="auto"/>
            <w:right w:val="none" w:sz="0" w:space="0" w:color="auto"/>
          </w:divBdr>
        </w:div>
        <w:div w:id="1442994152">
          <w:marLeft w:val="0"/>
          <w:marRight w:val="0"/>
          <w:marTop w:val="0"/>
          <w:marBottom w:val="0"/>
          <w:divBdr>
            <w:top w:val="none" w:sz="0" w:space="0" w:color="auto"/>
            <w:left w:val="none" w:sz="0" w:space="0" w:color="auto"/>
            <w:bottom w:val="none" w:sz="0" w:space="0" w:color="auto"/>
            <w:right w:val="none" w:sz="0" w:space="0" w:color="auto"/>
          </w:divBdr>
        </w:div>
        <w:div w:id="2096121453">
          <w:marLeft w:val="0"/>
          <w:marRight w:val="0"/>
          <w:marTop w:val="0"/>
          <w:marBottom w:val="0"/>
          <w:divBdr>
            <w:top w:val="none" w:sz="0" w:space="0" w:color="auto"/>
            <w:left w:val="none" w:sz="0" w:space="0" w:color="auto"/>
            <w:bottom w:val="none" w:sz="0" w:space="0" w:color="auto"/>
            <w:right w:val="none" w:sz="0" w:space="0" w:color="auto"/>
          </w:divBdr>
        </w:div>
        <w:div w:id="1871608618">
          <w:marLeft w:val="0"/>
          <w:marRight w:val="0"/>
          <w:marTop w:val="0"/>
          <w:marBottom w:val="0"/>
          <w:divBdr>
            <w:top w:val="none" w:sz="0" w:space="0" w:color="auto"/>
            <w:left w:val="none" w:sz="0" w:space="0" w:color="auto"/>
            <w:bottom w:val="none" w:sz="0" w:space="0" w:color="auto"/>
            <w:right w:val="none" w:sz="0" w:space="0" w:color="auto"/>
          </w:divBdr>
        </w:div>
        <w:div w:id="921840721">
          <w:marLeft w:val="0"/>
          <w:marRight w:val="0"/>
          <w:marTop w:val="0"/>
          <w:marBottom w:val="0"/>
          <w:divBdr>
            <w:top w:val="none" w:sz="0" w:space="0" w:color="auto"/>
            <w:left w:val="none" w:sz="0" w:space="0" w:color="auto"/>
            <w:bottom w:val="none" w:sz="0" w:space="0" w:color="auto"/>
            <w:right w:val="none" w:sz="0" w:space="0" w:color="auto"/>
          </w:divBdr>
        </w:div>
        <w:div w:id="940602356">
          <w:marLeft w:val="0"/>
          <w:marRight w:val="0"/>
          <w:marTop w:val="0"/>
          <w:marBottom w:val="0"/>
          <w:divBdr>
            <w:top w:val="none" w:sz="0" w:space="0" w:color="auto"/>
            <w:left w:val="none" w:sz="0" w:space="0" w:color="auto"/>
            <w:bottom w:val="none" w:sz="0" w:space="0" w:color="auto"/>
            <w:right w:val="none" w:sz="0" w:space="0" w:color="auto"/>
          </w:divBdr>
        </w:div>
        <w:div w:id="2042632604">
          <w:marLeft w:val="0"/>
          <w:marRight w:val="0"/>
          <w:marTop w:val="0"/>
          <w:marBottom w:val="0"/>
          <w:divBdr>
            <w:top w:val="none" w:sz="0" w:space="0" w:color="auto"/>
            <w:left w:val="none" w:sz="0" w:space="0" w:color="auto"/>
            <w:bottom w:val="none" w:sz="0" w:space="0" w:color="auto"/>
            <w:right w:val="none" w:sz="0" w:space="0" w:color="auto"/>
          </w:divBdr>
        </w:div>
        <w:div w:id="2147121778">
          <w:marLeft w:val="0"/>
          <w:marRight w:val="0"/>
          <w:marTop w:val="0"/>
          <w:marBottom w:val="0"/>
          <w:divBdr>
            <w:top w:val="none" w:sz="0" w:space="0" w:color="auto"/>
            <w:left w:val="none" w:sz="0" w:space="0" w:color="auto"/>
            <w:bottom w:val="none" w:sz="0" w:space="0" w:color="auto"/>
            <w:right w:val="none" w:sz="0" w:space="0" w:color="auto"/>
          </w:divBdr>
        </w:div>
        <w:div w:id="250238031">
          <w:marLeft w:val="0"/>
          <w:marRight w:val="0"/>
          <w:marTop w:val="0"/>
          <w:marBottom w:val="0"/>
          <w:divBdr>
            <w:top w:val="none" w:sz="0" w:space="0" w:color="auto"/>
            <w:left w:val="none" w:sz="0" w:space="0" w:color="auto"/>
            <w:bottom w:val="none" w:sz="0" w:space="0" w:color="auto"/>
            <w:right w:val="none" w:sz="0" w:space="0" w:color="auto"/>
          </w:divBdr>
        </w:div>
        <w:div w:id="2004428153">
          <w:marLeft w:val="0"/>
          <w:marRight w:val="0"/>
          <w:marTop w:val="0"/>
          <w:marBottom w:val="0"/>
          <w:divBdr>
            <w:top w:val="none" w:sz="0" w:space="0" w:color="auto"/>
            <w:left w:val="none" w:sz="0" w:space="0" w:color="auto"/>
            <w:bottom w:val="none" w:sz="0" w:space="0" w:color="auto"/>
            <w:right w:val="none" w:sz="0" w:space="0" w:color="auto"/>
          </w:divBdr>
        </w:div>
        <w:div w:id="468402376">
          <w:marLeft w:val="0"/>
          <w:marRight w:val="0"/>
          <w:marTop w:val="0"/>
          <w:marBottom w:val="0"/>
          <w:divBdr>
            <w:top w:val="none" w:sz="0" w:space="0" w:color="auto"/>
            <w:left w:val="none" w:sz="0" w:space="0" w:color="auto"/>
            <w:bottom w:val="none" w:sz="0" w:space="0" w:color="auto"/>
            <w:right w:val="none" w:sz="0" w:space="0" w:color="auto"/>
          </w:divBdr>
        </w:div>
        <w:div w:id="1427657596">
          <w:marLeft w:val="0"/>
          <w:marRight w:val="0"/>
          <w:marTop w:val="0"/>
          <w:marBottom w:val="0"/>
          <w:divBdr>
            <w:top w:val="none" w:sz="0" w:space="0" w:color="auto"/>
            <w:left w:val="none" w:sz="0" w:space="0" w:color="auto"/>
            <w:bottom w:val="none" w:sz="0" w:space="0" w:color="auto"/>
            <w:right w:val="none" w:sz="0" w:space="0" w:color="auto"/>
          </w:divBdr>
        </w:div>
        <w:div w:id="1823496694">
          <w:marLeft w:val="0"/>
          <w:marRight w:val="0"/>
          <w:marTop w:val="0"/>
          <w:marBottom w:val="0"/>
          <w:divBdr>
            <w:top w:val="none" w:sz="0" w:space="0" w:color="auto"/>
            <w:left w:val="none" w:sz="0" w:space="0" w:color="auto"/>
            <w:bottom w:val="none" w:sz="0" w:space="0" w:color="auto"/>
            <w:right w:val="none" w:sz="0" w:space="0" w:color="auto"/>
          </w:divBdr>
        </w:div>
        <w:div w:id="1114327528">
          <w:marLeft w:val="0"/>
          <w:marRight w:val="0"/>
          <w:marTop w:val="0"/>
          <w:marBottom w:val="0"/>
          <w:divBdr>
            <w:top w:val="none" w:sz="0" w:space="0" w:color="auto"/>
            <w:left w:val="none" w:sz="0" w:space="0" w:color="auto"/>
            <w:bottom w:val="none" w:sz="0" w:space="0" w:color="auto"/>
            <w:right w:val="none" w:sz="0" w:space="0" w:color="auto"/>
          </w:divBdr>
        </w:div>
        <w:div w:id="1706907390">
          <w:marLeft w:val="0"/>
          <w:marRight w:val="0"/>
          <w:marTop w:val="0"/>
          <w:marBottom w:val="0"/>
          <w:divBdr>
            <w:top w:val="none" w:sz="0" w:space="0" w:color="auto"/>
            <w:left w:val="none" w:sz="0" w:space="0" w:color="auto"/>
            <w:bottom w:val="none" w:sz="0" w:space="0" w:color="auto"/>
            <w:right w:val="none" w:sz="0" w:space="0" w:color="auto"/>
          </w:divBdr>
        </w:div>
        <w:div w:id="2071027890">
          <w:marLeft w:val="0"/>
          <w:marRight w:val="0"/>
          <w:marTop w:val="0"/>
          <w:marBottom w:val="0"/>
          <w:divBdr>
            <w:top w:val="none" w:sz="0" w:space="0" w:color="auto"/>
            <w:left w:val="none" w:sz="0" w:space="0" w:color="auto"/>
            <w:bottom w:val="none" w:sz="0" w:space="0" w:color="auto"/>
            <w:right w:val="none" w:sz="0" w:space="0" w:color="auto"/>
          </w:divBdr>
        </w:div>
        <w:div w:id="772628764">
          <w:marLeft w:val="0"/>
          <w:marRight w:val="0"/>
          <w:marTop w:val="0"/>
          <w:marBottom w:val="0"/>
          <w:divBdr>
            <w:top w:val="none" w:sz="0" w:space="0" w:color="auto"/>
            <w:left w:val="none" w:sz="0" w:space="0" w:color="auto"/>
            <w:bottom w:val="none" w:sz="0" w:space="0" w:color="auto"/>
            <w:right w:val="none" w:sz="0" w:space="0" w:color="auto"/>
          </w:divBdr>
        </w:div>
        <w:div w:id="640382889">
          <w:marLeft w:val="0"/>
          <w:marRight w:val="0"/>
          <w:marTop w:val="0"/>
          <w:marBottom w:val="0"/>
          <w:divBdr>
            <w:top w:val="none" w:sz="0" w:space="0" w:color="auto"/>
            <w:left w:val="none" w:sz="0" w:space="0" w:color="auto"/>
            <w:bottom w:val="none" w:sz="0" w:space="0" w:color="auto"/>
            <w:right w:val="none" w:sz="0" w:space="0" w:color="auto"/>
          </w:divBdr>
        </w:div>
        <w:div w:id="880748780">
          <w:marLeft w:val="0"/>
          <w:marRight w:val="0"/>
          <w:marTop w:val="0"/>
          <w:marBottom w:val="0"/>
          <w:divBdr>
            <w:top w:val="none" w:sz="0" w:space="0" w:color="auto"/>
            <w:left w:val="none" w:sz="0" w:space="0" w:color="auto"/>
            <w:bottom w:val="none" w:sz="0" w:space="0" w:color="auto"/>
            <w:right w:val="none" w:sz="0" w:space="0" w:color="auto"/>
          </w:divBdr>
        </w:div>
        <w:div w:id="2002732543">
          <w:marLeft w:val="0"/>
          <w:marRight w:val="0"/>
          <w:marTop w:val="0"/>
          <w:marBottom w:val="0"/>
          <w:divBdr>
            <w:top w:val="none" w:sz="0" w:space="0" w:color="auto"/>
            <w:left w:val="none" w:sz="0" w:space="0" w:color="auto"/>
            <w:bottom w:val="none" w:sz="0" w:space="0" w:color="auto"/>
            <w:right w:val="none" w:sz="0" w:space="0" w:color="auto"/>
          </w:divBdr>
        </w:div>
        <w:div w:id="1380589375">
          <w:marLeft w:val="0"/>
          <w:marRight w:val="0"/>
          <w:marTop w:val="0"/>
          <w:marBottom w:val="0"/>
          <w:divBdr>
            <w:top w:val="none" w:sz="0" w:space="0" w:color="auto"/>
            <w:left w:val="none" w:sz="0" w:space="0" w:color="auto"/>
            <w:bottom w:val="none" w:sz="0" w:space="0" w:color="auto"/>
            <w:right w:val="none" w:sz="0" w:space="0" w:color="auto"/>
          </w:divBdr>
        </w:div>
        <w:div w:id="1325863834">
          <w:marLeft w:val="0"/>
          <w:marRight w:val="0"/>
          <w:marTop w:val="0"/>
          <w:marBottom w:val="0"/>
          <w:divBdr>
            <w:top w:val="none" w:sz="0" w:space="0" w:color="auto"/>
            <w:left w:val="none" w:sz="0" w:space="0" w:color="auto"/>
            <w:bottom w:val="none" w:sz="0" w:space="0" w:color="auto"/>
            <w:right w:val="none" w:sz="0" w:space="0" w:color="auto"/>
          </w:divBdr>
        </w:div>
        <w:div w:id="2098281891">
          <w:marLeft w:val="0"/>
          <w:marRight w:val="0"/>
          <w:marTop w:val="0"/>
          <w:marBottom w:val="0"/>
          <w:divBdr>
            <w:top w:val="none" w:sz="0" w:space="0" w:color="auto"/>
            <w:left w:val="none" w:sz="0" w:space="0" w:color="auto"/>
            <w:bottom w:val="none" w:sz="0" w:space="0" w:color="auto"/>
            <w:right w:val="none" w:sz="0" w:space="0" w:color="auto"/>
          </w:divBdr>
        </w:div>
        <w:div w:id="583225890">
          <w:marLeft w:val="0"/>
          <w:marRight w:val="0"/>
          <w:marTop w:val="0"/>
          <w:marBottom w:val="0"/>
          <w:divBdr>
            <w:top w:val="none" w:sz="0" w:space="0" w:color="auto"/>
            <w:left w:val="none" w:sz="0" w:space="0" w:color="auto"/>
            <w:bottom w:val="none" w:sz="0" w:space="0" w:color="auto"/>
            <w:right w:val="none" w:sz="0" w:space="0" w:color="auto"/>
          </w:divBdr>
        </w:div>
        <w:div w:id="22637604">
          <w:marLeft w:val="0"/>
          <w:marRight w:val="0"/>
          <w:marTop w:val="0"/>
          <w:marBottom w:val="0"/>
          <w:divBdr>
            <w:top w:val="none" w:sz="0" w:space="0" w:color="auto"/>
            <w:left w:val="none" w:sz="0" w:space="0" w:color="auto"/>
            <w:bottom w:val="none" w:sz="0" w:space="0" w:color="auto"/>
            <w:right w:val="none" w:sz="0" w:space="0" w:color="auto"/>
          </w:divBdr>
        </w:div>
        <w:div w:id="1181704388">
          <w:marLeft w:val="0"/>
          <w:marRight w:val="0"/>
          <w:marTop w:val="0"/>
          <w:marBottom w:val="0"/>
          <w:divBdr>
            <w:top w:val="none" w:sz="0" w:space="0" w:color="auto"/>
            <w:left w:val="none" w:sz="0" w:space="0" w:color="auto"/>
            <w:bottom w:val="none" w:sz="0" w:space="0" w:color="auto"/>
            <w:right w:val="none" w:sz="0" w:space="0" w:color="auto"/>
          </w:divBdr>
        </w:div>
        <w:div w:id="1565986077">
          <w:marLeft w:val="0"/>
          <w:marRight w:val="0"/>
          <w:marTop w:val="0"/>
          <w:marBottom w:val="0"/>
          <w:divBdr>
            <w:top w:val="none" w:sz="0" w:space="0" w:color="auto"/>
            <w:left w:val="none" w:sz="0" w:space="0" w:color="auto"/>
            <w:bottom w:val="none" w:sz="0" w:space="0" w:color="auto"/>
            <w:right w:val="none" w:sz="0" w:space="0" w:color="auto"/>
          </w:divBdr>
        </w:div>
        <w:div w:id="449594491">
          <w:marLeft w:val="0"/>
          <w:marRight w:val="0"/>
          <w:marTop w:val="0"/>
          <w:marBottom w:val="0"/>
          <w:divBdr>
            <w:top w:val="none" w:sz="0" w:space="0" w:color="auto"/>
            <w:left w:val="none" w:sz="0" w:space="0" w:color="auto"/>
            <w:bottom w:val="none" w:sz="0" w:space="0" w:color="auto"/>
            <w:right w:val="none" w:sz="0" w:space="0" w:color="auto"/>
          </w:divBdr>
        </w:div>
        <w:div w:id="869338344">
          <w:marLeft w:val="0"/>
          <w:marRight w:val="0"/>
          <w:marTop w:val="0"/>
          <w:marBottom w:val="0"/>
          <w:divBdr>
            <w:top w:val="none" w:sz="0" w:space="0" w:color="auto"/>
            <w:left w:val="none" w:sz="0" w:space="0" w:color="auto"/>
            <w:bottom w:val="none" w:sz="0" w:space="0" w:color="auto"/>
            <w:right w:val="none" w:sz="0" w:space="0" w:color="auto"/>
          </w:divBdr>
        </w:div>
        <w:div w:id="460264911">
          <w:marLeft w:val="0"/>
          <w:marRight w:val="0"/>
          <w:marTop w:val="0"/>
          <w:marBottom w:val="0"/>
          <w:divBdr>
            <w:top w:val="none" w:sz="0" w:space="0" w:color="auto"/>
            <w:left w:val="none" w:sz="0" w:space="0" w:color="auto"/>
            <w:bottom w:val="none" w:sz="0" w:space="0" w:color="auto"/>
            <w:right w:val="none" w:sz="0" w:space="0" w:color="auto"/>
          </w:divBdr>
        </w:div>
        <w:div w:id="960305266">
          <w:marLeft w:val="0"/>
          <w:marRight w:val="0"/>
          <w:marTop w:val="0"/>
          <w:marBottom w:val="0"/>
          <w:divBdr>
            <w:top w:val="none" w:sz="0" w:space="0" w:color="auto"/>
            <w:left w:val="none" w:sz="0" w:space="0" w:color="auto"/>
            <w:bottom w:val="none" w:sz="0" w:space="0" w:color="auto"/>
            <w:right w:val="none" w:sz="0" w:space="0" w:color="auto"/>
          </w:divBdr>
        </w:div>
        <w:div w:id="1671523326">
          <w:marLeft w:val="0"/>
          <w:marRight w:val="0"/>
          <w:marTop w:val="0"/>
          <w:marBottom w:val="0"/>
          <w:divBdr>
            <w:top w:val="none" w:sz="0" w:space="0" w:color="auto"/>
            <w:left w:val="none" w:sz="0" w:space="0" w:color="auto"/>
            <w:bottom w:val="none" w:sz="0" w:space="0" w:color="auto"/>
            <w:right w:val="none" w:sz="0" w:space="0" w:color="auto"/>
          </w:divBdr>
        </w:div>
        <w:div w:id="453254480">
          <w:marLeft w:val="0"/>
          <w:marRight w:val="0"/>
          <w:marTop w:val="0"/>
          <w:marBottom w:val="0"/>
          <w:divBdr>
            <w:top w:val="none" w:sz="0" w:space="0" w:color="auto"/>
            <w:left w:val="none" w:sz="0" w:space="0" w:color="auto"/>
            <w:bottom w:val="none" w:sz="0" w:space="0" w:color="auto"/>
            <w:right w:val="none" w:sz="0" w:space="0" w:color="auto"/>
          </w:divBdr>
        </w:div>
        <w:div w:id="329455677">
          <w:marLeft w:val="0"/>
          <w:marRight w:val="0"/>
          <w:marTop w:val="0"/>
          <w:marBottom w:val="0"/>
          <w:divBdr>
            <w:top w:val="none" w:sz="0" w:space="0" w:color="auto"/>
            <w:left w:val="none" w:sz="0" w:space="0" w:color="auto"/>
            <w:bottom w:val="none" w:sz="0" w:space="0" w:color="auto"/>
            <w:right w:val="none" w:sz="0" w:space="0" w:color="auto"/>
          </w:divBdr>
        </w:div>
        <w:div w:id="1728608082">
          <w:marLeft w:val="0"/>
          <w:marRight w:val="0"/>
          <w:marTop w:val="0"/>
          <w:marBottom w:val="0"/>
          <w:divBdr>
            <w:top w:val="none" w:sz="0" w:space="0" w:color="auto"/>
            <w:left w:val="none" w:sz="0" w:space="0" w:color="auto"/>
            <w:bottom w:val="none" w:sz="0" w:space="0" w:color="auto"/>
            <w:right w:val="none" w:sz="0" w:space="0" w:color="auto"/>
          </w:divBdr>
        </w:div>
      </w:divsChild>
    </w:div>
    <w:div w:id="1118721210">
      <w:bodyDiv w:val="1"/>
      <w:marLeft w:val="0"/>
      <w:marRight w:val="0"/>
      <w:marTop w:val="0"/>
      <w:marBottom w:val="0"/>
      <w:divBdr>
        <w:top w:val="none" w:sz="0" w:space="0" w:color="auto"/>
        <w:left w:val="none" w:sz="0" w:space="0" w:color="auto"/>
        <w:bottom w:val="none" w:sz="0" w:space="0" w:color="auto"/>
        <w:right w:val="none" w:sz="0" w:space="0" w:color="auto"/>
      </w:divBdr>
      <w:divsChild>
        <w:div w:id="281473">
          <w:marLeft w:val="0"/>
          <w:marRight w:val="0"/>
          <w:marTop w:val="0"/>
          <w:marBottom w:val="0"/>
          <w:divBdr>
            <w:top w:val="none" w:sz="0" w:space="0" w:color="auto"/>
            <w:left w:val="none" w:sz="0" w:space="0" w:color="auto"/>
            <w:bottom w:val="none" w:sz="0" w:space="0" w:color="auto"/>
            <w:right w:val="none" w:sz="0" w:space="0" w:color="auto"/>
          </w:divBdr>
        </w:div>
        <w:div w:id="22558303">
          <w:marLeft w:val="0"/>
          <w:marRight w:val="0"/>
          <w:marTop w:val="0"/>
          <w:marBottom w:val="0"/>
          <w:divBdr>
            <w:top w:val="none" w:sz="0" w:space="0" w:color="auto"/>
            <w:left w:val="none" w:sz="0" w:space="0" w:color="auto"/>
            <w:bottom w:val="none" w:sz="0" w:space="0" w:color="auto"/>
            <w:right w:val="none" w:sz="0" w:space="0" w:color="auto"/>
          </w:divBdr>
        </w:div>
        <w:div w:id="49807669">
          <w:marLeft w:val="0"/>
          <w:marRight w:val="0"/>
          <w:marTop w:val="0"/>
          <w:marBottom w:val="0"/>
          <w:divBdr>
            <w:top w:val="none" w:sz="0" w:space="0" w:color="auto"/>
            <w:left w:val="none" w:sz="0" w:space="0" w:color="auto"/>
            <w:bottom w:val="none" w:sz="0" w:space="0" w:color="auto"/>
            <w:right w:val="none" w:sz="0" w:space="0" w:color="auto"/>
          </w:divBdr>
        </w:div>
        <w:div w:id="157623316">
          <w:marLeft w:val="0"/>
          <w:marRight w:val="0"/>
          <w:marTop w:val="0"/>
          <w:marBottom w:val="0"/>
          <w:divBdr>
            <w:top w:val="none" w:sz="0" w:space="0" w:color="auto"/>
            <w:left w:val="none" w:sz="0" w:space="0" w:color="auto"/>
            <w:bottom w:val="none" w:sz="0" w:space="0" w:color="auto"/>
            <w:right w:val="none" w:sz="0" w:space="0" w:color="auto"/>
          </w:divBdr>
        </w:div>
        <w:div w:id="217739788">
          <w:marLeft w:val="0"/>
          <w:marRight w:val="0"/>
          <w:marTop w:val="0"/>
          <w:marBottom w:val="0"/>
          <w:divBdr>
            <w:top w:val="none" w:sz="0" w:space="0" w:color="auto"/>
            <w:left w:val="none" w:sz="0" w:space="0" w:color="auto"/>
            <w:bottom w:val="none" w:sz="0" w:space="0" w:color="auto"/>
            <w:right w:val="none" w:sz="0" w:space="0" w:color="auto"/>
          </w:divBdr>
        </w:div>
        <w:div w:id="223031769">
          <w:marLeft w:val="0"/>
          <w:marRight w:val="0"/>
          <w:marTop w:val="0"/>
          <w:marBottom w:val="0"/>
          <w:divBdr>
            <w:top w:val="none" w:sz="0" w:space="0" w:color="auto"/>
            <w:left w:val="none" w:sz="0" w:space="0" w:color="auto"/>
            <w:bottom w:val="none" w:sz="0" w:space="0" w:color="auto"/>
            <w:right w:val="none" w:sz="0" w:space="0" w:color="auto"/>
          </w:divBdr>
        </w:div>
        <w:div w:id="282881032">
          <w:marLeft w:val="0"/>
          <w:marRight w:val="0"/>
          <w:marTop w:val="0"/>
          <w:marBottom w:val="0"/>
          <w:divBdr>
            <w:top w:val="none" w:sz="0" w:space="0" w:color="auto"/>
            <w:left w:val="none" w:sz="0" w:space="0" w:color="auto"/>
            <w:bottom w:val="none" w:sz="0" w:space="0" w:color="auto"/>
            <w:right w:val="none" w:sz="0" w:space="0" w:color="auto"/>
          </w:divBdr>
        </w:div>
        <w:div w:id="360280840">
          <w:marLeft w:val="0"/>
          <w:marRight w:val="0"/>
          <w:marTop w:val="0"/>
          <w:marBottom w:val="0"/>
          <w:divBdr>
            <w:top w:val="none" w:sz="0" w:space="0" w:color="auto"/>
            <w:left w:val="none" w:sz="0" w:space="0" w:color="auto"/>
            <w:bottom w:val="none" w:sz="0" w:space="0" w:color="auto"/>
            <w:right w:val="none" w:sz="0" w:space="0" w:color="auto"/>
          </w:divBdr>
        </w:div>
        <w:div w:id="378436334">
          <w:marLeft w:val="0"/>
          <w:marRight w:val="0"/>
          <w:marTop w:val="0"/>
          <w:marBottom w:val="0"/>
          <w:divBdr>
            <w:top w:val="none" w:sz="0" w:space="0" w:color="auto"/>
            <w:left w:val="none" w:sz="0" w:space="0" w:color="auto"/>
            <w:bottom w:val="none" w:sz="0" w:space="0" w:color="auto"/>
            <w:right w:val="none" w:sz="0" w:space="0" w:color="auto"/>
          </w:divBdr>
        </w:div>
        <w:div w:id="380398490">
          <w:marLeft w:val="0"/>
          <w:marRight w:val="0"/>
          <w:marTop w:val="0"/>
          <w:marBottom w:val="0"/>
          <w:divBdr>
            <w:top w:val="none" w:sz="0" w:space="0" w:color="auto"/>
            <w:left w:val="none" w:sz="0" w:space="0" w:color="auto"/>
            <w:bottom w:val="none" w:sz="0" w:space="0" w:color="auto"/>
            <w:right w:val="none" w:sz="0" w:space="0" w:color="auto"/>
          </w:divBdr>
        </w:div>
        <w:div w:id="397244764">
          <w:marLeft w:val="0"/>
          <w:marRight w:val="0"/>
          <w:marTop w:val="0"/>
          <w:marBottom w:val="0"/>
          <w:divBdr>
            <w:top w:val="none" w:sz="0" w:space="0" w:color="auto"/>
            <w:left w:val="none" w:sz="0" w:space="0" w:color="auto"/>
            <w:bottom w:val="none" w:sz="0" w:space="0" w:color="auto"/>
            <w:right w:val="none" w:sz="0" w:space="0" w:color="auto"/>
          </w:divBdr>
        </w:div>
        <w:div w:id="419257694">
          <w:marLeft w:val="0"/>
          <w:marRight w:val="0"/>
          <w:marTop w:val="0"/>
          <w:marBottom w:val="0"/>
          <w:divBdr>
            <w:top w:val="none" w:sz="0" w:space="0" w:color="auto"/>
            <w:left w:val="none" w:sz="0" w:space="0" w:color="auto"/>
            <w:bottom w:val="none" w:sz="0" w:space="0" w:color="auto"/>
            <w:right w:val="none" w:sz="0" w:space="0" w:color="auto"/>
          </w:divBdr>
        </w:div>
        <w:div w:id="437065023">
          <w:marLeft w:val="0"/>
          <w:marRight w:val="0"/>
          <w:marTop w:val="0"/>
          <w:marBottom w:val="0"/>
          <w:divBdr>
            <w:top w:val="none" w:sz="0" w:space="0" w:color="auto"/>
            <w:left w:val="none" w:sz="0" w:space="0" w:color="auto"/>
            <w:bottom w:val="none" w:sz="0" w:space="0" w:color="auto"/>
            <w:right w:val="none" w:sz="0" w:space="0" w:color="auto"/>
          </w:divBdr>
        </w:div>
        <w:div w:id="468402521">
          <w:marLeft w:val="0"/>
          <w:marRight w:val="0"/>
          <w:marTop w:val="0"/>
          <w:marBottom w:val="0"/>
          <w:divBdr>
            <w:top w:val="none" w:sz="0" w:space="0" w:color="auto"/>
            <w:left w:val="none" w:sz="0" w:space="0" w:color="auto"/>
            <w:bottom w:val="none" w:sz="0" w:space="0" w:color="auto"/>
            <w:right w:val="none" w:sz="0" w:space="0" w:color="auto"/>
          </w:divBdr>
        </w:div>
        <w:div w:id="555894119">
          <w:marLeft w:val="0"/>
          <w:marRight w:val="0"/>
          <w:marTop w:val="0"/>
          <w:marBottom w:val="0"/>
          <w:divBdr>
            <w:top w:val="none" w:sz="0" w:space="0" w:color="auto"/>
            <w:left w:val="none" w:sz="0" w:space="0" w:color="auto"/>
            <w:bottom w:val="none" w:sz="0" w:space="0" w:color="auto"/>
            <w:right w:val="none" w:sz="0" w:space="0" w:color="auto"/>
          </w:divBdr>
        </w:div>
        <w:div w:id="569929948">
          <w:marLeft w:val="0"/>
          <w:marRight w:val="0"/>
          <w:marTop w:val="0"/>
          <w:marBottom w:val="0"/>
          <w:divBdr>
            <w:top w:val="none" w:sz="0" w:space="0" w:color="auto"/>
            <w:left w:val="none" w:sz="0" w:space="0" w:color="auto"/>
            <w:bottom w:val="none" w:sz="0" w:space="0" w:color="auto"/>
            <w:right w:val="none" w:sz="0" w:space="0" w:color="auto"/>
          </w:divBdr>
        </w:div>
        <w:div w:id="570580546">
          <w:marLeft w:val="0"/>
          <w:marRight w:val="0"/>
          <w:marTop w:val="0"/>
          <w:marBottom w:val="0"/>
          <w:divBdr>
            <w:top w:val="none" w:sz="0" w:space="0" w:color="auto"/>
            <w:left w:val="none" w:sz="0" w:space="0" w:color="auto"/>
            <w:bottom w:val="none" w:sz="0" w:space="0" w:color="auto"/>
            <w:right w:val="none" w:sz="0" w:space="0" w:color="auto"/>
          </w:divBdr>
        </w:div>
        <w:div w:id="576675867">
          <w:marLeft w:val="0"/>
          <w:marRight w:val="0"/>
          <w:marTop w:val="0"/>
          <w:marBottom w:val="0"/>
          <w:divBdr>
            <w:top w:val="none" w:sz="0" w:space="0" w:color="auto"/>
            <w:left w:val="none" w:sz="0" w:space="0" w:color="auto"/>
            <w:bottom w:val="none" w:sz="0" w:space="0" w:color="auto"/>
            <w:right w:val="none" w:sz="0" w:space="0" w:color="auto"/>
          </w:divBdr>
        </w:div>
        <w:div w:id="617026628">
          <w:marLeft w:val="0"/>
          <w:marRight w:val="0"/>
          <w:marTop w:val="0"/>
          <w:marBottom w:val="0"/>
          <w:divBdr>
            <w:top w:val="none" w:sz="0" w:space="0" w:color="auto"/>
            <w:left w:val="none" w:sz="0" w:space="0" w:color="auto"/>
            <w:bottom w:val="none" w:sz="0" w:space="0" w:color="auto"/>
            <w:right w:val="none" w:sz="0" w:space="0" w:color="auto"/>
          </w:divBdr>
        </w:div>
        <w:div w:id="644773093">
          <w:marLeft w:val="0"/>
          <w:marRight w:val="0"/>
          <w:marTop w:val="0"/>
          <w:marBottom w:val="0"/>
          <w:divBdr>
            <w:top w:val="none" w:sz="0" w:space="0" w:color="auto"/>
            <w:left w:val="none" w:sz="0" w:space="0" w:color="auto"/>
            <w:bottom w:val="none" w:sz="0" w:space="0" w:color="auto"/>
            <w:right w:val="none" w:sz="0" w:space="0" w:color="auto"/>
          </w:divBdr>
        </w:div>
        <w:div w:id="670766140">
          <w:marLeft w:val="0"/>
          <w:marRight w:val="0"/>
          <w:marTop w:val="0"/>
          <w:marBottom w:val="0"/>
          <w:divBdr>
            <w:top w:val="none" w:sz="0" w:space="0" w:color="auto"/>
            <w:left w:val="none" w:sz="0" w:space="0" w:color="auto"/>
            <w:bottom w:val="none" w:sz="0" w:space="0" w:color="auto"/>
            <w:right w:val="none" w:sz="0" w:space="0" w:color="auto"/>
          </w:divBdr>
        </w:div>
        <w:div w:id="702096715">
          <w:marLeft w:val="0"/>
          <w:marRight w:val="0"/>
          <w:marTop w:val="0"/>
          <w:marBottom w:val="0"/>
          <w:divBdr>
            <w:top w:val="none" w:sz="0" w:space="0" w:color="auto"/>
            <w:left w:val="none" w:sz="0" w:space="0" w:color="auto"/>
            <w:bottom w:val="none" w:sz="0" w:space="0" w:color="auto"/>
            <w:right w:val="none" w:sz="0" w:space="0" w:color="auto"/>
          </w:divBdr>
        </w:div>
        <w:div w:id="704332735">
          <w:marLeft w:val="0"/>
          <w:marRight w:val="0"/>
          <w:marTop w:val="0"/>
          <w:marBottom w:val="0"/>
          <w:divBdr>
            <w:top w:val="none" w:sz="0" w:space="0" w:color="auto"/>
            <w:left w:val="none" w:sz="0" w:space="0" w:color="auto"/>
            <w:bottom w:val="none" w:sz="0" w:space="0" w:color="auto"/>
            <w:right w:val="none" w:sz="0" w:space="0" w:color="auto"/>
          </w:divBdr>
        </w:div>
        <w:div w:id="726487395">
          <w:marLeft w:val="0"/>
          <w:marRight w:val="0"/>
          <w:marTop w:val="0"/>
          <w:marBottom w:val="0"/>
          <w:divBdr>
            <w:top w:val="none" w:sz="0" w:space="0" w:color="auto"/>
            <w:left w:val="none" w:sz="0" w:space="0" w:color="auto"/>
            <w:bottom w:val="none" w:sz="0" w:space="0" w:color="auto"/>
            <w:right w:val="none" w:sz="0" w:space="0" w:color="auto"/>
          </w:divBdr>
        </w:div>
        <w:div w:id="733965898">
          <w:marLeft w:val="0"/>
          <w:marRight w:val="0"/>
          <w:marTop w:val="0"/>
          <w:marBottom w:val="0"/>
          <w:divBdr>
            <w:top w:val="none" w:sz="0" w:space="0" w:color="auto"/>
            <w:left w:val="none" w:sz="0" w:space="0" w:color="auto"/>
            <w:bottom w:val="none" w:sz="0" w:space="0" w:color="auto"/>
            <w:right w:val="none" w:sz="0" w:space="0" w:color="auto"/>
          </w:divBdr>
        </w:div>
        <w:div w:id="746347466">
          <w:marLeft w:val="0"/>
          <w:marRight w:val="0"/>
          <w:marTop w:val="0"/>
          <w:marBottom w:val="0"/>
          <w:divBdr>
            <w:top w:val="none" w:sz="0" w:space="0" w:color="auto"/>
            <w:left w:val="none" w:sz="0" w:space="0" w:color="auto"/>
            <w:bottom w:val="none" w:sz="0" w:space="0" w:color="auto"/>
            <w:right w:val="none" w:sz="0" w:space="0" w:color="auto"/>
          </w:divBdr>
        </w:div>
        <w:div w:id="789057846">
          <w:marLeft w:val="0"/>
          <w:marRight w:val="0"/>
          <w:marTop w:val="0"/>
          <w:marBottom w:val="0"/>
          <w:divBdr>
            <w:top w:val="none" w:sz="0" w:space="0" w:color="auto"/>
            <w:left w:val="none" w:sz="0" w:space="0" w:color="auto"/>
            <w:bottom w:val="none" w:sz="0" w:space="0" w:color="auto"/>
            <w:right w:val="none" w:sz="0" w:space="0" w:color="auto"/>
          </w:divBdr>
        </w:div>
        <w:div w:id="796726219">
          <w:marLeft w:val="0"/>
          <w:marRight w:val="0"/>
          <w:marTop w:val="0"/>
          <w:marBottom w:val="0"/>
          <w:divBdr>
            <w:top w:val="none" w:sz="0" w:space="0" w:color="auto"/>
            <w:left w:val="none" w:sz="0" w:space="0" w:color="auto"/>
            <w:bottom w:val="none" w:sz="0" w:space="0" w:color="auto"/>
            <w:right w:val="none" w:sz="0" w:space="0" w:color="auto"/>
          </w:divBdr>
        </w:div>
        <w:div w:id="812722331">
          <w:marLeft w:val="0"/>
          <w:marRight w:val="0"/>
          <w:marTop w:val="0"/>
          <w:marBottom w:val="0"/>
          <w:divBdr>
            <w:top w:val="none" w:sz="0" w:space="0" w:color="auto"/>
            <w:left w:val="none" w:sz="0" w:space="0" w:color="auto"/>
            <w:bottom w:val="none" w:sz="0" w:space="0" w:color="auto"/>
            <w:right w:val="none" w:sz="0" w:space="0" w:color="auto"/>
          </w:divBdr>
        </w:div>
        <w:div w:id="845827901">
          <w:marLeft w:val="0"/>
          <w:marRight w:val="0"/>
          <w:marTop w:val="0"/>
          <w:marBottom w:val="0"/>
          <w:divBdr>
            <w:top w:val="none" w:sz="0" w:space="0" w:color="auto"/>
            <w:left w:val="none" w:sz="0" w:space="0" w:color="auto"/>
            <w:bottom w:val="none" w:sz="0" w:space="0" w:color="auto"/>
            <w:right w:val="none" w:sz="0" w:space="0" w:color="auto"/>
          </w:divBdr>
        </w:div>
        <w:div w:id="940339443">
          <w:marLeft w:val="0"/>
          <w:marRight w:val="0"/>
          <w:marTop w:val="0"/>
          <w:marBottom w:val="0"/>
          <w:divBdr>
            <w:top w:val="none" w:sz="0" w:space="0" w:color="auto"/>
            <w:left w:val="none" w:sz="0" w:space="0" w:color="auto"/>
            <w:bottom w:val="none" w:sz="0" w:space="0" w:color="auto"/>
            <w:right w:val="none" w:sz="0" w:space="0" w:color="auto"/>
          </w:divBdr>
        </w:div>
        <w:div w:id="1014571056">
          <w:marLeft w:val="0"/>
          <w:marRight w:val="0"/>
          <w:marTop w:val="0"/>
          <w:marBottom w:val="0"/>
          <w:divBdr>
            <w:top w:val="none" w:sz="0" w:space="0" w:color="auto"/>
            <w:left w:val="none" w:sz="0" w:space="0" w:color="auto"/>
            <w:bottom w:val="none" w:sz="0" w:space="0" w:color="auto"/>
            <w:right w:val="none" w:sz="0" w:space="0" w:color="auto"/>
          </w:divBdr>
        </w:div>
        <w:div w:id="1137142312">
          <w:marLeft w:val="0"/>
          <w:marRight w:val="0"/>
          <w:marTop w:val="0"/>
          <w:marBottom w:val="0"/>
          <w:divBdr>
            <w:top w:val="none" w:sz="0" w:space="0" w:color="auto"/>
            <w:left w:val="none" w:sz="0" w:space="0" w:color="auto"/>
            <w:bottom w:val="none" w:sz="0" w:space="0" w:color="auto"/>
            <w:right w:val="none" w:sz="0" w:space="0" w:color="auto"/>
          </w:divBdr>
        </w:div>
        <w:div w:id="1175342780">
          <w:marLeft w:val="0"/>
          <w:marRight w:val="0"/>
          <w:marTop w:val="0"/>
          <w:marBottom w:val="0"/>
          <w:divBdr>
            <w:top w:val="none" w:sz="0" w:space="0" w:color="auto"/>
            <w:left w:val="none" w:sz="0" w:space="0" w:color="auto"/>
            <w:bottom w:val="none" w:sz="0" w:space="0" w:color="auto"/>
            <w:right w:val="none" w:sz="0" w:space="0" w:color="auto"/>
          </w:divBdr>
        </w:div>
        <w:div w:id="1232231605">
          <w:marLeft w:val="0"/>
          <w:marRight w:val="0"/>
          <w:marTop w:val="0"/>
          <w:marBottom w:val="0"/>
          <w:divBdr>
            <w:top w:val="none" w:sz="0" w:space="0" w:color="auto"/>
            <w:left w:val="none" w:sz="0" w:space="0" w:color="auto"/>
            <w:bottom w:val="none" w:sz="0" w:space="0" w:color="auto"/>
            <w:right w:val="none" w:sz="0" w:space="0" w:color="auto"/>
          </w:divBdr>
        </w:div>
        <w:div w:id="1255168406">
          <w:marLeft w:val="0"/>
          <w:marRight w:val="0"/>
          <w:marTop w:val="0"/>
          <w:marBottom w:val="0"/>
          <w:divBdr>
            <w:top w:val="none" w:sz="0" w:space="0" w:color="auto"/>
            <w:left w:val="none" w:sz="0" w:space="0" w:color="auto"/>
            <w:bottom w:val="none" w:sz="0" w:space="0" w:color="auto"/>
            <w:right w:val="none" w:sz="0" w:space="0" w:color="auto"/>
          </w:divBdr>
        </w:div>
        <w:div w:id="1269502928">
          <w:marLeft w:val="0"/>
          <w:marRight w:val="0"/>
          <w:marTop w:val="0"/>
          <w:marBottom w:val="0"/>
          <w:divBdr>
            <w:top w:val="none" w:sz="0" w:space="0" w:color="auto"/>
            <w:left w:val="none" w:sz="0" w:space="0" w:color="auto"/>
            <w:bottom w:val="none" w:sz="0" w:space="0" w:color="auto"/>
            <w:right w:val="none" w:sz="0" w:space="0" w:color="auto"/>
          </w:divBdr>
        </w:div>
        <w:div w:id="1307515837">
          <w:marLeft w:val="0"/>
          <w:marRight w:val="0"/>
          <w:marTop w:val="0"/>
          <w:marBottom w:val="0"/>
          <w:divBdr>
            <w:top w:val="none" w:sz="0" w:space="0" w:color="auto"/>
            <w:left w:val="none" w:sz="0" w:space="0" w:color="auto"/>
            <w:bottom w:val="none" w:sz="0" w:space="0" w:color="auto"/>
            <w:right w:val="none" w:sz="0" w:space="0" w:color="auto"/>
          </w:divBdr>
        </w:div>
        <w:div w:id="1310087109">
          <w:marLeft w:val="0"/>
          <w:marRight w:val="0"/>
          <w:marTop w:val="0"/>
          <w:marBottom w:val="0"/>
          <w:divBdr>
            <w:top w:val="none" w:sz="0" w:space="0" w:color="auto"/>
            <w:left w:val="none" w:sz="0" w:space="0" w:color="auto"/>
            <w:bottom w:val="none" w:sz="0" w:space="0" w:color="auto"/>
            <w:right w:val="none" w:sz="0" w:space="0" w:color="auto"/>
          </w:divBdr>
        </w:div>
        <w:div w:id="1345396453">
          <w:marLeft w:val="0"/>
          <w:marRight w:val="0"/>
          <w:marTop w:val="0"/>
          <w:marBottom w:val="0"/>
          <w:divBdr>
            <w:top w:val="none" w:sz="0" w:space="0" w:color="auto"/>
            <w:left w:val="none" w:sz="0" w:space="0" w:color="auto"/>
            <w:bottom w:val="none" w:sz="0" w:space="0" w:color="auto"/>
            <w:right w:val="none" w:sz="0" w:space="0" w:color="auto"/>
          </w:divBdr>
        </w:div>
        <w:div w:id="1378820120">
          <w:marLeft w:val="0"/>
          <w:marRight w:val="0"/>
          <w:marTop w:val="0"/>
          <w:marBottom w:val="0"/>
          <w:divBdr>
            <w:top w:val="none" w:sz="0" w:space="0" w:color="auto"/>
            <w:left w:val="none" w:sz="0" w:space="0" w:color="auto"/>
            <w:bottom w:val="none" w:sz="0" w:space="0" w:color="auto"/>
            <w:right w:val="none" w:sz="0" w:space="0" w:color="auto"/>
          </w:divBdr>
        </w:div>
        <w:div w:id="1383627593">
          <w:marLeft w:val="0"/>
          <w:marRight w:val="0"/>
          <w:marTop w:val="0"/>
          <w:marBottom w:val="0"/>
          <w:divBdr>
            <w:top w:val="none" w:sz="0" w:space="0" w:color="auto"/>
            <w:left w:val="none" w:sz="0" w:space="0" w:color="auto"/>
            <w:bottom w:val="none" w:sz="0" w:space="0" w:color="auto"/>
            <w:right w:val="none" w:sz="0" w:space="0" w:color="auto"/>
          </w:divBdr>
        </w:div>
        <w:div w:id="1394885177">
          <w:marLeft w:val="0"/>
          <w:marRight w:val="0"/>
          <w:marTop w:val="0"/>
          <w:marBottom w:val="0"/>
          <w:divBdr>
            <w:top w:val="none" w:sz="0" w:space="0" w:color="auto"/>
            <w:left w:val="none" w:sz="0" w:space="0" w:color="auto"/>
            <w:bottom w:val="none" w:sz="0" w:space="0" w:color="auto"/>
            <w:right w:val="none" w:sz="0" w:space="0" w:color="auto"/>
          </w:divBdr>
        </w:div>
        <w:div w:id="1397624033">
          <w:marLeft w:val="0"/>
          <w:marRight w:val="0"/>
          <w:marTop w:val="0"/>
          <w:marBottom w:val="0"/>
          <w:divBdr>
            <w:top w:val="none" w:sz="0" w:space="0" w:color="auto"/>
            <w:left w:val="none" w:sz="0" w:space="0" w:color="auto"/>
            <w:bottom w:val="none" w:sz="0" w:space="0" w:color="auto"/>
            <w:right w:val="none" w:sz="0" w:space="0" w:color="auto"/>
          </w:divBdr>
        </w:div>
        <w:div w:id="1409232605">
          <w:marLeft w:val="0"/>
          <w:marRight w:val="0"/>
          <w:marTop w:val="0"/>
          <w:marBottom w:val="0"/>
          <w:divBdr>
            <w:top w:val="none" w:sz="0" w:space="0" w:color="auto"/>
            <w:left w:val="none" w:sz="0" w:space="0" w:color="auto"/>
            <w:bottom w:val="none" w:sz="0" w:space="0" w:color="auto"/>
            <w:right w:val="none" w:sz="0" w:space="0" w:color="auto"/>
          </w:divBdr>
        </w:div>
        <w:div w:id="1481001144">
          <w:marLeft w:val="0"/>
          <w:marRight w:val="0"/>
          <w:marTop w:val="0"/>
          <w:marBottom w:val="0"/>
          <w:divBdr>
            <w:top w:val="none" w:sz="0" w:space="0" w:color="auto"/>
            <w:left w:val="none" w:sz="0" w:space="0" w:color="auto"/>
            <w:bottom w:val="none" w:sz="0" w:space="0" w:color="auto"/>
            <w:right w:val="none" w:sz="0" w:space="0" w:color="auto"/>
          </w:divBdr>
        </w:div>
        <w:div w:id="1494253401">
          <w:marLeft w:val="0"/>
          <w:marRight w:val="0"/>
          <w:marTop w:val="0"/>
          <w:marBottom w:val="0"/>
          <w:divBdr>
            <w:top w:val="none" w:sz="0" w:space="0" w:color="auto"/>
            <w:left w:val="none" w:sz="0" w:space="0" w:color="auto"/>
            <w:bottom w:val="none" w:sz="0" w:space="0" w:color="auto"/>
            <w:right w:val="none" w:sz="0" w:space="0" w:color="auto"/>
          </w:divBdr>
        </w:div>
        <w:div w:id="1597053931">
          <w:marLeft w:val="0"/>
          <w:marRight w:val="0"/>
          <w:marTop w:val="0"/>
          <w:marBottom w:val="0"/>
          <w:divBdr>
            <w:top w:val="none" w:sz="0" w:space="0" w:color="auto"/>
            <w:left w:val="none" w:sz="0" w:space="0" w:color="auto"/>
            <w:bottom w:val="none" w:sz="0" w:space="0" w:color="auto"/>
            <w:right w:val="none" w:sz="0" w:space="0" w:color="auto"/>
          </w:divBdr>
        </w:div>
        <w:div w:id="1616668954">
          <w:marLeft w:val="0"/>
          <w:marRight w:val="0"/>
          <w:marTop w:val="0"/>
          <w:marBottom w:val="0"/>
          <w:divBdr>
            <w:top w:val="none" w:sz="0" w:space="0" w:color="auto"/>
            <w:left w:val="none" w:sz="0" w:space="0" w:color="auto"/>
            <w:bottom w:val="none" w:sz="0" w:space="0" w:color="auto"/>
            <w:right w:val="none" w:sz="0" w:space="0" w:color="auto"/>
          </w:divBdr>
        </w:div>
        <w:div w:id="1627925364">
          <w:marLeft w:val="0"/>
          <w:marRight w:val="0"/>
          <w:marTop w:val="0"/>
          <w:marBottom w:val="0"/>
          <w:divBdr>
            <w:top w:val="none" w:sz="0" w:space="0" w:color="auto"/>
            <w:left w:val="none" w:sz="0" w:space="0" w:color="auto"/>
            <w:bottom w:val="none" w:sz="0" w:space="0" w:color="auto"/>
            <w:right w:val="none" w:sz="0" w:space="0" w:color="auto"/>
          </w:divBdr>
        </w:div>
        <w:div w:id="1762605969">
          <w:marLeft w:val="0"/>
          <w:marRight w:val="0"/>
          <w:marTop w:val="0"/>
          <w:marBottom w:val="0"/>
          <w:divBdr>
            <w:top w:val="none" w:sz="0" w:space="0" w:color="auto"/>
            <w:left w:val="none" w:sz="0" w:space="0" w:color="auto"/>
            <w:bottom w:val="none" w:sz="0" w:space="0" w:color="auto"/>
            <w:right w:val="none" w:sz="0" w:space="0" w:color="auto"/>
          </w:divBdr>
        </w:div>
        <w:div w:id="1779636613">
          <w:marLeft w:val="0"/>
          <w:marRight w:val="0"/>
          <w:marTop w:val="0"/>
          <w:marBottom w:val="0"/>
          <w:divBdr>
            <w:top w:val="none" w:sz="0" w:space="0" w:color="auto"/>
            <w:left w:val="none" w:sz="0" w:space="0" w:color="auto"/>
            <w:bottom w:val="none" w:sz="0" w:space="0" w:color="auto"/>
            <w:right w:val="none" w:sz="0" w:space="0" w:color="auto"/>
          </w:divBdr>
        </w:div>
        <w:div w:id="1792431297">
          <w:marLeft w:val="0"/>
          <w:marRight w:val="0"/>
          <w:marTop w:val="0"/>
          <w:marBottom w:val="0"/>
          <w:divBdr>
            <w:top w:val="none" w:sz="0" w:space="0" w:color="auto"/>
            <w:left w:val="none" w:sz="0" w:space="0" w:color="auto"/>
            <w:bottom w:val="none" w:sz="0" w:space="0" w:color="auto"/>
            <w:right w:val="none" w:sz="0" w:space="0" w:color="auto"/>
          </w:divBdr>
        </w:div>
        <w:div w:id="1855143587">
          <w:marLeft w:val="0"/>
          <w:marRight w:val="0"/>
          <w:marTop w:val="0"/>
          <w:marBottom w:val="0"/>
          <w:divBdr>
            <w:top w:val="none" w:sz="0" w:space="0" w:color="auto"/>
            <w:left w:val="none" w:sz="0" w:space="0" w:color="auto"/>
            <w:bottom w:val="none" w:sz="0" w:space="0" w:color="auto"/>
            <w:right w:val="none" w:sz="0" w:space="0" w:color="auto"/>
          </w:divBdr>
        </w:div>
        <w:div w:id="1869565272">
          <w:marLeft w:val="0"/>
          <w:marRight w:val="0"/>
          <w:marTop w:val="0"/>
          <w:marBottom w:val="0"/>
          <w:divBdr>
            <w:top w:val="none" w:sz="0" w:space="0" w:color="auto"/>
            <w:left w:val="none" w:sz="0" w:space="0" w:color="auto"/>
            <w:bottom w:val="none" w:sz="0" w:space="0" w:color="auto"/>
            <w:right w:val="none" w:sz="0" w:space="0" w:color="auto"/>
          </w:divBdr>
        </w:div>
        <w:div w:id="2002005664">
          <w:marLeft w:val="0"/>
          <w:marRight w:val="0"/>
          <w:marTop w:val="0"/>
          <w:marBottom w:val="0"/>
          <w:divBdr>
            <w:top w:val="none" w:sz="0" w:space="0" w:color="auto"/>
            <w:left w:val="none" w:sz="0" w:space="0" w:color="auto"/>
            <w:bottom w:val="none" w:sz="0" w:space="0" w:color="auto"/>
            <w:right w:val="none" w:sz="0" w:space="0" w:color="auto"/>
          </w:divBdr>
        </w:div>
        <w:div w:id="2028405986">
          <w:marLeft w:val="0"/>
          <w:marRight w:val="0"/>
          <w:marTop w:val="0"/>
          <w:marBottom w:val="0"/>
          <w:divBdr>
            <w:top w:val="none" w:sz="0" w:space="0" w:color="auto"/>
            <w:left w:val="none" w:sz="0" w:space="0" w:color="auto"/>
            <w:bottom w:val="none" w:sz="0" w:space="0" w:color="auto"/>
            <w:right w:val="none" w:sz="0" w:space="0" w:color="auto"/>
          </w:divBdr>
        </w:div>
        <w:div w:id="2122457768">
          <w:marLeft w:val="0"/>
          <w:marRight w:val="0"/>
          <w:marTop w:val="0"/>
          <w:marBottom w:val="0"/>
          <w:divBdr>
            <w:top w:val="none" w:sz="0" w:space="0" w:color="auto"/>
            <w:left w:val="none" w:sz="0" w:space="0" w:color="auto"/>
            <w:bottom w:val="none" w:sz="0" w:space="0" w:color="auto"/>
            <w:right w:val="none" w:sz="0" w:space="0" w:color="auto"/>
          </w:divBdr>
        </w:div>
      </w:divsChild>
    </w:div>
    <w:div w:id="1283683780">
      <w:bodyDiv w:val="1"/>
      <w:marLeft w:val="0"/>
      <w:marRight w:val="0"/>
      <w:marTop w:val="0"/>
      <w:marBottom w:val="0"/>
      <w:divBdr>
        <w:top w:val="none" w:sz="0" w:space="0" w:color="auto"/>
        <w:left w:val="none" w:sz="0" w:space="0" w:color="auto"/>
        <w:bottom w:val="none" w:sz="0" w:space="0" w:color="auto"/>
        <w:right w:val="none" w:sz="0" w:space="0" w:color="auto"/>
      </w:divBdr>
      <w:divsChild>
        <w:div w:id="975380278">
          <w:marLeft w:val="0"/>
          <w:marRight w:val="0"/>
          <w:marTop w:val="0"/>
          <w:marBottom w:val="0"/>
          <w:divBdr>
            <w:top w:val="none" w:sz="0" w:space="0" w:color="auto"/>
            <w:left w:val="none" w:sz="0" w:space="0" w:color="auto"/>
            <w:bottom w:val="none" w:sz="0" w:space="0" w:color="auto"/>
            <w:right w:val="none" w:sz="0" w:space="0" w:color="auto"/>
          </w:divBdr>
        </w:div>
        <w:div w:id="2076580753">
          <w:marLeft w:val="0"/>
          <w:marRight w:val="0"/>
          <w:marTop w:val="0"/>
          <w:marBottom w:val="0"/>
          <w:divBdr>
            <w:top w:val="none" w:sz="0" w:space="0" w:color="auto"/>
            <w:left w:val="none" w:sz="0" w:space="0" w:color="auto"/>
            <w:bottom w:val="none" w:sz="0" w:space="0" w:color="auto"/>
            <w:right w:val="none" w:sz="0" w:space="0" w:color="auto"/>
          </w:divBdr>
        </w:div>
        <w:div w:id="497817289">
          <w:marLeft w:val="0"/>
          <w:marRight w:val="0"/>
          <w:marTop w:val="0"/>
          <w:marBottom w:val="0"/>
          <w:divBdr>
            <w:top w:val="none" w:sz="0" w:space="0" w:color="auto"/>
            <w:left w:val="none" w:sz="0" w:space="0" w:color="auto"/>
            <w:bottom w:val="none" w:sz="0" w:space="0" w:color="auto"/>
            <w:right w:val="none" w:sz="0" w:space="0" w:color="auto"/>
          </w:divBdr>
        </w:div>
        <w:div w:id="953252322">
          <w:marLeft w:val="0"/>
          <w:marRight w:val="0"/>
          <w:marTop w:val="0"/>
          <w:marBottom w:val="0"/>
          <w:divBdr>
            <w:top w:val="none" w:sz="0" w:space="0" w:color="auto"/>
            <w:left w:val="none" w:sz="0" w:space="0" w:color="auto"/>
            <w:bottom w:val="none" w:sz="0" w:space="0" w:color="auto"/>
            <w:right w:val="none" w:sz="0" w:space="0" w:color="auto"/>
          </w:divBdr>
        </w:div>
        <w:div w:id="65763308">
          <w:marLeft w:val="0"/>
          <w:marRight w:val="0"/>
          <w:marTop w:val="0"/>
          <w:marBottom w:val="0"/>
          <w:divBdr>
            <w:top w:val="none" w:sz="0" w:space="0" w:color="auto"/>
            <w:left w:val="none" w:sz="0" w:space="0" w:color="auto"/>
            <w:bottom w:val="none" w:sz="0" w:space="0" w:color="auto"/>
            <w:right w:val="none" w:sz="0" w:space="0" w:color="auto"/>
          </w:divBdr>
        </w:div>
        <w:div w:id="1167941585">
          <w:marLeft w:val="0"/>
          <w:marRight w:val="0"/>
          <w:marTop w:val="0"/>
          <w:marBottom w:val="0"/>
          <w:divBdr>
            <w:top w:val="none" w:sz="0" w:space="0" w:color="auto"/>
            <w:left w:val="none" w:sz="0" w:space="0" w:color="auto"/>
            <w:bottom w:val="none" w:sz="0" w:space="0" w:color="auto"/>
            <w:right w:val="none" w:sz="0" w:space="0" w:color="auto"/>
          </w:divBdr>
        </w:div>
        <w:div w:id="1899703527">
          <w:marLeft w:val="0"/>
          <w:marRight w:val="0"/>
          <w:marTop w:val="0"/>
          <w:marBottom w:val="0"/>
          <w:divBdr>
            <w:top w:val="none" w:sz="0" w:space="0" w:color="auto"/>
            <w:left w:val="none" w:sz="0" w:space="0" w:color="auto"/>
            <w:bottom w:val="none" w:sz="0" w:space="0" w:color="auto"/>
            <w:right w:val="none" w:sz="0" w:space="0" w:color="auto"/>
          </w:divBdr>
        </w:div>
        <w:div w:id="985162905">
          <w:marLeft w:val="0"/>
          <w:marRight w:val="0"/>
          <w:marTop w:val="0"/>
          <w:marBottom w:val="0"/>
          <w:divBdr>
            <w:top w:val="none" w:sz="0" w:space="0" w:color="auto"/>
            <w:left w:val="none" w:sz="0" w:space="0" w:color="auto"/>
            <w:bottom w:val="none" w:sz="0" w:space="0" w:color="auto"/>
            <w:right w:val="none" w:sz="0" w:space="0" w:color="auto"/>
          </w:divBdr>
        </w:div>
        <w:div w:id="1905750740">
          <w:marLeft w:val="0"/>
          <w:marRight w:val="0"/>
          <w:marTop w:val="0"/>
          <w:marBottom w:val="0"/>
          <w:divBdr>
            <w:top w:val="none" w:sz="0" w:space="0" w:color="auto"/>
            <w:left w:val="none" w:sz="0" w:space="0" w:color="auto"/>
            <w:bottom w:val="none" w:sz="0" w:space="0" w:color="auto"/>
            <w:right w:val="none" w:sz="0" w:space="0" w:color="auto"/>
          </w:divBdr>
        </w:div>
        <w:div w:id="1732850105">
          <w:marLeft w:val="0"/>
          <w:marRight w:val="0"/>
          <w:marTop w:val="0"/>
          <w:marBottom w:val="0"/>
          <w:divBdr>
            <w:top w:val="none" w:sz="0" w:space="0" w:color="auto"/>
            <w:left w:val="none" w:sz="0" w:space="0" w:color="auto"/>
            <w:bottom w:val="none" w:sz="0" w:space="0" w:color="auto"/>
            <w:right w:val="none" w:sz="0" w:space="0" w:color="auto"/>
          </w:divBdr>
        </w:div>
        <w:div w:id="562374432">
          <w:marLeft w:val="0"/>
          <w:marRight w:val="0"/>
          <w:marTop w:val="0"/>
          <w:marBottom w:val="0"/>
          <w:divBdr>
            <w:top w:val="none" w:sz="0" w:space="0" w:color="auto"/>
            <w:left w:val="none" w:sz="0" w:space="0" w:color="auto"/>
            <w:bottom w:val="none" w:sz="0" w:space="0" w:color="auto"/>
            <w:right w:val="none" w:sz="0" w:space="0" w:color="auto"/>
          </w:divBdr>
        </w:div>
        <w:div w:id="375280597">
          <w:marLeft w:val="0"/>
          <w:marRight w:val="0"/>
          <w:marTop w:val="0"/>
          <w:marBottom w:val="0"/>
          <w:divBdr>
            <w:top w:val="none" w:sz="0" w:space="0" w:color="auto"/>
            <w:left w:val="none" w:sz="0" w:space="0" w:color="auto"/>
            <w:bottom w:val="none" w:sz="0" w:space="0" w:color="auto"/>
            <w:right w:val="none" w:sz="0" w:space="0" w:color="auto"/>
          </w:divBdr>
        </w:div>
        <w:div w:id="1031998515">
          <w:marLeft w:val="0"/>
          <w:marRight w:val="0"/>
          <w:marTop w:val="0"/>
          <w:marBottom w:val="0"/>
          <w:divBdr>
            <w:top w:val="none" w:sz="0" w:space="0" w:color="auto"/>
            <w:left w:val="none" w:sz="0" w:space="0" w:color="auto"/>
            <w:bottom w:val="none" w:sz="0" w:space="0" w:color="auto"/>
            <w:right w:val="none" w:sz="0" w:space="0" w:color="auto"/>
          </w:divBdr>
        </w:div>
        <w:div w:id="514417850">
          <w:marLeft w:val="0"/>
          <w:marRight w:val="0"/>
          <w:marTop w:val="0"/>
          <w:marBottom w:val="0"/>
          <w:divBdr>
            <w:top w:val="none" w:sz="0" w:space="0" w:color="auto"/>
            <w:left w:val="none" w:sz="0" w:space="0" w:color="auto"/>
            <w:bottom w:val="none" w:sz="0" w:space="0" w:color="auto"/>
            <w:right w:val="none" w:sz="0" w:space="0" w:color="auto"/>
          </w:divBdr>
        </w:div>
      </w:divsChild>
    </w:div>
    <w:div w:id="1424033768">
      <w:bodyDiv w:val="1"/>
      <w:marLeft w:val="0"/>
      <w:marRight w:val="0"/>
      <w:marTop w:val="0"/>
      <w:marBottom w:val="0"/>
      <w:divBdr>
        <w:top w:val="none" w:sz="0" w:space="0" w:color="auto"/>
        <w:left w:val="none" w:sz="0" w:space="0" w:color="auto"/>
        <w:bottom w:val="none" w:sz="0" w:space="0" w:color="auto"/>
        <w:right w:val="none" w:sz="0" w:space="0" w:color="auto"/>
      </w:divBdr>
    </w:div>
    <w:div w:id="1576936827">
      <w:bodyDiv w:val="1"/>
      <w:marLeft w:val="0"/>
      <w:marRight w:val="0"/>
      <w:marTop w:val="0"/>
      <w:marBottom w:val="0"/>
      <w:divBdr>
        <w:top w:val="none" w:sz="0" w:space="0" w:color="auto"/>
        <w:left w:val="none" w:sz="0" w:space="0" w:color="auto"/>
        <w:bottom w:val="none" w:sz="0" w:space="0" w:color="auto"/>
        <w:right w:val="none" w:sz="0" w:space="0" w:color="auto"/>
      </w:divBdr>
    </w:div>
    <w:div w:id="1606039184">
      <w:bodyDiv w:val="1"/>
      <w:marLeft w:val="0"/>
      <w:marRight w:val="0"/>
      <w:marTop w:val="0"/>
      <w:marBottom w:val="0"/>
      <w:divBdr>
        <w:top w:val="none" w:sz="0" w:space="0" w:color="auto"/>
        <w:left w:val="none" w:sz="0" w:space="0" w:color="auto"/>
        <w:bottom w:val="none" w:sz="0" w:space="0" w:color="auto"/>
        <w:right w:val="none" w:sz="0" w:space="0" w:color="auto"/>
      </w:divBdr>
    </w:div>
    <w:div w:id="1729301243">
      <w:bodyDiv w:val="1"/>
      <w:marLeft w:val="0"/>
      <w:marRight w:val="0"/>
      <w:marTop w:val="0"/>
      <w:marBottom w:val="0"/>
      <w:divBdr>
        <w:top w:val="none" w:sz="0" w:space="0" w:color="auto"/>
        <w:left w:val="none" w:sz="0" w:space="0" w:color="auto"/>
        <w:bottom w:val="none" w:sz="0" w:space="0" w:color="auto"/>
        <w:right w:val="none" w:sz="0" w:space="0" w:color="auto"/>
      </w:divBdr>
    </w:div>
    <w:div w:id="1876842212">
      <w:bodyDiv w:val="1"/>
      <w:marLeft w:val="0"/>
      <w:marRight w:val="0"/>
      <w:marTop w:val="0"/>
      <w:marBottom w:val="0"/>
      <w:divBdr>
        <w:top w:val="none" w:sz="0" w:space="0" w:color="auto"/>
        <w:left w:val="none" w:sz="0" w:space="0" w:color="auto"/>
        <w:bottom w:val="none" w:sz="0" w:space="0" w:color="auto"/>
        <w:right w:val="none" w:sz="0" w:space="0" w:color="auto"/>
      </w:divBdr>
      <w:divsChild>
        <w:div w:id="231624004">
          <w:marLeft w:val="0"/>
          <w:marRight w:val="0"/>
          <w:marTop w:val="0"/>
          <w:marBottom w:val="0"/>
          <w:divBdr>
            <w:top w:val="none" w:sz="0" w:space="0" w:color="auto"/>
            <w:left w:val="none" w:sz="0" w:space="0" w:color="auto"/>
            <w:bottom w:val="none" w:sz="0" w:space="0" w:color="auto"/>
            <w:right w:val="none" w:sz="0" w:space="0" w:color="auto"/>
          </w:divBdr>
        </w:div>
        <w:div w:id="942955496">
          <w:marLeft w:val="0"/>
          <w:marRight w:val="0"/>
          <w:marTop w:val="0"/>
          <w:marBottom w:val="0"/>
          <w:divBdr>
            <w:top w:val="none" w:sz="0" w:space="0" w:color="auto"/>
            <w:left w:val="none" w:sz="0" w:space="0" w:color="auto"/>
            <w:bottom w:val="none" w:sz="0" w:space="0" w:color="auto"/>
            <w:right w:val="none" w:sz="0" w:space="0" w:color="auto"/>
          </w:divBdr>
        </w:div>
        <w:div w:id="1698308127">
          <w:marLeft w:val="0"/>
          <w:marRight w:val="0"/>
          <w:marTop w:val="0"/>
          <w:marBottom w:val="0"/>
          <w:divBdr>
            <w:top w:val="none" w:sz="0" w:space="0" w:color="auto"/>
            <w:left w:val="none" w:sz="0" w:space="0" w:color="auto"/>
            <w:bottom w:val="none" w:sz="0" w:space="0" w:color="auto"/>
            <w:right w:val="none" w:sz="0" w:space="0" w:color="auto"/>
          </w:divBdr>
        </w:div>
      </w:divsChild>
    </w:div>
    <w:div w:id="1884176635">
      <w:bodyDiv w:val="1"/>
      <w:marLeft w:val="0"/>
      <w:marRight w:val="0"/>
      <w:marTop w:val="0"/>
      <w:marBottom w:val="0"/>
      <w:divBdr>
        <w:top w:val="none" w:sz="0" w:space="0" w:color="auto"/>
        <w:left w:val="none" w:sz="0" w:space="0" w:color="auto"/>
        <w:bottom w:val="none" w:sz="0" w:space="0" w:color="auto"/>
        <w:right w:val="none" w:sz="0" w:space="0" w:color="auto"/>
      </w:divBdr>
    </w:div>
    <w:div w:id="1991902978">
      <w:bodyDiv w:val="1"/>
      <w:marLeft w:val="0"/>
      <w:marRight w:val="0"/>
      <w:marTop w:val="0"/>
      <w:marBottom w:val="0"/>
      <w:divBdr>
        <w:top w:val="none" w:sz="0" w:space="0" w:color="auto"/>
        <w:left w:val="none" w:sz="0" w:space="0" w:color="auto"/>
        <w:bottom w:val="none" w:sz="0" w:space="0" w:color="auto"/>
        <w:right w:val="none" w:sz="0" w:space="0" w:color="auto"/>
      </w:divBdr>
    </w:div>
    <w:div w:id="1996640095">
      <w:bodyDiv w:val="1"/>
      <w:marLeft w:val="0"/>
      <w:marRight w:val="0"/>
      <w:marTop w:val="0"/>
      <w:marBottom w:val="0"/>
      <w:divBdr>
        <w:top w:val="none" w:sz="0" w:space="0" w:color="auto"/>
        <w:left w:val="none" w:sz="0" w:space="0" w:color="auto"/>
        <w:bottom w:val="none" w:sz="0" w:space="0" w:color="auto"/>
        <w:right w:val="none" w:sz="0" w:space="0" w:color="auto"/>
      </w:divBdr>
    </w:div>
    <w:div w:id="2109885090">
      <w:bodyDiv w:val="1"/>
      <w:marLeft w:val="0"/>
      <w:marRight w:val="0"/>
      <w:marTop w:val="0"/>
      <w:marBottom w:val="0"/>
      <w:divBdr>
        <w:top w:val="none" w:sz="0" w:space="0" w:color="auto"/>
        <w:left w:val="none" w:sz="0" w:space="0" w:color="auto"/>
        <w:bottom w:val="none" w:sz="0" w:space="0" w:color="auto"/>
        <w:right w:val="none" w:sz="0" w:space="0" w:color="auto"/>
      </w:divBdr>
      <w:divsChild>
        <w:div w:id="1969968290">
          <w:marLeft w:val="0"/>
          <w:marRight w:val="0"/>
          <w:marTop w:val="0"/>
          <w:marBottom w:val="0"/>
          <w:divBdr>
            <w:top w:val="none" w:sz="0" w:space="0" w:color="auto"/>
            <w:left w:val="none" w:sz="0" w:space="0" w:color="auto"/>
            <w:bottom w:val="none" w:sz="0" w:space="0" w:color="auto"/>
            <w:right w:val="none" w:sz="0" w:space="0" w:color="auto"/>
          </w:divBdr>
          <w:divsChild>
            <w:div w:id="1333947500">
              <w:marLeft w:val="0"/>
              <w:marRight w:val="0"/>
              <w:marTop w:val="0"/>
              <w:marBottom w:val="0"/>
              <w:divBdr>
                <w:top w:val="none" w:sz="0" w:space="0" w:color="auto"/>
                <w:left w:val="none" w:sz="0" w:space="0" w:color="auto"/>
                <w:bottom w:val="none" w:sz="0" w:space="0" w:color="auto"/>
                <w:right w:val="none" w:sz="0" w:space="0" w:color="auto"/>
              </w:divBdr>
            </w:div>
            <w:div w:id="515388629">
              <w:marLeft w:val="0"/>
              <w:marRight w:val="0"/>
              <w:marTop w:val="0"/>
              <w:marBottom w:val="0"/>
              <w:divBdr>
                <w:top w:val="none" w:sz="0" w:space="0" w:color="auto"/>
                <w:left w:val="none" w:sz="0" w:space="0" w:color="auto"/>
                <w:bottom w:val="none" w:sz="0" w:space="0" w:color="auto"/>
                <w:right w:val="none" w:sz="0" w:space="0" w:color="auto"/>
              </w:divBdr>
            </w:div>
            <w:div w:id="1966112468">
              <w:marLeft w:val="0"/>
              <w:marRight w:val="0"/>
              <w:marTop w:val="0"/>
              <w:marBottom w:val="0"/>
              <w:divBdr>
                <w:top w:val="none" w:sz="0" w:space="0" w:color="auto"/>
                <w:left w:val="none" w:sz="0" w:space="0" w:color="auto"/>
                <w:bottom w:val="none" w:sz="0" w:space="0" w:color="auto"/>
                <w:right w:val="none" w:sz="0" w:space="0" w:color="auto"/>
              </w:divBdr>
            </w:div>
            <w:div w:id="881206191">
              <w:marLeft w:val="0"/>
              <w:marRight w:val="0"/>
              <w:marTop w:val="0"/>
              <w:marBottom w:val="0"/>
              <w:divBdr>
                <w:top w:val="none" w:sz="0" w:space="0" w:color="auto"/>
                <w:left w:val="none" w:sz="0" w:space="0" w:color="auto"/>
                <w:bottom w:val="none" w:sz="0" w:space="0" w:color="auto"/>
                <w:right w:val="none" w:sz="0" w:space="0" w:color="auto"/>
              </w:divBdr>
            </w:div>
            <w:div w:id="186523521">
              <w:marLeft w:val="0"/>
              <w:marRight w:val="0"/>
              <w:marTop w:val="0"/>
              <w:marBottom w:val="0"/>
              <w:divBdr>
                <w:top w:val="none" w:sz="0" w:space="0" w:color="auto"/>
                <w:left w:val="none" w:sz="0" w:space="0" w:color="auto"/>
                <w:bottom w:val="none" w:sz="0" w:space="0" w:color="auto"/>
                <w:right w:val="none" w:sz="0" w:space="0" w:color="auto"/>
              </w:divBdr>
            </w:div>
            <w:div w:id="739867276">
              <w:marLeft w:val="0"/>
              <w:marRight w:val="0"/>
              <w:marTop w:val="0"/>
              <w:marBottom w:val="0"/>
              <w:divBdr>
                <w:top w:val="none" w:sz="0" w:space="0" w:color="auto"/>
                <w:left w:val="none" w:sz="0" w:space="0" w:color="auto"/>
                <w:bottom w:val="none" w:sz="0" w:space="0" w:color="auto"/>
                <w:right w:val="none" w:sz="0" w:space="0" w:color="auto"/>
              </w:divBdr>
            </w:div>
            <w:div w:id="53627242">
              <w:marLeft w:val="0"/>
              <w:marRight w:val="0"/>
              <w:marTop w:val="0"/>
              <w:marBottom w:val="0"/>
              <w:divBdr>
                <w:top w:val="none" w:sz="0" w:space="0" w:color="auto"/>
                <w:left w:val="none" w:sz="0" w:space="0" w:color="auto"/>
                <w:bottom w:val="none" w:sz="0" w:space="0" w:color="auto"/>
                <w:right w:val="none" w:sz="0" w:space="0" w:color="auto"/>
              </w:divBdr>
            </w:div>
            <w:div w:id="60566635">
              <w:marLeft w:val="0"/>
              <w:marRight w:val="0"/>
              <w:marTop w:val="0"/>
              <w:marBottom w:val="0"/>
              <w:divBdr>
                <w:top w:val="none" w:sz="0" w:space="0" w:color="auto"/>
                <w:left w:val="none" w:sz="0" w:space="0" w:color="auto"/>
                <w:bottom w:val="none" w:sz="0" w:space="0" w:color="auto"/>
                <w:right w:val="none" w:sz="0" w:space="0" w:color="auto"/>
              </w:divBdr>
            </w:div>
            <w:div w:id="135882509">
              <w:marLeft w:val="0"/>
              <w:marRight w:val="0"/>
              <w:marTop w:val="0"/>
              <w:marBottom w:val="0"/>
              <w:divBdr>
                <w:top w:val="none" w:sz="0" w:space="0" w:color="auto"/>
                <w:left w:val="none" w:sz="0" w:space="0" w:color="auto"/>
                <w:bottom w:val="none" w:sz="0" w:space="0" w:color="auto"/>
                <w:right w:val="none" w:sz="0" w:space="0" w:color="auto"/>
              </w:divBdr>
            </w:div>
            <w:div w:id="391850888">
              <w:marLeft w:val="0"/>
              <w:marRight w:val="0"/>
              <w:marTop w:val="0"/>
              <w:marBottom w:val="0"/>
              <w:divBdr>
                <w:top w:val="none" w:sz="0" w:space="0" w:color="auto"/>
                <w:left w:val="none" w:sz="0" w:space="0" w:color="auto"/>
                <w:bottom w:val="none" w:sz="0" w:space="0" w:color="auto"/>
                <w:right w:val="none" w:sz="0" w:space="0" w:color="auto"/>
              </w:divBdr>
            </w:div>
            <w:div w:id="278341146">
              <w:marLeft w:val="0"/>
              <w:marRight w:val="0"/>
              <w:marTop w:val="0"/>
              <w:marBottom w:val="0"/>
              <w:divBdr>
                <w:top w:val="none" w:sz="0" w:space="0" w:color="auto"/>
                <w:left w:val="none" w:sz="0" w:space="0" w:color="auto"/>
                <w:bottom w:val="none" w:sz="0" w:space="0" w:color="auto"/>
                <w:right w:val="none" w:sz="0" w:space="0" w:color="auto"/>
              </w:divBdr>
            </w:div>
            <w:div w:id="1093817689">
              <w:marLeft w:val="0"/>
              <w:marRight w:val="0"/>
              <w:marTop w:val="0"/>
              <w:marBottom w:val="0"/>
              <w:divBdr>
                <w:top w:val="none" w:sz="0" w:space="0" w:color="auto"/>
                <w:left w:val="none" w:sz="0" w:space="0" w:color="auto"/>
                <w:bottom w:val="none" w:sz="0" w:space="0" w:color="auto"/>
                <w:right w:val="none" w:sz="0" w:space="0" w:color="auto"/>
              </w:divBdr>
            </w:div>
            <w:div w:id="1688560102">
              <w:marLeft w:val="0"/>
              <w:marRight w:val="0"/>
              <w:marTop w:val="0"/>
              <w:marBottom w:val="0"/>
              <w:divBdr>
                <w:top w:val="none" w:sz="0" w:space="0" w:color="auto"/>
                <w:left w:val="none" w:sz="0" w:space="0" w:color="auto"/>
                <w:bottom w:val="none" w:sz="0" w:space="0" w:color="auto"/>
                <w:right w:val="none" w:sz="0" w:space="0" w:color="auto"/>
              </w:divBdr>
            </w:div>
            <w:div w:id="1351295466">
              <w:marLeft w:val="0"/>
              <w:marRight w:val="0"/>
              <w:marTop w:val="0"/>
              <w:marBottom w:val="0"/>
              <w:divBdr>
                <w:top w:val="none" w:sz="0" w:space="0" w:color="auto"/>
                <w:left w:val="none" w:sz="0" w:space="0" w:color="auto"/>
                <w:bottom w:val="none" w:sz="0" w:space="0" w:color="auto"/>
                <w:right w:val="none" w:sz="0" w:space="0" w:color="auto"/>
              </w:divBdr>
            </w:div>
            <w:div w:id="417136910">
              <w:marLeft w:val="0"/>
              <w:marRight w:val="0"/>
              <w:marTop w:val="0"/>
              <w:marBottom w:val="0"/>
              <w:divBdr>
                <w:top w:val="none" w:sz="0" w:space="0" w:color="auto"/>
                <w:left w:val="none" w:sz="0" w:space="0" w:color="auto"/>
                <w:bottom w:val="none" w:sz="0" w:space="0" w:color="auto"/>
                <w:right w:val="none" w:sz="0" w:space="0" w:color="auto"/>
              </w:divBdr>
            </w:div>
            <w:div w:id="2037386854">
              <w:marLeft w:val="0"/>
              <w:marRight w:val="0"/>
              <w:marTop w:val="0"/>
              <w:marBottom w:val="0"/>
              <w:divBdr>
                <w:top w:val="none" w:sz="0" w:space="0" w:color="auto"/>
                <w:left w:val="none" w:sz="0" w:space="0" w:color="auto"/>
                <w:bottom w:val="none" w:sz="0" w:space="0" w:color="auto"/>
                <w:right w:val="none" w:sz="0" w:space="0" w:color="auto"/>
              </w:divBdr>
            </w:div>
            <w:div w:id="2088573245">
              <w:marLeft w:val="0"/>
              <w:marRight w:val="0"/>
              <w:marTop w:val="0"/>
              <w:marBottom w:val="0"/>
              <w:divBdr>
                <w:top w:val="none" w:sz="0" w:space="0" w:color="auto"/>
                <w:left w:val="none" w:sz="0" w:space="0" w:color="auto"/>
                <w:bottom w:val="none" w:sz="0" w:space="0" w:color="auto"/>
                <w:right w:val="none" w:sz="0" w:space="0" w:color="auto"/>
              </w:divBdr>
            </w:div>
            <w:div w:id="1439330996">
              <w:marLeft w:val="0"/>
              <w:marRight w:val="0"/>
              <w:marTop w:val="0"/>
              <w:marBottom w:val="0"/>
              <w:divBdr>
                <w:top w:val="none" w:sz="0" w:space="0" w:color="auto"/>
                <w:left w:val="none" w:sz="0" w:space="0" w:color="auto"/>
                <w:bottom w:val="none" w:sz="0" w:space="0" w:color="auto"/>
                <w:right w:val="none" w:sz="0" w:space="0" w:color="auto"/>
              </w:divBdr>
            </w:div>
            <w:div w:id="356124997">
              <w:marLeft w:val="0"/>
              <w:marRight w:val="0"/>
              <w:marTop w:val="0"/>
              <w:marBottom w:val="0"/>
              <w:divBdr>
                <w:top w:val="none" w:sz="0" w:space="0" w:color="auto"/>
                <w:left w:val="none" w:sz="0" w:space="0" w:color="auto"/>
                <w:bottom w:val="none" w:sz="0" w:space="0" w:color="auto"/>
                <w:right w:val="none" w:sz="0" w:space="0" w:color="auto"/>
              </w:divBdr>
            </w:div>
            <w:div w:id="838469629">
              <w:marLeft w:val="0"/>
              <w:marRight w:val="0"/>
              <w:marTop w:val="0"/>
              <w:marBottom w:val="0"/>
              <w:divBdr>
                <w:top w:val="none" w:sz="0" w:space="0" w:color="auto"/>
                <w:left w:val="none" w:sz="0" w:space="0" w:color="auto"/>
                <w:bottom w:val="none" w:sz="0" w:space="0" w:color="auto"/>
                <w:right w:val="none" w:sz="0" w:space="0" w:color="auto"/>
              </w:divBdr>
            </w:div>
            <w:div w:id="2124222720">
              <w:marLeft w:val="0"/>
              <w:marRight w:val="0"/>
              <w:marTop w:val="0"/>
              <w:marBottom w:val="0"/>
              <w:divBdr>
                <w:top w:val="none" w:sz="0" w:space="0" w:color="auto"/>
                <w:left w:val="none" w:sz="0" w:space="0" w:color="auto"/>
                <w:bottom w:val="none" w:sz="0" w:space="0" w:color="auto"/>
                <w:right w:val="none" w:sz="0" w:space="0" w:color="auto"/>
              </w:divBdr>
            </w:div>
            <w:div w:id="1236009465">
              <w:marLeft w:val="0"/>
              <w:marRight w:val="0"/>
              <w:marTop w:val="0"/>
              <w:marBottom w:val="0"/>
              <w:divBdr>
                <w:top w:val="none" w:sz="0" w:space="0" w:color="auto"/>
                <w:left w:val="none" w:sz="0" w:space="0" w:color="auto"/>
                <w:bottom w:val="none" w:sz="0" w:space="0" w:color="auto"/>
                <w:right w:val="none" w:sz="0" w:space="0" w:color="auto"/>
              </w:divBdr>
            </w:div>
            <w:div w:id="1113744925">
              <w:marLeft w:val="0"/>
              <w:marRight w:val="0"/>
              <w:marTop w:val="0"/>
              <w:marBottom w:val="0"/>
              <w:divBdr>
                <w:top w:val="none" w:sz="0" w:space="0" w:color="auto"/>
                <w:left w:val="none" w:sz="0" w:space="0" w:color="auto"/>
                <w:bottom w:val="none" w:sz="0" w:space="0" w:color="auto"/>
                <w:right w:val="none" w:sz="0" w:space="0" w:color="auto"/>
              </w:divBdr>
            </w:div>
            <w:div w:id="6097690">
              <w:marLeft w:val="0"/>
              <w:marRight w:val="0"/>
              <w:marTop w:val="0"/>
              <w:marBottom w:val="0"/>
              <w:divBdr>
                <w:top w:val="none" w:sz="0" w:space="0" w:color="auto"/>
                <w:left w:val="none" w:sz="0" w:space="0" w:color="auto"/>
                <w:bottom w:val="none" w:sz="0" w:space="0" w:color="auto"/>
                <w:right w:val="none" w:sz="0" w:space="0" w:color="auto"/>
              </w:divBdr>
            </w:div>
            <w:div w:id="1953902777">
              <w:marLeft w:val="0"/>
              <w:marRight w:val="0"/>
              <w:marTop w:val="0"/>
              <w:marBottom w:val="0"/>
              <w:divBdr>
                <w:top w:val="none" w:sz="0" w:space="0" w:color="auto"/>
                <w:left w:val="none" w:sz="0" w:space="0" w:color="auto"/>
                <w:bottom w:val="none" w:sz="0" w:space="0" w:color="auto"/>
                <w:right w:val="none" w:sz="0" w:space="0" w:color="auto"/>
              </w:divBdr>
            </w:div>
            <w:div w:id="1290084586">
              <w:marLeft w:val="0"/>
              <w:marRight w:val="0"/>
              <w:marTop w:val="0"/>
              <w:marBottom w:val="0"/>
              <w:divBdr>
                <w:top w:val="none" w:sz="0" w:space="0" w:color="auto"/>
                <w:left w:val="none" w:sz="0" w:space="0" w:color="auto"/>
                <w:bottom w:val="none" w:sz="0" w:space="0" w:color="auto"/>
                <w:right w:val="none" w:sz="0" w:space="0" w:color="auto"/>
              </w:divBdr>
            </w:div>
            <w:div w:id="1325670356">
              <w:marLeft w:val="0"/>
              <w:marRight w:val="0"/>
              <w:marTop w:val="0"/>
              <w:marBottom w:val="0"/>
              <w:divBdr>
                <w:top w:val="none" w:sz="0" w:space="0" w:color="auto"/>
                <w:left w:val="none" w:sz="0" w:space="0" w:color="auto"/>
                <w:bottom w:val="none" w:sz="0" w:space="0" w:color="auto"/>
                <w:right w:val="none" w:sz="0" w:space="0" w:color="auto"/>
              </w:divBdr>
            </w:div>
            <w:div w:id="588540095">
              <w:marLeft w:val="0"/>
              <w:marRight w:val="0"/>
              <w:marTop w:val="0"/>
              <w:marBottom w:val="0"/>
              <w:divBdr>
                <w:top w:val="none" w:sz="0" w:space="0" w:color="auto"/>
                <w:left w:val="none" w:sz="0" w:space="0" w:color="auto"/>
                <w:bottom w:val="none" w:sz="0" w:space="0" w:color="auto"/>
                <w:right w:val="none" w:sz="0" w:space="0" w:color="auto"/>
              </w:divBdr>
            </w:div>
            <w:div w:id="446779207">
              <w:marLeft w:val="0"/>
              <w:marRight w:val="0"/>
              <w:marTop w:val="0"/>
              <w:marBottom w:val="0"/>
              <w:divBdr>
                <w:top w:val="none" w:sz="0" w:space="0" w:color="auto"/>
                <w:left w:val="none" w:sz="0" w:space="0" w:color="auto"/>
                <w:bottom w:val="none" w:sz="0" w:space="0" w:color="auto"/>
                <w:right w:val="none" w:sz="0" w:space="0" w:color="auto"/>
              </w:divBdr>
            </w:div>
            <w:div w:id="19137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aterregister.vic.gov.au/water-entitlements/entitlement-statistics" TargetMode="External"/><Relationship Id="rId21" Type="http://schemas.openxmlformats.org/officeDocument/2006/relationships/footer" Target="footer3.xml"/><Relationship Id="rId42" Type="http://schemas.openxmlformats.org/officeDocument/2006/relationships/chart" Target="charts/chart13.xml"/><Relationship Id="rId63" Type="http://schemas.openxmlformats.org/officeDocument/2006/relationships/image" Target="media/image13.emf"/><Relationship Id="rId84" Type="http://schemas.openxmlformats.org/officeDocument/2006/relationships/image" Target="media/image32.png"/><Relationship Id="rId138" Type="http://schemas.openxmlformats.org/officeDocument/2006/relationships/hyperlink" Target="http://www.agriculture.gov.au/water/mdb/policy/sdl-adjustment-mechanism" TargetMode="External"/><Relationship Id="rId107" Type="http://schemas.openxmlformats.org/officeDocument/2006/relationships/chart" Target="charts/chart33.xml"/><Relationship Id="rId11" Type="http://schemas.openxmlformats.org/officeDocument/2006/relationships/footnotes" Target="footnotes.xml"/><Relationship Id="rId32" Type="http://schemas.openxmlformats.org/officeDocument/2006/relationships/chart" Target="charts/chart4.xml"/><Relationship Id="rId53" Type="http://schemas.openxmlformats.org/officeDocument/2006/relationships/image" Target="media/image9.png"/><Relationship Id="rId74" Type="http://schemas.openxmlformats.org/officeDocument/2006/relationships/image" Target="media/image22.emf"/><Relationship Id="rId128" Type="http://schemas.openxmlformats.org/officeDocument/2006/relationships/image" Target="media/image55.png"/><Relationship Id="rId149" Type="http://schemas.openxmlformats.org/officeDocument/2006/relationships/header" Target="header8.xml"/><Relationship Id="rId5" Type="http://schemas.openxmlformats.org/officeDocument/2006/relationships/customXml" Target="../customXml/item5.xml"/><Relationship Id="rId95" Type="http://schemas.openxmlformats.org/officeDocument/2006/relationships/image" Target="media/image39.jpeg"/><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image" Target="media/image4.png"/><Relationship Id="rId48" Type="http://schemas.openxmlformats.org/officeDocument/2006/relationships/chart" Target="charts/chart15.xml"/><Relationship Id="rId64" Type="http://schemas.openxmlformats.org/officeDocument/2006/relationships/image" Target="media/image14.emf"/><Relationship Id="rId69" Type="http://schemas.openxmlformats.org/officeDocument/2006/relationships/image" Target="media/image19.emf"/><Relationship Id="rId113" Type="http://schemas.openxmlformats.org/officeDocument/2006/relationships/hyperlink" Target="https://jade.io/article/281013" TargetMode="External"/><Relationship Id="rId118" Type="http://schemas.openxmlformats.org/officeDocument/2006/relationships/hyperlink" Target="https://www.environment.gov.au/water/cewo/portfolio-mgt/holdings-catchment" TargetMode="External"/><Relationship Id="rId134" Type="http://schemas.openxmlformats.org/officeDocument/2006/relationships/hyperlink" Target="https://www.coag.gov.au/about-coag/agreements/intergovernmental-agreement-implementing-water-reform-murray-darling-basin" TargetMode="External"/><Relationship Id="rId139" Type="http://schemas.openxmlformats.org/officeDocument/2006/relationships/hyperlink" Target="https://www.environment.gov.au/water/cewo/publications/monitoring-ecological-outcomes-cew-delivered-goulburn-broken-13-14" TargetMode="External"/><Relationship Id="rId80" Type="http://schemas.openxmlformats.org/officeDocument/2006/relationships/image" Target="media/image28.png"/><Relationship Id="rId85" Type="http://schemas.openxmlformats.org/officeDocument/2006/relationships/chart" Target="charts/chart27.xml"/><Relationship Id="rId150" Type="http://schemas.openxmlformats.org/officeDocument/2006/relationships/footer" Target="footer7.xml"/><Relationship Id="rId155"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chart" Target="charts/chart5.xml"/><Relationship Id="rId38" Type="http://schemas.openxmlformats.org/officeDocument/2006/relationships/chart" Target="charts/chart9.xml"/><Relationship Id="rId59" Type="http://schemas.openxmlformats.org/officeDocument/2006/relationships/chart" Target="charts/chart22.xml"/><Relationship Id="rId103" Type="http://schemas.openxmlformats.org/officeDocument/2006/relationships/image" Target="media/image47.jpeg"/><Relationship Id="rId108" Type="http://schemas.openxmlformats.org/officeDocument/2006/relationships/chart" Target="charts/chart34.xml"/><Relationship Id="rId124" Type="http://schemas.openxmlformats.org/officeDocument/2006/relationships/image" Target="media/image51.jpeg"/><Relationship Id="rId129" Type="http://schemas.openxmlformats.org/officeDocument/2006/relationships/image" Target="media/image56.emf"/><Relationship Id="rId54" Type="http://schemas.openxmlformats.org/officeDocument/2006/relationships/image" Target="media/image10.png"/><Relationship Id="rId70" Type="http://schemas.openxmlformats.org/officeDocument/2006/relationships/chart" Target="charts/chart25.xml"/><Relationship Id="rId75" Type="http://schemas.openxmlformats.org/officeDocument/2006/relationships/image" Target="media/image23.png"/><Relationship Id="rId91" Type="http://schemas.openxmlformats.org/officeDocument/2006/relationships/image" Target="media/image35.jpeg"/><Relationship Id="rId96" Type="http://schemas.openxmlformats.org/officeDocument/2006/relationships/image" Target="media/image40.jpeg"/><Relationship Id="rId140" Type="http://schemas.openxmlformats.org/officeDocument/2006/relationships/hyperlink" Target="http://waterregister.vic.gov.au/images/documents/consolidated_standard_water_use_conditions.pdf" TargetMode="External"/><Relationship Id="rId145" Type="http://schemas.openxmlformats.org/officeDocument/2006/relationships/hyperlink" Target="http://www.mdba.gov.au/sites/default/files/docs/Environmental-Water-Recovery-Esimates-30-June-2016-Detailed.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5.xml"/><Relationship Id="rId28" Type="http://schemas.openxmlformats.org/officeDocument/2006/relationships/chart" Target="charts/chart1.xml"/><Relationship Id="rId49" Type="http://schemas.openxmlformats.org/officeDocument/2006/relationships/chart" Target="charts/chart16.xml"/><Relationship Id="rId114" Type="http://schemas.openxmlformats.org/officeDocument/2006/relationships/hyperlink" Target="http://ewr.water.nsw.gov.au/ewr/main/ersearchAEWByLoc" TargetMode="External"/><Relationship Id="rId119" Type="http://schemas.openxmlformats.org/officeDocument/2006/relationships/hyperlink" Target="https://www.environment.gov.au/water/cewo/portfolio-mgt/holdings-catchment" TargetMode="External"/><Relationship Id="rId44" Type="http://schemas.openxmlformats.org/officeDocument/2006/relationships/image" Target="media/image5.emf"/><Relationship Id="rId60" Type="http://schemas.openxmlformats.org/officeDocument/2006/relationships/chart" Target="charts/chart23.xml"/><Relationship Id="rId65" Type="http://schemas.openxmlformats.org/officeDocument/2006/relationships/image" Target="media/image15.png"/><Relationship Id="rId81" Type="http://schemas.openxmlformats.org/officeDocument/2006/relationships/image" Target="media/image29.png"/><Relationship Id="rId86" Type="http://schemas.openxmlformats.org/officeDocument/2006/relationships/chart" Target="charts/chart28.xml"/><Relationship Id="rId130" Type="http://schemas.openxmlformats.org/officeDocument/2006/relationships/image" Target="media/image57.png"/><Relationship Id="rId135" Type="http://schemas.openxmlformats.org/officeDocument/2006/relationships/hyperlink" Target="http://www.agriculture.gov.au/water/markets/commonwealth-water-mdb/average-prices" TargetMode="External"/><Relationship Id="rId151" Type="http://schemas.openxmlformats.org/officeDocument/2006/relationships/footer" Target="footer8.xml"/><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chart" Target="charts/chart10.xml"/><Relationship Id="rId109" Type="http://schemas.openxmlformats.org/officeDocument/2006/relationships/chart" Target="charts/chart35.xml"/><Relationship Id="rId34" Type="http://schemas.openxmlformats.org/officeDocument/2006/relationships/image" Target="media/image3.png"/><Relationship Id="rId50" Type="http://schemas.openxmlformats.org/officeDocument/2006/relationships/chart" Target="charts/chart17.xml"/><Relationship Id="rId55" Type="http://schemas.openxmlformats.org/officeDocument/2006/relationships/image" Target="media/image11.png"/><Relationship Id="rId76" Type="http://schemas.openxmlformats.org/officeDocument/2006/relationships/image" Target="media/image24.png"/><Relationship Id="rId97" Type="http://schemas.openxmlformats.org/officeDocument/2006/relationships/image" Target="media/image41.jpeg"/><Relationship Id="rId104" Type="http://schemas.openxmlformats.org/officeDocument/2006/relationships/chart" Target="charts/chart30.xml"/><Relationship Id="rId120" Type="http://schemas.openxmlformats.org/officeDocument/2006/relationships/hyperlink" Target="http://www.agriculture.gov.au/water/mdb/progress-recovery" TargetMode="External"/><Relationship Id="rId125" Type="http://schemas.openxmlformats.org/officeDocument/2006/relationships/image" Target="media/image52.jpeg"/><Relationship Id="rId141" Type="http://schemas.openxmlformats.org/officeDocument/2006/relationships/hyperlink" Target="http://www.dairyaustralia.com.au/Industry-information/About-the-industry/Dairy-community-and-networks/Industry-Forums/DairyLive-December-09.aspx" TargetMode="External"/><Relationship Id="rId146" Type="http://schemas.openxmlformats.org/officeDocument/2006/relationships/hyperlink" Target="http://agriculture.vic.gov.au/agriculture/dairy/pastures-management/alternative-winter-forages-for-a-variable-climate" TargetMode="External"/><Relationship Id="rId7" Type="http://schemas.openxmlformats.org/officeDocument/2006/relationships/numbering" Target="numbering.xml"/><Relationship Id="rId71" Type="http://schemas.openxmlformats.org/officeDocument/2006/relationships/chart" Target="charts/chart26.xml"/><Relationship Id="rId92" Type="http://schemas.openxmlformats.org/officeDocument/2006/relationships/image" Target="media/image36.jpeg"/><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footer" Target="footer4.xml"/><Relationship Id="rId40" Type="http://schemas.openxmlformats.org/officeDocument/2006/relationships/chart" Target="charts/chart11.xml"/><Relationship Id="rId45" Type="http://schemas.openxmlformats.org/officeDocument/2006/relationships/image" Target="media/image6.png"/><Relationship Id="rId66" Type="http://schemas.openxmlformats.org/officeDocument/2006/relationships/image" Target="media/image16.emf"/><Relationship Id="rId87" Type="http://schemas.openxmlformats.org/officeDocument/2006/relationships/image" Target="media/image33.jpeg"/><Relationship Id="rId110" Type="http://schemas.openxmlformats.org/officeDocument/2006/relationships/chart" Target="charts/chart36.xml"/><Relationship Id="rId115" Type="http://schemas.openxmlformats.org/officeDocument/2006/relationships/hyperlink" Target="https://www.environment.gov.au/water/cewo/portfolio-mgt/holdings-catchment" TargetMode="External"/><Relationship Id="rId131" Type="http://schemas.openxmlformats.org/officeDocument/2006/relationships/chart" Target="charts/chart38.xml"/><Relationship Id="rId136" Type="http://schemas.openxmlformats.org/officeDocument/2006/relationships/hyperlink" Target="http://agriculture.gov.au/water/markets/commonwealth-water-mdb/progress-water-purchases" TargetMode="External"/><Relationship Id="rId61" Type="http://schemas.openxmlformats.org/officeDocument/2006/relationships/chart" Target="charts/chart24.xml"/><Relationship Id="rId82" Type="http://schemas.openxmlformats.org/officeDocument/2006/relationships/image" Target="media/image30.png"/><Relationship Id="rId152" Type="http://schemas.openxmlformats.org/officeDocument/2006/relationships/header" Target="header9.xml"/><Relationship Id="rId19" Type="http://schemas.openxmlformats.org/officeDocument/2006/relationships/footer" Target="footer2.xml"/><Relationship Id="rId14" Type="http://schemas.openxmlformats.org/officeDocument/2006/relationships/hyperlink" Target="mailto:Tim.Cummins@bigpond.com" TargetMode="External"/><Relationship Id="rId30" Type="http://schemas.openxmlformats.org/officeDocument/2006/relationships/image" Target="media/image2.png"/><Relationship Id="rId35" Type="http://schemas.openxmlformats.org/officeDocument/2006/relationships/chart" Target="charts/chart6.xml"/><Relationship Id="rId56" Type="http://schemas.openxmlformats.org/officeDocument/2006/relationships/chart" Target="charts/chart19.xml"/><Relationship Id="rId77" Type="http://schemas.openxmlformats.org/officeDocument/2006/relationships/image" Target="media/image25.png"/><Relationship Id="rId100" Type="http://schemas.openxmlformats.org/officeDocument/2006/relationships/image" Target="media/image44.jpeg"/><Relationship Id="rId105" Type="http://schemas.openxmlformats.org/officeDocument/2006/relationships/chart" Target="charts/chart31.xml"/><Relationship Id="rId126" Type="http://schemas.openxmlformats.org/officeDocument/2006/relationships/image" Target="media/image53.jpeg"/><Relationship Id="rId147" Type="http://schemas.openxmlformats.org/officeDocument/2006/relationships/hyperlink" Target="http://www.mdba.gov.au/sites/default/files/pubs/160428-BOC-amendments-Package-of-supply-constraints-for-web.pdf" TargetMode="External"/><Relationship Id="rId8" Type="http://schemas.openxmlformats.org/officeDocument/2006/relationships/styles" Target="styles.xml"/><Relationship Id="rId51" Type="http://schemas.openxmlformats.org/officeDocument/2006/relationships/chart" Target="charts/chart18.xml"/><Relationship Id="rId72" Type="http://schemas.openxmlformats.org/officeDocument/2006/relationships/image" Target="media/image20.emf"/><Relationship Id="rId93" Type="http://schemas.openxmlformats.org/officeDocument/2006/relationships/image" Target="media/image37.jpeg"/><Relationship Id="rId98" Type="http://schemas.openxmlformats.org/officeDocument/2006/relationships/image" Target="media/image42.jpeg"/><Relationship Id="rId121" Type="http://schemas.openxmlformats.org/officeDocument/2006/relationships/image" Target="media/image48.jpeg"/><Relationship Id="rId142" Type="http://schemas.openxmlformats.org/officeDocument/2006/relationships/hyperlink" Target="http://www.mdba.gov.au/sites/default/files/pubs/SDL-Adjustment-Stocktake-Report.pdf"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7.emf"/><Relationship Id="rId67" Type="http://schemas.openxmlformats.org/officeDocument/2006/relationships/image" Target="media/image17.emf"/><Relationship Id="rId116" Type="http://schemas.openxmlformats.org/officeDocument/2006/relationships/hyperlink" Target="http://ewr.water.nsw.gov.au/ewr/main/ersearchAEWByLoc" TargetMode="External"/><Relationship Id="rId137" Type="http://schemas.openxmlformats.org/officeDocument/2006/relationships/hyperlink" Target="http://agriculture.gov.au/water/markets/commonwealth-water-mdb/progress-water-purchases" TargetMode="External"/><Relationship Id="rId20" Type="http://schemas.openxmlformats.org/officeDocument/2006/relationships/header" Target="header3.xml"/><Relationship Id="rId41" Type="http://schemas.openxmlformats.org/officeDocument/2006/relationships/chart" Target="charts/chart12.xml"/><Relationship Id="rId62" Type="http://schemas.openxmlformats.org/officeDocument/2006/relationships/image" Target="media/image12.emf"/><Relationship Id="rId83" Type="http://schemas.openxmlformats.org/officeDocument/2006/relationships/image" Target="media/image31.png"/><Relationship Id="rId88" Type="http://schemas.openxmlformats.org/officeDocument/2006/relationships/chart" Target="charts/chart29.xml"/><Relationship Id="rId111" Type="http://schemas.openxmlformats.org/officeDocument/2006/relationships/chart" Target="charts/chart37.xml"/><Relationship Id="rId132" Type="http://schemas.openxmlformats.org/officeDocument/2006/relationships/hyperlink" Target="mailto:Tim.Cummins@bigpond.com" TargetMode="External"/><Relationship Id="rId153" Type="http://schemas.openxmlformats.org/officeDocument/2006/relationships/footer" Target="footer9.xml"/><Relationship Id="rId15" Type="http://schemas.openxmlformats.org/officeDocument/2006/relationships/hyperlink" Target="mailto:dave.appels@frontier-economics.com.au" TargetMode="External"/><Relationship Id="rId36" Type="http://schemas.openxmlformats.org/officeDocument/2006/relationships/chart" Target="charts/chart7.xml"/><Relationship Id="rId57" Type="http://schemas.openxmlformats.org/officeDocument/2006/relationships/chart" Target="charts/chart20.xml"/><Relationship Id="rId106" Type="http://schemas.openxmlformats.org/officeDocument/2006/relationships/chart" Target="charts/chart32.xml"/><Relationship Id="rId127" Type="http://schemas.openxmlformats.org/officeDocument/2006/relationships/image" Target="media/image54.jpeg"/><Relationship Id="rId10" Type="http://schemas.openxmlformats.org/officeDocument/2006/relationships/webSettings" Target="webSettings.xml"/><Relationship Id="rId31" Type="http://schemas.openxmlformats.org/officeDocument/2006/relationships/chart" Target="charts/chart3.xml"/><Relationship Id="rId52" Type="http://schemas.openxmlformats.org/officeDocument/2006/relationships/image" Target="media/image8.png"/><Relationship Id="rId73" Type="http://schemas.openxmlformats.org/officeDocument/2006/relationships/image" Target="media/image21.emf"/><Relationship Id="rId78" Type="http://schemas.openxmlformats.org/officeDocument/2006/relationships/image" Target="media/image26.jpe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122" Type="http://schemas.openxmlformats.org/officeDocument/2006/relationships/image" Target="media/image49.jpeg"/><Relationship Id="rId143" Type="http://schemas.openxmlformats.org/officeDocument/2006/relationships/hyperlink" Target="http://www.mdba.gov.au/publications/mdba-reports/basin-wide-environmental-watering-strategy-2014" TargetMode="External"/><Relationship Id="rId148"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eader" Target="header6.xml"/><Relationship Id="rId47" Type="http://schemas.openxmlformats.org/officeDocument/2006/relationships/chart" Target="charts/chart14.xml"/><Relationship Id="rId68" Type="http://schemas.openxmlformats.org/officeDocument/2006/relationships/image" Target="media/image18.png"/><Relationship Id="rId89" Type="http://schemas.openxmlformats.org/officeDocument/2006/relationships/image" Target="media/image34.emf"/><Relationship Id="rId112" Type="http://schemas.openxmlformats.org/officeDocument/2006/relationships/hyperlink" Target="http://www.legislation.nsw.gov.au/" TargetMode="External"/><Relationship Id="rId133" Type="http://schemas.openxmlformats.org/officeDocument/2006/relationships/hyperlink" Target="http://www.agriculture.gov.au/abares/surveys" TargetMode="External"/><Relationship Id="rId154" Type="http://schemas.openxmlformats.org/officeDocument/2006/relationships/fontTable" Target="fontTable.xml"/><Relationship Id="rId16" Type="http://schemas.openxmlformats.org/officeDocument/2006/relationships/header" Target="header1.xml"/><Relationship Id="rId37" Type="http://schemas.openxmlformats.org/officeDocument/2006/relationships/chart" Target="charts/chart8.xml"/><Relationship Id="rId58" Type="http://schemas.openxmlformats.org/officeDocument/2006/relationships/chart" Target="charts/chart21.xml"/><Relationship Id="rId79" Type="http://schemas.openxmlformats.org/officeDocument/2006/relationships/image" Target="media/image27.png"/><Relationship Id="rId102" Type="http://schemas.openxmlformats.org/officeDocument/2006/relationships/image" Target="media/image46.jpeg"/><Relationship Id="rId123" Type="http://schemas.openxmlformats.org/officeDocument/2006/relationships/image" Target="media/image50.jpeg"/><Relationship Id="rId144" Type="http://schemas.openxmlformats.org/officeDocument/2006/relationships/hyperlink" Target="http://www.mdba.gov.au/sites/default/files/pubs/Basin-Plan-Evaluation-Framework-final.pdf" TargetMode="External"/><Relationship Id="rId90" Type="http://schemas.openxmlformats.org/officeDocument/2006/relationships/hyperlink" Target="http://www.mdba.gov.au/publications/mdba-reports/murray-darling-basin-water-reforms-framework-evaluating-progres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bcma.vic.gov.au/sustainable_irrigation/farm_water/participant-profiles" TargetMode="External"/><Relationship Id="rId2" Type="http://schemas.openxmlformats.org/officeDocument/2006/relationships/hyperlink" Target="http://agriculture.gov.au/water/mdb/programmes/basin-wide/srwuip" TargetMode="External"/><Relationship Id="rId1" Type="http://schemas.openxmlformats.org/officeDocument/2006/relationships/hyperlink" Target="http://nvrm.net.au/seasonal-determinations/how-allocations-work" TargetMode="External"/><Relationship Id="rId5" Type="http://schemas.openxmlformats.org/officeDocument/2006/relationships/hyperlink" Target="https://www.environment.gov.au/water/cewo/publications/monitoring-ecological-outcomes-cew-delivered-goulburn-broken-13-14" TargetMode="External"/><Relationship Id="rId4" Type="http://schemas.openxmlformats.org/officeDocument/2006/relationships/hyperlink" Target="http://www.canberra.edu.au/research/faculty-research-centres/ceraph/regional-wellbeing/survey-results/2014-survey-results/Farmers-and-agriculture_LR.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Dave\Documents\TIM02\Final%20figures\aq_water%20share%20transfers%20to%20Commonwealth%20vD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Dave\Documents\TIM02\Final%20figures\aq_water%20share%20transfers%20to%20Commonwealth%20vD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Dave\Documents\TIM02\Final%20figures\aq_water%20share%20transfers%20to%20Commonwealth%20vD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Dave\Documents\TIM02\Final%20figures\aq_water%20share%20transfers%20to%20Commonwealth%20vD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Dave\Documents\TIM02\Final%20figures\aq_water%20share%20transfers%20to%20Commonwealth%20vD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Dave\Documents\TIM02\Final%20figures\aq_water%20share%20transfers%20to%20Commonwealth%20vD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Dave\Documents\TIM02\Final%20figures\161213%20water%20use%20analysis%20-%20sMD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Dave\Documents\TIM02\Final%20figures\SurveyMDBP%20vDA.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Dave\Documents\TIM02\Final%20figures\SurveyMDBP%20vDA.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Dave\Documents\TIM02\Final%20figures\SurveyMDBP%20vDA.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Dave\Documents\TIM02\Final%20figures\SurveyMDBP%20vDA.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Dave\Documents\TIM02\Final%20figures\SurveyMDBP%20vDA.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Dave\Documents\TIM02\Final%20figures\SurveyMDBP%20vDA.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Dave\Documents\TIM02\Final%20figures\SurveyMDBP%20vDA.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Dave\Documents\TIM02\Final%20figures\SurveyMDBP%20vD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Downloads\water%20pric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Dave\Documents\TIM02\Final%20figures\161213%20water%20use%20analysis%20-%20sMD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'Fig1'!$C$95</c:f>
              <c:strCache>
                <c:ptCount val="1"/>
                <c:pt idx="0">
                  <c:v>NSW High</c:v>
                </c:pt>
              </c:strCache>
            </c:strRef>
          </c:tx>
          <c:spPr>
            <a:solidFill>
              <a:schemeClr val="accent1"/>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'Fig1'!$D$95:$L$95</c:f>
              <c:numCache>
                <c:formatCode>0</c:formatCode>
                <c:ptCount val="9"/>
                <c:pt idx="0">
                  <c:v>396.97937099999962</c:v>
                </c:pt>
                <c:pt idx="1">
                  <c:v>541.15978199999995</c:v>
                </c:pt>
                <c:pt idx="2">
                  <c:v>555.30844000000002</c:v>
                </c:pt>
                <c:pt idx="3">
                  <c:v>557.81516279999755</c:v>
                </c:pt>
                <c:pt idx="4">
                  <c:v>492.4666656</c:v>
                </c:pt>
                <c:pt idx="5">
                  <c:v>568.09802999999999</c:v>
                </c:pt>
                <c:pt idx="6">
                  <c:v>544.75189499999999</c:v>
                </c:pt>
                <c:pt idx="7">
                  <c:v>536.0058514000001</c:v>
                </c:pt>
                <c:pt idx="8">
                  <c:v>534.55865139999878</c:v>
                </c:pt>
              </c:numCache>
            </c:numRef>
          </c:val>
          <c:extLst>
            <c:ext xmlns:c16="http://schemas.microsoft.com/office/drawing/2014/chart" uri="{C3380CC4-5D6E-409C-BE32-E72D297353CC}">
              <c16:uniqueId val="{00000000-1039-4D75-8800-7F2F4936E501}"/>
            </c:ext>
          </c:extLst>
        </c:ser>
        <c:ser>
          <c:idx val="1"/>
          <c:order val="1"/>
          <c:tx>
            <c:strRef>
              <c:f>'Fig1'!$C$96</c:f>
              <c:strCache>
                <c:ptCount val="1"/>
                <c:pt idx="0">
                  <c:v>VIC HRWS</c:v>
                </c:pt>
              </c:strCache>
            </c:strRef>
          </c:tx>
          <c:spPr>
            <a:solidFill>
              <a:schemeClr val="accent2"/>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'Fig1'!$D$96:$L$96</c:f>
              <c:numCache>
                <c:formatCode>0</c:formatCode>
                <c:ptCount val="9"/>
                <c:pt idx="0">
                  <c:v>1097.1945800000001</c:v>
                </c:pt>
                <c:pt idx="1">
                  <c:v>741.34980499999938</c:v>
                </c:pt>
                <c:pt idx="2">
                  <c:v>1812.885419</c:v>
                </c:pt>
                <c:pt idx="3">
                  <c:v>2025.5559000000001</c:v>
                </c:pt>
                <c:pt idx="4">
                  <c:v>1919.4988000000001</c:v>
                </c:pt>
                <c:pt idx="5">
                  <c:v>1743.3527999999999</c:v>
                </c:pt>
                <c:pt idx="6">
                  <c:v>1742.5678</c:v>
                </c:pt>
                <c:pt idx="7">
                  <c:v>1741.8556000000001</c:v>
                </c:pt>
                <c:pt idx="8">
                  <c:v>1642.070496</c:v>
                </c:pt>
              </c:numCache>
            </c:numRef>
          </c:val>
          <c:extLst>
            <c:ext xmlns:c16="http://schemas.microsoft.com/office/drawing/2014/chart" uri="{C3380CC4-5D6E-409C-BE32-E72D297353CC}">
              <c16:uniqueId val="{00000001-1039-4D75-8800-7F2F4936E501}"/>
            </c:ext>
          </c:extLst>
        </c:ser>
        <c:ser>
          <c:idx val="2"/>
          <c:order val="2"/>
          <c:tx>
            <c:strRef>
              <c:f>'Fig1'!$C$97</c:f>
              <c:strCache>
                <c:ptCount val="1"/>
                <c:pt idx="0">
                  <c:v>SA High</c:v>
                </c:pt>
              </c:strCache>
            </c:strRef>
          </c:tx>
          <c:spPr>
            <a:solidFill>
              <a:schemeClr val="accent3"/>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'Fig1'!$D$97:$L$97</c:f>
              <c:numCache>
                <c:formatCode>0</c:formatCode>
                <c:ptCount val="9"/>
                <c:pt idx="0">
                  <c:v>175.45184</c:v>
                </c:pt>
                <c:pt idx="1">
                  <c:v>98.63946</c:v>
                </c:pt>
                <c:pt idx="2">
                  <c:v>336.01820823999992</c:v>
                </c:pt>
                <c:pt idx="3">
                  <c:v>339.72731631999892</c:v>
                </c:pt>
                <c:pt idx="4">
                  <c:v>478.06994200000008</c:v>
                </c:pt>
                <c:pt idx="5">
                  <c:v>453.5083159999989</c:v>
                </c:pt>
                <c:pt idx="6">
                  <c:v>452.35418600000008</c:v>
                </c:pt>
                <c:pt idx="7">
                  <c:v>452.35418600000008</c:v>
                </c:pt>
                <c:pt idx="8">
                  <c:v>452.35418600000008</c:v>
                </c:pt>
              </c:numCache>
            </c:numRef>
          </c:val>
          <c:extLst>
            <c:ext xmlns:c16="http://schemas.microsoft.com/office/drawing/2014/chart" uri="{C3380CC4-5D6E-409C-BE32-E72D297353CC}">
              <c16:uniqueId val="{00000002-1039-4D75-8800-7F2F4936E501}"/>
            </c:ext>
          </c:extLst>
        </c:ser>
        <c:ser>
          <c:idx val="3"/>
          <c:order val="3"/>
          <c:tx>
            <c:strRef>
              <c:f>'Fig1'!$C$98</c:f>
              <c:strCache>
                <c:ptCount val="1"/>
                <c:pt idx="0">
                  <c:v>NSW General</c:v>
                </c:pt>
              </c:strCache>
            </c:strRef>
          </c:tx>
          <c:spPr>
            <a:solidFill>
              <a:schemeClr val="accent4"/>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'Fig1'!$D$98:$L$98</c:f>
              <c:numCache>
                <c:formatCode>0</c:formatCode>
                <c:ptCount val="9"/>
                <c:pt idx="0">
                  <c:v>245.95921999999999</c:v>
                </c:pt>
                <c:pt idx="1">
                  <c:v>557.4643992</c:v>
                </c:pt>
                <c:pt idx="2">
                  <c:v>1026.7292688499999</c:v>
                </c:pt>
                <c:pt idx="3">
                  <c:v>2502.2476962000001</c:v>
                </c:pt>
                <c:pt idx="4">
                  <c:v>1979.3311351</c:v>
                </c:pt>
                <c:pt idx="5">
                  <c:v>2217.3969609999999</c:v>
                </c:pt>
                <c:pt idx="6">
                  <c:v>2510.0371679999998</c:v>
                </c:pt>
                <c:pt idx="7">
                  <c:v>1840.4854078000001</c:v>
                </c:pt>
                <c:pt idx="8">
                  <c:v>953.02488619999997</c:v>
                </c:pt>
              </c:numCache>
            </c:numRef>
          </c:val>
          <c:extLst>
            <c:ext xmlns:c16="http://schemas.microsoft.com/office/drawing/2014/chart" uri="{C3380CC4-5D6E-409C-BE32-E72D297353CC}">
              <c16:uniqueId val="{00000003-1039-4D75-8800-7F2F4936E501}"/>
            </c:ext>
          </c:extLst>
        </c:ser>
        <c:ser>
          <c:idx val="4"/>
          <c:order val="4"/>
          <c:tx>
            <c:strRef>
              <c:f>'Fig1'!$C$99</c:f>
              <c:strCache>
                <c:ptCount val="1"/>
                <c:pt idx="0">
                  <c:v>VIC LRWS</c:v>
                </c:pt>
              </c:strCache>
            </c:strRef>
          </c:tx>
          <c:spPr>
            <a:solidFill>
              <a:schemeClr val="accent5"/>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'Fig1'!$D$99:$L$99</c:f>
              <c:numCache>
                <c:formatCode>0</c:formatCode>
                <c:ptCount val="9"/>
                <c:pt idx="0">
                  <c:v>0</c:v>
                </c:pt>
                <c:pt idx="1">
                  <c:v>0</c:v>
                </c:pt>
                <c:pt idx="2">
                  <c:v>0</c:v>
                </c:pt>
                <c:pt idx="3">
                  <c:v>22.118399999999991</c:v>
                </c:pt>
                <c:pt idx="4">
                  <c:v>22.118399999999991</c:v>
                </c:pt>
                <c:pt idx="5">
                  <c:v>22.118399999999991</c:v>
                </c:pt>
                <c:pt idx="6">
                  <c:v>11.977956000000001</c:v>
                </c:pt>
                <c:pt idx="7">
                  <c:v>3.3397999999999981</c:v>
                </c:pt>
                <c:pt idx="8">
                  <c:v>0</c:v>
                </c:pt>
              </c:numCache>
            </c:numRef>
          </c:val>
          <c:extLst>
            <c:ext xmlns:c16="http://schemas.microsoft.com/office/drawing/2014/chart" uri="{C3380CC4-5D6E-409C-BE32-E72D297353CC}">
              <c16:uniqueId val="{00000004-1039-4D75-8800-7F2F4936E501}"/>
            </c:ext>
          </c:extLst>
        </c:ser>
        <c:dLbls>
          <c:showLegendKey val="0"/>
          <c:showVal val="0"/>
          <c:showCatName val="0"/>
          <c:showSerName val="0"/>
          <c:showPercent val="0"/>
          <c:showBubbleSize val="0"/>
        </c:dLbls>
        <c:gapWidth val="150"/>
        <c:overlap val="100"/>
        <c:axId val="337705984"/>
        <c:axId val="68436736"/>
      </c:barChart>
      <c:catAx>
        <c:axId val="33770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36736"/>
        <c:crosses val="autoZero"/>
        <c:auto val="1"/>
        <c:lblAlgn val="ctr"/>
        <c:lblOffset val="100"/>
        <c:noMultiLvlLbl val="0"/>
      </c:catAx>
      <c:valAx>
        <c:axId val="6843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Allocated volume (GL)</a:t>
                </a:r>
              </a:p>
            </c:rich>
          </c:tx>
          <c:layout>
            <c:manualLayout>
              <c:xMode val="edge"/>
              <c:yMode val="edge"/>
              <c:x val="1.88679245283019E-2"/>
              <c:y val="0.178702610090405"/>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70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85466610439499"/>
          <c:y val="5.54349729846789E-2"/>
          <c:w val="0.84558970577549697"/>
          <c:h val="0.56906831294230398"/>
        </c:manualLayout>
      </c:layout>
      <c:lineChart>
        <c:grouping val="standard"/>
        <c:varyColors val="0"/>
        <c:ser>
          <c:idx val="0"/>
          <c:order val="0"/>
          <c:tx>
            <c:strRef>
              <c:f>'Fig6'!$D$5</c:f>
              <c:strCache>
                <c:ptCount val="1"/>
                <c:pt idx="0">
                  <c:v>Central Goulburn</c:v>
                </c:pt>
              </c:strCache>
            </c:strRef>
          </c:tx>
          <c:spPr>
            <a:ln w="28575" cap="rnd">
              <a:solidFill>
                <a:schemeClr val="accent1"/>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'Fig6'!$E$5:$M$5</c:f>
              <c:numCache>
                <c:formatCode>General</c:formatCode>
                <c:ptCount val="9"/>
                <c:pt idx="0">
                  <c:v>389</c:v>
                </c:pt>
                <c:pt idx="1">
                  <c:v>140</c:v>
                </c:pt>
                <c:pt idx="2">
                  <c:v>171</c:v>
                </c:pt>
                <c:pt idx="3">
                  <c:v>121</c:v>
                </c:pt>
                <c:pt idx="4">
                  <c:v>289</c:v>
                </c:pt>
                <c:pt idx="5">
                  <c:v>414</c:v>
                </c:pt>
                <c:pt idx="6">
                  <c:v>313</c:v>
                </c:pt>
                <c:pt idx="7">
                  <c:v>347</c:v>
                </c:pt>
                <c:pt idx="8">
                  <c:v>277</c:v>
                </c:pt>
              </c:numCache>
            </c:numRef>
          </c:val>
          <c:smooth val="0"/>
          <c:extLst>
            <c:ext xmlns:c16="http://schemas.microsoft.com/office/drawing/2014/chart" uri="{C3380CC4-5D6E-409C-BE32-E72D297353CC}">
              <c16:uniqueId val="{00000000-8BA8-4642-A657-C44F77DE9795}"/>
            </c:ext>
          </c:extLst>
        </c:ser>
        <c:ser>
          <c:idx val="1"/>
          <c:order val="1"/>
          <c:tx>
            <c:strRef>
              <c:f>'Fig6'!$D$6</c:f>
              <c:strCache>
                <c:ptCount val="1"/>
                <c:pt idx="0">
                  <c:v>Shepparton</c:v>
                </c:pt>
              </c:strCache>
            </c:strRef>
          </c:tx>
          <c:spPr>
            <a:ln w="28575" cap="rnd">
              <a:solidFill>
                <a:schemeClr val="accent2"/>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'Fig6'!$E$6:$M$6</c:f>
              <c:numCache>
                <c:formatCode>General</c:formatCode>
                <c:ptCount val="9"/>
                <c:pt idx="0">
                  <c:v>157</c:v>
                </c:pt>
                <c:pt idx="1">
                  <c:v>64</c:v>
                </c:pt>
                <c:pt idx="2">
                  <c:v>72</c:v>
                </c:pt>
                <c:pt idx="3">
                  <c:v>42</c:v>
                </c:pt>
                <c:pt idx="4">
                  <c:v>103</c:v>
                </c:pt>
                <c:pt idx="5">
                  <c:v>163</c:v>
                </c:pt>
                <c:pt idx="6">
                  <c:v>127</c:v>
                </c:pt>
                <c:pt idx="7">
                  <c:v>128</c:v>
                </c:pt>
                <c:pt idx="8">
                  <c:v>108</c:v>
                </c:pt>
              </c:numCache>
            </c:numRef>
          </c:val>
          <c:smooth val="0"/>
          <c:extLst>
            <c:ext xmlns:c16="http://schemas.microsoft.com/office/drawing/2014/chart" uri="{C3380CC4-5D6E-409C-BE32-E72D297353CC}">
              <c16:uniqueId val="{00000001-8BA8-4642-A657-C44F77DE9795}"/>
            </c:ext>
          </c:extLst>
        </c:ser>
        <c:ser>
          <c:idx val="2"/>
          <c:order val="2"/>
          <c:tx>
            <c:strRef>
              <c:f>'Fig6'!$D$7</c:f>
              <c:strCache>
                <c:ptCount val="1"/>
                <c:pt idx="0">
                  <c:v>Rochester</c:v>
                </c:pt>
              </c:strCache>
            </c:strRef>
          </c:tx>
          <c:spPr>
            <a:ln w="28575" cap="rnd">
              <a:solidFill>
                <a:schemeClr val="accent3"/>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'Fig6'!$E$7:$M$7</c:f>
              <c:numCache>
                <c:formatCode>General</c:formatCode>
                <c:ptCount val="9"/>
                <c:pt idx="0">
                  <c:v>199</c:v>
                </c:pt>
                <c:pt idx="1">
                  <c:v>58</c:v>
                </c:pt>
                <c:pt idx="2">
                  <c:v>84</c:v>
                </c:pt>
                <c:pt idx="3">
                  <c:v>52</c:v>
                </c:pt>
                <c:pt idx="4">
                  <c:v>153</c:v>
                </c:pt>
                <c:pt idx="5">
                  <c:v>215</c:v>
                </c:pt>
                <c:pt idx="6">
                  <c:v>163</c:v>
                </c:pt>
                <c:pt idx="7">
                  <c:v>173</c:v>
                </c:pt>
                <c:pt idx="8">
                  <c:v>150</c:v>
                </c:pt>
              </c:numCache>
            </c:numRef>
          </c:val>
          <c:smooth val="0"/>
          <c:extLst>
            <c:ext xmlns:c16="http://schemas.microsoft.com/office/drawing/2014/chart" uri="{C3380CC4-5D6E-409C-BE32-E72D297353CC}">
              <c16:uniqueId val="{00000002-8BA8-4642-A657-C44F77DE9795}"/>
            </c:ext>
          </c:extLst>
        </c:ser>
        <c:ser>
          <c:idx val="3"/>
          <c:order val="3"/>
          <c:tx>
            <c:strRef>
              <c:f>'Fig6'!$D$8</c:f>
              <c:strCache>
                <c:ptCount val="1"/>
                <c:pt idx="0">
                  <c:v>Pyramid-Boort</c:v>
                </c:pt>
              </c:strCache>
            </c:strRef>
          </c:tx>
          <c:spPr>
            <a:ln w="28575" cap="rnd">
              <a:solidFill>
                <a:schemeClr val="accent4"/>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'Fig6'!$E$8:$M$8</c:f>
              <c:numCache>
                <c:formatCode>General</c:formatCode>
                <c:ptCount val="9"/>
                <c:pt idx="0">
                  <c:v>222</c:v>
                </c:pt>
                <c:pt idx="1">
                  <c:v>70</c:v>
                </c:pt>
                <c:pt idx="2">
                  <c:v>100</c:v>
                </c:pt>
                <c:pt idx="3">
                  <c:v>44</c:v>
                </c:pt>
                <c:pt idx="4">
                  <c:v>152</c:v>
                </c:pt>
                <c:pt idx="5">
                  <c:v>234</c:v>
                </c:pt>
                <c:pt idx="6">
                  <c:v>164</c:v>
                </c:pt>
                <c:pt idx="7">
                  <c:v>204</c:v>
                </c:pt>
                <c:pt idx="8">
                  <c:v>155</c:v>
                </c:pt>
              </c:numCache>
            </c:numRef>
          </c:val>
          <c:smooth val="0"/>
          <c:extLst>
            <c:ext xmlns:c16="http://schemas.microsoft.com/office/drawing/2014/chart" uri="{C3380CC4-5D6E-409C-BE32-E72D297353CC}">
              <c16:uniqueId val="{00000003-8BA8-4642-A657-C44F77DE9795}"/>
            </c:ext>
          </c:extLst>
        </c:ser>
        <c:ser>
          <c:idx val="4"/>
          <c:order val="4"/>
          <c:tx>
            <c:strRef>
              <c:f>'Fig6'!$D$9</c:f>
              <c:strCache>
                <c:ptCount val="1"/>
                <c:pt idx="0">
                  <c:v>Campaspe</c:v>
                </c:pt>
              </c:strCache>
            </c:strRef>
          </c:tx>
          <c:spPr>
            <a:ln w="28575" cap="rnd">
              <a:solidFill>
                <a:schemeClr val="accent5"/>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'Fig6'!$E$9:$M$9</c:f>
              <c:numCache>
                <c:formatCode>General</c:formatCode>
                <c:ptCount val="9"/>
                <c:pt idx="0">
                  <c:v>10</c:v>
                </c:pt>
                <c:pt idx="1">
                  <c:v>3</c:v>
                </c:pt>
                <c:pt idx="2">
                  <c:v>0</c:v>
                </c:pt>
                <c:pt idx="3">
                  <c:v>3</c:v>
                </c:pt>
                <c:pt idx="4">
                  <c:v>11</c:v>
                </c:pt>
                <c:pt idx="5">
                  <c:v>1</c:v>
                </c:pt>
                <c:pt idx="6">
                  <c:v>2</c:v>
                </c:pt>
                <c:pt idx="7">
                  <c:v>1</c:v>
                </c:pt>
                <c:pt idx="8">
                  <c:v>1</c:v>
                </c:pt>
              </c:numCache>
            </c:numRef>
          </c:val>
          <c:smooth val="0"/>
          <c:extLst>
            <c:ext xmlns:c16="http://schemas.microsoft.com/office/drawing/2014/chart" uri="{C3380CC4-5D6E-409C-BE32-E72D297353CC}">
              <c16:uniqueId val="{00000004-8BA8-4642-A657-C44F77DE9795}"/>
            </c:ext>
          </c:extLst>
        </c:ser>
        <c:ser>
          <c:idx val="5"/>
          <c:order val="5"/>
          <c:tx>
            <c:strRef>
              <c:f>'Fig6'!$D$10</c:f>
              <c:strCache>
                <c:ptCount val="1"/>
                <c:pt idx="0">
                  <c:v>Murray Valley</c:v>
                </c:pt>
              </c:strCache>
            </c:strRef>
          </c:tx>
          <c:spPr>
            <a:ln w="28575" cap="rnd">
              <a:solidFill>
                <a:schemeClr val="accent6"/>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'Fig6'!$E$10:$M$10</c:f>
              <c:numCache>
                <c:formatCode>General</c:formatCode>
                <c:ptCount val="9"/>
                <c:pt idx="0">
                  <c:v>283</c:v>
                </c:pt>
                <c:pt idx="1">
                  <c:v>92</c:v>
                </c:pt>
                <c:pt idx="2">
                  <c:v>127</c:v>
                </c:pt>
                <c:pt idx="3">
                  <c:v>92</c:v>
                </c:pt>
                <c:pt idx="4">
                  <c:v>209</c:v>
                </c:pt>
                <c:pt idx="5">
                  <c:v>302</c:v>
                </c:pt>
                <c:pt idx="6">
                  <c:v>222</c:v>
                </c:pt>
                <c:pt idx="7">
                  <c:v>227</c:v>
                </c:pt>
                <c:pt idx="8">
                  <c:v>194</c:v>
                </c:pt>
              </c:numCache>
            </c:numRef>
          </c:val>
          <c:smooth val="0"/>
          <c:extLst>
            <c:ext xmlns:c16="http://schemas.microsoft.com/office/drawing/2014/chart" uri="{C3380CC4-5D6E-409C-BE32-E72D297353CC}">
              <c16:uniqueId val="{00000005-8BA8-4642-A657-C44F77DE9795}"/>
            </c:ext>
          </c:extLst>
        </c:ser>
        <c:ser>
          <c:idx val="6"/>
          <c:order val="6"/>
          <c:tx>
            <c:strRef>
              <c:f>'Fig6'!$D$11</c:f>
              <c:strCache>
                <c:ptCount val="1"/>
                <c:pt idx="0">
                  <c:v>Torrumbarry</c:v>
                </c:pt>
              </c:strCache>
            </c:strRef>
          </c:tx>
          <c:spPr>
            <a:ln w="28575" cap="rnd">
              <a:solidFill>
                <a:schemeClr val="accent1">
                  <a:lumMod val="60000"/>
                </a:schemeClr>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'Fig6'!$E$11:$M$11</c:f>
              <c:numCache>
                <c:formatCode>General</c:formatCode>
                <c:ptCount val="9"/>
                <c:pt idx="0">
                  <c:v>405</c:v>
                </c:pt>
                <c:pt idx="1">
                  <c:v>112</c:v>
                </c:pt>
                <c:pt idx="2">
                  <c:v>173</c:v>
                </c:pt>
                <c:pt idx="3">
                  <c:v>130</c:v>
                </c:pt>
                <c:pt idx="4">
                  <c:v>332</c:v>
                </c:pt>
                <c:pt idx="5">
                  <c:v>423</c:v>
                </c:pt>
                <c:pt idx="6">
                  <c:v>304</c:v>
                </c:pt>
                <c:pt idx="7">
                  <c:v>348</c:v>
                </c:pt>
                <c:pt idx="8">
                  <c:v>246</c:v>
                </c:pt>
              </c:numCache>
            </c:numRef>
          </c:val>
          <c:smooth val="0"/>
          <c:extLst>
            <c:ext xmlns:c16="http://schemas.microsoft.com/office/drawing/2014/chart" uri="{C3380CC4-5D6E-409C-BE32-E72D297353CC}">
              <c16:uniqueId val="{00000006-8BA8-4642-A657-C44F77DE9795}"/>
            </c:ext>
          </c:extLst>
        </c:ser>
        <c:ser>
          <c:idx val="7"/>
          <c:order val="7"/>
          <c:tx>
            <c:strRef>
              <c:f>'Fig6'!$D$12</c:f>
              <c:strCache>
                <c:ptCount val="1"/>
                <c:pt idx="0">
                  <c:v>Nyah, Tresco &amp; Woorinen</c:v>
                </c:pt>
              </c:strCache>
            </c:strRef>
          </c:tx>
          <c:spPr>
            <a:ln w="28575" cap="rnd">
              <a:solidFill>
                <a:schemeClr val="accent2">
                  <a:lumMod val="60000"/>
                </a:schemeClr>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'Fig6'!$E$12:$M$12</c:f>
              <c:numCache>
                <c:formatCode>General</c:formatCode>
                <c:ptCount val="9"/>
                <c:pt idx="0">
                  <c:v>20</c:v>
                </c:pt>
                <c:pt idx="1">
                  <c:v>17</c:v>
                </c:pt>
                <c:pt idx="2">
                  <c:v>17</c:v>
                </c:pt>
                <c:pt idx="3">
                  <c:v>10</c:v>
                </c:pt>
                <c:pt idx="4">
                  <c:v>18</c:v>
                </c:pt>
                <c:pt idx="5">
                  <c:v>23</c:v>
                </c:pt>
                <c:pt idx="6">
                  <c:v>21</c:v>
                </c:pt>
                <c:pt idx="7">
                  <c:v>23</c:v>
                </c:pt>
                <c:pt idx="8">
                  <c:v>22</c:v>
                </c:pt>
              </c:numCache>
            </c:numRef>
          </c:val>
          <c:smooth val="0"/>
          <c:extLst>
            <c:ext xmlns:c16="http://schemas.microsoft.com/office/drawing/2014/chart" uri="{C3380CC4-5D6E-409C-BE32-E72D297353CC}">
              <c16:uniqueId val="{00000007-8BA8-4642-A657-C44F77DE9795}"/>
            </c:ext>
          </c:extLst>
        </c:ser>
        <c:dLbls>
          <c:showLegendKey val="0"/>
          <c:showVal val="0"/>
          <c:showCatName val="0"/>
          <c:showSerName val="0"/>
          <c:showPercent val="0"/>
          <c:showBubbleSize val="0"/>
        </c:dLbls>
        <c:smooth val="0"/>
        <c:axId val="89422080"/>
        <c:axId val="91275264"/>
      </c:lineChart>
      <c:catAx>
        <c:axId val="894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75264"/>
        <c:crosses val="autoZero"/>
        <c:auto val="1"/>
        <c:lblAlgn val="ctr"/>
        <c:lblOffset val="100"/>
        <c:noMultiLvlLbl val="0"/>
      </c:catAx>
      <c:valAx>
        <c:axId val="9127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Water use (GL)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22080"/>
        <c:crosses val="autoZero"/>
        <c:crossBetween val="between"/>
      </c:valAx>
      <c:spPr>
        <a:noFill/>
        <a:ln>
          <a:noFill/>
        </a:ln>
        <a:effectLst/>
      </c:spPr>
    </c:plotArea>
    <c:legend>
      <c:legendPos val="b"/>
      <c:layout>
        <c:manualLayout>
          <c:xMode val="edge"/>
          <c:yMode val="edge"/>
          <c:x val="4.9637576552930898E-2"/>
          <c:y val="0.78626330562846303"/>
          <c:w val="0.92572484689413803"/>
          <c:h val="0.20139101535919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'Fig4'!$A$53</c:f>
              <c:strCache>
                <c:ptCount val="1"/>
                <c:pt idx="0">
                  <c:v>Buyback</c:v>
                </c:pt>
              </c:strCache>
            </c:strRef>
          </c:tx>
          <c:spPr>
            <a:solidFill>
              <a:schemeClr val="accent1"/>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'Fig4'!$B$53:$J$53</c:f>
              <c:numCache>
                <c:formatCode>General</c:formatCode>
                <c:ptCount val="9"/>
                <c:pt idx="0">
                  <c:v>9.7566495</c:v>
                </c:pt>
                <c:pt idx="1">
                  <c:v>178.86972919999999</c:v>
                </c:pt>
                <c:pt idx="2">
                  <c:v>263.94524879999989</c:v>
                </c:pt>
                <c:pt idx="3">
                  <c:v>197.0793486</c:v>
                </c:pt>
                <c:pt idx="4">
                  <c:v>278.86916639999998</c:v>
                </c:pt>
                <c:pt idx="5">
                  <c:v>12.8440265</c:v>
                </c:pt>
                <c:pt idx="6">
                  <c:v>11.785495600000001</c:v>
                </c:pt>
                <c:pt idx="7">
                  <c:v>0.42721500000000001</c:v>
                </c:pt>
                <c:pt idx="8">
                  <c:v>2.88</c:v>
                </c:pt>
              </c:numCache>
            </c:numRef>
          </c:val>
          <c:extLst>
            <c:ext xmlns:c16="http://schemas.microsoft.com/office/drawing/2014/chart" uri="{C3380CC4-5D6E-409C-BE32-E72D297353CC}">
              <c16:uniqueId val="{00000000-8BA7-4AF1-A78B-33785282D51A}"/>
            </c:ext>
          </c:extLst>
        </c:ser>
        <c:ser>
          <c:idx val="1"/>
          <c:order val="1"/>
          <c:tx>
            <c:strRef>
              <c:f>'Fig4'!$A$54</c:f>
              <c:strCache>
                <c:ptCount val="1"/>
                <c:pt idx="0">
                  <c:v>Infrastructure</c:v>
                </c:pt>
              </c:strCache>
            </c:strRef>
          </c:tx>
          <c:spPr>
            <a:solidFill>
              <a:schemeClr val="accent2"/>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'Fig4'!$B$54:$J$54</c:f>
              <c:numCache>
                <c:formatCode>General</c:formatCode>
                <c:ptCount val="9"/>
                <c:pt idx="0">
                  <c:v>0</c:v>
                </c:pt>
                <c:pt idx="1">
                  <c:v>0</c:v>
                </c:pt>
                <c:pt idx="2">
                  <c:v>0</c:v>
                </c:pt>
                <c:pt idx="3">
                  <c:v>48.990354000000011</c:v>
                </c:pt>
                <c:pt idx="4">
                  <c:v>173.10705202</c:v>
                </c:pt>
                <c:pt idx="5">
                  <c:v>70.015470000000008</c:v>
                </c:pt>
                <c:pt idx="6">
                  <c:v>233.68473</c:v>
                </c:pt>
                <c:pt idx="7">
                  <c:v>25.360482999999981</c:v>
                </c:pt>
                <c:pt idx="8">
                  <c:v>22.454675999999999</c:v>
                </c:pt>
              </c:numCache>
            </c:numRef>
          </c:val>
          <c:extLst>
            <c:ext xmlns:c16="http://schemas.microsoft.com/office/drawing/2014/chart" uri="{C3380CC4-5D6E-409C-BE32-E72D297353CC}">
              <c16:uniqueId val="{00000001-8BA7-4AF1-A78B-33785282D51A}"/>
            </c:ext>
          </c:extLst>
        </c:ser>
        <c:ser>
          <c:idx val="2"/>
          <c:order val="2"/>
          <c:tx>
            <c:strRef>
              <c:f>'Fig4'!$A$55</c:f>
              <c:strCache>
                <c:ptCount val="1"/>
                <c:pt idx="0">
                  <c:v>Other</c:v>
                </c:pt>
              </c:strCache>
            </c:strRef>
          </c:tx>
          <c:spPr>
            <a:solidFill>
              <a:schemeClr val="accent3"/>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'Fig4'!$B$55:$J$55</c:f>
              <c:numCache>
                <c:formatCode>General</c:formatCode>
                <c:ptCount val="9"/>
                <c:pt idx="0">
                  <c:v>0</c:v>
                </c:pt>
                <c:pt idx="1">
                  <c:v>0</c:v>
                </c:pt>
                <c:pt idx="2">
                  <c:v>0</c:v>
                </c:pt>
                <c:pt idx="3">
                  <c:v>0</c:v>
                </c:pt>
                <c:pt idx="4">
                  <c:v>0</c:v>
                </c:pt>
                <c:pt idx="5">
                  <c:v>2.4415</c:v>
                </c:pt>
                <c:pt idx="6">
                  <c:v>36</c:v>
                </c:pt>
                <c:pt idx="7">
                  <c:v>0</c:v>
                </c:pt>
                <c:pt idx="8">
                  <c:v>0</c:v>
                </c:pt>
              </c:numCache>
            </c:numRef>
          </c:val>
          <c:extLst>
            <c:ext xmlns:c16="http://schemas.microsoft.com/office/drawing/2014/chart" uri="{C3380CC4-5D6E-409C-BE32-E72D297353CC}">
              <c16:uniqueId val="{00000002-8BA7-4AF1-A78B-33785282D51A}"/>
            </c:ext>
          </c:extLst>
        </c:ser>
        <c:dLbls>
          <c:showLegendKey val="0"/>
          <c:showVal val="0"/>
          <c:showCatName val="0"/>
          <c:showSerName val="0"/>
          <c:showPercent val="0"/>
          <c:showBubbleSize val="0"/>
        </c:dLbls>
        <c:gapWidth val="219"/>
        <c:overlap val="-27"/>
        <c:axId val="91400832"/>
        <c:axId val="91402624"/>
      </c:barChart>
      <c:catAx>
        <c:axId val="9140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02624"/>
        <c:crosses val="autoZero"/>
        <c:auto val="1"/>
        <c:lblAlgn val="ctr"/>
        <c:lblOffset val="100"/>
        <c:noMultiLvlLbl val="0"/>
      </c:catAx>
      <c:valAx>
        <c:axId val="9140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Contracted water recovery (GL LTAAY)</a:t>
                </a:r>
              </a:p>
            </c:rich>
          </c:tx>
          <c:layout>
            <c:manualLayout>
              <c:xMode val="edge"/>
              <c:yMode val="edge"/>
              <c:x val="1.6666666666666701E-2"/>
              <c:y val="5.092592592592590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0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'Fig4'!$A$4</c:f>
              <c:strCache>
                <c:ptCount val="1"/>
                <c:pt idx="0">
                  <c:v>Victoria</c:v>
                </c:pt>
              </c:strCache>
            </c:strRef>
          </c:tx>
          <c:spPr>
            <a:solidFill>
              <a:schemeClr val="accent1"/>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'Fig4'!$B$4:$J$4</c:f>
              <c:numCache>
                <c:formatCode>_-* #,##0_-;\-* #,##0_-;_-* "-"??_-;_-@_-</c:formatCode>
                <c:ptCount val="9"/>
                <c:pt idx="0">
                  <c:v>6.326079</c:v>
                </c:pt>
                <c:pt idx="1">
                  <c:v>88.400716000000003</c:v>
                </c:pt>
                <c:pt idx="2">
                  <c:v>119.7873984</c:v>
                </c:pt>
                <c:pt idx="3">
                  <c:v>115.11105999999999</c:v>
                </c:pt>
                <c:pt idx="4">
                  <c:v>181.24480800000001</c:v>
                </c:pt>
                <c:pt idx="5">
                  <c:v>0.74575000000000002</c:v>
                </c:pt>
                <c:pt idx="6">
                  <c:v>0.68498999999999999</c:v>
                </c:pt>
                <c:pt idx="7">
                  <c:v>0.42721500000000001</c:v>
                </c:pt>
                <c:pt idx="8">
                  <c:v>0</c:v>
                </c:pt>
              </c:numCache>
            </c:numRef>
          </c:val>
          <c:extLst>
            <c:ext xmlns:c16="http://schemas.microsoft.com/office/drawing/2014/chart" uri="{C3380CC4-5D6E-409C-BE32-E72D297353CC}">
              <c16:uniqueId val="{00000000-DDD6-4C87-A037-0977DD01ADA1}"/>
            </c:ext>
          </c:extLst>
        </c:ser>
        <c:ser>
          <c:idx val="1"/>
          <c:order val="1"/>
          <c:tx>
            <c:strRef>
              <c:f>'Fig4'!$A$5</c:f>
              <c:strCache>
                <c:ptCount val="1"/>
                <c:pt idx="0">
                  <c:v>NSW</c:v>
                </c:pt>
              </c:strCache>
            </c:strRef>
          </c:tx>
          <c:spPr>
            <a:solidFill>
              <a:schemeClr val="accent2"/>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'Fig4'!$B$5:$J$5</c:f>
              <c:numCache>
                <c:formatCode>_-* #,##0_-;\-* #,##0_-;_-* "-"??_-;_-@_-</c:formatCode>
                <c:ptCount val="9"/>
                <c:pt idx="0">
                  <c:v>3.1695705000000012</c:v>
                </c:pt>
                <c:pt idx="1">
                  <c:v>85.040080000000003</c:v>
                </c:pt>
                <c:pt idx="2">
                  <c:v>112.73961</c:v>
                </c:pt>
                <c:pt idx="3">
                  <c:v>55.88111</c:v>
                </c:pt>
                <c:pt idx="4">
                  <c:v>75.518894999999986</c:v>
                </c:pt>
                <c:pt idx="5">
                  <c:v>11.059559500000001</c:v>
                </c:pt>
                <c:pt idx="6">
                  <c:v>5.0953855999999842</c:v>
                </c:pt>
                <c:pt idx="7">
                  <c:v>0</c:v>
                </c:pt>
                <c:pt idx="8">
                  <c:v>0</c:v>
                </c:pt>
              </c:numCache>
            </c:numRef>
          </c:val>
          <c:extLst>
            <c:ext xmlns:c16="http://schemas.microsoft.com/office/drawing/2014/chart" uri="{C3380CC4-5D6E-409C-BE32-E72D297353CC}">
              <c16:uniqueId val="{00000001-DDD6-4C87-A037-0977DD01ADA1}"/>
            </c:ext>
          </c:extLst>
        </c:ser>
        <c:ser>
          <c:idx val="2"/>
          <c:order val="2"/>
          <c:tx>
            <c:strRef>
              <c:f>'Fig4'!$A$6</c:f>
              <c:strCache>
                <c:ptCount val="1"/>
                <c:pt idx="0">
                  <c:v>SA</c:v>
                </c:pt>
              </c:strCache>
            </c:strRef>
          </c:tx>
          <c:spPr>
            <a:solidFill>
              <a:schemeClr val="accent3"/>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'Fig4'!$B$6:$J$6</c:f>
              <c:numCache>
                <c:formatCode>_-* #,##0_-;\-* #,##0_-;_-* "-"??_-;_-@_-</c:formatCode>
                <c:ptCount val="9"/>
                <c:pt idx="0">
                  <c:v>0.26100000000000001</c:v>
                </c:pt>
                <c:pt idx="1">
                  <c:v>5.4289331999999986</c:v>
                </c:pt>
                <c:pt idx="2">
                  <c:v>31.418240399999981</c:v>
                </c:pt>
                <c:pt idx="3">
                  <c:v>26.087178600000001</c:v>
                </c:pt>
                <c:pt idx="4">
                  <c:v>22.105463399999991</c:v>
                </c:pt>
                <c:pt idx="5">
                  <c:v>1.0387169999999999</c:v>
                </c:pt>
                <c:pt idx="6">
                  <c:v>0</c:v>
                </c:pt>
                <c:pt idx="7">
                  <c:v>0</c:v>
                </c:pt>
                <c:pt idx="8">
                  <c:v>2.88</c:v>
                </c:pt>
              </c:numCache>
            </c:numRef>
          </c:val>
          <c:extLst>
            <c:ext xmlns:c16="http://schemas.microsoft.com/office/drawing/2014/chart" uri="{C3380CC4-5D6E-409C-BE32-E72D297353CC}">
              <c16:uniqueId val="{00000002-DDD6-4C87-A037-0977DD01ADA1}"/>
            </c:ext>
          </c:extLst>
        </c:ser>
        <c:ser>
          <c:idx val="3"/>
          <c:order val="3"/>
          <c:tx>
            <c:strRef>
              <c:f>'Fig4'!$A$7</c:f>
              <c:strCache>
                <c:ptCount val="1"/>
                <c:pt idx="0">
                  <c:v>ACT</c:v>
                </c:pt>
              </c:strCache>
            </c:strRef>
          </c:tx>
          <c:spPr>
            <a:solidFill>
              <a:schemeClr val="accent4"/>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'Fig4'!$B$7:$J$7</c:f>
              <c:numCache>
                <c:formatCode>_-* #,##0_-;\-* #,##0_-;_-* "-"??_-;_-@_-</c:formatCode>
                <c:ptCount val="9"/>
                <c:pt idx="0">
                  <c:v>0</c:v>
                </c:pt>
                <c:pt idx="1">
                  <c:v>0</c:v>
                </c:pt>
                <c:pt idx="2">
                  <c:v>0</c:v>
                </c:pt>
                <c:pt idx="3">
                  <c:v>0</c:v>
                </c:pt>
                <c:pt idx="4">
                  <c:v>0</c:v>
                </c:pt>
                <c:pt idx="5">
                  <c:v>0</c:v>
                </c:pt>
                <c:pt idx="6">
                  <c:v>6.0051199999999909</c:v>
                </c:pt>
                <c:pt idx="7">
                  <c:v>0</c:v>
                </c:pt>
                <c:pt idx="8">
                  <c:v>0</c:v>
                </c:pt>
              </c:numCache>
            </c:numRef>
          </c:val>
          <c:extLst>
            <c:ext xmlns:c16="http://schemas.microsoft.com/office/drawing/2014/chart" uri="{C3380CC4-5D6E-409C-BE32-E72D297353CC}">
              <c16:uniqueId val="{00000003-DDD6-4C87-A037-0977DD01ADA1}"/>
            </c:ext>
          </c:extLst>
        </c:ser>
        <c:dLbls>
          <c:showLegendKey val="0"/>
          <c:showVal val="0"/>
          <c:showCatName val="0"/>
          <c:showSerName val="0"/>
          <c:showPercent val="0"/>
          <c:showBubbleSize val="0"/>
        </c:dLbls>
        <c:gapWidth val="219"/>
        <c:overlap val="-27"/>
        <c:axId val="96817536"/>
        <c:axId val="96819072"/>
      </c:barChart>
      <c:catAx>
        <c:axId val="9681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19072"/>
        <c:crosses val="autoZero"/>
        <c:auto val="1"/>
        <c:lblAlgn val="ctr"/>
        <c:lblOffset val="100"/>
        <c:noMultiLvlLbl val="0"/>
      </c:catAx>
      <c:valAx>
        <c:axId val="9681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Contracted water recovery (GL LTAAY)</a:t>
                </a:r>
              </a:p>
            </c:rich>
          </c:tx>
          <c:layout>
            <c:manualLayout>
              <c:xMode val="edge"/>
              <c:yMode val="edge"/>
              <c:x val="1.6666666666666701E-2"/>
              <c:y val="5.0925925925925902E-2"/>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17536"/>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'Fig4'!$A$67</c:f>
              <c:strCache>
                <c:ptCount val="1"/>
                <c:pt idx="0">
                  <c:v>Victoria</c:v>
                </c:pt>
              </c:strCache>
            </c:strRef>
          </c:tx>
          <c:spPr>
            <a:solidFill>
              <a:schemeClr val="accent1"/>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'Fig4'!$B$67:$J$67</c:f>
              <c:numCache>
                <c:formatCode>General</c:formatCode>
                <c:ptCount val="9"/>
                <c:pt idx="0">
                  <c:v>6.120374999999985</c:v>
                </c:pt>
                <c:pt idx="1">
                  <c:v>85.794499999999999</c:v>
                </c:pt>
                <c:pt idx="2">
                  <c:v>115.94141999999999</c:v>
                </c:pt>
                <c:pt idx="3">
                  <c:v>115.096395</c:v>
                </c:pt>
                <c:pt idx="4">
                  <c:v>167.15993599999999</c:v>
                </c:pt>
                <c:pt idx="5">
                  <c:v>0.74575000000000002</c:v>
                </c:pt>
                <c:pt idx="6">
                  <c:v>0.67659000000000002</c:v>
                </c:pt>
                <c:pt idx="7">
                  <c:v>0.42721500000000001</c:v>
                </c:pt>
                <c:pt idx="8">
                  <c:v>0</c:v>
                </c:pt>
              </c:numCache>
            </c:numRef>
          </c:val>
          <c:extLst>
            <c:ext xmlns:c16="http://schemas.microsoft.com/office/drawing/2014/chart" uri="{C3380CC4-5D6E-409C-BE32-E72D297353CC}">
              <c16:uniqueId val="{00000000-ED7F-496B-8443-07C3FC0D6F5E}"/>
            </c:ext>
          </c:extLst>
        </c:ser>
        <c:ser>
          <c:idx val="1"/>
          <c:order val="1"/>
          <c:tx>
            <c:strRef>
              <c:f>'Fig4'!$A$68</c:f>
              <c:strCache>
                <c:ptCount val="1"/>
                <c:pt idx="0">
                  <c:v>NSW</c:v>
                </c:pt>
              </c:strCache>
            </c:strRef>
          </c:tx>
          <c:spPr>
            <a:solidFill>
              <a:schemeClr val="accent2"/>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'Fig4'!$B$68:$J$68</c:f>
              <c:numCache>
                <c:formatCode>General</c:formatCode>
                <c:ptCount val="9"/>
                <c:pt idx="0">
                  <c:v>0</c:v>
                </c:pt>
                <c:pt idx="1">
                  <c:v>0</c:v>
                </c:pt>
                <c:pt idx="2">
                  <c:v>0.46473999999999999</c:v>
                </c:pt>
                <c:pt idx="3">
                  <c:v>0.87970000000000004</c:v>
                </c:pt>
                <c:pt idx="4">
                  <c:v>10.0564815</c:v>
                </c:pt>
                <c:pt idx="5">
                  <c:v>4.3038894999999986</c:v>
                </c:pt>
                <c:pt idx="6">
                  <c:v>3.232085999999998</c:v>
                </c:pt>
                <c:pt idx="7">
                  <c:v>0</c:v>
                </c:pt>
                <c:pt idx="8">
                  <c:v>0</c:v>
                </c:pt>
              </c:numCache>
            </c:numRef>
          </c:val>
          <c:extLst>
            <c:ext xmlns:c16="http://schemas.microsoft.com/office/drawing/2014/chart" uri="{C3380CC4-5D6E-409C-BE32-E72D297353CC}">
              <c16:uniqueId val="{00000001-ED7F-496B-8443-07C3FC0D6F5E}"/>
            </c:ext>
          </c:extLst>
        </c:ser>
        <c:ser>
          <c:idx val="2"/>
          <c:order val="2"/>
          <c:tx>
            <c:strRef>
              <c:f>'Fig4'!$A$69</c:f>
              <c:strCache>
                <c:ptCount val="1"/>
                <c:pt idx="0">
                  <c:v>SA</c:v>
                </c:pt>
              </c:strCache>
            </c:strRef>
          </c:tx>
          <c:spPr>
            <a:solidFill>
              <a:schemeClr val="accent3"/>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'Fig4'!$B$69:$J$69</c:f>
              <c:numCache>
                <c:formatCode>General</c:formatCode>
                <c:ptCount val="9"/>
                <c:pt idx="0">
                  <c:v>0.26100000000000001</c:v>
                </c:pt>
                <c:pt idx="1">
                  <c:v>5.4289331999999986</c:v>
                </c:pt>
                <c:pt idx="2">
                  <c:v>31.418240399999981</c:v>
                </c:pt>
                <c:pt idx="3">
                  <c:v>26.087178600000001</c:v>
                </c:pt>
                <c:pt idx="4">
                  <c:v>22.105463399999991</c:v>
                </c:pt>
                <c:pt idx="5">
                  <c:v>1.0387169999999999</c:v>
                </c:pt>
                <c:pt idx="6">
                  <c:v>0</c:v>
                </c:pt>
                <c:pt idx="7">
                  <c:v>0</c:v>
                </c:pt>
                <c:pt idx="8">
                  <c:v>2.88</c:v>
                </c:pt>
              </c:numCache>
            </c:numRef>
          </c:val>
          <c:extLst>
            <c:ext xmlns:c16="http://schemas.microsoft.com/office/drawing/2014/chart" uri="{C3380CC4-5D6E-409C-BE32-E72D297353CC}">
              <c16:uniqueId val="{00000002-ED7F-496B-8443-07C3FC0D6F5E}"/>
            </c:ext>
          </c:extLst>
        </c:ser>
        <c:dLbls>
          <c:showLegendKey val="0"/>
          <c:showVal val="0"/>
          <c:showCatName val="0"/>
          <c:showSerName val="0"/>
          <c:showPercent val="0"/>
          <c:showBubbleSize val="0"/>
        </c:dLbls>
        <c:gapWidth val="219"/>
        <c:overlap val="-27"/>
        <c:axId val="109224704"/>
        <c:axId val="109226240"/>
      </c:barChart>
      <c:catAx>
        <c:axId val="10922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26240"/>
        <c:crosses val="autoZero"/>
        <c:auto val="1"/>
        <c:lblAlgn val="ctr"/>
        <c:lblOffset val="100"/>
        <c:noMultiLvlLbl val="0"/>
      </c:catAx>
      <c:valAx>
        <c:axId val="10922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Contracted water recovery (GL LTAAY)</a:t>
                </a:r>
              </a:p>
            </c:rich>
          </c:tx>
          <c:layout>
            <c:manualLayout>
              <c:xMode val="edge"/>
              <c:yMode val="edge"/>
              <c:x val="1.6666666666666701E-2"/>
              <c:y val="5.092592592592590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224704"/>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'Fig4'!$A$83</c:f>
              <c:strCache>
                <c:ptCount val="1"/>
                <c:pt idx="0">
                  <c:v>Cumulative buyback</c:v>
                </c:pt>
              </c:strCache>
            </c:strRef>
          </c:tx>
          <c:spPr>
            <a:solidFill>
              <a:schemeClr val="accent1"/>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'Fig4'!$B$83:$J$83</c:f>
              <c:numCache>
                <c:formatCode>_-* #,##0_-;\-* #,##0_-;_-* "-"??_-;_-@_-</c:formatCode>
                <c:ptCount val="9"/>
                <c:pt idx="0">
                  <c:v>9.7566495</c:v>
                </c:pt>
                <c:pt idx="1">
                  <c:v>188.6263787</c:v>
                </c:pt>
                <c:pt idx="2">
                  <c:v>452.57162749999992</c:v>
                </c:pt>
                <c:pt idx="3">
                  <c:v>649.65097609999998</c:v>
                </c:pt>
                <c:pt idx="4">
                  <c:v>928.52014250000002</c:v>
                </c:pt>
                <c:pt idx="5">
                  <c:v>941.36416899999779</c:v>
                </c:pt>
                <c:pt idx="6">
                  <c:v>953.14966459999937</c:v>
                </c:pt>
                <c:pt idx="7">
                  <c:v>953.57687960000055</c:v>
                </c:pt>
                <c:pt idx="8">
                  <c:v>956.45687960000009</c:v>
                </c:pt>
              </c:numCache>
            </c:numRef>
          </c:val>
          <c:extLst>
            <c:ext xmlns:c16="http://schemas.microsoft.com/office/drawing/2014/chart" uri="{C3380CC4-5D6E-409C-BE32-E72D297353CC}">
              <c16:uniqueId val="{00000000-52CD-44C6-86DF-DA2D755EF4BC}"/>
            </c:ext>
          </c:extLst>
        </c:ser>
        <c:dLbls>
          <c:showLegendKey val="0"/>
          <c:showVal val="0"/>
          <c:showCatName val="0"/>
          <c:showSerName val="0"/>
          <c:showPercent val="0"/>
          <c:showBubbleSize val="0"/>
        </c:dLbls>
        <c:gapWidth val="219"/>
        <c:overlap val="-27"/>
        <c:axId val="115125632"/>
        <c:axId val="115369088"/>
      </c:barChart>
      <c:catAx>
        <c:axId val="11512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69088"/>
        <c:crosses val="autoZero"/>
        <c:auto val="1"/>
        <c:lblAlgn val="ctr"/>
        <c:lblOffset val="100"/>
        <c:noMultiLvlLbl val="0"/>
      </c:catAx>
      <c:valAx>
        <c:axId val="115369088"/>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Contracted water recovery (GL LTAAY)</a:t>
                </a:r>
              </a:p>
            </c:rich>
          </c:tx>
          <c:layout>
            <c:manualLayout>
              <c:xMode val="edge"/>
              <c:yMode val="edge"/>
              <c:x val="1.6666666666666701E-2"/>
              <c:y val="5.0925925925925902E-2"/>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25632"/>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'Fig4'!$A$21</c:f>
              <c:strCache>
                <c:ptCount val="1"/>
                <c:pt idx="0">
                  <c:v>Victoria</c:v>
                </c:pt>
              </c:strCache>
            </c:strRef>
          </c:tx>
          <c:spPr>
            <a:solidFill>
              <a:schemeClr val="accent1"/>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'Fig4'!$B$21:$J$21</c:f>
              <c:numCache>
                <c:formatCode>_-* #,##0_-;\-* #,##0_-;_-* "-"??_-;_-@_-</c:formatCode>
                <c:ptCount val="9"/>
                <c:pt idx="0">
                  <c:v>0</c:v>
                </c:pt>
                <c:pt idx="1">
                  <c:v>0</c:v>
                </c:pt>
                <c:pt idx="2">
                  <c:v>0</c:v>
                </c:pt>
                <c:pt idx="3">
                  <c:v>6.1918149999999841</c:v>
                </c:pt>
                <c:pt idx="4">
                  <c:v>124.8044495</c:v>
                </c:pt>
                <c:pt idx="5">
                  <c:v>1.3774999999999999</c:v>
                </c:pt>
                <c:pt idx="6">
                  <c:v>44.45411</c:v>
                </c:pt>
                <c:pt idx="7">
                  <c:v>14.342245</c:v>
                </c:pt>
                <c:pt idx="8">
                  <c:v>0</c:v>
                </c:pt>
              </c:numCache>
            </c:numRef>
          </c:val>
          <c:extLst>
            <c:ext xmlns:c16="http://schemas.microsoft.com/office/drawing/2014/chart" uri="{C3380CC4-5D6E-409C-BE32-E72D297353CC}">
              <c16:uniqueId val="{00000000-4D21-45AD-924F-34B9CE80B558}"/>
            </c:ext>
          </c:extLst>
        </c:ser>
        <c:ser>
          <c:idx val="1"/>
          <c:order val="1"/>
          <c:tx>
            <c:strRef>
              <c:f>'Fig4'!$A$22</c:f>
              <c:strCache>
                <c:ptCount val="1"/>
                <c:pt idx="0">
                  <c:v>NSW</c:v>
                </c:pt>
              </c:strCache>
            </c:strRef>
          </c:tx>
          <c:spPr>
            <a:solidFill>
              <a:schemeClr val="accent2"/>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'Fig4'!$B$22:$J$22</c:f>
              <c:numCache>
                <c:formatCode>_-* #,##0_-;\-* #,##0_-;_-* "-"??_-;_-@_-</c:formatCode>
                <c:ptCount val="9"/>
                <c:pt idx="0">
                  <c:v>0</c:v>
                </c:pt>
                <c:pt idx="1">
                  <c:v>0</c:v>
                </c:pt>
                <c:pt idx="2">
                  <c:v>0</c:v>
                </c:pt>
                <c:pt idx="3">
                  <c:v>37.246079000000009</c:v>
                </c:pt>
                <c:pt idx="4">
                  <c:v>43.780822520000001</c:v>
                </c:pt>
                <c:pt idx="5">
                  <c:v>68.547970000000007</c:v>
                </c:pt>
                <c:pt idx="6">
                  <c:v>184.23993999999999</c:v>
                </c:pt>
                <c:pt idx="7">
                  <c:v>9.7881179999999972</c:v>
                </c:pt>
                <c:pt idx="8">
                  <c:v>21.885876</c:v>
                </c:pt>
              </c:numCache>
            </c:numRef>
          </c:val>
          <c:extLst>
            <c:ext xmlns:c16="http://schemas.microsoft.com/office/drawing/2014/chart" uri="{C3380CC4-5D6E-409C-BE32-E72D297353CC}">
              <c16:uniqueId val="{00000001-4D21-45AD-924F-34B9CE80B558}"/>
            </c:ext>
          </c:extLst>
        </c:ser>
        <c:ser>
          <c:idx val="2"/>
          <c:order val="2"/>
          <c:tx>
            <c:strRef>
              <c:f>'Fig4'!$A$23</c:f>
              <c:strCache>
                <c:ptCount val="1"/>
                <c:pt idx="0">
                  <c:v>SA</c:v>
                </c:pt>
              </c:strCache>
            </c:strRef>
          </c:tx>
          <c:spPr>
            <a:solidFill>
              <a:schemeClr val="accent3"/>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'Fig4'!$B$23:$J$23</c:f>
              <c:numCache>
                <c:formatCode>_-* #,##0_-;\-* #,##0_-;_-* "-"??_-;_-@_-</c:formatCode>
                <c:ptCount val="9"/>
                <c:pt idx="0">
                  <c:v>0</c:v>
                </c:pt>
                <c:pt idx="1">
                  <c:v>0</c:v>
                </c:pt>
                <c:pt idx="2">
                  <c:v>0</c:v>
                </c:pt>
                <c:pt idx="3">
                  <c:v>5.5524600000000008</c:v>
                </c:pt>
                <c:pt idx="4">
                  <c:v>4.5217799999999997</c:v>
                </c:pt>
                <c:pt idx="5">
                  <c:v>0.09</c:v>
                </c:pt>
                <c:pt idx="6">
                  <c:v>4.9906800000000002</c:v>
                </c:pt>
                <c:pt idx="7">
                  <c:v>1.2301200000000001</c:v>
                </c:pt>
                <c:pt idx="8">
                  <c:v>0.56879999999999997</c:v>
                </c:pt>
              </c:numCache>
            </c:numRef>
          </c:val>
          <c:extLst>
            <c:ext xmlns:c16="http://schemas.microsoft.com/office/drawing/2014/chart" uri="{C3380CC4-5D6E-409C-BE32-E72D297353CC}">
              <c16:uniqueId val="{00000002-4D21-45AD-924F-34B9CE80B558}"/>
            </c:ext>
          </c:extLst>
        </c:ser>
        <c:ser>
          <c:idx val="3"/>
          <c:order val="3"/>
          <c:tx>
            <c:strRef>
              <c:f>'Fig4'!$A$24</c:f>
              <c:strCache>
                <c:ptCount val="1"/>
                <c:pt idx="0">
                  <c:v>ACT</c:v>
                </c:pt>
              </c:strCache>
            </c:strRef>
          </c:tx>
          <c:spPr>
            <a:solidFill>
              <a:schemeClr val="accent4"/>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'Fig4'!$B$24:$J$24</c:f>
              <c:numCache>
                <c:formatCode>_-* #,##0_-;\-* #,##0_-;_-* "-"??_-;_-@_-</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4D21-45AD-924F-34B9CE80B558}"/>
            </c:ext>
          </c:extLst>
        </c:ser>
        <c:dLbls>
          <c:showLegendKey val="0"/>
          <c:showVal val="0"/>
          <c:showCatName val="0"/>
          <c:showSerName val="0"/>
          <c:showPercent val="0"/>
          <c:showBubbleSize val="0"/>
        </c:dLbls>
        <c:gapWidth val="219"/>
        <c:overlap val="-27"/>
        <c:axId val="115762304"/>
        <c:axId val="115763840"/>
      </c:barChart>
      <c:catAx>
        <c:axId val="1157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763840"/>
        <c:crosses val="autoZero"/>
        <c:auto val="1"/>
        <c:lblAlgn val="ctr"/>
        <c:lblOffset val="100"/>
        <c:noMultiLvlLbl val="0"/>
      </c:catAx>
      <c:valAx>
        <c:axId val="11576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Contracted water recovery (GL LTAAY)</a:t>
                </a:r>
              </a:p>
            </c:rich>
          </c:tx>
          <c:layout>
            <c:manualLayout>
              <c:xMode val="edge"/>
              <c:yMode val="edge"/>
              <c:x val="1.6666666666666701E-2"/>
              <c:y val="5.0925925925925902E-2"/>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762304"/>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'Fig6'!$D$107</c:f>
              <c:strCache>
                <c:ptCount val="1"/>
                <c:pt idx="0">
                  <c:v>Observed water use</c:v>
                </c:pt>
              </c:strCache>
            </c:strRef>
          </c:tx>
          <c:spPr>
            <a:solidFill>
              <a:schemeClr val="accent1"/>
            </a:solidFill>
            <a:ln>
              <a:noFill/>
            </a:ln>
            <a:effectLst/>
          </c:spPr>
          <c:invertIfNegative val="0"/>
          <c:cat>
            <c:strRef>
              <c:f>'Fig6'!$E$98:$M$98</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'Fig6'!$E$107:$M$107</c:f>
              <c:numCache>
                <c:formatCode>#,##0</c:formatCode>
                <c:ptCount val="9"/>
                <c:pt idx="0">
                  <c:v>2150</c:v>
                </c:pt>
                <c:pt idx="1">
                  <c:v>924</c:v>
                </c:pt>
                <c:pt idx="2">
                  <c:v>1135</c:v>
                </c:pt>
                <c:pt idx="3">
                  <c:v>751</c:v>
                </c:pt>
                <c:pt idx="4">
                  <c:v>1731</c:v>
                </c:pt>
                <c:pt idx="5">
                  <c:v>2402</c:v>
                </c:pt>
                <c:pt idx="6">
                  <c:v>1857</c:v>
                </c:pt>
                <c:pt idx="7">
                  <c:v>2033</c:v>
                </c:pt>
                <c:pt idx="8">
                  <c:v>1762</c:v>
                </c:pt>
              </c:numCache>
            </c:numRef>
          </c:val>
          <c:extLst>
            <c:ext xmlns:c16="http://schemas.microsoft.com/office/drawing/2014/chart" uri="{C3380CC4-5D6E-409C-BE32-E72D297353CC}">
              <c16:uniqueId val="{00000000-C117-4B7A-9825-830BDEF96C98}"/>
            </c:ext>
          </c:extLst>
        </c:ser>
        <c:ser>
          <c:idx val="1"/>
          <c:order val="1"/>
          <c:tx>
            <c:strRef>
              <c:f>'Fig6'!$D$108</c:f>
              <c:strCache>
                <c:ptCount val="1"/>
                <c:pt idx="0">
                  <c:v>Counterfactual water use</c:v>
                </c:pt>
              </c:strCache>
            </c:strRef>
          </c:tx>
          <c:spPr>
            <a:solidFill>
              <a:schemeClr val="accent2"/>
            </a:solidFill>
            <a:ln>
              <a:noFill/>
            </a:ln>
            <a:effectLst/>
          </c:spPr>
          <c:invertIfNegative val="0"/>
          <c:cat>
            <c:strRef>
              <c:f>'Fig6'!$E$98:$M$98</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'Fig6'!$E$108:$M$108</c:f>
              <c:numCache>
                <c:formatCode>#,##0</c:formatCode>
                <c:ptCount val="9"/>
                <c:pt idx="0">
                  <c:v>2150</c:v>
                </c:pt>
                <c:pt idx="1">
                  <c:v>925.62367207792204</c:v>
                </c:pt>
                <c:pt idx="2">
                  <c:v>1210.4551376828199</c:v>
                </c:pt>
                <c:pt idx="3">
                  <c:v>898.63995233022638</c:v>
                </c:pt>
                <c:pt idx="4">
                  <c:v>2072.9227626805318</c:v>
                </c:pt>
                <c:pt idx="5">
                  <c:v>2949.8897995004172</c:v>
                </c:pt>
                <c:pt idx="6">
                  <c:v>2320.0494848099088</c:v>
                </c:pt>
                <c:pt idx="7">
                  <c:v>2535.3217239547471</c:v>
                </c:pt>
                <c:pt idx="8">
                  <c:v>2191.8362383596068</c:v>
                </c:pt>
              </c:numCache>
            </c:numRef>
          </c:val>
          <c:extLst>
            <c:ext xmlns:c16="http://schemas.microsoft.com/office/drawing/2014/chart" uri="{C3380CC4-5D6E-409C-BE32-E72D297353CC}">
              <c16:uniqueId val="{00000001-C117-4B7A-9825-830BDEF96C98}"/>
            </c:ext>
          </c:extLst>
        </c:ser>
        <c:dLbls>
          <c:showLegendKey val="0"/>
          <c:showVal val="0"/>
          <c:showCatName val="0"/>
          <c:showSerName val="0"/>
          <c:showPercent val="0"/>
          <c:showBubbleSize val="0"/>
        </c:dLbls>
        <c:gapWidth val="219"/>
        <c:overlap val="-27"/>
        <c:axId val="125694336"/>
        <c:axId val="125695872"/>
      </c:barChart>
      <c:catAx>
        <c:axId val="12569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695872"/>
        <c:crosses val="autoZero"/>
        <c:auto val="1"/>
        <c:lblAlgn val="ctr"/>
        <c:lblOffset val="100"/>
        <c:noMultiLvlLbl val="0"/>
      </c:catAx>
      <c:valAx>
        <c:axId val="125695872"/>
        <c:scaling>
          <c:orientation val="minMax"/>
          <c:max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Water use (GL)</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69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'Fig6'!$D$112</c:f>
              <c:strCache>
                <c:ptCount val="1"/>
                <c:pt idx="0">
                  <c:v>Observed "with BP" GMW districts subtotal</c:v>
                </c:pt>
              </c:strCache>
            </c:strRef>
          </c:tx>
          <c:spPr>
            <a:solidFill>
              <a:schemeClr val="accent1"/>
            </a:solidFill>
            <a:ln>
              <a:noFill/>
            </a:ln>
            <a:effectLst/>
          </c:spPr>
          <c:invertIfNegative val="0"/>
          <c:cat>
            <c:strRef>
              <c:f>'Fig6'!$E$98:$M$98</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'Fig6'!$E$112:$M$112</c:f>
              <c:numCache>
                <c:formatCode>#,##0</c:formatCode>
                <c:ptCount val="9"/>
                <c:pt idx="0">
                  <c:v>1686</c:v>
                </c:pt>
                <c:pt idx="1">
                  <c:v>555</c:v>
                </c:pt>
                <c:pt idx="2">
                  <c:v>745</c:v>
                </c:pt>
                <c:pt idx="3">
                  <c:v>495</c:v>
                </c:pt>
                <c:pt idx="4">
                  <c:v>1267</c:v>
                </c:pt>
                <c:pt idx="5">
                  <c:v>1776</c:v>
                </c:pt>
                <c:pt idx="6">
                  <c:v>1316</c:v>
                </c:pt>
                <c:pt idx="7">
                  <c:v>1450</c:v>
                </c:pt>
                <c:pt idx="8">
                  <c:v>1154</c:v>
                </c:pt>
              </c:numCache>
            </c:numRef>
          </c:val>
          <c:extLst>
            <c:ext xmlns:c16="http://schemas.microsoft.com/office/drawing/2014/chart" uri="{C3380CC4-5D6E-409C-BE32-E72D297353CC}">
              <c16:uniqueId val="{00000000-15B0-4424-B939-E50E4E956FFC}"/>
            </c:ext>
          </c:extLst>
        </c:ser>
        <c:ser>
          <c:idx val="1"/>
          <c:order val="1"/>
          <c:tx>
            <c:strRef>
              <c:f>'Fig6'!$D$117</c:f>
              <c:strCache>
                <c:ptCount val="1"/>
                <c:pt idx="0">
                  <c:v>"Without BP" estimated GMW districts subtotal</c:v>
                </c:pt>
              </c:strCache>
            </c:strRef>
          </c:tx>
          <c:spPr>
            <a:solidFill>
              <a:schemeClr val="accent2"/>
            </a:solidFill>
            <a:ln>
              <a:noFill/>
            </a:ln>
            <a:effectLst/>
          </c:spPr>
          <c:invertIfNegative val="0"/>
          <c:cat>
            <c:strRef>
              <c:f>'Fig6'!$E$98:$M$98</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'Fig6'!$E$117:$M$117</c:f>
              <c:numCache>
                <c:formatCode>#,##0</c:formatCode>
                <c:ptCount val="9"/>
                <c:pt idx="0">
                  <c:v>1686</c:v>
                </c:pt>
                <c:pt idx="1">
                  <c:v>556.50691973787082</c:v>
                </c:pt>
                <c:pt idx="2">
                  <c:v>817.25459842377938</c:v>
                </c:pt>
                <c:pt idx="3">
                  <c:v>637.18244436471218</c:v>
                </c:pt>
                <c:pt idx="4">
                  <c:v>1593.709004763374</c:v>
                </c:pt>
                <c:pt idx="5">
                  <c:v>2293.5810020812442</c:v>
                </c:pt>
                <c:pt idx="6">
                  <c:v>1749.717524562164</c:v>
                </c:pt>
                <c:pt idx="7">
                  <c:v>1922.65833856871</c:v>
                </c:pt>
                <c:pt idx="8">
                  <c:v>1555.3195947143911</c:v>
                </c:pt>
              </c:numCache>
            </c:numRef>
          </c:val>
          <c:extLst>
            <c:ext xmlns:c16="http://schemas.microsoft.com/office/drawing/2014/chart" uri="{C3380CC4-5D6E-409C-BE32-E72D297353CC}">
              <c16:uniqueId val="{00000001-15B0-4424-B939-E50E4E956FFC}"/>
            </c:ext>
          </c:extLst>
        </c:ser>
        <c:dLbls>
          <c:showLegendKey val="0"/>
          <c:showVal val="0"/>
          <c:showCatName val="0"/>
          <c:showSerName val="0"/>
          <c:showPercent val="0"/>
          <c:showBubbleSize val="0"/>
        </c:dLbls>
        <c:gapWidth val="219"/>
        <c:overlap val="-27"/>
        <c:axId val="125758848"/>
        <c:axId val="125883520"/>
      </c:barChart>
      <c:catAx>
        <c:axId val="12575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883520"/>
        <c:crosses val="autoZero"/>
        <c:auto val="1"/>
        <c:lblAlgn val="ctr"/>
        <c:lblOffset val="100"/>
        <c:noMultiLvlLbl val="0"/>
      </c:catAx>
      <c:valAx>
        <c:axId val="125883520"/>
        <c:scaling>
          <c:orientation val="minMax"/>
          <c:max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Water use (GL)</a:t>
                </a:r>
              </a:p>
            </c:rich>
          </c:tx>
          <c:layout>
            <c:manualLayout>
              <c:xMode val="edge"/>
              <c:yMode val="edge"/>
              <c:x val="1.9515596122433199E-2"/>
              <c:y val="0.27584776902887098"/>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5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'Fig6'!$D$113</c:f>
              <c:strCache>
                <c:ptCount val="1"/>
                <c:pt idx="0">
                  <c:v>Observed "with BP" GMW diverters</c:v>
                </c:pt>
              </c:strCache>
            </c:strRef>
          </c:tx>
          <c:spPr>
            <a:solidFill>
              <a:schemeClr val="accent1"/>
            </a:solidFill>
            <a:ln>
              <a:noFill/>
            </a:ln>
            <a:effectLst/>
          </c:spPr>
          <c:invertIfNegative val="0"/>
          <c:cat>
            <c:strRef>
              <c:f>'Fig6'!$E$98:$M$98</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'Fig6'!$E$113:$M$113</c:f>
              <c:numCache>
                <c:formatCode>#,##0</c:formatCode>
                <c:ptCount val="9"/>
                <c:pt idx="0">
                  <c:v>133</c:v>
                </c:pt>
                <c:pt idx="1">
                  <c:v>43</c:v>
                </c:pt>
                <c:pt idx="2">
                  <c:v>33</c:v>
                </c:pt>
                <c:pt idx="3">
                  <c:v>19</c:v>
                </c:pt>
                <c:pt idx="4">
                  <c:v>59</c:v>
                </c:pt>
                <c:pt idx="5">
                  <c:v>104</c:v>
                </c:pt>
                <c:pt idx="6">
                  <c:v>89</c:v>
                </c:pt>
                <c:pt idx="7">
                  <c:v>91</c:v>
                </c:pt>
                <c:pt idx="8">
                  <c:v>82</c:v>
                </c:pt>
              </c:numCache>
            </c:numRef>
          </c:val>
          <c:extLst>
            <c:ext xmlns:c16="http://schemas.microsoft.com/office/drawing/2014/chart" uri="{C3380CC4-5D6E-409C-BE32-E72D297353CC}">
              <c16:uniqueId val="{00000000-315E-414E-ADD4-822AA7044BBA}"/>
            </c:ext>
          </c:extLst>
        </c:ser>
        <c:ser>
          <c:idx val="1"/>
          <c:order val="1"/>
          <c:tx>
            <c:strRef>
              <c:f>'Fig6'!$D$118</c:f>
              <c:strCache>
                <c:ptCount val="1"/>
                <c:pt idx="0">
                  <c:v>"Without BP" estimated GMW diverters</c:v>
                </c:pt>
              </c:strCache>
            </c:strRef>
          </c:tx>
          <c:spPr>
            <a:solidFill>
              <a:schemeClr val="accent2"/>
            </a:solidFill>
            <a:ln>
              <a:noFill/>
            </a:ln>
            <a:effectLst/>
          </c:spPr>
          <c:invertIfNegative val="0"/>
          <c:cat>
            <c:strRef>
              <c:f>'Fig6'!$E$98:$M$98</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'Fig6'!$E$118:$M$118</c:f>
              <c:numCache>
                <c:formatCode>#,##0</c:formatCode>
                <c:ptCount val="9"/>
                <c:pt idx="0">
                  <c:v>133</c:v>
                </c:pt>
                <c:pt idx="1">
                  <c:v>43.116752340051299</c:v>
                </c:pt>
                <c:pt idx="2">
                  <c:v>36.2005392590399</c:v>
                </c:pt>
                <c:pt idx="3">
                  <c:v>24.4575079655142</c:v>
                </c:pt>
                <c:pt idx="4">
                  <c:v>74.213757917157878</c:v>
                </c:pt>
                <c:pt idx="5">
                  <c:v>134.30879741917201</c:v>
                </c:pt>
                <c:pt idx="6">
                  <c:v>118.3319602477451</c:v>
                </c:pt>
                <c:pt idx="7">
                  <c:v>120.6633853860363</c:v>
                </c:pt>
                <c:pt idx="8">
                  <c:v>110.5166436452167</c:v>
                </c:pt>
              </c:numCache>
            </c:numRef>
          </c:val>
          <c:extLst>
            <c:ext xmlns:c16="http://schemas.microsoft.com/office/drawing/2014/chart" uri="{C3380CC4-5D6E-409C-BE32-E72D297353CC}">
              <c16:uniqueId val="{00000001-315E-414E-ADD4-822AA7044BBA}"/>
            </c:ext>
          </c:extLst>
        </c:ser>
        <c:dLbls>
          <c:showLegendKey val="0"/>
          <c:showVal val="0"/>
          <c:showCatName val="0"/>
          <c:showSerName val="0"/>
          <c:showPercent val="0"/>
          <c:showBubbleSize val="0"/>
        </c:dLbls>
        <c:gapWidth val="219"/>
        <c:overlap val="-27"/>
        <c:axId val="125982976"/>
        <c:axId val="126050304"/>
      </c:barChart>
      <c:catAx>
        <c:axId val="12598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50304"/>
        <c:crosses val="autoZero"/>
        <c:auto val="1"/>
        <c:lblAlgn val="ctr"/>
        <c:lblOffset val="100"/>
        <c:noMultiLvlLbl val="0"/>
      </c:catAx>
      <c:valAx>
        <c:axId val="126050304"/>
        <c:scaling>
          <c:orientation val="minMax"/>
          <c:max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Water use (GL)</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8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'[aq_water share transfers to Commonwealth vDA.xlsx]data for Figure 8'!$B$5</c:f>
              <c:strCache>
                <c:ptCount val="1"/>
                <c:pt idx="0">
                  <c:v>Adjustment</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8'!$E$5:$H$5</c:f>
              <c:numCache>
                <c:formatCode>General</c:formatCode>
                <c:ptCount val="4"/>
                <c:pt idx="0" formatCode="_-* #,##0_-;\-* #,##0_-;_-* &quot;-&quot;??_-;_-@_-">
                  <c:v>50.991999999999997</c:v>
                </c:pt>
                <c:pt idx="2" formatCode="_-* #,##0_-;\-* #,##0_-;_-* &quot;-&quot;??_-;_-@_-">
                  <c:v>-176.50700000000001</c:v>
                </c:pt>
              </c:numCache>
            </c:numRef>
          </c:val>
          <c:extLst>
            <c:ext xmlns:c16="http://schemas.microsoft.com/office/drawing/2014/chart" uri="{C3380CC4-5D6E-409C-BE32-E72D297353CC}">
              <c16:uniqueId val="{00000000-D983-4DF0-82CB-8695DE3423EF}"/>
            </c:ext>
          </c:extLst>
        </c:ser>
        <c:ser>
          <c:idx val="1"/>
          <c:order val="1"/>
          <c:tx>
            <c:strRef>
              <c:f>'[aq_water share transfers to Commonwealth vDA.xlsx]data for Figure 8'!$B$6</c:f>
              <c:strCache>
                <c:ptCount val="1"/>
                <c:pt idx="0">
                  <c:v>Seasonal</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8'!$E$6:$H$6</c:f>
              <c:numCache>
                <c:formatCode>General</c:formatCode>
                <c:ptCount val="4"/>
                <c:pt idx="0" formatCode="_-* #,##0_-;\-* #,##0_-;_-* &quot;-&quot;??_-;_-@_-">
                  <c:v>6723.8990000000113</c:v>
                </c:pt>
                <c:pt idx="2" formatCode="_-* #,##0_-;\-* #,##0_-;_-* &quot;-&quot;??_-;_-@_-">
                  <c:v>6828.2740000000094</c:v>
                </c:pt>
              </c:numCache>
            </c:numRef>
          </c:val>
          <c:extLst>
            <c:ext xmlns:c16="http://schemas.microsoft.com/office/drawing/2014/chart" uri="{C3380CC4-5D6E-409C-BE32-E72D297353CC}">
              <c16:uniqueId val="{00000001-D983-4DF0-82CB-8695DE3423EF}"/>
            </c:ext>
          </c:extLst>
        </c:ser>
        <c:ser>
          <c:idx val="2"/>
          <c:order val="2"/>
          <c:tx>
            <c:strRef>
              <c:f>'[aq_water share transfers to Commonwealth vDA.xlsx]data for Figure 8'!$B$7</c:f>
              <c:strCache>
                <c:ptCount val="1"/>
                <c:pt idx="0">
                  <c:v>Start year carry over</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8'!$E$7:$H$7</c:f>
              <c:numCache>
                <c:formatCode>General</c:formatCode>
                <c:ptCount val="4"/>
                <c:pt idx="0" formatCode="_-* #,##0_-;\-* #,##0_-;_-* &quot;-&quot;??_-;_-@_-">
                  <c:v>1372.764999999999</c:v>
                </c:pt>
                <c:pt idx="2" formatCode="_-* #,##0_-;\-* #,##0_-;_-* &quot;-&quot;??_-;_-@_-">
                  <c:v>2871.9240000000009</c:v>
                </c:pt>
              </c:numCache>
            </c:numRef>
          </c:val>
          <c:extLst>
            <c:ext xmlns:c16="http://schemas.microsoft.com/office/drawing/2014/chart" uri="{C3380CC4-5D6E-409C-BE32-E72D297353CC}">
              <c16:uniqueId val="{00000002-D983-4DF0-82CB-8695DE3423EF}"/>
            </c:ext>
          </c:extLst>
        </c:ser>
        <c:ser>
          <c:idx val="3"/>
          <c:order val="3"/>
          <c:tx>
            <c:strRef>
              <c:f>'[aq_water share transfers to Commonwealth vDA.xlsx]data for Figure 8'!$B$8</c:f>
              <c:strCache>
                <c:ptCount val="1"/>
                <c:pt idx="0">
                  <c:v>Trade - net</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8'!$E$8:$H$8</c:f>
              <c:numCache>
                <c:formatCode>General</c:formatCode>
                <c:ptCount val="4"/>
                <c:pt idx="0" formatCode="_-* #,##0_-;\-* #,##0_-;_-* &quot;-&quot;??_-;_-@_-">
                  <c:v>1022.7</c:v>
                </c:pt>
                <c:pt idx="2" formatCode="_-* #,##0_-;\-* #,##0_-;_-* &quot;-&quot;??_-;_-@_-">
                  <c:v>10148.399999999991</c:v>
                </c:pt>
              </c:numCache>
            </c:numRef>
          </c:val>
          <c:extLst>
            <c:ext xmlns:c16="http://schemas.microsoft.com/office/drawing/2014/chart" uri="{C3380CC4-5D6E-409C-BE32-E72D297353CC}">
              <c16:uniqueId val="{00000003-D983-4DF0-82CB-8695DE3423EF}"/>
            </c:ext>
          </c:extLst>
        </c:ser>
        <c:ser>
          <c:idx val="4"/>
          <c:order val="4"/>
          <c:tx>
            <c:strRef>
              <c:f>'[aq_water share transfers to Commonwealth vDA.xlsx]data for Figure 8'!$B$9</c:f>
              <c:strCache>
                <c:ptCount val="1"/>
                <c:pt idx="0">
                  <c:v>Usage</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8'!$E$9:$H$9</c:f>
              <c:numCache>
                <c:formatCode>_-* #,##0_-;\-* #,##0_-;_-* "-"??_-;_-@_-</c:formatCode>
                <c:ptCount val="4"/>
                <c:pt idx="1">
                  <c:v>7296.2389999999896</c:v>
                </c:pt>
                <c:pt idx="3">
                  <c:v>16639.070000000029</c:v>
                </c:pt>
              </c:numCache>
            </c:numRef>
          </c:val>
          <c:extLst>
            <c:ext xmlns:c16="http://schemas.microsoft.com/office/drawing/2014/chart" uri="{C3380CC4-5D6E-409C-BE32-E72D297353CC}">
              <c16:uniqueId val="{00000004-D983-4DF0-82CB-8695DE3423EF}"/>
            </c:ext>
          </c:extLst>
        </c:ser>
        <c:ser>
          <c:idx val="5"/>
          <c:order val="5"/>
          <c:tx>
            <c:strRef>
              <c:f>'[aq_water share transfers to Commonwealth vDA.xlsx]data for Figure 8'!$B$10</c:f>
              <c:strCache>
                <c:ptCount val="1"/>
                <c:pt idx="0">
                  <c:v>End year carry over</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8'!$E$10:$H$10</c:f>
              <c:numCache>
                <c:formatCode>_-* #,##0_-;\-* #,##0_-;_-* "-"??_-;_-@_-</c:formatCode>
                <c:ptCount val="4"/>
                <c:pt idx="1">
                  <c:v>1874.117</c:v>
                </c:pt>
                <c:pt idx="3">
                  <c:v>3033.0210000000002</c:v>
                </c:pt>
              </c:numCache>
            </c:numRef>
          </c:val>
          <c:extLst>
            <c:ext xmlns:c16="http://schemas.microsoft.com/office/drawing/2014/chart" uri="{C3380CC4-5D6E-409C-BE32-E72D297353CC}">
              <c16:uniqueId val="{00000005-D983-4DF0-82CB-8695DE3423EF}"/>
            </c:ext>
          </c:extLst>
        </c:ser>
        <c:dLbls>
          <c:showLegendKey val="0"/>
          <c:showVal val="0"/>
          <c:showCatName val="0"/>
          <c:showSerName val="0"/>
          <c:showPercent val="0"/>
          <c:showBubbleSize val="0"/>
        </c:dLbls>
        <c:gapWidth val="150"/>
        <c:overlap val="100"/>
        <c:axId val="126360960"/>
        <c:axId val="126375040"/>
      </c:barChart>
      <c:catAx>
        <c:axId val="126360960"/>
        <c:scaling>
          <c:orientation val="minMax"/>
        </c:scaling>
        <c:delete val="0"/>
        <c:axPos val="b"/>
        <c:numFmt formatCode="General" sourceLinked="0"/>
        <c:majorTickMark val="out"/>
        <c:minorTickMark val="none"/>
        <c:tickLblPos val="nextTo"/>
        <c:crossAx val="126375040"/>
        <c:crosses val="autoZero"/>
        <c:auto val="1"/>
        <c:lblAlgn val="ctr"/>
        <c:lblOffset val="100"/>
        <c:noMultiLvlLbl val="0"/>
      </c:catAx>
      <c:valAx>
        <c:axId val="126375040"/>
        <c:scaling>
          <c:orientation val="minMax"/>
        </c:scaling>
        <c:delete val="0"/>
        <c:axPos val="l"/>
        <c:majorGridlines/>
        <c:title>
          <c:tx>
            <c:rich>
              <a:bodyPr/>
              <a:lstStyle/>
              <a:p>
                <a:pPr>
                  <a:defRPr b="1"/>
                </a:pPr>
                <a:r>
                  <a:rPr lang="en-US" b="1"/>
                  <a:t>Volume of water sourced/used (ML)</a:t>
                </a:r>
              </a:p>
            </c:rich>
          </c:tx>
          <c:overlay val="0"/>
        </c:title>
        <c:numFmt formatCode="_-* #,##0_-;\-* #,##0_-;_-* &quot;-&quot;??_-;_-@_-" sourceLinked="1"/>
        <c:majorTickMark val="out"/>
        <c:minorTickMark val="none"/>
        <c:tickLblPos val="nextTo"/>
        <c:crossAx val="1263609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'Fig2'!$B$26</c:f>
              <c:strCache>
                <c:ptCount val="1"/>
                <c:pt idx="0">
                  <c:v>Horticulture</c:v>
                </c:pt>
              </c:strCache>
            </c:strRef>
          </c:tx>
          <c:spPr>
            <a:solidFill>
              <a:schemeClr val="accent1"/>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'Fig2'!$C$26:$K$26</c:f>
              <c:numCache>
                <c:formatCode>0</c:formatCode>
                <c:ptCount val="9"/>
                <c:pt idx="0">
                  <c:v>972</c:v>
                </c:pt>
                <c:pt idx="1">
                  <c:v>972</c:v>
                </c:pt>
                <c:pt idx="2">
                  <c:v>972</c:v>
                </c:pt>
                <c:pt idx="3">
                  <c:v>1016.25</c:v>
                </c:pt>
                <c:pt idx="4">
                  <c:v>1060.5</c:v>
                </c:pt>
                <c:pt idx="5">
                  <c:v>1104.75</c:v>
                </c:pt>
                <c:pt idx="6">
                  <c:v>1149</c:v>
                </c:pt>
                <c:pt idx="7">
                  <c:v>1193.25</c:v>
                </c:pt>
                <c:pt idx="8">
                  <c:v>1237.5</c:v>
                </c:pt>
              </c:numCache>
            </c:numRef>
          </c:val>
          <c:extLst>
            <c:ext xmlns:c16="http://schemas.microsoft.com/office/drawing/2014/chart" uri="{C3380CC4-5D6E-409C-BE32-E72D297353CC}">
              <c16:uniqueId val="{00000000-0AAD-4CE4-BD6E-D789783DC41C}"/>
            </c:ext>
          </c:extLst>
        </c:ser>
        <c:ser>
          <c:idx val="1"/>
          <c:order val="1"/>
          <c:tx>
            <c:strRef>
              <c:f>'Fig2'!$B$27</c:f>
              <c:strCache>
                <c:ptCount val="1"/>
                <c:pt idx="0">
                  <c:v>Dairy</c:v>
                </c:pt>
              </c:strCache>
            </c:strRef>
          </c:tx>
          <c:spPr>
            <a:solidFill>
              <a:schemeClr val="accent2"/>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'Fig2'!$C$27:$K$27</c:f>
              <c:numCache>
                <c:formatCode>0</c:formatCode>
                <c:ptCount val="9"/>
                <c:pt idx="0">
                  <c:v>406.48346542524922</c:v>
                </c:pt>
                <c:pt idx="1">
                  <c:v>416.40379908283461</c:v>
                </c:pt>
                <c:pt idx="2">
                  <c:v>1031.545476624296</c:v>
                </c:pt>
                <c:pt idx="3">
                  <c:v>1656.79465096801</c:v>
                </c:pt>
                <c:pt idx="4">
                  <c:v>1432.373764879884</c:v>
                </c:pt>
                <c:pt idx="5">
                  <c:v>1458.074922672271</c:v>
                </c:pt>
                <c:pt idx="6">
                  <c:v>1537.7005971002759</c:v>
                </c:pt>
                <c:pt idx="7">
                  <c:v>1264.049894124</c:v>
                </c:pt>
                <c:pt idx="8">
                  <c:v>876.59234257743844</c:v>
                </c:pt>
              </c:numCache>
            </c:numRef>
          </c:val>
          <c:extLst>
            <c:ext xmlns:c16="http://schemas.microsoft.com/office/drawing/2014/chart" uri="{C3380CC4-5D6E-409C-BE32-E72D297353CC}">
              <c16:uniqueId val="{00000001-0AAD-4CE4-BD6E-D789783DC41C}"/>
            </c:ext>
          </c:extLst>
        </c:ser>
        <c:ser>
          <c:idx val="2"/>
          <c:order val="2"/>
          <c:tx>
            <c:strRef>
              <c:f>'Fig2'!$B$28</c:f>
              <c:strCache>
                <c:ptCount val="1"/>
                <c:pt idx="0">
                  <c:v>Crops</c:v>
                </c:pt>
              </c:strCache>
            </c:strRef>
          </c:tx>
          <c:spPr>
            <a:solidFill>
              <a:schemeClr val="accent3"/>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'Fig2'!$C$28:$K$28</c:f>
              <c:numCache>
                <c:formatCode>0</c:formatCode>
                <c:ptCount val="9"/>
                <c:pt idx="0">
                  <c:v>217.87095768936879</c:v>
                </c:pt>
                <c:pt idx="1">
                  <c:v>223.18815452126231</c:v>
                </c:pt>
                <c:pt idx="2">
                  <c:v>522.09865088343236</c:v>
                </c:pt>
                <c:pt idx="3">
                  <c:v>838.55755433294826</c:v>
                </c:pt>
                <c:pt idx="4">
                  <c:v>724.97085892121697</c:v>
                </c:pt>
                <c:pt idx="5">
                  <c:v>737.97904916936795</c:v>
                </c:pt>
                <c:pt idx="6">
                  <c:v>778.28018773922361</c:v>
                </c:pt>
                <c:pt idx="7">
                  <c:v>639.77668394338195</c:v>
                </c:pt>
                <c:pt idx="8">
                  <c:v>443.67183978367461</c:v>
                </c:pt>
              </c:numCache>
            </c:numRef>
          </c:val>
          <c:extLst>
            <c:ext xmlns:c16="http://schemas.microsoft.com/office/drawing/2014/chart" uri="{C3380CC4-5D6E-409C-BE32-E72D297353CC}">
              <c16:uniqueId val="{00000002-0AAD-4CE4-BD6E-D789783DC41C}"/>
            </c:ext>
          </c:extLst>
        </c:ser>
        <c:ser>
          <c:idx val="3"/>
          <c:order val="3"/>
          <c:tx>
            <c:strRef>
              <c:f>'Fig2'!$B$29</c:f>
              <c:strCache>
                <c:ptCount val="1"/>
                <c:pt idx="0">
                  <c:v>Rice</c:v>
                </c:pt>
              </c:strCache>
            </c:strRef>
          </c:tx>
          <c:spPr>
            <a:solidFill>
              <a:schemeClr val="accent4"/>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'Fig2'!$C$29:$K$29</c:f>
              <c:numCache>
                <c:formatCode>0</c:formatCode>
                <c:ptCount val="9"/>
                <c:pt idx="0">
                  <c:v>62.174206151162792</c:v>
                </c:pt>
                <c:pt idx="1">
                  <c:v>63.691583664341053</c:v>
                </c:pt>
                <c:pt idx="2">
                  <c:v>969.12980592094482</c:v>
                </c:pt>
                <c:pt idx="3">
                  <c:v>1556.5470596584159</c:v>
                </c:pt>
                <c:pt idx="4">
                  <c:v>1345.7051969313061</c:v>
                </c:pt>
                <c:pt idx="5">
                  <c:v>1369.8512560510551</c:v>
                </c:pt>
                <c:pt idx="6">
                  <c:v>1444.6590237679609</c:v>
                </c:pt>
                <c:pt idx="7">
                  <c:v>1187.5660902276979</c:v>
                </c:pt>
                <c:pt idx="8">
                  <c:v>823.55241342720751</c:v>
                </c:pt>
              </c:numCache>
            </c:numRef>
          </c:val>
          <c:extLst>
            <c:ext xmlns:c16="http://schemas.microsoft.com/office/drawing/2014/chart" uri="{C3380CC4-5D6E-409C-BE32-E72D297353CC}">
              <c16:uniqueId val="{00000003-0AAD-4CE4-BD6E-D789783DC41C}"/>
            </c:ext>
          </c:extLst>
        </c:ser>
        <c:ser>
          <c:idx val="4"/>
          <c:order val="4"/>
          <c:tx>
            <c:strRef>
              <c:f>'Fig2'!$B$30</c:f>
              <c:strCache>
                <c:ptCount val="1"/>
                <c:pt idx="0">
                  <c:v>Mixed grazing</c:v>
                </c:pt>
              </c:strCache>
            </c:strRef>
          </c:tx>
          <c:spPr>
            <a:solidFill>
              <a:schemeClr val="accent5"/>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'Fig2'!$C$30:$K$30</c:f>
              <c:numCache>
                <c:formatCode>0</c:formatCode>
                <c:ptCount val="9"/>
                <c:pt idx="0">
                  <c:v>257.05638173421931</c:v>
                </c:pt>
                <c:pt idx="1">
                  <c:v>263.32990893156142</c:v>
                </c:pt>
                <c:pt idx="2">
                  <c:v>235.32394765182221</c:v>
                </c:pt>
                <c:pt idx="3">
                  <c:v>377.96051318076428</c:v>
                </c:pt>
                <c:pt idx="4">
                  <c:v>326.76392510342419</c:v>
                </c:pt>
                <c:pt idx="5">
                  <c:v>332.6270673962091</c:v>
                </c:pt>
                <c:pt idx="6">
                  <c:v>350.79187783399573</c:v>
                </c:pt>
                <c:pt idx="7">
                  <c:v>288.36461198740449</c:v>
                </c:pt>
                <c:pt idx="8">
                  <c:v>199.97486801235101</c:v>
                </c:pt>
              </c:numCache>
            </c:numRef>
          </c:val>
          <c:extLst>
            <c:ext xmlns:c16="http://schemas.microsoft.com/office/drawing/2014/chart" uri="{C3380CC4-5D6E-409C-BE32-E72D297353CC}">
              <c16:uniqueId val="{00000004-0AAD-4CE4-BD6E-D789783DC41C}"/>
            </c:ext>
          </c:extLst>
        </c:ser>
        <c:dLbls>
          <c:showLegendKey val="0"/>
          <c:showVal val="0"/>
          <c:showCatName val="0"/>
          <c:showSerName val="0"/>
          <c:showPercent val="0"/>
          <c:showBubbleSize val="0"/>
        </c:dLbls>
        <c:gapWidth val="150"/>
        <c:overlap val="100"/>
        <c:axId val="68617728"/>
        <c:axId val="68619264"/>
      </c:barChart>
      <c:catAx>
        <c:axId val="686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19264"/>
        <c:crosses val="autoZero"/>
        <c:auto val="1"/>
        <c:lblAlgn val="ctr"/>
        <c:lblOffset val="100"/>
        <c:noMultiLvlLbl val="0"/>
      </c:catAx>
      <c:valAx>
        <c:axId val="6861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Estimated water use (GL)</a:t>
                </a:r>
              </a:p>
            </c:rich>
          </c:tx>
          <c:layout>
            <c:manualLayout>
              <c:xMode val="edge"/>
              <c:yMode val="edge"/>
              <c:x val="1.67276538192285E-2"/>
              <c:y val="0.2399370078740160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1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'[aq_water share transfers to Commonwealth vDA.xlsx]data for Figure 8'!$B$5</c:f>
              <c:strCache>
                <c:ptCount val="1"/>
                <c:pt idx="0">
                  <c:v>Adjustment</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8'!$E$5:$H$5</c:f>
              <c:numCache>
                <c:formatCode>General</c:formatCode>
                <c:ptCount val="4"/>
                <c:pt idx="0" formatCode="_-* #,##0_-;\-* #,##0_-;_-* &quot;-&quot;??_-;_-@_-">
                  <c:v>50.991999999999997</c:v>
                </c:pt>
                <c:pt idx="2" formatCode="_-* #,##0_-;\-* #,##0_-;_-* &quot;-&quot;??_-;_-@_-">
                  <c:v>-176.50700000000001</c:v>
                </c:pt>
              </c:numCache>
            </c:numRef>
          </c:val>
          <c:extLst>
            <c:ext xmlns:c16="http://schemas.microsoft.com/office/drawing/2014/chart" uri="{C3380CC4-5D6E-409C-BE32-E72D297353CC}">
              <c16:uniqueId val="{00000000-AE96-4FAF-9225-D4E6270A566E}"/>
            </c:ext>
          </c:extLst>
        </c:ser>
        <c:ser>
          <c:idx val="1"/>
          <c:order val="1"/>
          <c:tx>
            <c:strRef>
              <c:f>'[aq_water share transfers to Commonwealth vDA.xlsx]data for Figure 8'!$B$6</c:f>
              <c:strCache>
                <c:ptCount val="1"/>
                <c:pt idx="0">
                  <c:v>Seasonal</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8'!$E$6:$H$6</c:f>
              <c:numCache>
                <c:formatCode>General</c:formatCode>
                <c:ptCount val="4"/>
                <c:pt idx="0" formatCode="_-* #,##0_-;\-* #,##0_-;_-* &quot;-&quot;??_-;_-@_-">
                  <c:v>6723.8990000000113</c:v>
                </c:pt>
                <c:pt idx="2" formatCode="_-* #,##0_-;\-* #,##0_-;_-* &quot;-&quot;??_-;_-@_-">
                  <c:v>6828.2740000000094</c:v>
                </c:pt>
              </c:numCache>
            </c:numRef>
          </c:val>
          <c:extLst>
            <c:ext xmlns:c16="http://schemas.microsoft.com/office/drawing/2014/chart" uri="{C3380CC4-5D6E-409C-BE32-E72D297353CC}">
              <c16:uniqueId val="{00000001-AE96-4FAF-9225-D4E6270A566E}"/>
            </c:ext>
          </c:extLst>
        </c:ser>
        <c:ser>
          <c:idx val="2"/>
          <c:order val="2"/>
          <c:tx>
            <c:strRef>
              <c:f>'[aq_water share transfers to Commonwealth vDA.xlsx]data for Figure 8'!$B$7</c:f>
              <c:strCache>
                <c:ptCount val="1"/>
                <c:pt idx="0">
                  <c:v>Start year carry over</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8'!$E$7:$H$7</c:f>
              <c:numCache>
                <c:formatCode>General</c:formatCode>
                <c:ptCount val="4"/>
                <c:pt idx="0" formatCode="_-* #,##0_-;\-* #,##0_-;_-* &quot;-&quot;??_-;_-@_-">
                  <c:v>1372.764999999999</c:v>
                </c:pt>
                <c:pt idx="2" formatCode="_-* #,##0_-;\-* #,##0_-;_-* &quot;-&quot;??_-;_-@_-">
                  <c:v>2871.9240000000009</c:v>
                </c:pt>
              </c:numCache>
            </c:numRef>
          </c:val>
          <c:extLst>
            <c:ext xmlns:c16="http://schemas.microsoft.com/office/drawing/2014/chart" uri="{C3380CC4-5D6E-409C-BE32-E72D297353CC}">
              <c16:uniqueId val="{00000002-AE96-4FAF-9225-D4E6270A566E}"/>
            </c:ext>
          </c:extLst>
        </c:ser>
        <c:ser>
          <c:idx val="3"/>
          <c:order val="3"/>
          <c:tx>
            <c:strRef>
              <c:f>'[aq_water share transfers to Commonwealth vDA.xlsx]data for Figure 8'!$B$8</c:f>
              <c:strCache>
                <c:ptCount val="1"/>
                <c:pt idx="0">
                  <c:v>Trade - net</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8'!$E$8:$H$8</c:f>
              <c:numCache>
                <c:formatCode>General</c:formatCode>
                <c:ptCount val="4"/>
                <c:pt idx="0" formatCode="_-* #,##0_-;\-* #,##0_-;_-* &quot;-&quot;??_-;_-@_-">
                  <c:v>1022.7</c:v>
                </c:pt>
                <c:pt idx="2" formatCode="_-* #,##0_-;\-* #,##0_-;_-* &quot;-&quot;??_-;_-@_-">
                  <c:v>10148.399999999991</c:v>
                </c:pt>
              </c:numCache>
            </c:numRef>
          </c:val>
          <c:extLst>
            <c:ext xmlns:c16="http://schemas.microsoft.com/office/drawing/2014/chart" uri="{C3380CC4-5D6E-409C-BE32-E72D297353CC}">
              <c16:uniqueId val="{00000003-AE96-4FAF-9225-D4E6270A566E}"/>
            </c:ext>
          </c:extLst>
        </c:ser>
        <c:ser>
          <c:idx val="4"/>
          <c:order val="4"/>
          <c:tx>
            <c:strRef>
              <c:f>'[aq_water share transfers to Commonwealth vDA.xlsx]data for Figure 8'!$B$9</c:f>
              <c:strCache>
                <c:ptCount val="1"/>
                <c:pt idx="0">
                  <c:v>Usage</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8'!$E$9:$H$9</c:f>
              <c:numCache>
                <c:formatCode>_-* #,##0_-;\-* #,##0_-;_-* "-"??_-;_-@_-</c:formatCode>
                <c:ptCount val="4"/>
                <c:pt idx="1">
                  <c:v>7296.2389999999896</c:v>
                </c:pt>
                <c:pt idx="3">
                  <c:v>16639.070000000029</c:v>
                </c:pt>
              </c:numCache>
            </c:numRef>
          </c:val>
          <c:extLst>
            <c:ext xmlns:c16="http://schemas.microsoft.com/office/drawing/2014/chart" uri="{C3380CC4-5D6E-409C-BE32-E72D297353CC}">
              <c16:uniqueId val="{00000004-AE96-4FAF-9225-D4E6270A566E}"/>
            </c:ext>
          </c:extLst>
        </c:ser>
        <c:ser>
          <c:idx val="5"/>
          <c:order val="5"/>
          <c:tx>
            <c:strRef>
              <c:f>'[aq_water share transfers to Commonwealth vDA.xlsx]data for Figure 8'!$B$10</c:f>
              <c:strCache>
                <c:ptCount val="1"/>
                <c:pt idx="0">
                  <c:v>End year carry over</c:v>
                </c:pt>
              </c:strCache>
            </c:strRef>
          </c:tx>
          <c:invertIfNegative val="0"/>
          <c:cat>
            <c:strRef>
              <c:f>'[aq_water share transfers to Commonwealth vDA.xlsx]data for Figure 8'!$E$4:$H$4</c:f>
              <c:strCache>
                <c:ptCount val="4"/>
                <c:pt idx="0">
                  <c:v>2008-09 source</c:v>
                </c:pt>
                <c:pt idx="1">
                  <c:v>2008-09 use</c:v>
                </c:pt>
                <c:pt idx="2">
                  <c:v>2015-16 source</c:v>
                </c:pt>
                <c:pt idx="3">
                  <c:v>2015-16 use</c:v>
                </c:pt>
              </c:strCache>
            </c:strRef>
          </c:cat>
          <c:val>
            <c:numRef>
              <c:f>'[aq_water share transfers to Commonwealth vDA.xlsx]data for Figure 8'!$E$10:$H$10</c:f>
              <c:numCache>
                <c:formatCode>_-* #,##0_-;\-* #,##0_-;_-* "-"??_-;_-@_-</c:formatCode>
                <c:ptCount val="4"/>
                <c:pt idx="1">
                  <c:v>1874.117</c:v>
                </c:pt>
                <c:pt idx="3">
                  <c:v>3033.0210000000002</c:v>
                </c:pt>
              </c:numCache>
            </c:numRef>
          </c:val>
          <c:extLst>
            <c:ext xmlns:c16="http://schemas.microsoft.com/office/drawing/2014/chart" uri="{C3380CC4-5D6E-409C-BE32-E72D297353CC}">
              <c16:uniqueId val="{00000005-AE96-4FAF-9225-D4E6270A566E}"/>
            </c:ext>
          </c:extLst>
        </c:ser>
        <c:dLbls>
          <c:showLegendKey val="0"/>
          <c:showVal val="0"/>
          <c:showCatName val="0"/>
          <c:showSerName val="0"/>
          <c:showPercent val="0"/>
          <c:showBubbleSize val="0"/>
        </c:dLbls>
        <c:gapWidth val="150"/>
        <c:overlap val="100"/>
        <c:axId val="126467456"/>
        <c:axId val="126510208"/>
      </c:barChart>
      <c:catAx>
        <c:axId val="126467456"/>
        <c:scaling>
          <c:orientation val="minMax"/>
        </c:scaling>
        <c:delete val="0"/>
        <c:axPos val="b"/>
        <c:numFmt formatCode="General" sourceLinked="0"/>
        <c:majorTickMark val="out"/>
        <c:minorTickMark val="none"/>
        <c:tickLblPos val="nextTo"/>
        <c:crossAx val="126510208"/>
        <c:crosses val="autoZero"/>
        <c:auto val="1"/>
        <c:lblAlgn val="ctr"/>
        <c:lblOffset val="100"/>
        <c:noMultiLvlLbl val="0"/>
      </c:catAx>
      <c:valAx>
        <c:axId val="126510208"/>
        <c:scaling>
          <c:orientation val="minMax"/>
        </c:scaling>
        <c:delete val="0"/>
        <c:axPos val="l"/>
        <c:majorGridlines/>
        <c:numFmt formatCode="0%" sourceLinked="1"/>
        <c:majorTickMark val="out"/>
        <c:minorTickMark val="none"/>
        <c:tickLblPos val="nextTo"/>
        <c:crossAx val="1264674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'[aq_water share transfers to Commonwealth vDA.xlsx]data for Figure 8'!$B$14</c:f>
              <c:strCache>
                <c:ptCount val="1"/>
                <c:pt idx="0">
                  <c:v>Adjustment</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8'!$E$14:$H$14</c:f>
              <c:numCache>
                <c:formatCode>General</c:formatCode>
                <c:ptCount val="4"/>
                <c:pt idx="0" formatCode="_-* #,##0_-;\-* #,##0_-;_-* &quot;-&quot;??_-;_-@_-">
                  <c:v>-56.774000000000001</c:v>
                </c:pt>
                <c:pt idx="2" formatCode="_-* #,##0_-;\-* #,##0_-;_-* &quot;-&quot;??_-;_-@_-">
                  <c:v>-173.05800000000011</c:v>
                </c:pt>
              </c:numCache>
            </c:numRef>
          </c:val>
          <c:extLst>
            <c:ext xmlns:c16="http://schemas.microsoft.com/office/drawing/2014/chart" uri="{C3380CC4-5D6E-409C-BE32-E72D297353CC}">
              <c16:uniqueId val="{00000000-FD6E-4351-900A-7C84C120749C}"/>
            </c:ext>
          </c:extLst>
        </c:ser>
        <c:ser>
          <c:idx val="1"/>
          <c:order val="1"/>
          <c:tx>
            <c:strRef>
              <c:f>'[aq_water share transfers to Commonwealth vDA.xlsx]data for Figure 8'!$B$15</c:f>
              <c:strCache>
                <c:ptCount val="1"/>
                <c:pt idx="0">
                  <c:v>Seasonal</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8'!$E$15:$H$15</c:f>
              <c:numCache>
                <c:formatCode>General</c:formatCode>
                <c:ptCount val="4"/>
                <c:pt idx="0" formatCode="_-* #,##0_-;\-* #,##0_-;_-* &quot;-&quot;??_-;_-@_-">
                  <c:v>13925.74700000001</c:v>
                </c:pt>
                <c:pt idx="2" formatCode="_-* #,##0_-;\-* #,##0_-;_-* &quot;-&quot;??_-;_-@_-">
                  <c:v>9793.3000000000047</c:v>
                </c:pt>
              </c:numCache>
            </c:numRef>
          </c:val>
          <c:extLst>
            <c:ext xmlns:c16="http://schemas.microsoft.com/office/drawing/2014/chart" uri="{C3380CC4-5D6E-409C-BE32-E72D297353CC}">
              <c16:uniqueId val="{00000001-FD6E-4351-900A-7C84C120749C}"/>
            </c:ext>
          </c:extLst>
        </c:ser>
        <c:ser>
          <c:idx val="2"/>
          <c:order val="2"/>
          <c:tx>
            <c:strRef>
              <c:f>'[aq_water share transfers to Commonwealth vDA.xlsx]data for Figure 8'!$B$16</c:f>
              <c:strCache>
                <c:ptCount val="1"/>
                <c:pt idx="0">
                  <c:v>Start year carry over</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8'!$E$16:$H$16</c:f>
              <c:numCache>
                <c:formatCode>General</c:formatCode>
                <c:ptCount val="4"/>
                <c:pt idx="0" formatCode="_-* #,##0_-;\-* #,##0_-;_-* &quot;-&quot;??_-;_-@_-">
                  <c:v>1885.181</c:v>
                </c:pt>
                <c:pt idx="2" formatCode="_-* #,##0_-;\-* #,##0_-;_-* &quot;-&quot;??_-;_-@_-">
                  <c:v>3120.9879999999998</c:v>
                </c:pt>
              </c:numCache>
            </c:numRef>
          </c:val>
          <c:extLst>
            <c:ext xmlns:c16="http://schemas.microsoft.com/office/drawing/2014/chart" uri="{C3380CC4-5D6E-409C-BE32-E72D297353CC}">
              <c16:uniqueId val="{00000002-FD6E-4351-900A-7C84C120749C}"/>
            </c:ext>
          </c:extLst>
        </c:ser>
        <c:ser>
          <c:idx val="3"/>
          <c:order val="3"/>
          <c:tx>
            <c:strRef>
              <c:f>'[aq_water share transfers to Commonwealth vDA.xlsx]data for Figure 8'!$B$17</c:f>
              <c:strCache>
                <c:ptCount val="1"/>
                <c:pt idx="0">
                  <c:v>Trade - net</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8'!$E$17:$H$17</c:f>
              <c:numCache>
                <c:formatCode>General</c:formatCode>
                <c:ptCount val="4"/>
                <c:pt idx="0" formatCode="_-* #,##0_-;\-* #,##0_-;_-* &quot;-&quot;??_-;_-@_-">
                  <c:v>2185</c:v>
                </c:pt>
                <c:pt idx="2" formatCode="_-* #,##0_-;\-* #,##0_-;_-* &quot;-&quot;??_-;_-@_-">
                  <c:v>8144.2</c:v>
                </c:pt>
              </c:numCache>
            </c:numRef>
          </c:val>
          <c:extLst>
            <c:ext xmlns:c16="http://schemas.microsoft.com/office/drawing/2014/chart" uri="{C3380CC4-5D6E-409C-BE32-E72D297353CC}">
              <c16:uniqueId val="{00000003-FD6E-4351-900A-7C84C120749C}"/>
            </c:ext>
          </c:extLst>
        </c:ser>
        <c:ser>
          <c:idx val="4"/>
          <c:order val="4"/>
          <c:tx>
            <c:strRef>
              <c:f>'[aq_water share transfers to Commonwealth vDA.xlsx]data for Figure 8'!$B$18</c:f>
              <c:strCache>
                <c:ptCount val="1"/>
                <c:pt idx="0">
                  <c:v>Usage</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8'!$E$18:$H$18</c:f>
              <c:numCache>
                <c:formatCode>_-* #,##0_-;\-* #,##0_-;_-* "-"??_-;_-@_-</c:formatCode>
                <c:ptCount val="4"/>
                <c:pt idx="1">
                  <c:v>11073.92599999999</c:v>
                </c:pt>
                <c:pt idx="3" formatCode="General">
                  <c:v>17848.768999999949</c:v>
                </c:pt>
              </c:numCache>
            </c:numRef>
          </c:val>
          <c:extLst>
            <c:ext xmlns:c16="http://schemas.microsoft.com/office/drawing/2014/chart" uri="{C3380CC4-5D6E-409C-BE32-E72D297353CC}">
              <c16:uniqueId val="{00000004-FD6E-4351-900A-7C84C120749C}"/>
            </c:ext>
          </c:extLst>
        </c:ser>
        <c:ser>
          <c:idx val="5"/>
          <c:order val="5"/>
          <c:tx>
            <c:strRef>
              <c:f>'[aq_water share transfers to Commonwealth vDA.xlsx]data for Figure 8'!$B$19</c:f>
              <c:strCache>
                <c:ptCount val="1"/>
                <c:pt idx="0">
                  <c:v>End year carry over</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8'!$E$19:$H$19</c:f>
              <c:numCache>
                <c:formatCode>_-* #,##0_-;\-* #,##0_-;_-* "-"??_-;_-@_-</c:formatCode>
                <c:ptCount val="4"/>
                <c:pt idx="1">
                  <c:v>6865.2279999999973</c:v>
                </c:pt>
                <c:pt idx="3" formatCode="General">
                  <c:v>3036.6609999999991</c:v>
                </c:pt>
              </c:numCache>
            </c:numRef>
          </c:val>
          <c:extLst>
            <c:ext xmlns:c16="http://schemas.microsoft.com/office/drawing/2014/chart" uri="{C3380CC4-5D6E-409C-BE32-E72D297353CC}">
              <c16:uniqueId val="{00000005-FD6E-4351-900A-7C84C120749C}"/>
            </c:ext>
          </c:extLst>
        </c:ser>
        <c:dLbls>
          <c:showLegendKey val="0"/>
          <c:showVal val="0"/>
          <c:showCatName val="0"/>
          <c:showSerName val="0"/>
          <c:showPercent val="0"/>
          <c:showBubbleSize val="0"/>
        </c:dLbls>
        <c:gapWidth val="150"/>
        <c:overlap val="100"/>
        <c:axId val="126626816"/>
        <c:axId val="126640896"/>
      </c:barChart>
      <c:catAx>
        <c:axId val="126626816"/>
        <c:scaling>
          <c:orientation val="minMax"/>
        </c:scaling>
        <c:delete val="0"/>
        <c:axPos val="b"/>
        <c:numFmt formatCode="General" sourceLinked="0"/>
        <c:majorTickMark val="out"/>
        <c:minorTickMark val="none"/>
        <c:tickLblPos val="nextTo"/>
        <c:crossAx val="126640896"/>
        <c:crosses val="autoZero"/>
        <c:auto val="1"/>
        <c:lblAlgn val="ctr"/>
        <c:lblOffset val="100"/>
        <c:noMultiLvlLbl val="0"/>
      </c:catAx>
      <c:valAx>
        <c:axId val="126640896"/>
        <c:scaling>
          <c:orientation val="minMax"/>
        </c:scaling>
        <c:delete val="0"/>
        <c:axPos val="l"/>
        <c:majorGridlines/>
        <c:title>
          <c:tx>
            <c:rich>
              <a:bodyPr/>
              <a:lstStyle/>
              <a:p>
                <a:pPr>
                  <a:defRPr/>
                </a:pPr>
                <a:r>
                  <a:rPr lang="en-US"/>
                  <a:t>Volume of water sourced/used (ML)</a:t>
                </a:r>
              </a:p>
            </c:rich>
          </c:tx>
          <c:overlay val="0"/>
        </c:title>
        <c:numFmt formatCode="_-* #,##0_-;\-* #,##0_-;_-* &quot;-&quot;??_-;_-@_-" sourceLinked="1"/>
        <c:majorTickMark val="out"/>
        <c:minorTickMark val="none"/>
        <c:tickLblPos val="nextTo"/>
        <c:crossAx val="1266268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'[aq_water share transfers to Commonwealth vDA.xlsx]data for Figure 8'!$B$14</c:f>
              <c:strCache>
                <c:ptCount val="1"/>
                <c:pt idx="0">
                  <c:v>Adjustment</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8'!$E$14:$H$14</c:f>
              <c:numCache>
                <c:formatCode>General</c:formatCode>
                <c:ptCount val="4"/>
                <c:pt idx="0" formatCode="_-* #,##0_-;\-* #,##0_-;_-* &quot;-&quot;??_-;_-@_-">
                  <c:v>-56.774000000000001</c:v>
                </c:pt>
                <c:pt idx="2" formatCode="_-* #,##0_-;\-* #,##0_-;_-* &quot;-&quot;??_-;_-@_-">
                  <c:v>-173.05800000000011</c:v>
                </c:pt>
              </c:numCache>
            </c:numRef>
          </c:val>
          <c:extLst>
            <c:ext xmlns:c16="http://schemas.microsoft.com/office/drawing/2014/chart" uri="{C3380CC4-5D6E-409C-BE32-E72D297353CC}">
              <c16:uniqueId val="{00000000-2ED0-470F-A720-E254FC1EEA43}"/>
            </c:ext>
          </c:extLst>
        </c:ser>
        <c:ser>
          <c:idx val="1"/>
          <c:order val="1"/>
          <c:tx>
            <c:strRef>
              <c:f>'[aq_water share transfers to Commonwealth vDA.xlsx]data for Figure 8'!$B$15</c:f>
              <c:strCache>
                <c:ptCount val="1"/>
                <c:pt idx="0">
                  <c:v>Seasonal</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8'!$E$15:$H$15</c:f>
              <c:numCache>
                <c:formatCode>General</c:formatCode>
                <c:ptCount val="4"/>
                <c:pt idx="0" formatCode="_-* #,##0_-;\-* #,##0_-;_-* &quot;-&quot;??_-;_-@_-">
                  <c:v>13925.74700000001</c:v>
                </c:pt>
                <c:pt idx="2" formatCode="_-* #,##0_-;\-* #,##0_-;_-* &quot;-&quot;??_-;_-@_-">
                  <c:v>9793.3000000000047</c:v>
                </c:pt>
              </c:numCache>
            </c:numRef>
          </c:val>
          <c:extLst>
            <c:ext xmlns:c16="http://schemas.microsoft.com/office/drawing/2014/chart" uri="{C3380CC4-5D6E-409C-BE32-E72D297353CC}">
              <c16:uniqueId val="{00000001-2ED0-470F-A720-E254FC1EEA43}"/>
            </c:ext>
          </c:extLst>
        </c:ser>
        <c:ser>
          <c:idx val="2"/>
          <c:order val="2"/>
          <c:tx>
            <c:strRef>
              <c:f>'[aq_water share transfers to Commonwealth vDA.xlsx]data for Figure 8'!$B$16</c:f>
              <c:strCache>
                <c:ptCount val="1"/>
                <c:pt idx="0">
                  <c:v>Start year carry over</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8'!$E$16:$H$16</c:f>
              <c:numCache>
                <c:formatCode>General</c:formatCode>
                <c:ptCount val="4"/>
                <c:pt idx="0" formatCode="_-* #,##0_-;\-* #,##0_-;_-* &quot;-&quot;??_-;_-@_-">
                  <c:v>1885.181</c:v>
                </c:pt>
                <c:pt idx="2" formatCode="_-* #,##0_-;\-* #,##0_-;_-* &quot;-&quot;??_-;_-@_-">
                  <c:v>3120.9879999999998</c:v>
                </c:pt>
              </c:numCache>
            </c:numRef>
          </c:val>
          <c:extLst>
            <c:ext xmlns:c16="http://schemas.microsoft.com/office/drawing/2014/chart" uri="{C3380CC4-5D6E-409C-BE32-E72D297353CC}">
              <c16:uniqueId val="{00000002-2ED0-470F-A720-E254FC1EEA43}"/>
            </c:ext>
          </c:extLst>
        </c:ser>
        <c:ser>
          <c:idx val="3"/>
          <c:order val="3"/>
          <c:tx>
            <c:strRef>
              <c:f>'[aq_water share transfers to Commonwealth vDA.xlsx]data for Figure 8'!$B$17</c:f>
              <c:strCache>
                <c:ptCount val="1"/>
                <c:pt idx="0">
                  <c:v>Trade - net</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8'!$E$17:$H$17</c:f>
              <c:numCache>
                <c:formatCode>General</c:formatCode>
                <c:ptCount val="4"/>
                <c:pt idx="0" formatCode="_-* #,##0_-;\-* #,##0_-;_-* &quot;-&quot;??_-;_-@_-">
                  <c:v>2185</c:v>
                </c:pt>
                <c:pt idx="2" formatCode="_-* #,##0_-;\-* #,##0_-;_-* &quot;-&quot;??_-;_-@_-">
                  <c:v>8144.2</c:v>
                </c:pt>
              </c:numCache>
            </c:numRef>
          </c:val>
          <c:extLst>
            <c:ext xmlns:c16="http://schemas.microsoft.com/office/drawing/2014/chart" uri="{C3380CC4-5D6E-409C-BE32-E72D297353CC}">
              <c16:uniqueId val="{00000003-2ED0-470F-A720-E254FC1EEA43}"/>
            </c:ext>
          </c:extLst>
        </c:ser>
        <c:ser>
          <c:idx val="4"/>
          <c:order val="4"/>
          <c:tx>
            <c:strRef>
              <c:f>'[aq_water share transfers to Commonwealth vDA.xlsx]data for Figure 8'!$B$18</c:f>
              <c:strCache>
                <c:ptCount val="1"/>
                <c:pt idx="0">
                  <c:v>Usage</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8'!$E$18:$H$18</c:f>
              <c:numCache>
                <c:formatCode>_-* #,##0_-;\-* #,##0_-;_-* "-"??_-;_-@_-</c:formatCode>
                <c:ptCount val="4"/>
                <c:pt idx="1">
                  <c:v>11073.92599999999</c:v>
                </c:pt>
                <c:pt idx="3" formatCode="General">
                  <c:v>17848.768999999949</c:v>
                </c:pt>
              </c:numCache>
            </c:numRef>
          </c:val>
          <c:extLst>
            <c:ext xmlns:c16="http://schemas.microsoft.com/office/drawing/2014/chart" uri="{C3380CC4-5D6E-409C-BE32-E72D297353CC}">
              <c16:uniqueId val="{00000004-2ED0-470F-A720-E254FC1EEA43}"/>
            </c:ext>
          </c:extLst>
        </c:ser>
        <c:ser>
          <c:idx val="5"/>
          <c:order val="5"/>
          <c:tx>
            <c:strRef>
              <c:f>'[aq_water share transfers to Commonwealth vDA.xlsx]data for Figure 8'!$B$19</c:f>
              <c:strCache>
                <c:ptCount val="1"/>
                <c:pt idx="0">
                  <c:v>End year carry over</c:v>
                </c:pt>
              </c:strCache>
            </c:strRef>
          </c:tx>
          <c:invertIfNegative val="0"/>
          <c:cat>
            <c:strRef>
              <c:f>'[aq_water share transfers to Commonwealth vDA.xlsx]data for Figure 8'!$E$13:$H$13</c:f>
              <c:strCache>
                <c:ptCount val="4"/>
                <c:pt idx="0">
                  <c:v>2009-10 source</c:v>
                </c:pt>
                <c:pt idx="1">
                  <c:v>2009-10 use</c:v>
                </c:pt>
                <c:pt idx="2">
                  <c:v>2015-16 source</c:v>
                </c:pt>
                <c:pt idx="3">
                  <c:v>2015-16 use</c:v>
                </c:pt>
              </c:strCache>
            </c:strRef>
          </c:cat>
          <c:val>
            <c:numRef>
              <c:f>'[aq_water share transfers to Commonwealth vDA.xlsx]data for Figure 8'!$E$19:$H$19</c:f>
              <c:numCache>
                <c:formatCode>_-* #,##0_-;\-* #,##0_-;_-* "-"??_-;_-@_-</c:formatCode>
                <c:ptCount val="4"/>
                <c:pt idx="1">
                  <c:v>6865.2279999999973</c:v>
                </c:pt>
                <c:pt idx="3" formatCode="General">
                  <c:v>3036.6609999999991</c:v>
                </c:pt>
              </c:numCache>
            </c:numRef>
          </c:val>
          <c:extLst>
            <c:ext xmlns:c16="http://schemas.microsoft.com/office/drawing/2014/chart" uri="{C3380CC4-5D6E-409C-BE32-E72D297353CC}">
              <c16:uniqueId val="{00000005-2ED0-470F-A720-E254FC1EEA43}"/>
            </c:ext>
          </c:extLst>
        </c:ser>
        <c:dLbls>
          <c:showLegendKey val="0"/>
          <c:showVal val="0"/>
          <c:showCatName val="0"/>
          <c:showSerName val="0"/>
          <c:showPercent val="0"/>
          <c:showBubbleSize val="0"/>
        </c:dLbls>
        <c:gapWidth val="150"/>
        <c:overlap val="100"/>
        <c:axId val="126675584"/>
        <c:axId val="126685568"/>
      </c:barChart>
      <c:catAx>
        <c:axId val="126675584"/>
        <c:scaling>
          <c:orientation val="minMax"/>
        </c:scaling>
        <c:delete val="0"/>
        <c:axPos val="b"/>
        <c:numFmt formatCode="General" sourceLinked="0"/>
        <c:majorTickMark val="out"/>
        <c:minorTickMark val="none"/>
        <c:tickLblPos val="nextTo"/>
        <c:crossAx val="126685568"/>
        <c:crosses val="autoZero"/>
        <c:auto val="1"/>
        <c:lblAlgn val="ctr"/>
        <c:lblOffset val="100"/>
        <c:noMultiLvlLbl val="0"/>
      </c:catAx>
      <c:valAx>
        <c:axId val="126685568"/>
        <c:scaling>
          <c:orientation val="minMax"/>
        </c:scaling>
        <c:delete val="0"/>
        <c:axPos val="l"/>
        <c:majorGridlines/>
        <c:numFmt formatCode="0%" sourceLinked="1"/>
        <c:majorTickMark val="out"/>
        <c:minorTickMark val="none"/>
        <c:tickLblPos val="nextTo"/>
        <c:crossAx val="1266755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'[aq_water share transfers to Commonwealth vDA.xlsx]data for Figure 8'!$B$23</c:f>
              <c:strCache>
                <c:ptCount val="1"/>
                <c:pt idx="0">
                  <c:v>Adjustment</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8'!$E$23:$H$23</c:f>
              <c:numCache>
                <c:formatCode>General</c:formatCode>
                <c:ptCount val="4"/>
                <c:pt idx="0" formatCode="_-* #,##0_-;\-* #,##0_-;_-* &quot;-&quot;??_-;_-@_-">
                  <c:v>-0.76200000000000001</c:v>
                </c:pt>
                <c:pt idx="2" formatCode="_-* #,##0_-;\-* #,##0_-;_-* &quot;-&quot;??_-;_-@_-">
                  <c:v>-253.64000000000021</c:v>
                </c:pt>
              </c:numCache>
            </c:numRef>
          </c:val>
          <c:extLst>
            <c:ext xmlns:c16="http://schemas.microsoft.com/office/drawing/2014/chart" uri="{C3380CC4-5D6E-409C-BE32-E72D297353CC}">
              <c16:uniqueId val="{00000000-B062-42DE-BABD-D16F2D3145AD}"/>
            </c:ext>
          </c:extLst>
        </c:ser>
        <c:ser>
          <c:idx val="1"/>
          <c:order val="1"/>
          <c:tx>
            <c:strRef>
              <c:f>'[aq_water share transfers to Commonwealth vDA.xlsx]data for Figure 8'!$B$24</c:f>
              <c:strCache>
                <c:ptCount val="1"/>
                <c:pt idx="0">
                  <c:v>Seasonal</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8'!$E$24:$H$24</c:f>
              <c:numCache>
                <c:formatCode>General</c:formatCode>
                <c:ptCount val="4"/>
                <c:pt idx="0" formatCode="_-* #,##0_-;\-* #,##0_-;_-* &quot;-&quot;??_-;_-@_-">
                  <c:v>28436.105999999971</c:v>
                </c:pt>
                <c:pt idx="2" formatCode="_-* #,##0_-;\-* #,##0_-;_-* &quot;-&quot;??_-;_-@_-">
                  <c:v>13876.376999999969</c:v>
                </c:pt>
              </c:numCache>
            </c:numRef>
          </c:val>
          <c:extLst>
            <c:ext xmlns:c16="http://schemas.microsoft.com/office/drawing/2014/chart" uri="{C3380CC4-5D6E-409C-BE32-E72D297353CC}">
              <c16:uniqueId val="{00000001-B062-42DE-BABD-D16F2D3145AD}"/>
            </c:ext>
          </c:extLst>
        </c:ser>
        <c:ser>
          <c:idx val="2"/>
          <c:order val="2"/>
          <c:tx>
            <c:strRef>
              <c:f>'[aq_water share transfers to Commonwealth vDA.xlsx]data for Figure 8'!$B$25</c:f>
              <c:strCache>
                <c:ptCount val="1"/>
                <c:pt idx="0">
                  <c:v>Start year carry over</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8'!$E$25:$H$25</c:f>
              <c:numCache>
                <c:formatCode>General</c:formatCode>
                <c:ptCount val="4"/>
                <c:pt idx="0" formatCode="_-* #,##0_-;\-* #,##0_-;_-* &quot;-&quot;??_-;_-@_-">
                  <c:v>8471.7209999999868</c:v>
                </c:pt>
                <c:pt idx="2" formatCode="_-* #,##0_-;\-* #,##0_-;_-* &quot;-&quot;??_-;_-@_-">
                  <c:v>3596.927999999999</c:v>
                </c:pt>
              </c:numCache>
            </c:numRef>
          </c:val>
          <c:extLst>
            <c:ext xmlns:c16="http://schemas.microsoft.com/office/drawing/2014/chart" uri="{C3380CC4-5D6E-409C-BE32-E72D297353CC}">
              <c16:uniqueId val="{00000002-B062-42DE-BABD-D16F2D3145AD}"/>
            </c:ext>
          </c:extLst>
        </c:ser>
        <c:ser>
          <c:idx val="3"/>
          <c:order val="3"/>
          <c:tx>
            <c:strRef>
              <c:f>'[aq_water share transfers to Commonwealth vDA.xlsx]data for Figure 8'!$B$26</c:f>
              <c:strCache>
                <c:ptCount val="1"/>
                <c:pt idx="0">
                  <c:v>Trade - net</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8'!$E$26:$H$26</c:f>
              <c:numCache>
                <c:formatCode>General</c:formatCode>
                <c:ptCount val="4"/>
                <c:pt idx="0" formatCode="_-* #,##0_-;\-* #,##0_-;_-* &quot;-&quot;??_-;_-@_-">
                  <c:v>-1065.3</c:v>
                </c:pt>
                <c:pt idx="2" formatCode="_-* #,##0_-;\-* #,##0_-;_-* &quot;-&quot;??_-;_-@_-">
                  <c:v>6162.5</c:v>
                </c:pt>
              </c:numCache>
            </c:numRef>
          </c:val>
          <c:extLst>
            <c:ext xmlns:c16="http://schemas.microsoft.com/office/drawing/2014/chart" uri="{C3380CC4-5D6E-409C-BE32-E72D297353CC}">
              <c16:uniqueId val="{00000003-B062-42DE-BABD-D16F2D3145AD}"/>
            </c:ext>
          </c:extLst>
        </c:ser>
        <c:ser>
          <c:idx val="4"/>
          <c:order val="4"/>
          <c:tx>
            <c:strRef>
              <c:f>'[aq_water share transfers to Commonwealth vDA.xlsx]data for Figure 8'!$B$27</c:f>
              <c:strCache>
                <c:ptCount val="1"/>
                <c:pt idx="0">
                  <c:v>Usage</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8'!$E$27:$H$27</c:f>
              <c:numCache>
                <c:formatCode>_-* #,##0_-;\-* #,##0_-;_-* "-"??_-;_-@_-</c:formatCode>
                <c:ptCount val="4"/>
                <c:pt idx="1">
                  <c:v>8406.6160000000036</c:v>
                </c:pt>
                <c:pt idx="3" formatCode="General">
                  <c:v>19199.137000000021</c:v>
                </c:pt>
              </c:numCache>
            </c:numRef>
          </c:val>
          <c:extLst>
            <c:ext xmlns:c16="http://schemas.microsoft.com/office/drawing/2014/chart" uri="{C3380CC4-5D6E-409C-BE32-E72D297353CC}">
              <c16:uniqueId val="{00000004-B062-42DE-BABD-D16F2D3145AD}"/>
            </c:ext>
          </c:extLst>
        </c:ser>
        <c:ser>
          <c:idx val="5"/>
          <c:order val="5"/>
          <c:tx>
            <c:strRef>
              <c:f>'[aq_water share transfers to Commonwealth vDA.xlsx]data for Figure 8'!$B$28</c:f>
              <c:strCache>
                <c:ptCount val="1"/>
                <c:pt idx="0">
                  <c:v>End year carry over</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8'!$E$28:$H$28</c:f>
              <c:numCache>
                <c:formatCode>_-* #,##0_-;\-* #,##0_-;_-* "-"??_-;_-@_-</c:formatCode>
                <c:ptCount val="4"/>
                <c:pt idx="1">
                  <c:v>27435.149000000001</c:v>
                </c:pt>
                <c:pt idx="3" formatCode="General">
                  <c:v>4183.0280000000021</c:v>
                </c:pt>
              </c:numCache>
            </c:numRef>
          </c:val>
          <c:extLst>
            <c:ext xmlns:c16="http://schemas.microsoft.com/office/drawing/2014/chart" uri="{C3380CC4-5D6E-409C-BE32-E72D297353CC}">
              <c16:uniqueId val="{00000005-B062-42DE-BABD-D16F2D3145AD}"/>
            </c:ext>
          </c:extLst>
        </c:ser>
        <c:dLbls>
          <c:showLegendKey val="0"/>
          <c:showVal val="0"/>
          <c:showCatName val="0"/>
          <c:showSerName val="0"/>
          <c:showPercent val="0"/>
          <c:showBubbleSize val="0"/>
        </c:dLbls>
        <c:gapWidth val="150"/>
        <c:overlap val="100"/>
        <c:axId val="126728448"/>
        <c:axId val="126730240"/>
      </c:barChart>
      <c:catAx>
        <c:axId val="126728448"/>
        <c:scaling>
          <c:orientation val="minMax"/>
        </c:scaling>
        <c:delete val="0"/>
        <c:axPos val="b"/>
        <c:numFmt formatCode="General" sourceLinked="0"/>
        <c:majorTickMark val="out"/>
        <c:minorTickMark val="none"/>
        <c:tickLblPos val="nextTo"/>
        <c:crossAx val="126730240"/>
        <c:crosses val="autoZero"/>
        <c:auto val="1"/>
        <c:lblAlgn val="ctr"/>
        <c:lblOffset val="100"/>
        <c:noMultiLvlLbl val="0"/>
      </c:catAx>
      <c:valAx>
        <c:axId val="126730240"/>
        <c:scaling>
          <c:orientation val="minMax"/>
        </c:scaling>
        <c:delete val="0"/>
        <c:axPos val="l"/>
        <c:majorGridlines/>
        <c:title>
          <c:tx>
            <c:rich>
              <a:bodyPr/>
              <a:lstStyle/>
              <a:p>
                <a:pPr>
                  <a:defRPr/>
                </a:pPr>
                <a:r>
                  <a:rPr lang="en-US"/>
                  <a:t>Volume of water sourced/used (ML)</a:t>
                </a:r>
              </a:p>
            </c:rich>
          </c:tx>
          <c:overlay val="0"/>
        </c:title>
        <c:numFmt formatCode="_-* #,##0_-;\-* #,##0_-;_-* &quot;-&quot;??_-;_-@_-" sourceLinked="1"/>
        <c:majorTickMark val="out"/>
        <c:minorTickMark val="none"/>
        <c:tickLblPos val="nextTo"/>
        <c:crossAx val="1267284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'[aq_water share transfers to Commonwealth vDA.xlsx]data for Figure 8'!$B$23</c:f>
              <c:strCache>
                <c:ptCount val="1"/>
                <c:pt idx="0">
                  <c:v>Adjustment</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8'!$E$23:$H$23</c:f>
              <c:numCache>
                <c:formatCode>General</c:formatCode>
                <c:ptCount val="4"/>
                <c:pt idx="0" formatCode="_-* #,##0_-;\-* #,##0_-;_-* &quot;-&quot;??_-;_-@_-">
                  <c:v>-0.76200000000000001</c:v>
                </c:pt>
                <c:pt idx="2" formatCode="_-* #,##0_-;\-* #,##0_-;_-* &quot;-&quot;??_-;_-@_-">
                  <c:v>-253.64000000000021</c:v>
                </c:pt>
              </c:numCache>
            </c:numRef>
          </c:val>
          <c:extLst>
            <c:ext xmlns:c16="http://schemas.microsoft.com/office/drawing/2014/chart" uri="{C3380CC4-5D6E-409C-BE32-E72D297353CC}">
              <c16:uniqueId val="{00000000-0001-45C5-977F-80C2D13D87D3}"/>
            </c:ext>
          </c:extLst>
        </c:ser>
        <c:ser>
          <c:idx val="1"/>
          <c:order val="1"/>
          <c:tx>
            <c:strRef>
              <c:f>'[aq_water share transfers to Commonwealth vDA.xlsx]data for Figure 8'!$B$24</c:f>
              <c:strCache>
                <c:ptCount val="1"/>
                <c:pt idx="0">
                  <c:v>Seasonal</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8'!$E$24:$H$24</c:f>
              <c:numCache>
                <c:formatCode>General</c:formatCode>
                <c:ptCount val="4"/>
                <c:pt idx="0" formatCode="_-* #,##0_-;\-* #,##0_-;_-* &quot;-&quot;??_-;_-@_-">
                  <c:v>28436.105999999971</c:v>
                </c:pt>
                <c:pt idx="2" formatCode="_-* #,##0_-;\-* #,##0_-;_-* &quot;-&quot;??_-;_-@_-">
                  <c:v>13876.376999999969</c:v>
                </c:pt>
              </c:numCache>
            </c:numRef>
          </c:val>
          <c:extLst>
            <c:ext xmlns:c16="http://schemas.microsoft.com/office/drawing/2014/chart" uri="{C3380CC4-5D6E-409C-BE32-E72D297353CC}">
              <c16:uniqueId val="{00000001-0001-45C5-977F-80C2D13D87D3}"/>
            </c:ext>
          </c:extLst>
        </c:ser>
        <c:ser>
          <c:idx val="2"/>
          <c:order val="2"/>
          <c:tx>
            <c:strRef>
              <c:f>'[aq_water share transfers to Commonwealth vDA.xlsx]data for Figure 8'!$B$25</c:f>
              <c:strCache>
                <c:ptCount val="1"/>
                <c:pt idx="0">
                  <c:v>Start year carry over</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8'!$E$25:$H$25</c:f>
              <c:numCache>
                <c:formatCode>General</c:formatCode>
                <c:ptCount val="4"/>
                <c:pt idx="0" formatCode="_-* #,##0_-;\-* #,##0_-;_-* &quot;-&quot;??_-;_-@_-">
                  <c:v>8471.7209999999868</c:v>
                </c:pt>
                <c:pt idx="2" formatCode="_-* #,##0_-;\-* #,##0_-;_-* &quot;-&quot;??_-;_-@_-">
                  <c:v>3596.927999999999</c:v>
                </c:pt>
              </c:numCache>
            </c:numRef>
          </c:val>
          <c:extLst>
            <c:ext xmlns:c16="http://schemas.microsoft.com/office/drawing/2014/chart" uri="{C3380CC4-5D6E-409C-BE32-E72D297353CC}">
              <c16:uniqueId val="{00000002-0001-45C5-977F-80C2D13D87D3}"/>
            </c:ext>
          </c:extLst>
        </c:ser>
        <c:ser>
          <c:idx val="3"/>
          <c:order val="3"/>
          <c:tx>
            <c:strRef>
              <c:f>'[aq_water share transfers to Commonwealth vDA.xlsx]data for Figure 8'!$B$26</c:f>
              <c:strCache>
                <c:ptCount val="1"/>
                <c:pt idx="0">
                  <c:v>Trade - net</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8'!$E$26:$H$26</c:f>
              <c:numCache>
                <c:formatCode>General</c:formatCode>
                <c:ptCount val="4"/>
                <c:pt idx="0" formatCode="_-* #,##0_-;\-* #,##0_-;_-* &quot;-&quot;??_-;_-@_-">
                  <c:v>-1065.3</c:v>
                </c:pt>
                <c:pt idx="2" formatCode="_-* #,##0_-;\-* #,##0_-;_-* &quot;-&quot;??_-;_-@_-">
                  <c:v>6162.5</c:v>
                </c:pt>
              </c:numCache>
            </c:numRef>
          </c:val>
          <c:extLst>
            <c:ext xmlns:c16="http://schemas.microsoft.com/office/drawing/2014/chart" uri="{C3380CC4-5D6E-409C-BE32-E72D297353CC}">
              <c16:uniqueId val="{00000003-0001-45C5-977F-80C2D13D87D3}"/>
            </c:ext>
          </c:extLst>
        </c:ser>
        <c:ser>
          <c:idx val="4"/>
          <c:order val="4"/>
          <c:tx>
            <c:strRef>
              <c:f>'[aq_water share transfers to Commonwealth vDA.xlsx]data for Figure 8'!$B$27</c:f>
              <c:strCache>
                <c:ptCount val="1"/>
                <c:pt idx="0">
                  <c:v>Usage</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8'!$E$27:$H$27</c:f>
              <c:numCache>
                <c:formatCode>_-* #,##0_-;\-* #,##0_-;_-* "-"??_-;_-@_-</c:formatCode>
                <c:ptCount val="4"/>
                <c:pt idx="1">
                  <c:v>8406.6160000000036</c:v>
                </c:pt>
                <c:pt idx="3" formatCode="General">
                  <c:v>19199.137000000021</c:v>
                </c:pt>
              </c:numCache>
            </c:numRef>
          </c:val>
          <c:extLst>
            <c:ext xmlns:c16="http://schemas.microsoft.com/office/drawing/2014/chart" uri="{C3380CC4-5D6E-409C-BE32-E72D297353CC}">
              <c16:uniqueId val="{00000004-0001-45C5-977F-80C2D13D87D3}"/>
            </c:ext>
          </c:extLst>
        </c:ser>
        <c:ser>
          <c:idx val="5"/>
          <c:order val="5"/>
          <c:tx>
            <c:strRef>
              <c:f>'[aq_water share transfers to Commonwealth vDA.xlsx]data for Figure 8'!$B$28</c:f>
              <c:strCache>
                <c:ptCount val="1"/>
                <c:pt idx="0">
                  <c:v>End year carry over</c:v>
                </c:pt>
              </c:strCache>
            </c:strRef>
          </c:tx>
          <c:invertIfNegative val="0"/>
          <c:cat>
            <c:strRef>
              <c:f>'[aq_water share transfers to Commonwealth vDA.xlsx]data for Figure 8'!$E$22:$H$22</c:f>
              <c:strCache>
                <c:ptCount val="4"/>
                <c:pt idx="0">
                  <c:v>2010-11 source</c:v>
                </c:pt>
                <c:pt idx="1">
                  <c:v>2010-11 use</c:v>
                </c:pt>
                <c:pt idx="2">
                  <c:v>2015-16 source</c:v>
                </c:pt>
                <c:pt idx="3">
                  <c:v>2015-16 use</c:v>
                </c:pt>
              </c:strCache>
            </c:strRef>
          </c:cat>
          <c:val>
            <c:numRef>
              <c:f>'[aq_water share transfers to Commonwealth vDA.xlsx]data for Figure 8'!$E$28:$H$28</c:f>
              <c:numCache>
                <c:formatCode>_-* #,##0_-;\-* #,##0_-;_-* "-"??_-;_-@_-</c:formatCode>
                <c:ptCount val="4"/>
                <c:pt idx="1">
                  <c:v>27435.149000000001</c:v>
                </c:pt>
                <c:pt idx="3" formatCode="General">
                  <c:v>4183.0280000000021</c:v>
                </c:pt>
              </c:numCache>
            </c:numRef>
          </c:val>
          <c:extLst>
            <c:ext xmlns:c16="http://schemas.microsoft.com/office/drawing/2014/chart" uri="{C3380CC4-5D6E-409C-BE32-E72D297353CC}">
              <c16:uniqueId val="{00000005-0001-45C5-977F-80C2D13D87D3}"/>
            </c:ext>
          </c:extLst>
        </c:ser>
        <c:dLbls>
          <c:showLegendKey val="0"/>
          <c:showVal val="0"/>
          <c:showCatName val="0"/>
          <c:showSerName val="0"/>
          <c:showPercent val="0"/>
          <c:showBubbleSize val="0"/>
        </c:dLbls>
        <c:gapWidth val="150"/>
        <c:overlap val="100"/>
        <c:axId val="126761216"/>
        <c:axId val="126791680"/>
      </c:barChart>
      <c:catAx>
        <c:axId val="126761216"/>
        <c:scaling>
          <c:orientation val="minMax"/>
        </c:scaling>
        <c:delete val="0"/>
        <c:axPos val="b"/>
        <c:numFmt formatCode="General" sourceLinked="0"/>
        <c:majorTickMark val="out"/>
        <c:minorTickMark val="none"/>
        <c:tickLblPos val="nextTo"/>
        <c:crossAx val="126791680"/>
        <c:crosses val="autoZero"/>
        <c:auto val="1"/>
        <c:lblAlgn val="ctr"/>
        <c:lblOffset val="100"/>
        <c:noMultiLvlLbl val="0"/>
      </c:catAx>
      <c:valAx>
        <c:axId val="126791680"/>
        <c:scaling>
          <c:orientation val="minMax"/>
        </c:scaling>
        <c:delete val="0"/>
        <c:axPos val="l"/>
        <c:majorGridlines/>
        <c:numFmt formatCode="0%" sourceLinked="1"/>
        <c:majorTickMark val="out"/>
        <c:minorTickMark val="none"/>
        <c:tickLblPos val="nextTo"/>
        <c:crossAx val="1267612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'Fig7'!$K$14</c:f>
              <c:strCache>
                <c:ptCount val="1"/>
                <c:pt idx="0">
                  <c:v>Observed (million litres)</c:v>
                </c:pt>
              </c:strCache>
            </c:strRef>
          </c:tx>
          <c:spPr>
            <a:solidFill>
              <a:schemeClr val="accent1"/>
            </a:solidFill>
            <a:ln>
              <a:noFill/>
            </a:ln>
            <a:effectLst/>
          </c:spPr>
          <c:invertIfNegative val="0"/>
          <c:cat>
            <c:strRef>
              <c:f>'Fig7'!$D$5:$T$5</c:f>
              <c:strCache>
                <c:ptCount val="17"/>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strCache>
            </c:strRef>
          </c:cat>
          <c:val>
            <c:numRef>
              <c:f>'Fig7'!$D$10:$T$10</c:f>
              <c:numCache>
                <c:formatCode>#,###</c:formatCode>
                <c:ptCount val="17"/>
                <c:pt idx="0">
                  <c:v>2755.4059590000002</c:v>
                </c:pt>
                <c:pt idx="1">
                  <c:v>2531.3705199999999</c:v>
                </c:pt>
                <c:pt idx="2">
                  <c:v>2787.3154829999999</c:v>
                </c:pt>
                <c:pt idx="3">
                  <c:v>2335.5806975</c:v>
                </c:pt>
                <c:pt idx="4">
                  <c:v>2329.0023960379799</c:v>
                </c:pt>
                <c:pt idx="5">
                  <c:v>2378.8933860000002</c:v>
                </c:pt>
                <c:pt idx="6">
                  <c:v>2336.7103394999999</c:v>
                </c:pt>
                <c:pt idx="7">
                  <c:v>1904.07850676</c:v>
                </c:pt>
                <c:pt idx="8">
                  <c:v>1735.19117643</c:v>
                </c:pt>
                <c:pt idx="9">
                  <c:v>1649.15594599</c:v>
                </c:pt>
                <c:pt idx="10">
                  <c:v>1411.82505416</c:v>
                </c:pt>
                <c:pt idx="11">
                  <c:v>1400.3714184750861</c:v>
                </c:pt>
                <c:pt idx="12">
                  <c:v>1671.157481264253</c:v>
                </c:pt>
                <c:pt idx="13">
                  <c:v>1739.7376892499999</c:v>
                </c:pt>
                <c:pt idx="14">
                  <c:v>1760.5466972500001</c:v>
                </c:pt>
                <c:pt idx="15">
                  <c:v>1801.38796923</c:v>
                </c:pt>
                <c:pt idx="16">
                  <c:v>1728.0812252400001</c:v>
                </c:pt>
              </c:numCache>
            </c:numRef>
          </c:val>
          <c:extLst>
            <c:ext xmlns:c16="http://schemas.microsoft.com/office/drawing/2014/chart" uri="{C3380CC4-5D6E-409C-BE32-E72D297353CC}">
              <c16:uniqueId val="{00000000-13FD-4377-A006-01F545C40846}"/>
            </c:ext>
          </c:extLst>
        </c:ser>
        <c:ser>
          <c:idx val="1"/>
          <c:order val="1"/>
          <c:tx>
            <c:strRef>
              <c:f>'Fig7'!$K$15</c:f>
              <c:strCache>
                <c:ptCount val="1"/>
                <c:pt idx="0">
                  <c:v>Counterfactual (million litres)</c:v>
                </c:pt>
              </c:strCache>
            </c:strRef>
          </c:tx>
          <c:spPr>
            <a:solidFill>
              <a:schemeClr val="accent2"/>
            </a:solidFill>
            <a:ln>
              <a:noFill/>
            </a:ln>
            <a:effectLst/>
          </c:spPr>
          <c:invertIfNegative val="0"/>
          <c:cat>
            <c:strRef>
              <c:f>'Fig7'!$D$5:$T$5</c:f>
              <c:strCache>
                <c:ptCount val="17"/>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strCache>
            </c:strRef>
          </c:cat>
          <c:val>
            <c:numRef>
              <c:f>'Fig7'!$D$11:$T$11</c:f>
              <c:numCache>
                <c:formatCode>#,###</c:formatCode>
                <c:ptCount val="17"/>
                <c:pt idx="0">
                  <c:v>2755.4059590000002</c:v>
                </c:pt>
                <c:pt idx="1">
                  <c:v>2531.3705199999999</c:v>
                </c:pt>
                <c:pt idx="2">
                  <c:v>2787.3154829999999</c:v>
                </c:pt>
                <c:pt idx="3">
                  <c:v>2335.5806975</c:v>
                </c:pt>
                <c:pt idx="4">
                  <c:v>2329.0023960379799</c:v>
                </c:pt>
                <c:pt idx="5">
                  <c:v>2378.8933860000002</c:v>
                </c:pt>
                <c:pt idx="6">
                  <c:v>2336.7103394999999</c:v>
                </c:pt>
                <c:pt idx="7">
                  <c:v>1904.07850676</c:v>
                </c:pt>
                <c:pt idx="8">
                  <c:v>1735.19117643</c:v>
                </c:pt>
                <c:pt idx="9" formatCode="_-* #,##0_-;\-* #,##0_-;_-* &quot;-&quot;??_-;_-@_-">
                  <c:v>1653.633685892413</c:v>
                </c:pt>
                <c:pt idx="10" formatCode="_-* #,##0_-;\-* #,##0_-;_-* &quot;-&quot;??_-;_-@_-">
                  <c:v>1548.752372727733</c:v>
                </c:pt>
                <c:pt idx="11" formatCode="_-* #,##0_-;\-* #,##0_-;_-* &quot;-&quot;??_-;_-@_-">
                  <c:v>1802.610269580676</c:v>
                </c:pt>
                <c:pt idx="12" formatCode="_-* #,##0_-;\-* #,##0_-;_-* &quot;-&quot;??_-;_-@_-">
                  <c:v>2102.0826568812308</c:v>
                </c:pt>
                <c:pt idx="13" formatCode="_-* #,##0_-;\-* #,##0_-;_-* &quot;-&quot;??_-;_-@_-">
                  <c:v>2246.7507391151589</c:v>
                </c:pt>
                <c:pt idx="14" formatCode="_-* #,##0_-;\-* #,##0_-;_-* &quot;-&quot;??_-;_-@_-">
                  <c:v>2340.7746268908531</c:v>
                </c:pt>
                <c:pt idx="15" formatCode="_-* #,##0_-;\-* #,##0_-;_-* &quot;-&quot;??_-;_-@_-">
                  <c:v>2388.5886896809639</c:v>
                </c:pt>
                <c:pt idx="16" formatCode="_-* #,##0_-;\-* #,##0_-;_-* &quot;-&quot;??_-;_-@_-">
                  <c:v>2329.0455726809569</c:v>
                </c:pt>
              </c:numCache>
            </c:numRef>
          </c:val>
          <c:extLst>
            <c:ext xmlns:c16="http://schemas.microsoft.com/office/drawing/2014/chart" uri="{C3380CC4-5D6E-409C-BE32-E72D297353CC}">
              <c16:uniqueId val="{00000001-13FD-4377-A006-01F545C40846}"/>
            </c:ext>
          </c:extLst>
        </c:ser>
        <c:dLbls>
          <c:showLegendKey val="0"/>
          <c:showVal val="0"/>
          <c:showCatName val="0"/>
          <c:showSerName val="0"/>
          <c:showPercent val="0"/>
          <c:showBubbleSize val="0"/>
        </c:dLbls>
        <c:gapWidth val="219"/>
        <c:overlap val="-27"/>
        <c:axId val="127145472"/>
        <c:axId val="127147008"/>
      </c:barChart>
      <c:catAx>
        <c:axId val="12714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47008"/>
        <c:crosses val="autoZero"/>
        <c:auto val="1"/>
        <c:lblAlgn val="ctr"/>
        <c:lblOffset val="100"/>
        <c:noMultiLvlLbl val="0"/>
      </c:catAx>
      <c:valAx>
        <c:axId val="12714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Milk production (million litres)</a:t>
                </a:r>
              </a:p>
            </c:rich>
          </c:tx>
          <c:layout>
            <c:manualLayout>
              <c:xMode val="edge"/>
              <c:yMode val="edge"/>
              <c:x val="2.27434257285004E-2"/>
              <c:y val="8.6376552930883699E-2"/>
            </c:manualLayout>
          </c:layout>
          <c:overlay val="0"/>
          <c:spPr>
            <a:noFill/>
            <a:ln>
              <a:noFill/>
            </a:ln>
            <a:effectLst/>
          </c:spPr>
        </c:title>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4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GMID milk production</c:v>
          </c:tx>
          <c:spPr>
            <a:solidFill>
              <a:schemeClr val="accent1"/>
            </a:solidFill>
            <a:ln>
              <a:noFill/>
            </a:ln>
            <a:effectLst/>
          </c:spPr>
          <c:invertIfNegative val="0"/>
          <c:cat>
            <c:strRef>
              <c:f>'Fig7'!$N$13:$T$13</c:f>
              <c:strCache>
                <c:ptCount val="7"/>
                <c:pt idx="0">
                  <c:v>2009-10</c:v>
                </c:pt>
                <c:pt idx="1">
                  <c:v>2010-11</c:v>
                </c:pt>
                <c:pt idx="2">
                  <c:v>2011-12</c:v>
                </c:pt>
                <c:pt idx="3">
                  <c:v>2012-13</c:v>
                </c:pt>
                <c:pt idx="4">
                  <c:v>2013-14</c:v>
                </c:pt>
                <c:pt idx="5">
                  <c:v>2014-15</c:v>
                </c:pt>
                <c:pt idx="6">
                  <c:v>2015-16</c:v>
                </c:pt>
              </c:strCache>
            </c:strRef>
          </c:cat>
          <c:val>
            <c:numRef>
              <c:f>'Fig7'!$N$14:$T$14</c:f>
              <c:numCache>
                <c:formatCode>_-* #,##0_-;\-* #,##0_-;_-* "-"??_-;_-@_-</c:formatCode>
                <c:ptCount val="7"/>
                <c:pt idx="0">
                  <c:v>1411.82505416</c:v>
                </c:pt>
                <c:pt idx="1">
                  <c:v>1400.3714184750861</c:v>
                </c:pt>
                <c:pt idx="2">
                  <c:v>1671.157481264253</c:v>
                </c:pt>
                <c:pt idx="3">
                  <c:v>1739.7376892499999</c:v>
                </c:pt>
                <c:pt idx="4">
                  <c:v>1760.5466972500001</c:v>
                </c:pt>
                <c:pt idx="5">
                  <c:v>1801.38796923</c:v>
                </c:pt>
                <c:pt idx="6">
                  <c:v>1728.0812252400001</c:v>
                </c:pt>
              </c:numCache>
            </c:numRef>
          </c:val>
          <c:extLst>
            <c:ext xmlns:c16="http://schemas.microsoft.com/office/drawing/2014/chart" uri="{C3380CC4-5D6E-409C-BE32-E72D297353CC}">
              <c16:uniqueId val="{00000000-0DBC-4C93-85EB-9806A917F520}"/>
            </c:ext>
          </c:extLst>
        </c:ser>
        <c:dLbls>
          <c:showLegendKey val="0"/>
          <c:showVal val="0"/>
          <c:showCatName val="0"/>
          <c:showSerName val="0"/>
          <c:showPercent val="0"/>
          <c:showBubbleSize val="0"/>
        </c:dLbls>
        <c:gapWidth val="219"/>
        <c:overlap val="-27"/>
        <c:axId val="127309696"/>
        <c:axId val="127311232"/>
      </c:barChart>
      <c:barChart>
        <c:barDir val="col"/>
        <c:grouping val="clustered"/>
        <c:varyColors val="0"/>
        <c:ser>
          <c:idx val="1"/>
          <c:order val="1"/>
          <c:tx>
            <c:strRef>
              <c:f>'Fig7'!$E$41</c:f>
              <c:strCache>
                <c:ptCount val="1"/>
                <c:pt idx="0">
                  <c:v>Murray Goulburn milk intake</c:v>
                </c:pt>
              </c:strCache>
            </c:strRef>
          </c:tx>
          <c:spPr>
            <a:solidFill>
              <a:schemeClr val="accent2"/>
            </a:solidFill>
            <a:ln>
              <a:noFill/>
            </a:ln>
            <a:effectLst/>
          </c:spPr>
          <c:invertIfNegative val="0"/>
          <c:cat>
            <c:strRef>
              <c:f>'Fig7'!$N$13:$T$13</c:f>
              <c:strCache>
                <c:ptCount val="7"/>
                <c:pt idx="0">
                  <c:v>2009-10</c:v>
                </c:pt>
                <c:pt idx="1">
                  <c:v>2010-11</c:v>
                </c:pt>
                <c:pt idx="2">
                  <c:v>2011-12</c:v>
                </c:pt>
                <c:pt idx="3">
                  <c:v>2012-13</c:v>
                </c:pt>
                <c:pt idx="4">
                  <c:v>2013-14</c:v>
                </c:pt>
                <c:pt idx="5">
                  <c:v>2014-15</c:v>
                </c:pt>
                <c:pt idx="6">
                  <c:v>2015-16</c:v>
                </c:pt>
              </c:strCache>
            </c:strRef>
          </c:cat>
          <c:val>
            <c:numRef>
              <c:f>'Fig7'!$E$43:$K$43</c:f>
              <c:numCache>
                <c:formatCode>General</c:formatCode>
                <c:ptCount val="7"/>
                <c:pt idx="0">
                  <c:v>2864</c:v>
                </c:pt>
                <c:pt idx="1">
                  <c:v>2827</c:v>
                </c:pt>
                <c:pt idx="2">
                  <c:v>2936</c:v>
                </c:pt>
                <c:pt idx="3">
                  <c:v>3119</c:v>
                </c:pt>
                <c:pt idx="4">
                  <c:v>3391</c:v>
                </c:pt>
                <c:pt idx="5">
                  <c:v>3580</c:v>
                </c:pt>
                <c:pt idx="6">
                  <c:v>3491</c:v>
                </c:pt>
              </c:numCache>
            </c:numRef>
          </c:val>
          <c:extLst>
            <c:ext xmlns:c16="http://schemas.microsoft.com/office/drawing/2014/chart" uri="{C3380CC4-5D6E-409C-BE32-E72D297353CC}">
              <c16:uniqueId val="{00000001-0DBC-4C93-85EB-9806A917F520}"/>
            </c:ext>
          </c:extLst>
        </c:ser>
        <c:dLbls>
          <c:showLegendKey val="0"/>
          <c:showVal val="0"/>
          <c:showCatName val="0"/>
          <c:showSerName val="0"/>
          <c:showPercent val="0"/>
          <c:showBubbleSize val="0"/>
        </c:dLbls>
        <c:gapWidth val="500"/>
        <c:overlap val="100"/>
        <c:axId val="127335808"/>
        <c:axId val="127333888"/>
      </c:barChart>
      <c:catAx>
        <c:axId val="12730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11232"/>
        <c:crosses val="autoZero"/>
        <c:auto val="1"/>
        <c:lblAlgn val="ctr"/>
        <c:lblOffset val="100"/>
        <c:noMultiLvlLbl val="0"/>
      </c:catAx>
      <c:valAx>
        <c:axId val="127311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GMID milk production (million litres)</a:t>
                </a:r>
              </a:p>
            </c:rich>
          </c:tx>
          <c:layout>
            <c:manualLayout>
              <c:xMode val="edge"/>
              <c:yMode val="edge"/>
              <c:x val="2.3068050749711601E-2"/>
              <c:y val="6.9358880139982496E-2"/>
            </c:manualLayout>
          </c:layout>
          <c:overlay val="0"/>
          <c:spPr>
            <a:noFill/>
            <a:ln>
              <a:noFill/>
            </a:ln>
            <a:effectLst/>
          </c:spPr>
        </c:title>
        <c:numFmt formatCode="_-* #,##0_-;\-* #,##0_-;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09696"/>
        <c:crosses val="autoZero"/>
        <c:crossBetween val="between"/>
        <c:majorUnit val="250"/>
      </c:valAx>
      <c:valAx>
        <c:axId val="127333888"/>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MGC milk intake (million litres)</a:t>
                </a:r>
              </a:p>
            </c:rich>
          </c:tx>
          <c:layout>
            <c:manualLayout>
              <c:xMode val="edge"/>
              <c:yMode val="edge"/>
              <c:x val="0.93308812177024603"/>
              <c:y val="0.12155905511810999"/>
            </c:manualLayout>
          </c:layout>
          <c:overlay val="0"/>
          <c:spPr>
            <a:noFill/>
            <a:ln>
              <a:noFill/>
            </a:ln>
            <a:effectLst/>
          </c:spPr>
        </c:title>
        <c:numFmt formatCode="#,###"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35808"/>
        <c:crosses val="max"/>
        <c:crossBetween val="between"/>
      </c:valAx>
      <c:catAx>
        <c:axId val="127335808"/>
        <c:scaling>
          <c:orientation val="minMax"/>
        </c:scaling>
        <c:delete val="1"/>
        <c:axPos val="b"/>
        <c:numFmt formatCode="General" sourceLinked="1"/>
        <c:majorTickMark val="out"/>
        <c:minorTickMark val="none"/>
        <c:tickLblPos val="nextTo"/>
        <c:crossAx val="127333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'Fig2'!$B$26</c:f>
              <c:strCache>
                <c:ptCount val="1"/>
                <c:pt idx="0">
                  <c:v>Horticulture</c:v>
                </c:pt>
              </c:strCache>
            </c:strRef>
          </c:tx>
          <c:spPr>
            <a:solidFill>
              <a:schemeClr val="accent1"/>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'Fig2'!$C$26:$K$26</c:f>
              <c:numCache>
                <c:formatCode>_-* #,##0_-;\-* #,##0_-;_-* "-"??_-;_-@_-</c:formatCode>
                <c:ptCount val="9"/>
                <c:pt idx="0">
                  <c:v>972</c:v>
                </c:pt>
                <c:pt idx="1">
                  <c:v>972</c:v>
                </c:pt>
                <c:pt idx="2">
                  <c:v>972</c:v>
                </c:pt>
                <c:pt idx="3">
                  <c:v>1016.25</c:v>
                </c:pt>
                <c:pt idx="4">
                  <c:v>1060.5</c:v>
                </c:pt>
                <c:pt idx="5">
                  <c:v>1104.75</c:v>
                </c:pt>
                <c:pt idx="6">
                  <c:v>1149</c:v>
                </c:pt>
                <c:pt idx="7">
                  <c:v>1193.25</c:v>
                </c:pt>
                <c:pt idx="8">
                  <c:v>1237.5</c:v>
                </c:pt>
              </c:numCache>
            </c:numRef>
          </c:val>
          <c:extLst>
            <c:ext xmlns:c16="http://schemas.microsoft.com/office/drawing/2014/chart" uri="{C3380CC4-5D6E-409C-BE32-E72D297353CC}">
              <c16:uniqueId val="{00000000-35F9-4F89-BB07-8F5B2959BF8B}"/>
            </c:ext>
          </c:extLst>
        </c:ser>
        <c:ser>
          <c:idx val="1"/>
          <c:order val="1"/>
          <c:tx>
            <c:strRef>
              <c:f>'Fig2'!$B$27</c:f>
              <c:strCache>
                <c:ptCount val="1"/>
                <c:pt idx="0">
                  <c:v>Dairy</c:v>
                </c:pt>
              </c:strCache>
            </c:strRef>
          </c:tx>
          <c:spPr>
            <a:solidFill>
              <a:schemeClr val="accent2"/>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'Fig2'!$C$27:$K$27</c:f>
              <c:numCache>
                <c:formatCode>_-* #,##0_-;\-* #,##0_-;_-* "-"??_-;_-@_-</c:formatCode>
                <c:ptCount val="9"/>
                <c:pt idx="0">
                  <c:v>406.48346542524922</c:v>
                </c:pt>
                <c:pt idx="1">
                  <c:v>416.40379908283461</c:v>
                </c:pt>
                <c:pt idx="2">
                  <c:v>1031.545476624296</c:v>
                </c:pt>
                <c:pt idx="3">
                  <c:v>1656.79465096801</c:v>
                </c:pt>
                <c:pt idx="4">
                  <c:v>1432.373764879884</c:v>
                </c:pt>
                <c:pt idx="5">
                  <c:v>1458.074922672271</c:v>
                </c:pt>
                <c:pt idx="6">
                  <c:v>1537.7005971002759</c:v>
                </c:pt>
                <c:pt idx="7">
                  <c:v>1264.049894124</c:v>
                </c:pt>
                <c:pt idx="8">
                  <c:v>876.59234257743844</c:v>
                </c:pt>
              </c:numCache>
            </c:numRef>
          </c:val>
          <c:extLst>
            <c:ext xmlns:c16="http://schemas.microsoft.com/office/drawing/2014/chart" uri="{C3380CC4-5D6E-409C-BE32-E72D297353CC}">
              <c16:uniqueId val="{00000001-35F9-4F89-BB07-8F5B2959BF8B}"/>
            </c:ext>
          </c:extLst>
        </c:ser>
        <c:ser>
          <c:idx val="2"/>
          <c:order val="2"/>
          <c:tx>
            <c:strRef>
              <c:f>'Fig2'!$B$28</c:f>
              <c:strCache>
                <c:ptCount val="1"/>
                <c:pt idx="0">
                  <c:v>Crops</c:v>
                </c:pt>
              </c:strCache>
            </c:strRef>
          </c:tx>
          <c:spPr>
            <a:solidFill>
              <a:schemeClr val="accent3"/>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'Fig2'!$C$28:$K$28</c:f>
              <c:numCache>
                <c:formatCode>_-* #,##0_-;\-* #,##0_-;_-* "-"??_-;_-@_-</c:formatCode>
                <c:ptCount val="9"/>
                <c:pt idx="0">
                  <c:v>217.87095768936879</c:v>
                </c:pt>
                <c:pt idx="1">
                  <c:v>223.18815452126231</c:v>
                </c:pt>
                <c:pt idx="2">
                  <c:v>522.09865088343236</c:v>
                </c:pt>
                <c:pt idx="3">
                  <c:v>838.5575543329478</c:v>
                </c:pt>
                <c:pt idx="4">
                  <c:v>724.97085892121697</c:v>
                </c:pt>
                <c:pt idx="5">
                  <c:v>737.97904916936795</c:v>
                </c:pt>
                <c:pt idx="6">
                  <c:v>778.28018773922361</c:v>
                </c:pt>
                <c:pt idx="7">
                  <c:v>639.77668394338195</c:v>
                </c:pt>
                <c:pt idx="8">
                  <c:v>443.67183978367461</c:v>
                </c:pt>
              </c:numCache>
            </c:numRef>
          </c:val>
          <c:extLst>
            <c:ext xmlns:c16="http://schemas.microsoft.com/office/drawing/2014/chart" uri="{C3380CC4-5D6E-409C-BE32-E72D297353CC}">
              <c16:uniqueId val="{00000002-35F9-4F89-BB07-8F5B2959BF8B}"/>
            </c:ext>
          </c:extLst>
        </c:ser>
        <c:ser>
          <c:idx val="3"/>
          <c:order val="3"/>
          <c:tx>
            <c:strRef>
              <c:f>'Fig2'!$B$29</c:f>
              <c:strCache>
                <c:ptCount val="1"/>
                <c:pt idx="0">
                  <c:v>Rice</c:v>
                </c:pt>
              </c:strCache>
            </c:strRef>
          </c:tx>
          <c:spPr>
            <a:solidFill>
              <a:schemeClr val="accent4"/>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'Fig2'!$C$29:$K$29</c:f>
              <c:numCache>
                <c:formatCode>_-* #,##0_-;\-* #,##0_-;_-* "-"??_-;_-@_-</c:formatCode>
                <c:ptCount val="9"/>
                <c:pt idx="0">
                  <c:v>62.174206151162792</c:v>
                </c:pt>
                <c:pt idx="1">
                  <c:v>63.691583664341053</c:v>
                </c:pt>
                <c:pt idx="2">
                  <c:v>969.12980592094482</c:v>
                </c:pt>
                <c:pt idx="3">
                  <c:v>1556.5470596584159</c:v>
                </c:pt>
                <c:pt idx="4">
                  <c:v>1345.7051969313061</c:v>
                </c:pt>
                <c:pt idx="5">
                  <c:v>1369.8512560510551</c:v>
                </c:pt>
                <c:pt idx="6">
                  <c:v>1444.6590237679609</c:v>
                </c:pt>
                <c:pt idx="7">
                  <c:v>1187.5660902276979</c:v>
                </c:pt>
                <c:pt idx="8">
                  <c:v>823.55241342720751</c:v>
                </c:pt>
              </c:numCache>
            </c:numRef>
          </c:val>
          <c:extLst>
            <c:ext xmlns:c16="http://schemas.microsoft.com/office/drawing/2014/chart" uri="{C3380CC4-5D6E-409C-BE32-E72D297353CC}">
              <c16:uniqueId val="{00000003-35F9-4F89-BB07-8F5B2959BF8B}"/>
            </c:ext>
          </c:extLst>
        </c:ser>
        <c:ser>
          <c:idx val="4"/>
          <c:order val="4"/>
          <c:tx>
            <c:strRef>
              <c:f>'Fig2'!$B$30</c:f>
              <c:strCache>
                <c:ptCount val="1"/>
                <c:pt idx="0">
                  <c:v>Mixed grazing</c:v>
                </c:pt>
              </c:strCache>
            </c:strRef>
          </c:tx>
          <c:spPr>
            <a:solidFill>
              <a:schemeClr val="accent5"/>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'Fig2'!$C$30:$K$30</c:f>
              <c:numCache>
                <c:formatCode>_-* #,##0_-;\-* #,##0_-;_-* "-"??_-;_-@_-</c:formatCode>
                <c:ptCount val="9"/>
                <c:pt idx="0">
                  <c:v>257.05638173421931</c:v>
                </c:pt>
                <c:pt idx="1">
                  <c:v>263.32990893156142</c:v>
                </c:pt>
                <c:pt idx="2">
                  <c:v>235.32394765182221</c:v>
                </c:pt>
                <c:pt idx="3">
                  <c:v>377.96051318076428</c:v>
                </c:pt>
                <c:pt idx="4">
                  <c:v>326.76392510342419</c:v>
                </c:pt>
                <c:pt idx="5">
                  <c:v>332.6270673962091</c:v>
                </c:pt>
                <c:pt idx="6">
                  <c:v>350.79187783399573</c:v>
                </c:pt>
                <c:pt idx="7">
                  <c:v>288.36461198740449</c:v>
                </c:pt>
                <c:pt idx="8">
                  <c:v>199.97486801235101</c:v>
                </c:pt>
              </c:numCache>
            </c:numRef>
          </c:val>
          <c:extLst>
            <c:ext xmlns:c16="http://schemas.microsoft.com/office/drawing/2014/chart" uri="{C3380CC4-5D6E-409C-BE32-E72D297353CC}">
              <c16:uniqueId val="{00000004-35F9-4F89-BB07-8F5B2959BF8B}"/>
            </c:ext>
          </c:extLst>
        </c:ser>
        <c:dLbls>
          <c:showLegendKey val="0"/>
          <c:showVal val="0"/>
          <c:showCatName val="0"/>
          <c:showSerName val="0"/>
          <c:showPercent val="0"/>
          <c:showBubbleSize val="0"/>
        </c:dLbls>
        <c:gapWidth val="150"/>
        <c:overlap val="100"/>
        <c:axId val="133825280"/>
        <c:axId val="133826816"/>
      </c:barChart>
      <c:catAx>
        <c:axId val="1338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26816"/>
        <c:crosses val="autoZero"/>
        <c:auto val="1"/>
        <c:lblAlgn val="ctr"/>
        <c:lblOffset val="100"/>
        <c:noMultiLvlLbl val="0"/>
      </c:catAx>
      <c:valAx>
        <c:axId val="13382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Estimated water use (GL)</a:t>
                </a:r>
              </a:p>
            </c:rich>
          </c:tx>
          <c:layout>
            <c:manualLayout>
              <c:xMode val="edge"/>
              <c:yMode val="edge"/>
              <c:x val="1.67276538192285E-2"/>
              <c:y val="0.23993700787401601"/>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'Fig2'!$B$34</c:f>
              <c:strCache>
                <c:ptCount val="1"/>
                <c:pt idx="0">
                  <c:v>Horticulture</c:v>
                </c:pt>
              </c:strCache>
            </c:strRef>
          </c:tx>
          <c:spPr>
            <a:solidFill>
              <a:schemeClr val="accent1"/>
            </a:solidFill>
            <a:ln>
              <a:noFill/>
            </a:ln>
            <a:effectLst/>
          </c:spPr>
          <c:invertIfNegative val="0"/>
          <c:cat>
            <c:strRef>
              <c:f>'Fig2'!$C$33:$K$33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'Fig2'!$C$34:$K$34</c:f>
              <c:numCache>
                <c:formatCode>_-* #,##0_-;\-* #,##0_-;_-* "-"??_-;_-@_-</c:formatCode>
                <c:ptCount val="9"/>
                <c:pt idx="0">
                  <c:v>1393.3050000000001</c:v>
                </c:pt>
                <c:pt idx="1">
                  <c:v>1393.3050000000001</c:v>
                </c:pt>
                <c:pt idx="2">
                  <c:v>1393.3050000000001</c:v>
                </c:pt>
                <c:pt idx="3">
                  <c:v>1393.3050000000001</c:v>
                </c:pt>
                <c:pt idx="4">
                  <c:v>1393.3050000000001</c:v>
                </c:pt>
                <c:pt idx="5">
                  <c:v>1393.3050000000001</c:v>
                </c:pt>
                <c:pt idx="6">
                  <c:v>1393.3050000000001</c:v>
                </c:pt>
                <c:pt idx="7">
                  <c:v>1393.3050000000001</c:v>
                </c:pt>
                <c:pt idx="8">
                  <c:v>1393.3050000000001</c:v>
                </c:pt>
              </c:numCache>
            </c:numRef>
          </c:val>
          <c:extLst>
            <c:ext xmlns:c16="http://schemas.microsoft.com/office/drawing/2014/chart" uri="{C3380CC4-5D6E-409C-BE32-E72D297353CC}">
              <c16:uniqueId val="{00000000-C7A3-43F1-A4E6-7E3CB8FE00A6}"/>
            </c:ext>
          </c:extLst>
        </c:ser>
        <c:ser>
          <c:idx val="1"/>
          <c:order val="1"/>
          <c:tx>
            <c:strRef>
              <c:f>'Fig2'!$B$35</c:f>
              <c:strCache>
                <c:ptCount val="1"/>
                <c:pt idx="0">
                  <c:v>Other</c:v>
                </c:pt>
              </c:strCache>
            </c:strRef>
          </c:tx>
          <c:spPr>
            <a:solidFill>
              <a:schemeClr val="accent2"/>
            </a:solidFill>
            <a:ln>
              <a:noFill/>
            </a:ln>
            <a:effectLst/>
          </c:spPr>
          <c:invertIfNegative val="0"/>
          <c:cat>
            <c:strRef>
              <c:f>'Fig2'!$C$33:$K$33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'Fig2'!$C$35:$K$35</c:f>
              <c:numCache>
                <c:formatCode>_-* #,##0_-;\-* #,##0_-;_-* "-"??_-;_-@_-</c:formatCode>
                <c:ptCount val="9"/>
                <c:pt idx="0">
                  <c:v>204.75876627999969</c:v>
                </c:pt>
                <c:pt idx="1">
                  <c:v>272.84776340000008</c:v>
                </c:pt>
                <c:pt idx="2">
                  <c:v>1807.7295939200001</c:v>
                </c:pt>
                <c:pt idx="3">
                  <c:v>3558.1581875400002</c:v>
                </c:pt>
                <c:pt idx="4">
                  <c:v>3212.041139800001</c:v>
                </c:pt>
                <c:pt idx="5">
                  <c:v>3585.179989799999</c:v>
                </c:pt>
                <c:pt idx="6">
                  <c:v>3855.9303988000001</c:v>
                </c:pt>
                <c:pt idx="7">
                  <c:v>3180.2861451999852</c:v>
                </c:pt>
                <c:pt idx="8">
                  <c:v>2188.7032196</c:v>
                </c:pt>
              </c:numCache>
            </c:numRef>
          </c:val>
          <c:extLst>
            <c:ext xmlns:c16="http://schemas.microsoft.com/office/drawing/2014/chart" uri="{C3380CC4-5D6E-409C-BE32-E72D297353CC}">
              <c16:uniqueId val="{00000001-C7A3-43F1-A4E6-7E3CB8FE00A6}"/>
            </c:ext>
          </c:extLst>
        </c:ser>
        <c:dLbls>
          <c:showLegendKey val="0"/>
          <c:showVal val="0"/>
          <c:showCatName val="0"/>
          <c:showSerName val="0"/>
          <c:showPercent val="0"/>
          <c:showBubbleSize val="0"/>
        </c:dLbls>
        <c:gapWidth val="150"/>
        <c:overlap val="100"/>
        <c:axId val="133861376"/>
        <c:axId val="133862912"/>
      </c:barChart>
      <c:catAx>
        <c:axId val="13386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62912"/>
        <c:crosses val="autoZero"/>
        <c:auto val="1"/>
        <c:lblAlgn val="ctr"/>
        <c:lblOffset val="100"/>
        <c:noMultiLvlLbl val="0"/>
      </c:catAx>
      <c:valAx>
        <c:axId val="13386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Estimated water use (GL)</a:t>
                </a:r>
              </a:p>
            </c:rich>
          </c:tx>
          <c:layout>
            <c:manualLayout>
              <c:xMode val="edge"/>
              <c:yMode val="edge"/>
              <c:x val="1.3939711516023801E-2"/>
              <c:y val="0.28328083989501301"/>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6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[161213 water use analysis - sMDB.xlsx]Fig2!PivotTable1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s>
    <c:plotArea>
      <c:layout/>
      <c:barChart>
        <c:barDir val="col"/>
        <c:grouping val="stacked"/>
        <c:varyColors val="0"/>
        <c:ser>
          <c:idx val="0"/>
          <c:order val="0"/>
          <c:tx>
            <c:strRef>
              <c:f>'Fig2'!$H$113:$H$114</c:f>
              <c:strCache>
                <c:ptCount val="1"/>
                <c:pt idx="0">
                  <c:v>Horticulture</c:v>
                </c:pt>
              </c:strCache>
            </c:strRef>
          </c:tx>
          <c:spPr>
            <a:solidFill>
              <a:schemeClr val="accent1"/>
            </a:solidFill>
            <a:ln>
              <a:noFill/>
            </a:ln>
            <a:effectLst/>
          </c:spPr>
          <c:invertIfNegative val="0"/>
          <c:cat>
            <c:multiLvlStrRef>
              <c:f>'Fig2'!$G$115:$G$125</c:f>
              <c:multiLvlStrCache>
                <c:ptCount val="8"/>
                <c:lvl>
                  <c:pt idx="0">
                    <c:v>Observed</c:v>
                  </c:pt>
                  <c:pt idx="1">
                    <c:v>Low scenario</c:v>
                  </c:pt>
                  <c:pt idx="2">
                    <c:v>Med scenario</c:v>
                  </c:pt>
                  <c:pt idx="3">
                    <c:v>High scenario</c:v>
                  </c:pt>
                  <c:pt idx="4">
                    <c:v>Observed</c:v>
                  </c:pt>
                  <c:pt idx="5">
                    <c:v>Low scenario</c:v>
                  </c:pt>
                  <c:pt idx="6">
                    <c:v>Med scenario</c:v>
                  </c:pt>
                  <c:pt idx="7">
                    <c:v>High scenario</c:v>
                  </c:pt>
                </c:lvl>
                <c:lvl>
                  <c:pt idx="0">
                    <c:v>2007-08</c:v>
                  </c:pt>
                  <c:pt idx="4">
                    <c:v>2008-09</c:v>
                  </c:pt>
                </c:lvl>
              </c:multiLvlStrCache>
            </c:multiLvlStrRef>
          </c:cat>
          <c:val>
            <c:numRef>
              <c:f>'Fig2'!$H$115:$H$125</c:f>
              <c:numCache>
                <c:formatCode>_-* #,##0_-;\-* #,##0_-;_-* "-"??_-;_-@_-</c:formatCode>
                <c:ptCount val="8"/>
                <c:pt idx="0">
                  <c:v>972</c:v>
                </c:pt>
                <c:pt idx="1">
                  <c:v>1393.3050000000001</c:v>
                </c:pt>
                <c:pt idx="2">
                  <c:v>1393.3050000000001</c:v>
                </c:pt>
                <c:pt idx="3">
                  <c:v>1393.3050000000001</c:v>
                </c:pt>
                <c:pt idx="4">
                  <c:v>972</c:v>
                </c:pt>
                <c:pt idx="5">
                  <c:v>1393.3050000000001</c:v>
                </c:pt>
                <c:pt idx="6">
                  <c:v>1393.3050000000001</c:v>
                </c:pt>
                <c:pt idx="7">
                  <c:v>1393.3050000000001</c:v>
                </c:pt>
              </c:numCache>
            </c:numRef>
          </c:val>
          <c:extLst>
            <c:ext xmlns:c16="http://schemas.microsoft.com/office/drawing/2014/chart" uri="{C3380CC4-5D6E-409C-BE32-E72D297353CC}">
              <c16:uniqueId val="{00000000-C307-4C20-BA48-C64B27279947}"/>
            </c:ext>
          </c:extLst>
        </c:ser>
        <c:ser>
          <c:idx val="1"/>
          <c:order val="1"/>
          <c:tx>
            <c:strRef>
              <c:f>'Fig2'!$I$113:$I$114</c:f>
              <c:strCache>
                <c:ptCount val="1"/>
                <c:pt idx="0">
                  <c:v>Other</c:v>
                </c:pt>
              </c:strCache>
            </c:strRef>
          </c:tx>
          <c:spPr>
            <a:solidFill>
              <a:schemeClr val="accent2"/>
            </a:solidFill>
            <a:ln>
              <a:noFill/>
            </a:ln>
            <a:effectLst/>
          </c:spPr>
          <c:invertIfNegative val="0"/>
          <c:cat>
            <c:multiLvlStrRef>
              <c:f>'Fig2'!$G$115:$G$125</c:f>
              <c:multiLvlStrCache>
                <c:ptCount val="8"/>
                <c:lvl>
                  <c:pt idx="0">
                    <c:v>Observed</c:v>
                  </c:pt>
                  <c:pt idx="1">
                    <c:v>Low scenario</c:v>
                  </c:pt>
                  <c:pt idx="2">
                    <c:v>Med scenario</c:v>
                  </c:pt>
                  <c:pt idx="3">
                    <c:v>High scenario</c:v>
                  </c:pt>
                  <c:pt idx="4">
                    <c:v>Observed</c:v>
                  </c:pt>
                  <c:pt idx="5">
                    <c:v>Low scenario</c:v>
                  </c:pt>
                  <c:pt idx="6">
                    <c:v>Med scenario</c:v>
                  </c:pt>
                  <c:pt idx="7">
                    <c:v>High scenario</c:v>
                  </c:pt>
                </c:lvl>
                <c:lvl>
                  <c:pt idx="0">
                    <c:v>2007-08</c:v>
                  </c:pt>
                  <c:pt idx="4">
                    <c:v>2008-09</c:v>
                  </c:pt>
                </c:lvl>
              </c:multiLvlStrCache>
            </c:multiLvlStrRef>
          </c:cat>
          <c:val>
            <c:numRef>
              <c:f>'Fig2'!$I$115:$I$125</c:f>
              <c:numCache>
                <c:formatCode>_-* #,##0_-;\-* #,##0_-;_-* "-"??_-;_-@_-</c:formatCode>
                <c:ptCount val="8"/>
                <c:pt idx="0">
                  <c:v>943.58501100000012</c:v>
                </c:pt>
                <c:pt idx="1">
                  <c:v>204.75876627999969</c:v>
                </c:pt>
                <c:pt idx="2">
                  <c:v>32.842766279999751</c:v>
                </c:pt>
                <c:pt idx="3">
                  <c:v>-56.658233720000233</c:v>
                </c:pt>
                <c:pt idx="4">
                  <c:v>966.61344619999943</c:v>
                </c:pt>
                <c:pt idx="5">
                  <c:v>272.84776340000008</c:v>
                </c:pt>
                <c:pt idx="6">
                  <c:v>104.1229633999999</c:v>
                </c:pt>
                <c:pt idx="7">
                  <c:v>19.513163399999939</c:v>
                </c:pt>
              </c:numCache>
            </c:numRef>
          </c:val>
          <c:extLst>
            <c:ext xmlns:c16="http://schemas.microsoft.com/office/drawing/2014/chart" uri="{C3380CC4-5D6E-409C-BE32-E72D297353CC}">
              <c16:uniqueId val="{00000001-C307-4C20-BA48-C64B27279947}"/>
            </c:ext>
          </c:extLst>
        </c:ser>
        <c:dLbls>
          <c:showLegendKey val="0"/>
          <c:showVal val="0"/>
          <c:showCatName val="0"/>
          <c:showSerName val="0"/>
          <c:showPercent val="0"/>
          <c:showBubbleSize val="0"/>
        </c:dLbls>
        <c:gapWidth val="219"/>
        <c:overlap val="100"/>
        <c:axId val="135484928"/>
        <c:axId val="135486464"/>
      </c:barChart>
      <c:catAx>
        <c:axId val="1354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86464"/>
        <c:crosses val="autoZero"/>
        <c:auto val="1"/>
        <c:lblAlgn val="ctr"/>
        <c:lblOffset val="100"/>
        <c:noMultiLvlLbl val="0"/>
      </c:catAx>
      <c:valAx>
        <c:axId val="135486464"/>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Estimated water use (GL)</a:t>
                </a:r>
              </a:p>
            </c:rich>
          </c:tx>
          <c:layout>
            <c:manualLayout>
              <c:xMode val="edge"/>
              <c:yMode val="edge"/>
              <c:x val="1.5075376884422099E-2"/>
              <c:y val="0.33068016262933497"/>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84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extLst>
    <c:ext xmlns:c14="http://schemas.microsoft.com/office/drawing/2007/8/2/chart" uri="{781A3756-C4B2-4CAC-9D66-4F8BD8637D16}">
      <c14:pivotOptions>
        <c14:dropZoneFilter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'Fig4'!$A$21</c:f>
              <c:strCache>
                <c:ptCount val="1"/>
                <c:pt idx="0">
                  <c:v>Victoria</c:v>
                </c:pt>
              </c:strCache>
            </c:strRef>
          </c:tx>
          <c:spPr>
            <a:solidFill>
              <a:schemeClr val="accent1"/>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'Fig4'!$B$21:$J$21</c:f>
              <c:numCache>
                <c:formatCode>_-* #,##0_-;\-* #,##0_-;_-* "-"??_-;_-@_-</c:formatCode>
                <c:ptCount val="9"/>
                <c:pt idx="0">
                  <c:v>0</c:v>
                </c:pt>
                <c:pt idx="1">
                  <c:v>0</c:v>
                </c:pt>
                <c:pt idx="2">
                  <c:v>0</c:v>
                </c:pt>
                <c:pt idx="3">
                  <c:v>6.1918149999999841</c:v>
                </c:pt>
                <c:pt idx="4">
                  <c:v>124.8044495</c:v>
                </c:pt>
                <c:pt idx="5">
                  <c:v>1.3774999999999999</c:v>
                </c:pt>
                <c:pt idx="6">
                  <c:v>44.45411</c:v>
                </c:pt>
                <c:pt idx="7">
                  <c:v>14.342245</c:v>
                </c:pt>
                <c:pt idx="8">
                  <c:v>0</c:v>
                </c:pt>
              </c:numCache>
            </c:numRef>
          </c:val>
          <c:extLst>
            <c:ext xmlns:c16="http://schemas.microsoft.com/office/drawing/2014/chart" uri="{C3380CC4-5D6E-409C-BE32-E72D297353CC}">
              <c16:uniqueId val="{00000000-7110-4C7B-86F5-7BB642696070}"/>
            </c:ext>
          </c:extLst>
        </c:ser>
        <c:ser>
          <c:idx val="1"/>
          <c:order val="1"/>
          <c:tx>
            <c:strRef>
              <c:f>'Fig4'!$A$22</c:f>
              <c:strCache>
                <c:ptCount val="1"/>
                <c:pt idx="0">
                  <c:v>NSW</c:v>
                </c:pt>
              </c:strCache>
            </c:strRef>
          </c:tx>
          <c:spPr>
            <a:solidFill>
              <a:schemeClr val="accent2"/>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'Fig4'!$B$22:$J$22</c:f>
              <c:numCache>
                <c:formatCode>_-* #,##0_-;\-* #,##0_-;_-* "-"??_-;_-@_-</c:formatCode>
                <c:ptCount val="9"/>
                <c:pt idx="0">
                  <c:v>0</c:v>
                </c:pt>
                <c:pt idx="1">
                  <c:v>0</c:v>
                </c:pt>
                <c:pt idx="2">
                  <c:v>0</c:v>
                </c:pt>
                <c:pt idx="3">
                  <c:v>37.246079000000009</c:v>
                </c:pt>
                <c:pt idx="4">
                  <c:v>43.780822520000001</c:v>
                </c:pt>
                <c:pt idx="5">
                  <c:v>68.547970000000007</c:v>
                </c:pt>
                <c:pt idx="6">
                  <c:v>184.23993999999999</c:v>
                </c:pt>
                <c:pt idx="7">
                  <c:v>9.7881179999999972</c:v>
                </c:pt>
                <c:pt idx="8">
                  <c:v>21.885876</c:v>
                </c:pt>
              </c:numCache>
            </c:numRef>
          </c:val>
          <c:extLst>
            <c:ext xmlns:c16="http://schemas.microsoft.com/office/drawing/2014/chart" uri="{C3380CC4-5D6E-409C-BE32-E72D297353CC}">
              <c16:uniqueId val="{00000001-7110-4C7B-86F5-7BB642696070}"/>
            </c:ext>
          </c:extLst>
        </c:ser>
        <c:ser>
          <c:idx val="2"/>
          <c:order val="2"/>
          <c:tx>
            <c:strRef>
              <c:f>'Fig4'!$A$23</c:f>
              <c:strCache>
                <c:ptCount val="1"/>
                <c:pt idx="0">
                  <c:v>SA</c:v>
                </c:pt>
              </c:strCache>
            </c:strRef>
          </c:tx>
          <c:spPr>
            <a:solidFill>
              <a:schemeClr val="accent3"/>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'Fig4'!$B$23:$J$23</c:f>
              <c:numCache>
                <c:formatCode>_-* #,##0_-;\-* #,##0_-;_-* "-"??_-;_-@_-</c:formatCode>
                <c:ptCount val="9"/>
                <c:pt idx="0">
                  <c:v>0</c:v>
                </c:pt>
                <c:pt idx="1">
                  <c:v>0</c:v>
                </c:pt>
                <c:pt idx="2">
                  <c:v>0</c:v>
                </c:pt>
                <c:pt idx="3">
                  <c:v>5.5524600000000008</c:v>
                </c:pt>
                <c:pt idx="4">
                  <c:v>4.5217799999999997</c:v>
                </c:pt>
                <c:pt idx="5">
                  <c:v>0.09</c:v>
                </c:pt>
                <c:pt idx="6">
                  <c:v>4.9906800000000002</c:v>
                </c:pt>
                <c:pt idx="7">
                  <c:v>1.2301200000000001</c:v>
                </c:pt>
                <c:pt idx="8">
                  <c:v>0.56879999999999997</c:v>
                </c:pt>
              </c:numCache>
            </c:numRef>
          </c:val>
          <c:extLst>
            <c:ext xmlns:c16="http://schemas.microsoft.com/office/drawing/2014/chart" uri="{C3380CC4-5D6E-409C-BE32-E72D297353CC}">
              <c16:uniqueId val="{00000002-7110-4C7B-86F5-7BB642696070}"/>
            </c:ext>
          </c:extLst>
        </c:ser>
        <c:ser>
          <c:idx val="3"/>
          <c:order val="3"/>
          <c:tx>
            <c:strRef>
              <c:f>'Fig4'!$A$24</c:f>
              <c:strCache>
                <c:ptCount val="1"/>
                <c:pt idx="0">
                  <c:v>ACT</c:v>
                </c:pt>
              </c:strCache>
            </c:strRef>
          </c:tx>
          <c:spPr>
            <a:solidFill>
              <a:schemeClr val="accent4"/>
            </a:solidFill>
            <a:ln>
              <a:noFill/>
            </a:ln>
            <a:effectLst/>
          </c:spPr>
          <c:invertIfNegative val="0"/>
          <c:cat>
            <c:strRef>
              <c:f>'Fig4'!$B$3:$J$3</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'Fig4'!$B$24:$J$24</c:f>
              <c:numCache>
                <c:formatCode>_-* #,##0_-;\-* #,##0_-;_-* "-"??_-;_-@_-</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7110-4C7B-86F5-7BB642696070}"/>
            </c:ext>
          </c:extLst>
        </c:ser>
        <c:dLbls>
          <c:showLegendKey val="0"/>
          <c:showVal val="0"/>
          <c:showCatName val="0"/>
          <c:showSerName val="0"/>
          <c:showPercent val="0"/>
          <c:showBubbleSize val="0"/>
        </c:dLbls>
        <c:gapWidth val="219"/>
        <c:overlap val="-27"/>
        <c:axId val="68640128"/>
        <c:axId val="68641920"/>
      </c:barChart>
      <c:catAx>
        <c:axId val="6864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41920"/>
        <c:crosses val="autoZero"/>
        <c:auto val="1"/>
        <c:lblAlgn val="ctr"/>
        <c:lblOffset val="100"/>
        <c:noMultiLvlLbl val="0"/>
      </c:catAx>
      <c:valAx>
        <c:axId val="6864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Contracted water recovery (GL LTAAY)</a:t>
                </a:r>
              </a:p>
            </c:rich>
          </c:tx>
          <c:layout>
            <c:manualLayout>
              <c:xMode val="edge"/>
              <c:yMode val="edge"/>
              <c:x val="1.6666666666666701E-2"/>
              <c:y val="5.0925925925925902E-2"/>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40128"/>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Sheet2!$L$4</c:f>
              <c:strCache>
                <c:ptCount val="1"/>
                <c:pt idx="0">
                  <c:v>Loddon-Mallee</c:v>
                </c:pt>
              </c:strCache>
            </c:strRef>
          </c:tx>
          <c:spPr>
            <a:solidFill>
              <a:schemeClr val="accent1"/>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Sheet2!$L$35:$L$43</c:f>
              <c:numCache>
                <c:formatCode>0%</c:formatCode>
                <c:ptCount val="9"/>
                <c:pt idx="0">
                  <c:v>0.15060240963855401</c:v>
                </c:pt>
                <c:pt idx="1">
                  <c:v>6.02409638554217E-2</c:v>
                </c:pt>
                <c:pt idx="2">
                  <c:v>0.19879518072289201</c:v>
                </c:pt>
                <c:pt idx="3">
                  <c:v>7.2289156626505993E-2</c:v>
                </c:pt>
                <c:pt idx="4">
                  <c:v>6.02409638554217E-2</c:v>
                </c:pt>
                <c:pt idx="5">
                  <c:v>0.240963855421687</c:v>
                </c:pt>
                <c:pt idx="6">
                  <c:v>0.126506024096386</c:v>
                </c:pt>
                <c:pt idx="7">
                  <c:v>6.6265060240963805E-2</c:v>
                </c:pt>
                <c:pt idx="8">
                  <c:v>1.8072289156626498E-2</c:v>
                </c:pt>
              </c:numCache>
            </c:numRef>
          </c:val>
          <c:extLst>
            <c:ext xmlns:c16="http://schemas.microsoft.com/office/drawing/2014/chart" uri="{C3380CC4-5D6E-409C-BE32-E72D297353CC}">
              <c16:uniqueId val="{00000000-57F5-49F6-BFB4-8C0C9CEBDA4E}"/>
            </c:ext>
          </c:extLst>
        </c:ser>
        <c:ser>
          <c:idx val="1"/>
          <c:order val="1"/>
          <c:tx>
            <c:strRef>
              <c:f>Sheet2!$M$4</c:f>
              <c:strCache>
                <c:ptCount val="1"/>
                <c:pt idx="0">
                  <c:v>Hume</c:v>
                </c:pt>
              </c:strCache>
            </c:strRef>
          </c:tx>
          <c:spPr>
            <a:solidFill>
              <a:schemeClr val="accent2"/>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Sheet2!$M$35:$M$43</c:f>
              <c:numCache>
                <c:formatCode>0%</c:formatCode>
                <c:ptCount val="9"/>
                <c:pt idx="0">
                  <c:v>0.185840707964602</c:v>
                </c:pt>
                <c:pt idx="1">
                  <c:v>8.8495575221238895E-2</c:v>
                </c:pt>
                <c:pt idx="2">
                  <c:v>0.11504424778761101</c:v>
                </c:pt>
                <c:pt idx="3">
                  <c:v>0.106194690265487</c:v>
                </c:pt>
                <c:pt idx="4">
                  <c:v>0.106194690265487</c:v>
                </c:pt>
                <c:pt idx="5">
                  <c:v>9.7345132743362803E-2</c:v>
                </c:pt>
                <c:pt idx="6">
                  <c:v>0.17699115044247801</c:v>
                </c:pt>
                <c:pt idx="7">
                  <c:v>0.106194690265487</c:v>
                </c:pt>
                <c:pt idx="8">
                  <c:v>3.5398230088495602E-2</c:v>
                </c:pt>
              </c:numCache>
            </c:numRef>
          </c:val>
          <c:extLst>
            <c:ext xmlns:c16="http://schemas.microsoft.com/office/drawing/2014/chart" uri="{C3380CC4-5D6E-409C-BE32-E72D297353CC}">
              <c16:uniqueId val="{00000001-57F5-49F6-BFB4-8C0C9CEBDA4E}"/>
            </c:ext>
          </c:extLst>
        </c:ser>
        <c:dLbls>
          <c:showLegendKey val="0"/>
          <c:showVal val="0"/>
          <c:showCatName val="0"/>
          <c:showSerName val="0"/>
          <c:showPercent val="0"/>
          <c:showBubbleSize val="0"/>
        </c:dLbls>
        <c:gapWidth val="219"/>
        <c:overlap val="-27"/>
        <c:axId val="135607808"/>
        <c:axId val="135609344"/>
      </c:barChart>
      <c:catAx>
        <c:axId val="13560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9344"/>
        <c:crosses val="autoZero"/>
        <c:auto val="1"/>
        <c:lblAlgn val="ctr"/>
        <c:lblOffset val="100"/>
        <c:noMultiLvlLbl val="0"/>
      </c:catAx>
      <c:valAx>
        <c:axId val="13560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Sheet2!$L$4</c:f>
              <c:strCache>
                <c:ptCount val="1"/>
                <c:pt idx="0">
                  <c:v>Loddon-Mallee</c:v>
                </c:pt>
              </c:strCache>
            </c:strRef>
          </c:tx>
          <c:spPr>
            <a:solidFill>
              <a:schemeClr val="accent1"/>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Sheet2!$L$50:$L$58</c:f>
              <c:numCache>
                <c:formatCode>0%</c:formatCode>
                <c:ptCount val="9"/>
                <c:pt idx="0">
                  <c:v>0.114457831325301</c:v>
                </c:pt>
                <c:pt idx="1">
                  <c:v>1.20481927710843E-2</c:v>
                </c:pt>
                <c:pt idx="2">
                  <c:v>0.43975903614457801</c:v>
                </c:pt>
                <c:pt idx="3">
                  <c:v>0.108433734939759</c:v>
                </c:pt>
                <c:pt idx="4">
                  <c:v>0.132530120481928</c:v>
                </c:pt>
                <c:pt idx="5">
                  <c:v>8.4337349397590397E-2</c:v>
                </c:pt>
                <c:pt idx="6">
                  <c:v>5.4216867469879498E-2</c:v>
                </c:pt>
                <c:pt idx="7">
                  <c:v>4.81927710843374E-2</c:v>
                </c:pt>
                <c:pt idx="8">
                  <c:v>1.8072289156626498E-2</c:v>
                </c:pt>
              </c:numCache>
            </c:numRef>
          </c:val>
          <c:extLst>
            <c:ext xmlns:c16="http://schemas.microsoft.com/office/drawing/2014/chart" uri="{C3380CC4-5D6E-409C-BE32-E72D297353CC}">
              <c16:uniqueId val="{00000000-E411-4B7F-8FD2-441AF9308CC4}"/>
            </c:ext>
          </c:extLst>
        </c:ser>
        <c:ser>
          <c:idx val="1"/>
          <c:order val="1"/>
          <c:tx>
            <c:strRef>
              <c:f>Sheet2!$M$4</c:f>
              <c:strCache>
                <c:ptCount val="1"/>
                <c:pt idx="0">
                  <c:v>Hume</c:v>
                </c:pt>
              </c:strCache>
            </c:strRef>
          </c:tx>
          <c:spPr>
            <a:solidFill>
              <a:schemeClr val="accent2"/>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Sheet2!$M$50:$M$58</c:f>
              <c:numCache>
                <c:formatCode>0%</c:formatCode>
                <c:ptCount val="9"/>
                <c:pt idx="0">
                  <c:v>0.17699115044247801</c:v>
                </c:pt>
                <c:pt idx="1">
                  <c:v>2.6548672566371698E-2</c:v>
                </c:pt>
                <c:pt idx="2">
                  <c:v>0.30088495575221202</c:v>
                </c:pt>
                <c:pt idx="3">
                  <c:v>0.20353982300885001</c:v>
                </c:pt>
                <c:pt idx="4">
                  <c:v>7.9646017699115002E-2</c:v>
                </c:pt>
                <c:pt idx="5">
                  <c:v>0.132743362831858</c:v>
                </c:pt>
                <c:pt idx="6">
                  <c:v>5.3097345132743397E-2</c:v>
                </c:pt>
                <c:pt idx="7">
                  <c:v>2.6548672566371698E-2</c:v>
                </c:pt>
                <c:pt idx="8">
                  <c:v>3.5398230088495602E-2</c:v>
                </c:pt>
              </c:numCache>
            </c:numRef>
          </c:val>
          <c:extLst>
            <c:ext xmlns:c16="http://schemas.microsoft.com/office/drawing/2014/chart" uri="{C3380CC4-5D6E-409C-BE32-E72D297353CC}">
              <c16:uniqueId val="{00000001-E411-4B7F-8FD2-441AF9308CC4}"/>
            </c:ext>
          </c:extLst>
        </c:ser>
        <c:dLbls>
          <c:showLegendKey val="0"/>
          <c:showVal val="0"/>
          <c:showCatName val="0"/>
          <c:showSerName val="0"/>
          <c:showPercent val="0"/>
          <c:showBubbleSize val="0"/>
        </c:dLbls>
        <c:gapWidth val="219"/>
        <c:overlap val="-27"/>
        <c:axId val="135980544"/>
        <c:axId val="135982080"/>
      </c:barChart>
      <c:catAx>
        <c:axId val="1359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82080"/>
        <c:crosses val="autoZero"/>
        <c:auto val="1"/>
        <c:lblAlgn val="ctr"/>
        <c:lblOffset val="100"/>
        <c:noMultiLvlLbl val="0"/>
      </c:catAx>
      <c:valAx>
        <c:axId val="13598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8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Sheet2!$L$4</c:f>
              <c:strCache>
                <c:ptCount val="1"/>
                <c:pt idx="0">
                  <c:v>Loddon-Mallee</c:v>
                </c:pt>
              </c:strCache>
            </c:strRef>
          </c:tx>
          <c:spPr>
            <a:solidFill>
              <a:schemeClr val="accent1"/>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Sheet2!$L$65:$L$73</c:f>
              <c:numCache>
                <c:formatCode>0%</c:formatCode>
                <c:ptCount val="9"/>
                <c:pt idx="0">
                  <c:v>0.108433734939759</c:v>
                </c:pt>
                <c:pt idx="1">
                  <c:v>1.20481927710843E-2</c:v>
                </c:pt>
                <c:pt idx="2">
                  <c:v>0.41566265060240998</c:v>
                </c:pt>
                <c:pt idx="3">
                  <c:v>0.16265060240963899</c:v>
                </c:pt>
                <c:pt idx="4">
                  <c:v>0.108433734939759</c:v>
                </c:pt>
                <c:pt idx="5">
                  <c:v>7.8313253012048195E-2</c:v>
                </c:pt>
                <c:pt idx="6">
                  <c:v>6.6265060240963805E-2</c:v>
                </c:pt>
                <c:pt idx="7">
                  <c:v>2.40963855421687E-2</c:v>
                </c:pt>
                <c:pt idx="8">
                  <c:v>2.40963855421687E-2</c:v>
                </c:pt>
              </c:numCache>
            </c:numRef>
          </c:val>
          <c:extLst>
            <c:ext xmlns:c16="http://schemas.microsoft.com/office/drawing/2014/chart" uri="{C3380CC4-5D6E-409C-BE32-E72D297353CC}">
              <c16:uniqueId val="{00000000-E720-4A7F-A491-E3B7AFB48082}"/>
            </c:ext>
          </c:extLst>
        </c:ser>
        <c:ser>
          <c:idx val="1"/>
          <c:order val="1"/>
          <c:tx>
            <c:strRef>
              <c:f>Sheet2!$M$4</c:f>
              <c:strCache>
                <c:ptCount val="1"/>
                <c:pt idx="0">
                  <c:v>Hume</c:v>
                </c:pt>
              </c:strCache>
            </c:strRef>
          </c:tx>
          <c:spPr>
            <a:solidFill>
              <a:schemeClr val="accent2"/>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Sheet2!$M$65:$M$73</c:f>
              <c:numCache>
                <c:formatCode>0%</c:formatCode>
                <c:ptCount val="9"/>
                <c:pt idx="0">
                  <c:v>0.185840707964602</c:v>
                </c:pt>
                <c:pt idx="1">
                  <c:v>3.5398230088495602E-2</c:v>
                </c:pt>
                <c:pt idx="2">
                  <c:v>0.31858407079646001</c:v>
                </c:pt>
                <c:pt idx="3">
                  <c:v>0.123893805309735</c:v>
                </c:pt>
                <c:pt idx="4">
                  <c:v>9.7345132743362803E-2</c:v>
                </c:pt>
                <c:pt idx="5">
                  <c:v>0.15044247787610601</c:v>
                </c:pt>
                <c:pt idx="6">
                  <c:v>3.5398230088495602E-2</c:v>
                </c:pt>
                <c:pt idx="7">
                  <c:v>0</c:v>
                </c:pt>
                <c:pt idx="8">
                  <c:v>5.3097345132743397E-2</c:v>
                </c:pt>
              </c:numCache>
            </c:numRef>
          </c:val>
          <c:extLst>
            <c:ext xmlns:c16="http://schemas.microsoft.com/office/drawing/2014/chart" uri="{C3380CC4-5D6E-409C-BE32-E72D297353CC}">
              <c16:uniqueId val="{00000001-E720-4A7F-A491-E3B7AFB48082}"/>
            </c:ext>
          </c:extLst>
        </c:ser>
        <c:dLbls>
          <c:showLegendKey val="0"/>
          <c:showVal val="0"/>
          <c:showCatName val="0"/>
          <c:showSerName val="0"/>
          <c:showPercent val="0"/>
          <c:showBubbleSize val="0"/>
        </c:dLbls>
        <c:gapWidth val="219"/>
        <c:overlap val="-27"/>
        <c:axId val="136094848"/>
        <c:axId val="136096384"/>
      </c:barChart>
      <c:catAx>
        <c:axId val="1360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96384"/>
        <c:crosses val="autoZero"/>
        <c:auto val="1"/>
        <c:lblAlgn val="ctr"/>
        <c:lblOffset val="100"/>
        <c:noMultiLvlLbl val="0"/>
      </c:catAx>
      <c:valAx>
        <c:axId val="13609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9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Sheet2!$L$4</c:f>
              <c:strCache>
                <c:ptCount val="1"/>
                <c:pt idx="0">
                  <c:v>Loddon-Mallee</c:v>
                </c:pt>
              </c:strCache>
            </c:strRef>
          </c:tx>
          <c:spPr>
            <a:solidFill>
              <a:schemeClr val="accent1"/>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Sheet2!$L$80:$L$88</c:f>
              <c:numCache>
                <c:formatCode>0%</c:formatCode>
                <c:ptCount val="9"/>
                <c:pt idx="0">
                  <c:v>0.120481927710843</c:v>
                </c:pt>
                <c:pt idx="1">
                  <c:v>1.20481927710843E-2</c:v>
                </c:pt>
                <c:pt idx="2">
                  <c:v>0.313253012048193</c:v>
                </c:pt>
                <c:pt idx="3">
                  <c:v>9.6385542168674704E-2</c:v>
                </c:pt>
                <c:pt idx="4">
                  <c:v>0.13855421686746999</c:v>
                </c:pt>
                <c:pt idx="5">
                  <c:v>0.14457831325301199</c:v>
                </c:pt>
                <c:pt idx="6">
                  <c:v>0.114457831325301</c:v>
                </c:pt>
                <c:pt idx="7">
                  <c:v>3.0120481927710802E-2</c:v>
                </c:pt>
                <c:pt idx="8">
                  <c:v>2.40963855421687E-2</c:v>
                </c:pt>
              </c:numCache>
            </c:numRef>
          </c:val>
          <c:extLst>
            <c:ext xmlns:c16="http://schemas.microsoft.com/office/drawing/2014/chart" uri="{C3380CC4-5D6E-409C-BE32-E72D297353CC}">
              <c16:uniqueId val="{00000000-B9FC-4498-ACC9-CC9DB7BFB876}"/>
            </c:ext>
          </c:extLst>
        </c:ser>
        <c:ser>
          <c:idx val="1"/>
          <c:order val="1"/>
          <c:tx>
            <c:strRef>
              <c:f>Sheet2!$M$4</c:f>
              <c:strCache>
                <c:ptCount val="1"/>
                <c:pt idx="0">
                  <c:v>Hume</c:v>
                </c:pt>
              </c:strCache>
            </c:strRef>
          </c:tx>
          <c:spPr>
            <a:solidFill>
              <a:schemeClr val="accent2"/>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Sheet2!$M$80:$M$88</c:f>
              <c:numCache>
                <c:formatCode>0%</c:formatCode>
                <c:ptCount val="9"/>
                <c:pt idx="0">
                  <c:v>0.20353982300885001</c:v>
                </c:pt>
                <c:pt idx="1">
                  <c:v>2.6548672566371698E-2</c:v>
                </c:pt>
                <c:pt idx="2">
                  <c:v>0.20353982300885001</c:v>
                </c:pt>
                <c:pt idx="3">
                  <c:v>0.16814159292035399</c:v>
                </c:pt>
                <c:pt idx="4">
                  <c:v>5.3097345132743397E-2</c:v>
                </c:pt>
                <c:pt idx="5">
                  <c:v>0.19469026548672599</c:v>
                </c:pt>
                <c:pt idx="6">
                  <c:v>7.9646017699115002E-2</c:v>
                </c:pt>
                <c:pt idx="7">
                  <c:v>4.4247787610619503E-2</c:v>
                </c:pt>
                <c:pt idx="8">
                  <c:v>5.3097345132743397E-2</c:v>
                </c:pt>
              </c:numCache>
            </c:numRef>
          </c:val>
          <c:extLst>
            <c:ext xmlns:c16="http://schemas.microsoft.com/office/drawing/2014/chart" uri="{C3380CC4-5D6E-409C-BE32-E72D297353CC}">
              <c16:uniqueId val="{00000001-B9FC-4498-ACC9-CC9DB7BFB876}"/>
            </c:ext>
          </c:extLst>
        </c:ser>
        <c:dLbls>
          <c:showLegendKey val="0"/>
          <c:showVal val="0"/>
          <c:showCatName val="0"/>
          <c:showSerName val="0"/>
          <c:showPercent val="0"/>
          <c:showBubbleSize val="0"/>
        </c:dLbls>
        <c:gapWidth val="219"/>
        <c:overlap val="-27"/>
        <c:axId val="141189888"/>
        <c:axId val="141191424"/>
      </c:barChart>
      <c:catAx>
        <c:axId val="1411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91424"/>
        <c:crosses val="autoZero"/>
        <c:auto val="1"/>
        <c:lblAlgn val="ctr"/>
        <c:lblOffset val="100"/>
        <c:noMultiLvlLbl val="0"/>
      </c:catAx>
      <c:valAx>
        <c:axId val="14119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8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Sheet2!$L$4</c:f>
              <c:strCache>
                <c:ptCount val="1"/>
                <c:pt idx="0">
                  <c:v>Loddon-Mallee</c:v>
                </c:pt>
              </c:strCache>
            </c:strRef>
          </c:tx>
          <c:spPr>
            <a:solidFill>
              <a:schemeClr val="accent1"/>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Sheet2!$L$95:$L$103</c:f>
              <c:numCache>
                <c:formatCode>0%</c:formatCode>
                <c:ptCount val="9"/>
                <c:pt idx="0">
                  <c:v>9.6385542168674704E-2</c:v>
                </c:pt>
                <c:pt idx="1">
                  <c:v>0.108433734939759</c:v>
                </c:pt>
                <c:pt idx="2">
                  <c:v>0.29518072289156599</c:v>
                </c:pt>
                <c:pt idx="3">
                  <c:v>0.16265060240963899</c:v>
                </c:pt>
                <c:pt idx="4">
                  <c:v>9.6385542168674704E-2</c:v>
                </c:pt>
                <c:pt idx="5">
                  <c:v>0.156626506024096</c:v>
                </c:pt>
                <c:pt idx="6">
                  <c:v>1.20481927710843E-2</c:v>
                </c:pt>
                <c:pt idx="7">
                  <c:v>1.20481927710843E-2</c:v>
                </c:pt>
                <c:pt idx="8">
                  <c:v>1.20481927710843E-2</c:v>
                </c:pt>
              </c:numCache>
            </c:numRef>
          </c:val>
          <c:extLst>
            <c:ext xmlns:c16="http://schemas.microsoft.com/office/drawing/2014/chart" uri="{C3380CC4-5D6E-409C-BE32-E72D297353CC}">
              <c16:uniqueId val="{00000000-68BD-4B70-9989-0EF8A4A031A9}"/>
            </c:ext>
          </c:extLst>
        </c:ser>
        <c:ser>
          <c:idx val="1"/>
          <c:order val="1"/>
          <c:tx>
            <c:strRef>
              <c:f>Sheet2!$M$4</c:f>
              <c:strCache>
                <c:ptCount val="1"/>
                <c:pt idx="0">
                  <c:v>Hume</c:v>
                </c:pt>
              </c:strCache>
            </c:strRef>
          </c:tx>
          <c:spPr>
            <a:solidFill>
              <a:schemeClr val="accent2"/>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Sheet2!$M$95:$M$103</c:f>
              <c:numCache>
                <c:formatCode>0%</c:formatCode>
                <c:ptCount val="9"/>
                <c:pt idx="0">
                  <c:v>0.123893805309735</c:v>
                </c:pt>
                <c:pt idx="1">
                  <c:v>0.19469026548672599</c:v>
                </c:pt>
                <c:pt idx="2">
                  <c:v>0.20353982300885001</c:v>
                </c:pt>
                <c:pt idx="3">
                  <c:v>9.7345132743362803E-2</c:v>
                </c:pt>
                <c:pt idx="4">
                  <c:v>9.7345132743362803E-2</c:v>
                </c:pt>
                <c:pt idx="5">
                  <c:v>8.8495575221238895E-2</c:v>
                </c:pt>
                <c:pt idx="6">
                  <c:v>7.0796460176991205E-2</c:v>
                </c:pt>
                <c:pt idx="7">
                  <c:v>1.7699115044247801E-2</c:v>
                </c:pt>
                <c:pt idx="8">
                  <c:v>1.7699115044247801E-2</c:v>
                </c:pt>
              </c:numCache>
            </c:numRef>
          </c:val>
          <c:extLst>
            <c:ext xmlns:c16="http://schemas.microsoft.com/office/drawing/2014/chart" uri="{C3380CC4-5D6E-409C-BE32-E72D297353CC}">
              <c16:uniqueId val="{00000001-68BD-4B70-9989-0EF8A4A031A9}"/>
            </c:ext>
          </c:extLst>
        </c:ser>
        <c:dLbls>
          <c:showLegendKey val="0"/>
          <c:showVal val="0"/>
          <c:showCatName val="0"/>
          <c:showSerName val="0"/>
          <c:showPercent val="0"/>
          <c:showBubbleSize val="0"/>
        </c:dLbls>
        <c:gapWidth val="219"/>
        <c:overlap val="-27"/>
        <c:axId val="144294272"/>
        <c:axId val="144295808"/>
      </c:barChart>
      <c:catAx>
        <c:axId val="14429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95808"/>
        <c:crosses val="autoZero"/>
        <c:auto val="1"/>
        <c:lblAlgn val="ctr"/>
        <c:lblOffset val="100"/>
        <c:noMultiLvlLbl val="0"/>
      </c:catAx>
      <c:valAx>
        <c:axId val="14429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9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Sheet2!$L$4</c:f>
              <c:strCache>
                <c:ptCount val="1"/>
                <c:pt idx="0">
                  <c:v>Loddon-Mallee</c:v>
                </c:pt>
              </c:strCache>
            </c:strRef>
          </c:tx>
          <c:spPr>
            <a:solidFill>
              <a:schemeClr val="accent1"/>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Sheet2!$L$110:$L$118</c:f>
              <c:numCache>
                <c:formatCode>0%</c:formatCode>
                <c:ptCount val="9"/>
                <c:pt idx="0">
                  <c:v>9.6385542168674704E-2</c:v>
                </c:pt>
                <c:pt idx="1">
                  <c:v>7.2289156626505993E-2</c:v>
                </c:pt>
                <c:pt idx="2">
                  <c:v>0.313253012048193</c:v>
                </c:pt>
                <c:pt idx="3">
                  <c:v>0.156626506024096</c:v>
                </c:pt>
                <c:pt idx="4">
                  <c:v>0.114457831325301</c:v>
                </c:pt>
                <c:pt idx="5">
                  <c:v>0.126506024096386</c:v>
                </c:pt>
                <c:pt idx="6">
                  <c:v>2.40963855421687E-2</c:v>
                </c:pt>
                <c:pt idx="7">
                  <c:v>1.20481927710843E-2</c:v>
                </c:pt>
                <c:pt idx="8">
                  <c:v>1.8072289156626498E-2</c:v>
                </c:pt>
              </c:numCache>
            </c:numRef>
          </c:val>
          <c:extLst>
            <c:ext xmlns:c16="http://schemas.microsoft.com/office/drawing/2014/chart" uri="{C3380CC4-5D6E-409C-BE32-E72D297353CC}">
              <c16:uniqueId val="{00000000-1EEE-41BC-BED7-24168189BB00}"/>
            </c:ext>
          </c:extLst>
        </c:ser>
        <c:ser>
          <c:idx val="1"/>
          <c:order val="1"/>
          <c:tx>
            <c:strRef>
              <c:f>Sheet2!$M$4</c:f>
              <c:strCache>
                <c:ptCount val="1"/>
                <c:pt idx="0">
                  <c:v>Hume</c:v>
                </c:pt>
              </c:strCache>
            </c:strRef>
          </c:tx>
          <c:spPr>
            <a:solidFill>
              <a:schemeClr val="accent2"/>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Sheet2!$M$110:$M$118</c:f>
              <c:numCache>
                <c:formatCode>0%</c:formatCode>
                <c:ptCount val="9"/>
                <c:pt idx="0">
                  <c:v>9.7345132743362803E-2</c:v>
                </c:pt>
                <c:pt idx="1">
                  <c:v>0.15044247787610601</c:v>
                </c:pt>
                <c:pt idx="2">
                  <c:v>0.247787610619469</c:v>
                </c:pt>
                <c:pt idx="3">
                  <c:v>0.106194690265487</c:v>
                </c:pt>
                <c:pt idx="4">
                  <c:v>0.106194690265487</c:v>
                </c:pt>
                <c:pt idx="5">
                  <c:v>7.0796460176991205E-2</c:v>
                </c:pt>
                <c:pt idx="6">
                  <c:v>3.5398230088495602E-2</c:v>
                </c:pt>
                <c:pt idx="7">
                  <c:v>1.7699115044247801E-2</c:v>
                </c:pt>
                <c:pt idx="8">
                  <c:v>2.6548672566371698E-2</c:v>
                </c:pt>
              </c:numCache>
            </c:numRef>
          </c:val>
          <c:extLst>
            <c:ext xmlns:c16="http://schemas.microsoft.com/office/drawing/2014/chart" uri="{C3380CC4-5D6E-409C-BE32-E72D297353CC}">
              <c16:uniqueId val="{00000001-1EEE-41BC-BED7-24168189BB00}"/>
            </c:ext>
          </c:extLst>
        </c:ser>
        <c:dLbls>
          <c:showLegendKey val="0"/>
          <c:showVal val="0"/>
          <c:showCatName val="0"/>
          <c:showSerName val="0"/>
          <c:showPercent val="0"/>
          <c:showBubbleSize val="0"/>
        </c:dLbls>
        <c:gapWidth val="219"/>
        <c:overlap val="-27"/>
        <c:axId val="173031424"/>
        <c:axId val="173032960"/>
      </c:barChart>
      <c:catAx>
        <c:axId val="1730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32960"/>
        <c:crosses val="autoZero"/>
        <c:auto val="1"/>
        <c:lblAlgn val="ctr"/>
        <c:lblOffset val="100"/>
        <c:noMultiLvlLbl val="0"/>
      </c:catAx>
      <c:valAx>
        <c:axId val="17303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3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Sheet2!$L$4</c:f>
              <c:strCache>
                <c:ptCount val="1"/>
                <c:pt idx="0">
                  <c:v>Loddon-Mallee</c:v>
                </c:pt>
              </c:strCache>
            </c:strRef>
          </c:tx>
          <c:spPr>
            <a:solidFill>
              <a:schemeClr val="accent1"/>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Sheet2!$L$125:$L$133</c:f>
              <c:numCache>
                <c:formatCode>0%</c:formatCode>
                <c:ptCount val="9"/>
                <c:pt idx="0">
                  <c:v>8.4337349397590397E-2</c:v>
                </c:pt>
                <c:pt idx="1">
                  <c:v>3.6144578313252997E-2</c:v>
                </c:pt>
                <c:pt idx="2">
                  <c:v>0.35542168674698799</c:v>
                </c:pt>
                <c:pt idx="3">
                  <c:v>0.15060240963855401</c:v>
                </c:pt>
                <c:pt idx="4">
                  <c:v>0.132530120481928</c:v>
                </c:pt>
                <c:pt idx="5">
                  <c:v>0.102409638554217</c:v>
                </c:pt>
                <c:pt idx="6">
                  <c:v>4.2168674698795199E-2</c:v>
                </c:pt>
                <c:pt idx="7">
                  <c:v>2.40963855421687E-2</c:v>
                </c:pt>
                <c:pt idx="8">
                  <c:v>1.8072289156626498E-2</c:v>
                </c:pt>
              </c:numCache>
            </c:numRef>
          </c:val>
          <c:extLst>
            <c:ext xmlns:c16="http://schemas.microsoft.com/office/drawing/2014/chart" uri="{C3380CC4-5D6E-409C-BE32-E72D297353CC}">
              <c16:uniqueId val="{00000000-997A-4154-84C7-AE0C05F3CDB5}"/>
            </c:ext>
          </c:extLst>
        </c:ser>
        <c:ser>
          <c:idx val="1"/>
          <c:order val="1"/>
          <c:tx>
            <c:strRef>
              <c:f>Sheet2!$M$4</c:f>
              <c:strCache>
                <c:ptCount val="1"/>
                <c:pt idx="0">
                  <c:v>Hume</c:v>
                </c:pt>
              </c:strCache>
            </c:strRef>
          </c:tx>
          <c:spPr>
            <a:solidFill>
              <a:schemeClr val="accent2"/>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Sheet2!$M$125:$M$133</c:f>
              <c:numCache>
                <c:formatCode>0%</c:formatCode>
                <c:ptCount val="9"/>
                <c:pt idx="0">
                  <c:v>0.11504424778761101</c:v>
                </c:pt>
                <c:pt idx="1">
                  <c:v>0.14159292035398199</c:v>
                </c:pt>
                <c:pt idx="2">
                  <c:v>0.28318584070796499</c:v>
                </c:pt>
                <c:pt idx="3">
                  <c:v>9.7345132743362803E-2</c:v>
                </c:pt>
                <c:pt idx="4">
                  <c:v>0.11504424778761101</c:v>
                </c:pt>
                <c:pt idx="5">
                  <c:v>7.9646017699115002E-2</c:v>
                </c:pt>
                <c:pt idx="6">
                  <c:v>2.6548672566371698E-2</c:v>
                </c:pt>
                <c:pt idx="7">
                  <c:v>1.7699115044247801E-2</c:v>
                </c:pt>
                <c:pt idx="8">
                  <c:v>1.7699115044247801E-2</c:v>
                </c:pt>
              </c:numCache>
            </c:numRef>
          </c:val>
          <c:extLst>
            <c:ext xmlns:c16="http://schemas.microsoft.com/office/drawing/2014/chart" uri="{C3380CC4-5D6E-409C-BE32-E72D297353CC}">
              <c16:uniqueId val="{00000001-997A-4154-84C7-AE0C05F3CDB5}"/>
            </c:ext>
          </c:extLst>
        </c:ser>
        <c:dLbls>
          <c:showLegendKey val="0"/>
          <c:showVal val="0"/>
          <c:showCatName val="0"/>
          <c:showSerName val="0"/>
          <c:showPercent val="0"/>
          <c:showBubbleSize val="0"/>
        </c:dLbls>
        <c:gapWidth val="219"/>
        <c:overlap val="-27"/>
        <c:axId val="173223296"/>
        <c:axId val="173225088"/>
      </c:barChart>
      <c:catAx>
        <c:axId val="17322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25088"/>
        <c:crosses val="autoZero"/>
        <c:auto val="1"/>
        <c:lblAlgn val="ctr"/>
        <c:lblOffset val="100"/>
        <c:noMultiLvlLbl val="0"/>
      </c:catAx>
      <c:valAx>
        <c:axId val="17322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2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Sheet2!$L$4</c:f>
              <c:strCache>
                <c:ptCount val="1"/>
                <c:pt idx="0">
                  <c:v>Loddon-Mallee</c:v>
                </c:pt>
              </c:strCache>
            </c:strRef>
          </c:tx>
          <c:spPr>
            <a:solidFill>
              <a:schemeClr val="accent1"/>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Sheet2!$L$140:$L$148</c:f>
              <c:numCache>
                <c:formatCode>0%</c:formatCode>
                <c:ptCount val="9"/>
                <c:pt idx="0">
                  <c:v>0.108433734939759</c:v>
                </c:pt>
                <c:pt idx="1">
                  <c:v>7.2289156626505993E-2</c:v>
                </c:pt>
                <c:pt idx="2">
                  <c:v>0.16265060240963899</c:v>
                </c:pt>
                <c:pt idx="3">
                  <c:v>0.132530120481928</c:v>
                </c:pt>
                <c:pt idx="4">
                  <c:v>0.108433734939759</c:v>
                </c:pt>
                <c:pt idx="5">
                  <c:v>0.19277108433734899</c:v>
                </c:pt>
                <c:pt idx="6">
                  <c:v>9.0361445783132502E-2</c:v>
                </c:pt>
                <c:pt idx="7">
                  <c:v>5.4216867469879498E-2</c:v>
                </c:pt>
                <c:pt idx="8">
                  <c:v>4.2168674698795199E-2</c:v>
                </c:pt>
              </c:numCache>
            </c:numRef>
          </c:val>
          <c:extLst>
            <c:ext xmlns:c16="http://schemas.microsoft.com/office/drawing/2014/chart" uri="{C3380CC4-5D6E-409C-BE32-E72D297353CC}">
              <c16:uniqueId val="{00000000-BF1E-40C4-A871-B93A3BA708A3}"/>
            </c:ext>
          </c:extLst>
        </c:ser>
        <c:ser>
          <c:idx val="1"/>
          <c:order val="1"/>
          <c:tx>
            <c:strRef>
              <c:f>Sheet2!$M$4</c:f>
              <c:strCache>
                <c:ptCount val="1"/>
                <c:pt idx="0">
                  <c:v>Hume</c:v>
                </c:pt>
              </c:strCache>
            </c:strRef>
          </c:tx>
          <c:spPr>
            <a:solidFill>
              <a:schemeClr val="accent2"/>
            </a:solidFill>
            <a:ln>
              <a:noFill/>
            </a:ln>
            <a:effectLst/>
          </c:spPr>
          <c:invertIfNegative val="0"/>
          <c:cat>
            <c:strRef>
              <c:f>Sheet2!$B$21:$B$29</c:f>
              <c:strCache>
                <c:ptCount val="9"/>
                <c:pt idx="0">
                  <c:v>Don't know</c:v>
                </c:pt>
                <c:pt idx="1">
                  <c:v>No impact</c:v>
                </c:pt>
                <c:pt idx="2">
                  <c:v>1
Very negative impact</c:v>
                </c:pt>
                <c:pt idx="3">
                  <c:v>2</c:v>
                </c:pt>
                <c:pt idx="4">
                  <c:v>3</c:v>
                </c:pt>
                <c:pt idx="5">
                  <c:v>4</c:v>
                </c:pt>
                <c:pt idx="6">
                  <c:v>5</c:v>
                </c:pt>
                <c:pt idx="7">
                  <c:v>6</c:v>
                </c:pt>
                <c:pt idx="8">
                  <c:v>7
Very positive impact</c:v>
                </c:pt>
              </c:strCache>
            </c:strRef>
          </c:cat>
          <c:val>
            <c:numRef>
              <c:f>Sheet2!$M$140:$M$148</c:f>
              <c:numCache>
                <c:formatCode>0%</c:formatCode>
                <c:ptCount val="9"/>
                <c:pt idx="0">
                  <c:v>0.106194690265487</c:v>
                </c:pt>
                <c:pt idx="1">
                  <c:v>0.16814159292035399</c:v>
                </c:pt>
                <c:pt idx="2">
                  <c:v>0.132743362831858</c:v>
                </c:pt>
                <c:pt idx="3">
                  <c:v>0.106194690265487</c:v>
                </c:pt>
                <c:pt idx="4">
                  <c:v>9.7345132743362803E-2</c:v>
                </c:pt>
                <c:pt idx="5">
                  <c:v>0.106194690265487</c:v>
                </c:pt>
                <c:pt idx="6">
                  <c:v>9.7345132743362803E-2</c:v>
                </c:pt>
                <c:pt idx="7">
                  <c:v>5.3097345132743397E-2</c:v>
                </c:pt>
                <c:pt idx="8">
                  <c:v>2.6548672566371698E-2</c:v>
                </c:pt>
              </c:numCache>
            </c:numRef>
          </c:val>
          <c:extLst>
            <c:ext xmlns:c16="http://schemas.microsoft.com/office/drawing/2014/chart" uri="{C3380CC4-5D6E-409C-BE32-E72D297353CC}">
              <c16:uniqueId val="{00000001-BF1E-40C4-A871-B93A3BA708A3}"/>
            </c:ext>
          </c:extLst>
        </c:ser>
        <c:dLbls>
          <c:showLegendKey val="0"/>
          <c:showVal val="0"/>
          <c:showCatName val="0"/>
          <c:showSerName val="0"/>
          <c:showPercent val="0"/>
          <c:showBubbleSize val="0"/>
        </c:dLbls>
        <c:gapWidth val="219"/>
        <c:overlap val="-27"/>
        <c:axId val="173239296"/>
        <c:axId val="173269760"/>
      </c:barChart>
      <c:catAx>
        <c:axId val="1732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69760"/>
        <c:crosses val="autoZero"/>
        <c:auto val="1"/>
        <c:lblAlgn val="ctr"/>
        <c:lblOffset val="100"/>
        <c:noMultiLvlLbl val="0"/>
      </c:catAx>
      <c:valAx>
        <c:axId val="17326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Proportion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3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'[water prices.xlsx]Dave'!$F$29</c:f>
              <c:strCache>
                <c:ptCount val="1"/>
                <c:pt idx="0">
                  <c:v>326GL</c:v>
                </c:pt>
              </c:strCache>
            </c:strRef>
          </c:tx>
          <c:spPr>
            <a:ln w="19050" cap="rnd">
              <a:solidFill>
                <a:schemeClr val="accent1"/>
              </a:solidFill>
              <a:round/>
            </a:ln>
            <a:effectLst/>
          </c:spPr>
          <c:marker>
            <c:symbol val="none"/>
          </c:marker>
          <c:xVal>
            <c:numRef>
              <c:f>'[water prices.xlsx]Dave'!$E$30:$E$87</c:f>
              <c:numCache>
                <c:formatCode>_-* #,##0_-;\-* #,##0_-;_-* "-"??_-;_-@_-</c:formatCode>
                <c:ptCount val="58"/>
                <c:pt idx="0">
                  <c:v>1800000</c:v>
                </c:pt>
                <c:pt idx="1">
                  <c:v>1900000</c:v>
                </c:pt>
                <c:pt idx="2">
                  <c:v>2000000</c:v>
                </c:pt>
                <c:pt idx="3">
                  <c:v>2100000</c:v>
                </c:pt>
                <c:pt idx="4">
                  <c:v>2200000</c:v>
                </c:pt>
                <c:pt idx="5">
                  <c:v>2300000</c:v>
                </c:pt>
                <c:pt idx="6">
                  <c:v>2400000</c:v>
                </c:pt>
                <c:pt idx="7">
                  <c:v>2500000</c:v>
                </c:pt>
                <c:pt idx="8">
                  <c:v>2600000</c:v>
                </c:pt>
                <c:pt idx="9">
                  <c:v>2700000</c:v>
                </c:pt>
                <c:pt idx="10">
                  <c:v>2800000</c:v>
                </c:pt>
                <c:pt idx="11">
                  <c:v>2900000</c:v>
                </c:pt>
                <c:pt idx="12">
                  <c:v>3000000</c:v>
                </c:pt>
                <c:pt idx="13">
                  <c:v>3100000</c:v>
                </c:pt>
                <c:pt idx="14">
                  <c:v>3200000</c:v>
                </c:pt>
                <c:pt idx="15">
                  <c:v>3300000</c:v>
                </c:pt>
                <c:pt idx="16">
                  <c:v>3400000</c:v>
                </c:pt>
                <c:pt idx="17">
                  <c:v>3500000</c:v>
                </c:pt>
                <c:pt idx="18">
                  <c:v>3600000</c:v>
                </c:pt>
                <c:pt idx="19">
                  <c:v>3700000</c:v>
                </c:pt>
                <c:pt idx="20">
                  <c:v>3800000</c:v>
                </c:pt>
                <c:pt idx="21">
                  <c:v>3900000</c:v>
                </c:pt>
                <c:pt idx="22">
                  <c:v>4000000</c:v>
                </c:pt>
                <c:pt idx="23">
                  <c:v>4100000</c:v>
                </c:pt>
                <c:pt idx="24">
                  <c:v>4200000</c:v>
                </c:pt>
                <c:pt idx="25">
                  <c:v>4300000</c:v>
                </c:pt>
                <c:pt idx="26">
                  <c:v>4400000</c:v>
                </c:pt>
                <c:pt idx="27">
                  <c:v>4500000</c:v>
                </c:pt>
                <c:pt idx="28">
                  <c:v>4600000</c:v>
                </c:pt>
                <c:pt idx="29">
                  <c:v>4700000</c:v>
                </c:pt>
                <c:pt idx="30">
                  <c:v>4800000</c:v>
                </c:pt>
                <c:pt idx="31">
                  <c:v>4900000</c:v>
                </c:pt>
                <c:pt idx="32">
                  <c:v>5000000</c:v>
                </c:pt>
                <c:pt idx="33">
                  <c:v>5100000</c:v>
                </c:pt>
                <c:pt idx="34">
                  <c:v>5200000</c:v>
                </c:pt>
                <c:pt idx="35">
                  <c:v>5300000</c:v>
                </c:pt>
                <c:pt idx="36">
                  <c:v>5400000</c:v>
                </c:pt>
                <c:pt idx="37">
                  <c:v>5500000</c:v>
                </c:pt>
                <c:pt idx="38">
                  <c:v>5600000</c:v>
                </c:pt>
                <c:pt idx="39">
                  <c:v>5700000</c:v>
                </c:pt>
                <c:pt idx="40">
                  <c:v>5800000</c:v>
                </c:pt>
                <c:pt idx="41">
                  <c:v>5900000</c:v>
                </c:pt>
                <c:pt idx="42">
                  <c:v>6000000</c:v>
                </c:pt>
                <c:pt idx="43">
                  <c:v>6100000</c:v>
                </c:pt>
                <c:pt idx="44">
                  <c:v>6200000</c:v>
                </c:pt>
                <c:pt idx="45">
                  <c:v>6300000</c:v>
                </c:pt>
                <c:pt idx="46">
                  <c:v>6400000</c:v>
                </c:pt>
                <c:pt idx="47">
                  <c:v>6500000</c:v>
                </c:pt>
                <c:pt idx="48">
                  <c:v>6600000</c:v>
                </c:pt>
                <c:pt idx="49">
                  <c:v>6700000</c:v>
                </c:pt>
                <c:pt idx="50">
                  <c:v>6800000</c:v>
                </c:pt>
                <c:pt idx="51">
                  <c:v>6900000</c:v>
                </c:pt>
                <c:pt idx="52">
                  <c:v>7000000</c:v>
                </c:pt>
                <c:pt idx="53">
                  <c:v>7100000</c:v>
                </c:pt>
                <c:pt idx="54">
                  <c:v>7200000</c:v>
                </c:pt>
                <c:pt idx="55">
                  <c:v>7300000</c:v>
                </c:pt>
                <c:pt idx="56">
                  <c:v>7400000</c:v>
                </c:pt>
                <c:pt idx="57">
                  <c:v>7500000</c:v>
                </c:pt>
              </c:numCache>
            </c:numRef>
          </c:xVal>
          <c:yVal>
            <c:numRef>
              <c:f>'[water prices.xlsx]Dave'!$F$30:$F$87</c:f>
              <c:numCache>
                <c:formatCode>0</c:formatCode>
                <c:ptCount val="58"/>
                <c:pt idx="0">
                  <c:v>595.84364806541737</c:v>
                </c:pt>
                <c:pt idx="1">
                  <c:v>555.56093508641027</c:v>
                </c:pt>
                <c:pt idx="2">
                  <c:v>518.00158245573789</c:v>
                </c:pt>
                <c:pt idx="3">
                  <c:v>482.98147418323202</c:v>
                </c:pt>
                <c:pt idx="4">
                  <c:v>450.32894165750952</c:v>
                </c:pt>
                <c:pt idx="5">
                  <c:v>419.88392212624859</c:v>
                </c:pt>
                <c:pt idx="6">
                  <c:v>391.4971740683784</c:v>
                </c:pt>
                <c:pt idx="7">
                  <c:v>365.02954561200511</c:v>
                </c:pt>
                <c:pt idx="8">
                  <c:v>340.35129241171001</c:v>
                </c:pt>
                <c:pt idx="9">
                  <c:v>317.3414416416806</c:v>
                </c:pt>
                <c:pt idx="10">
                  <c:v>295.88719898674702</c:v>
                </c:pt>
                <c:pt idx="11">
                  <c:v>275.88339572452452</c:v>
                </c:pt>
                <c:pt idx="12">
                  <c:v>257.23197318821161</c:v>
                </c:pt>
                <c:pt idx="13">
                  <c:v>239.84150208290319</c:v>
                </c:pt>
                <c:pt idx="14">
                  <c:v>223.62673429905851</c:v>
                </c:pt>
                <c:pt idx="15">
                  <c:v>208.5081850261916</c:v>
                </c:pt>
                <c:pt idx="16">
                  <c:v>194.41174311822709</c:v>
                </c:pt>
                <c:pt idx="17">
                  <c:v>181.26830780057779</c:v>
                </c:pt>
                <c:pt idx="18">
                  <c:v>169.01344993806779</c:v>
                </c:pt>
                <c:pt idx="19">
                  <c:v>157.58709620323799</c:v>
                </c:pt>
                <c:pt idx="20">
                  <c:v>146.9332345968231</c:v>
                </c:pt>
                <c:pt idx="21">
                  <c:v>136.99963987686871</c:v>
                </c:pt>
                <c:pt idx="22">
                  <c:v>127.737617550533</c:v>
                </c:pt>
                <c:pt idx="23">
                  <c:v>119.1017651736264</c:v>
                </c:pt>
                <c:pt idx="24">
                  <c:v>111.04974978777879</c:v>
                </c:pt>
                <c:pt idx="25">
                  <c:v>103.5421004042268</c:v>
                </c:pt>
                <c:pt idx="26">
                  <c:v>96.542014516982249</c:v>
                </c:pt>
                <c:pt idx="27">
                  <c:v>90.015177696904104</c:v>
                </c:pt>
                <c:pt idx="28">
                  <c:v>83.929595382329609</c:v>
                </c:pt>
                <c:pt idx="29">
                  <c:v>78.255436041690203</c:v>
                </c:pt>
                <c:pt idx="30">
                  <c:v>72.964884939317898</c:v>
                </c:pt>
                <c:pt idx="31">
                  <c:v>68.032007787568247</c:v>
                </c:pt>
                <c:pt idx="32">
                  <c:v>63.432623616922243</c:v>
                </c:pt>
                <c:pt idx="33">
                  <c:v>59.144186240838401</c:v>
                </c:pt>
                <c:pt idx="34">
                  <c:v>55.145673734324149</c:v>
                </c:pt>
                <c:pt idx="35">
                  <c:v>51.417485384433142</c:v>
                </c:pt>
                <c:pt idx="36">
                  <c:v>47.941345607550303</c:v>
                </c:pt>
                <c:pt idx="37">
                  <c:v>44.7002143624551</c:v>
                </c:pt>
                <c:pt idx="38">
                  <c:v>41.678203620024227</c:v>
                </c:pt>
                <c:pt idx="39">
                  <c:v>38.860499480091953</c:v>
                </c:pt>
                <c:pt idx="40">
                  <c:v>36.233289553695592</c:v>
                </c:pt>
                <c:pt idx="41">
                  <c:v>33.78369525472926</c:v>
                </c:pt>
                <c:pt idx="42">
                  <c:v>31.499708669095469</c:v>
                </c:pt>
                <c:pt idx="43">
                  <c:v>29.370133691902449</c:v>
                </c:pt>
                <c:pt idx="44">
                  <c:v>27.384531144141299</c:v>
                </c:pt>
                <c:pt idx="45">
                  <c:v>25.533167599819311</c:v>
                </c:pt>
                <c:pt idx="46">
                  <c:v>23.806967672694331</c:v>
                </c:pt>
                <c:pt idx="47">
                  <c:v>22.19746952872088</c:v>
                </c:pt>
                <c:pt idx="48">
                  <c:v>20.696783406129949</c:v>
                </c:pt>
                <c:pt idx="49">
                  <c:v>19.297552939807559</c:v>
                </c:pt>
                <c:pt idx="50">
                  <c:v>17.99291910038443</c:v>
                </c:pt>
                <c:pt idx="51">
                  <c:v>16.776486571266119</c:v>
                </c:pt>
                <c:pt idx="52">
                  <c:v>15.642292398783679</c:v>
                </c:pt>
                <c:pt idx="53">
                  <c:v>14.584776761787699</c:v>
                </c:pt>
                <c:pt idx="54">
                  <c:v>13.598755717398721</c:v>
                </c:pt>
                <c:pt idx="55">
                  <c:v>12.679395789313251</c:v>
                </c:pt>
                <c:pt idx="56">
                  <c:v>11.82219027409718</c:v>
                </c:pt>
                <c:pt idx="57">
                  <c:v>11.02293714932042</c:v>
                </c:pt>
              </c:numCache>
            </c:numRef>
          </c:yVal>
          <c:smooth val="0"/>
          <c:extLst>
            <c:ext xmlns:c16="http://schemas.microsoft.com/office/drawing/2014/chart" uri="{C3380CC4-5D6E-409C-BE32-E72D297353CC}">
              <c16:uniqueId val="{00000000-F01D-486C-BABE-9D3D3080B24C}"/>
            </c:ext>
          </c:extLst>
        </c:ser>
        <c:ser>
          <c:idx val="1"/>
          <c:order val="1"/>
          <c:tx>
            <c:strRef>
              <c:f>'[water prices.xlsx]Dave'!$G$29</c:f>
              <c:strCache>
                <c:ptCount val="1"/>
                <c:pt idx="0">
                  <c:v>526GL</c:v>
                </c:pt>
              </c:strCache>
            </c:strRef>
          </c:tx>
          <c:spPr>
            <a:ln w="19050" cap="rnd">
              <a:solidFill>
                <a:schemeClr val="accent2"/>
              </a:solidFill>
              <a:round/>
            </a:ln>
            <a:effectLst/>
          </c:spPr>
          <c:marker>
            <c:symbol val="none"/>
          </c:marker>
          <c:xVal>
            <c:numRef>
              <c:f>'[water prices.xlsx]Dave'!$E$30:$E$87</c:f>
              <c:numCache>
                <c:formatCode>_-* #,##0_-;\-* #,##0_-;_-* "-"??_-;_-@_-</c:formatCode>
                <c:ptCount val="58"/>
                <c:pt idx="0">
                  <c:v>1800000</c:v>
                </c:pt>
                <c:pt idx="1">
                  <c:v>1900000</c:v>
                </c:pt>
                <c:pt idx="2">
                  <c:v>2000000</c:v>
                </c:pt>
                <c:pt idx="3">
                  <c:v>2100000</c:v>
                </c:pt>
                <c:pt idx="4">
                  <c:v>2200000</c:v>
                </c:pt>
                <c:pt idx="5">
                  <c:v>2300000</c:v>
                </c:pt>
                <c:pt idx="6">
                  <c:v>2400000</c:v>
                </c:pt>
                <c:pt idx="7">
                  <c:v>2500000</c:v>
                </c:pt>
                <c:pt idx="8">
                  <c:v>2600000</c:v>
                </c:pt>
                <c:pt idx="9">
                  <c:v>2700000</c:v>
                </c:pt>
                <c:pt idx="10">
                  <c:v>2800000</c:v>
                </c:pt>
                <c:pt idx="11">
                  <c:v>2900000</c:v>
                </c:pt>
                <c:pt idx="12">
                  <c:v>3000000</c:v>
                </c:pt>
                <c:pt idx="13">
                  <c:v>3100000</c:v>
                </c:pt>
                <c:pt idx="14">
                  <c:v>3200000</c:v>
                </c:pt>
                <c:pt idx="15">
                  <c:v>3300000</c:v>
                </c:pt>
                <c:pt idx="16">
                  <c:v>3400000</c:v>
                </c:pt>
                <c:pt idx="17">
                  <c:v>3500000</c:v>
                </c:pt>
                <c:pt idx="18">
                  <c:v>3600000</c:v>
                </c:pt>
                <c:pt idx="19">
                  <c:v>3700000</c:v>
                </c:pt>
                <c:pt idx="20">
                  <c:v>3800000</c:v>
                </c:pt>
                <c:pt idx="21">
                  <c:v>3900000</c:v>
                </c:pt>
                <c:pt idx="22">
                  <c:v>4000000</c:v>
                </c:pt>
                <c:pt idx="23">
                  <c:v>4100000</c:v>
                </c:pt>
                <c:pt idx="24">
                  <c:v>4200000</c:v>
                </c:pt>
                <c:pt idx="25">
                  <c:v>4300000</c:v>
                </c:pt>
                <c:pt idx="26">
                  <c:v>4400000</c:v>
                </c:pt>
                <c:pt idx="27">
                  <c:v>4500000</c:v>
                </c:pt>
                <c:pt idx="28">
                  <c:v>4600000</c:v>
                </c:pt>
                <c:pt idx="29">
                  <c:v>4700000</c:v>
                </c:pt>
                <c:pt idx="30">
                  <c:v>4800000</c:v>
                </c:pt>
                <c:pt idx="31">
                  <c:v>4900000</c:v>
                </c:pt>
                <c:pt idx="32">
                  <c:v>5000000</c:v>
                </c:pt>
                <c:pt idx="33">
                  <c:v>5100000</c:v>
                </c:pt>
                <c:pt idx="34">
                  <c:v>5200000</c:v>
                </c:pt>
                <c:pt idx="35">
                  <c:v>5300000</c:v>
                </c:pt>
                <c:pt idx="36">
                  <c:v>5400000</c:v>
                </c:pt>
                <c:pt idx="37">
                  <c:v>5500000</c:v>
                </c:pt>
                <c:pt idx="38">
                  <c:v>5600000</c:v>
                </c:pt>
                <c:pt idx="39">
                  <c:v>5700000</c:v>
                </c:pt>
                <c:pt idx="40">
                  <c:v>5800000</c:v>
                </c:pt>
                <c:pt idx="41">
                  <c:v>5900000</c:v>
                </c:pt>
                <c:pt idx="42">
                  <c:v>6000000</c:v>
                </c:pt>
                <c:pt idx="43">
                  <c:v>6100000</c:v>
                </c:pt>
                <c:pt idx="44">
                  <c:v>6200000</c:v>
                </c:pt>
                <c:pt idx="45">
                  <c:v>6300000</c:v>
                </c:pt>
                <c:pt idx="46">
                  <c:v>6400000</c:v>
                </c:pt>
                <c:pt idx="47">
                  <c:v>6500000</c:v>
                </c:pt>
                <c:pt idx="48">
                  <c:v>6600000</c:v>
                </c:pt>
                <c:pt idx="49">
                  <c:v>6700000</c:v>
                </c:pt>
                <c:pt idx="50">
                  <c:v>6800000</c:v>
                </c:pt>
                <c:pt idx="51">
                  <c:v>6900000</c:v>
                </c:pt>
                <c:pt idx="52">
                  <c:v>7000000</c:v>
                </c:pt>
                <c:pt idx="53">
                  <c:v>7100000</c:v>
                </c:pt>
                <c:pt idx="54">
                  <c:v>7200000</c:v>
                </c:pt>
                <c:pt idx="55">
                  <c:v>7300000</c:v>
                </c:pt>
                <c:pt idx="56">
                  <c:v>7400000</c:v>
                </c:pt>
                <c:pt idx="57">
                  <c:v>7500000</c:v>
                </c:pt>
              </c:numCache>
            </c:numRef>
          </c:xVal>
          <c:yVal>
            <c:numRef>
              <c:f>'[water prices.xlsx]Dave'!$G$30:$G$87</c:f>
              <c:numCache>
                <c:formatCode>0</c:formatCode>
                <c:ptCount val="58"/>
                <c:pt idx="0">
                  <c:v>685.38333658515705</c:v>
                </c:pt>
                <c:pt idx="1">
                  <c:v>639.04718729851788</c:v>
                </c:pt>
                <c:pt idx="2">
                  <c:v>595.84364806541737</c:v>
                </c:pt>
                <c:pt idx="3">
                  <c:v>555.56093508641027</c:v>
                </c:pt>
                <c:pt idx="4">
                  <c:v>518.00158245573789</c:v>
                </c:pt>
                <c:pt idx="5">
                  <c:v>482.98147418323202</c:v>
                </c:pt>
                <c:pt idx="6">
                  <c:v>450.32894165750952</c:v>
                </c:pt>
                <c:pt idx="7">
                  <c:v>419.88392212624859</c:v>
                </c:pt>
                <c:pt idx="8">
                  <c:v>391.4971740683784</c:v>
                </c:pt>
                <c:pt idx="9">
                  <c:v>365.02954561200511</c:v>
                </c:pt>
                <c:pt idx="10">
                  <c:v>340.35129241171001</c:v>
                </c:pt>
                <c:pt idx="11">
                  <c:v>317.3414416416806</c:v>
                </c:pt>
                <c:pt idx="12">
                  <c:v>295.88719898674702</c:v>
                </c:pt>
                <c:pt idx="13">
                  <c:v>275.88339572452452</c:v>
                </c:pt>
                <c:pt idx="14">
                  <c:v>257.23197318821161</c:v>
                </c:pt>
                <c:pt idx="15">
                  <c:v>239.84150208290319</c:v>
                </c:pt>
                <c:pt idx="16">
                  <c:v>223.62673429905851</c:v>
                </c:pt>
                <c:pt idx="17">
                  <c:v>208.5081850261916</c:v>
                </c:pt>
                <c:pt idx="18">
                  <c:v>194.41174311822709</c:v>
                </c:pt>
                <c:pt idx="19">
                  <c:v>181.26830780057779</c:v>
                </c:pt>
                <c:pt idx="20">
                  <c:v>169.01344993806779</c:v>
                </c:pt>
                <c:pt idx="21">
                  <c:v>157.58709620323799</c:v>
                </c:pt>
                <c:pt idx="22">
                  <c:v>146.9332345968231</c:v>
                </c:pt>
                <c:pt idx="23">
                  <c:v>136.99963987686871</c:v>
                </c:pt>
                <c:pt idx="24">
                  <c:v>127.737617550533</c:v>
                </c:pt>
                <c:pt idx="25">
                  <c:v>119.1017651736264</c:v>
                </c:pt>
                <c:pt idx="26">
                  <c:v>111.04974978777879</c:v>
                </c:pt>
                <c:pt idx="27">
                  <c:v>103.5421004042268</c:v>
                </c:pt>
                <c:pt idx="28">
                  <c:v>96.542014516982249</c:v>
                </c:pt>
                <c:pt idx="29">
                  <c:v>90.015177696904104</c:v>
                </c:pt>
                <c:pt idx="30">
                  <c:v>83.929595382329609</c:v>
                </c:pt>
                <c:pt idx="31">
                  <c:v>78.255436041690203</c:v>
                </c:pt>
                <c:pt idx="32">
                  <c:v>72.964884939317898</c:v>
                </c:pt>
                <c:pt idx="33">
                  <c:v>68.032007787568247</c:v>
                </c:pt>
                <c:pt idx="34">
                  <c:v>63.432623616922243</c:v>
                </c:pt>
                <c:pt idx="35">
                  <c:v>59.144186240838401</c:v>
                </c:pt>
                <c:pt idx="36">
                  <c:v>55.145673734324149</c:v>
                </c:pt>
                <c:pt idx="37">
                  <c:v>51.417485384433142</c:v>
                </c:pt>
                <c:pt idx="38">
                  <c:v>47.941345607550303</c:v>
                </c:pt>
                <c:pt idx="39">
                  <c:v>44.7002143624551</c:v>
                </c:pt>
                <c:pt idx="40">
                  <c:v>41.678203620024227</c:v>
                </c:pt>
                <c:pt idx="41">
                  <c:v>38.860499480091953</c:v>
                </c:pt>
                <c:pt idx="42">
                  <c:v>36.233289553695592</c:v>
                </c:pt>
                <c:pt idx="43">
                  <c:v>33.78369525472926</c:v>
                </c:pt>
                <c:pt idx="44">
                  <c:v>31.499708669095469</c:v>
                </c:pt>
                <c:pt idx="45">
                  <c:v>29.370133691902449</c:v>
                </c:pt>
                <c:pt idx="46">
                  <c:v>27.384531144141299</c:v>
                </c:pt>
                <c:pt idx="47">
                  <c:v>25.533167599819311</c:v>
                </c:pt>
                <c:pt idx="48">
                  <c:v>23.806967672694331</c:v>
                </c:pt>
                <c:pt idx="49">
                  <c:v>22.19746952872088</c:v>
                </c:pt>
                <c:pt idx="50">
                  <c:v>20.696783406129949</c:v>
                </c:pt>
                <c:pt idx="51">
                  <c:v>19.297552939807559</c:v>
                </c:pt>
                <c:pt idx="52">
                  <c:v>17.99291910038443</c:v>
                </c:pt>
                <c:pt idx="53">
                  <c:v>16.776486571266119</c:v>
                </c:pt>
                <c:pt idx="54">
                  <c:v>15.642292398783679</c:v>
                </c:pt>
                <c:pt idx="55">
                  <c:v>14.584776761787699</c:v>
                </c:pt>
                <c:pt idx="56">
                  <c:v>13.598755717398721</c:v>
                </c:pt>
                <c:pt idx="57">
                  <c:v>12.679395789313251</c:v>
                </c:pt>
              </c:numCache>
            </c:numRef>
          </c:yVal>
          <c:smooth val="0"/>
          <c:extLst>
            <c:ext xmlns:c16="http://schemas.microsoft.com/office/drawing/2014/chart" uri="{C3380CC4-5D6E-409C-BE32-E72D297353CC}">
              <c16:uniqueId val="{00000001-F01D-486C-BABE-9D3D3080B24C}"/>
            </c:ext>
          </c:extLst>
        </c:ser>
        <c:ser>
          <c:idx val="2"/>
          <c:order val="2"/>
          <c:tx>
            <c:strRef>
              <c:f>'[water prices.xlsx]Dave'!$H$29</c:f>
              <c:strCache>
                <c:ptCount val="1"/>
                <c:pt idx="0">
                  <c:v>650GL</c:v>
                </c:pt>
              </c:strCache>
            </c:strRef>
          </c:tx>
          <c:spPr>
            <a:ln w="19050" cap="rnd">
              <a:solidFill>
                <a:schemeClr val="accent3"/>
              </a:solidFill>
              <a:round/>
            </a:ln>
            <a:effectLst/>
          </c:spPr>
          <c:marker>
            <c:symbol val="none"/>
          </c:marker>
          <c:xVal>
            <c:numRef>
              <c:f>'[water prices.xlsx]Dave'!$E$30:$E$87</c:f>
              <c:numCache>
                <c:formatCode>_-* #,##0_-;\-* #,##0_-;_-* "-"??_-;_-@_-</c:formatCode>
                <c:ptCount val="58"/>
                <c:pt idx="0">
                  <c:v>1800000</c:v>
                </c:pt>
                <c:pt idx="1">
                  <c:v>1900000</c:v>
                </c:pt>
                <c:pt idx="2">
                  <c:v>2000000</c:v>
                </c:pt>
                <c:pt idx="3">
                  <c:v>2100000</c:v>
                </c:pt>
                <c:pt idx="4">
                  <c:v>2200000</c:v>
                </c:pt>
                <c:pt idx="5">
                  <c:v>2300000</c:v>
                </c:pt>
                <c:pt idx="6">
                  <c:v>2400000</c:v>
                </c:pt>
                <c:pt idx="7">
                  <c:v>2500000</c:v>
                </c:pt>
                <c:pt idx="8">
                  <c:v>2600000</c:v>
                </c:pt>
                <c:pt idx="9">
                  <c:v>2700000</c:v>
                </c:pt>
                <c:pt idx="10">
                  <c:v>2800000</c:v>
                </c:pt>
                <c:pt idx="11">
                  <c:v>2900000</c:v>
                </c:pt>
                <c:pt idx="12">
                  <c:v>3000000</c:v>
                </c:pt>
                <c:pt idx="13">
                  <c:v>3100000</c:v>
                </c:pt>
                <c:pt idx="14">
                  <c:v>3200000</c:v>
                </c:pt>
                <c:pt idx="15">
                  <c:v>3300000</c:v>
                </c:pt>
                <c:pt idx="16">
                  <c:v>3400000</c:v>
                </c:pt>
                <c:pt idx="17">
                  <c:v>3500000</c:v>
                </c:pt>
                <c:pt idx="18">
                  <c:v>3600000</c:v>
                </c:pt>
                <c:pt idx="19">
                  <c:v>3700000</c:v>
                </c:pt>
                <c:pt idx="20">
                  <c:v>3800000</c:v>
                </c:pt>
                <c:pt idx="21">
                  <c:v>3900000</c:v>
                </c:pt>
                <c:pt idx="22">
                  <c:v>4000000</c:v>
                </c:pt>
                <c:pt idx="23">
                  <c:v>4100000</c:v>
                </c:pt>
                <c:pt idx="24">
                  <c:v>4200000</c:v>
                </c:pt>
                <c:pt idx="25">
                  <c:v>4300000</c:v>
                </c:pt>
                <c:pt idx="26">
                  <c:v>4400000</c:v>
                </c:pt>
                <c:pt idx="27">
                  <c:v>4500000</c:v>
                </c:pt>
                <c:pt idx="28">
                  <c:v>4600000</c:v>
                </c:pt>
                <c:pt idx="29">
                  <c:v>4700000</c:v>
                </c:pt>
                <c:pt idx="30">
                  <c:v>4800000</c:v>
                </c:pt>
                <c:pt idx="31">
                  <c:v>4900000</c:v>
                </c:pt>
                <c:pt idx="32">
                  <c:v>5000000</c:v>
                </c:pt>
                <c:pt idx="33">
                  <c:v>5100000</c:v>
                </c:pt>
                <c:pt idx="34">
                  <c:v>5200000</c:v>
                </c:pt>
                <c:pt idx="35">
                  <c:v>5300000</c:v>
                </c:pt>
                <c:pt idx="36">
                  <c:v>5400000</c:v>
                </c:pt>
                <c:pt idx="37">
                  <c:v>5500000</c:v>
                </c:pt>
                <c:pt idx="38">
                  <c:v>5600000</c:v>
                </c:pt>
                <c:pt idx="39">
                  <c:v>5700000</c:v>
                </c:pt>
                <c:pt idx="40">
                  <c:v>5800000</c:v>
                </c:pt>
                <c:pt idx="41">
                  <c:v>5900000</c:v>
                </c:pt>
                <c:pt idx="42">
                  <c:v>6000000</c:v>
                </c:pt>
                <c:pt idx="43">
                  <c:v>6100000</c:v>
                </c:pt>
                <c:pt idx="44">
                  <c:v>6200000</c:v>
                </c:pt>
                <c:pt idx="45">
                  <c:v>6300000</c:v>
                </c:pt>
                <c:pt idx="46">
                  <c:v>6400000</c:v>
                </c:pt>
                <c:pt idx="47">
                  <c:v>6500000</c:v>
                </c:pt>
                <c:pt idx="48">
                  <c:v>6600000</c:v>
                </c:pt>
                <c:pt idx="49">
                  <c:v>6700000</c:v>
                </c:pt>
                <c:pt idx="50">
                  <c:v>6800000</c:v>
                </c:pt>
                <c:pt idx="51">
                  <c:v>6900000</c:v>
                </c:pt>
                <c:pt idx="52">
                  <c:v>7000000</c:v>
                </c:pt>
                <c:pt idx="53">
                  <c:v>7100000</c:v>
                </c:pt>
                <c:pt idx="54">
                  <c:v>7200000</c:v>
                </c:pt>
                <c:pt idx="55">
                  <c:v>7300000</c:v>
                </c:pt>
                <c:pt idx="56">
                  <c:v>7400000</c:v>
                </c:pt>
                <c:pt idx="57">
                  <c:v>7500000</c:v>
                </c:pt>
              </c:numCache>
            </c:numRef>
          </c:xVal>
          <c:yVal>
            <c:numRef>
              <c:f>'[water prices.xlsx]Dave'!$H$30:$H$87</c:f>
              <c:numCache>
                <c:formatCode>0</c:formatCode>
                <c:ptCount val="58"/>
                <c:pt idx="0">
                  <c:v>747.5328846863905</c:v>
                </c:pt>
                <c:pt idx="1">
                  <c:v>696.99504185805654</c:v>
                </c:pt>
                <c:pt idx="2">
                  <c:v>649.87386953353951</c:v>
                </c:pt>
                <c:pt idx="3">
                  <c:v>605.93837967143702</c:v>
                </c:pt>
                <c:pt idx="4">
                  <c:v>564.97320044947162</c:v>
                </c:pt>
                <c:pt idx="5">
                  <c:v>526.77752051157177</c:v>
                </c:pt>
                <c:pt idx="6">
                  <c:v>491.16410459036871</c:v>
                </c:pt>
                <c:pt idx="7">
                  <c:v>457.95837567969812</c:v>
                </c:pt>
                <c:pt idx="8">
                  <c:v>426.99755925791101</c:v>
                </c:pt>
                <c:pt idx="9">
                  <c:v>398.12988536700601</c:v>
                </c:pt>
                <c:pt idx="10">
                  <c:v>371.21384463606</c:v>
                </c:pt>
                <c:pt idx="11">
                  <c:v>346.11749460218903</c:v>
                </c:pt>
                <c:pt idx="12">
                  <c:v>322.71781292841149</c:v>
                </c:pt>
                <c:pt idx="13">
                  <c:v>300.90009434801391</c:v>
                </c:pt>
                <c:pt idx="14">
                  <c:v>280.55738837920569</c:v>
                </c:pt>
                <c:pt idx="15">
                  <c:v>261.5899750537244</c:v>
                </c:pt>
                <c:pt idx="16">
                  <c:v>243.9048760894438</c:v>
                </c:pt>
                <c:pt idx="17">
                  <c:v>227.41539911072351</c:v>
                </c:pt>
                <c:pt idx="18">
                  <c:v>212.0407126822833</c:v>
                </c:pt>
                <c:pt idx="19">
                  <c:v>197.70545007341369</c:v>
                </c:pt>
                <c:pt idx="20">
                  <c:v>184.33933981017501</c:v>
                </c:pt>
                <c:pt idx="21">
                  <c:v>171.87686120454961</c:v>
                </c:pt>
                <c:pt idx="22">
                  <c:v>160.2569231719545</c:v>
                </c:pt>
                <c:pt idx="23">
                  <c:v>149.42256476267281</c:v>
                </c:pt>
                <c:pt idx="24">
                  <c:v>139.32067593921241</c:v>
                </c:pt>
                <c:pt idx="25">
                  <c:v>129.90173723084101</c:v>
                </c:pt>
                <c:pt idx="26">
                  <c:v>121.1195769890826</c:v>
                </c:pt>
                <c:pt idx="27">
                  <c:v>112.9311450542432</c:v>
                </c:pt>
                <c:pt idx="28">
                  <c:v>105.29630172347861</c:v>
                </c:pt>
                <c:pt idx="29">
                  <c:v>98.177620985923525</c:v>
                </c:pt>
                <c:pt idx="30">
                  <c:v>91.540207060343604</c:v>
                </c:pt>
                <c:pt idx="31">
                  <c:v>85.351523335975301</c:v>
                </c:pt>
                <c:pt idx="32">
                  <c:v>79.581232878020742</c:v>
                </c:pt>
                <c:pt idx="33">
                  <c:v>74.201049715963407</c:v>
                </c:pt>
                <c:pt idx="34">
                  <c:v>69.184600185698301</c:v>
                </c:pt>
                <c:pt idx="35">
                  <c:v>64.507293645809099</c:v>
                </c:pt>
                <c:pt idx="36">
                  <c:v>60.146201934210502</c:v>
                </c:pt>
                <c:pt idx="37">
                  <c:v>56.079946974273128</c:v>
                </c:pt>
                <c:pt idx="38">
                  <c:v>52.288595979465541</c:v>
                </c:pt>
                <c:pt idx="39">
                  <c:v>48.753563742812673</c:v>
                </c:pt>
                <c:pt idx="40">
                  <c:v>45.457521532189247</c:v>
                </c:pt>
                <c:pt idx="41">
                  <c:v>42.384312144854832</c:v>
                </c:pt>
                <c:pt idx="42">
                  <c:v>39.518870704827272</c:v>
                </c:pt>
                <c:pt idx="43">
                  <c:v>36.847150814843182</c:v>
                </c:pt>
                <c:pt idx="44">
                  <c:v>34.356055700902147</c:v>
                </c:pt>
                <c:pt idx="45">
                  <c:v>32.033374011865718</c:v>
                </c:pt>
                <c:pt idx="46">
                  <c:v>29.86771995939942</c:v>
                </c:pt>
                <c:pt idx="47">
                  <c:v>27.848477504825549</c:v>
                </c:pt>
                <c:pt idx="48">
                  <c:v>25.965748319289119</c:v>
                </c:pt>
                <c:pt idx="49">
                  <c:v>24.210303262138488</c:v>
                </c:pt>
                <c:pt idx="50">
                  <c:v>22.57353713966674</c:v>
                </c:pt>
                <c:pt idx="51">
                  <c:v>21.04742652244266</c:v>
                </c:pt>
                <c:pt idx="52">
                  <c:v>19.624490414450101</c:v>
                </c:pt>
                <c:pt idx="53">
                  <c:v>18.29775358123678</c:v>
                </c:pt>
                <c:pt idx="54">
                  <c:v>17.060712357307079</c:v>
                </c:pt>
                <c:pt idx="55">
                  <c:v>15.90730276514619</c:v>
                </c:pt>
                <c:pt idx="56">
                  <c:v>14.831870789595101</c:v>
                </c:pt>
                <c:pt idx="57">
                  <c:v>13.82914466186203</c:v>
                </c:pt>
              </c:numCache>
            </c:numRef>
          </c:yVal>
          <c:smooth val="0"/>
          <c:extLst>
            <c:ext xmlns:c16="http://schemas.microsoft.com/office/drawing/2014/chart" uri="{C3380CC4-5D6E-409C-BE32-E72D297353CC}">
              <c16:uniqueId val="{00000002-F01D-486C-BABE-9D3D3080B24C}"/>
            </c:ext>
          </c:extLst>
        </c:ser>
        <c:ser>
          <c:idx val="3"/>
          <c:order val="3"/>
          <c:tx>
            <c:strRef>
              <c:f>'[water prices.xlsx]Dave'!$I$29</c:f>
              <c:strCache>
                <c:ptCount val="1"/>
                <c:pt idx="0">
                  <c:v>750GL</c:v>
                </c:pt>
              </c:strCache>
            </c:strRef>
          </c:tx>
          <c:spPr>
            <a:ln w="19050" cap="rnd">
              <a:solidFill>
                <a:schemeClr val="accent4"/>
              </a:solidFill>
              <a:round/>
            </a:ln>
            <a:effectLst/>
          </c:spPr>
          <c:marker>
            <c:symbol val="none"/>
          </c:marker>
          <c:xVal>
            <c:numRef>
              <c:f>'[water prices.xlsx]Dave'!$E$30:$E$87</c:f>
              <c:numCache>
                <c:formatCode>_-* #,##0_-;\-* #,##0_-;_-* "-"??_-;_-@_-</c:formatCode>
                <c:ptCount val="58"/>
                <c:pt idx="0">
                  <c:v>1800000</c:v>
                </c:pt>
                <c:pt idx="1">
                  <c:v>1900000</c:v>
                </c:pt>
                <c:pt idx="2">
                  <c:v>2000000</c:v>
                </c:pt>
                <c:pt idx="3">
                  <c:v>2100000</c:v>
                </c:pt>
                <c:pt idx="4">
                  <c:v>2200000</c:v>
                </c:pt>
                <c:pt idx="5">
                  <c:v>2300000</c:v>
                </c:pt>
                <c:pt idx="6">
                  <c:v>2400000</c:v>
                </c:pt>
                <c:pt idx="7">
                  <c:v>2500000</c:v>
                </c:pt>
                <c:pt idx="8">
                  <c:v>2600000</c:v>
                </c:pt>
                <c:pt idx="9">
                  <c:v>2700000</c:v>
                </c:pt>
                <c:pt idx="10">
                  <c:v>2800000</c:v>
                </c:pt>
                <c:pt idx="11">
                  <c:v>2900000</c:v>
                </c:pt>
                <c:pt idx="12">
                  <c:v>3000000</c:v>
                </c:pt>
                <c:pt idx="13">
                  <c:v>3100000</c:v>
                </c:pt>
                <c:pt idx="14">
                  <c:v>3200000</c:v>
                </c:pt>
                <c:pt idx="15">
                  <c:v>3300000</c:v>
                </c:pt>
                <c:pt idx="16">
                  <c:v>3400000</c:v>
                </c:pt>
                <c:pt idx="17">
                  <c:v>3500000</c:v>
                </c:pt>
                <c:pt idx="18">
                  <c:v>3600000</c:v>
                </c:pt>
                <c:pt idx="19">
                  <c:v>3700000</c:v>
                </c:pt>
                <c:pt idx="20">
                  <c:v>3800000</c:v>
                </c:pt>
                <c:pt idx="21">
                  <c:v>3900000</c:v>
                </c:pt>
                <c:pt idx="22">
                  <c:v>4000000</c:v>
                </c:pt>
                <c:pt idx="23">
                  <c:v>4100000</c:v>
                </c:pt>
                <c:pt idx="24">
                  <c:v>4200000</c:v>
                </c:pt>
                <c:pt idx="25">
                  <c:v>4300000</c:v>
                </c:pt>
                <c:pt idx="26">
                  <c:v>4400000</c:v>
                </c:pt>
                <c:pt idx="27">
                  <c:v>4500000</c:v>
                </c:pt>
                <c:pt idx="28">
                  <c:v>4600000</c:v>
                </c:pt>
                <c:pt idx="29">
                  <c:v>4700000</c:v>
                </c:pt>
                <c:pt idx="30">
                  <c:v>4800000</c:v>
                </c:pt>
                <c:pt idx="31">
                  <c:v>4900000</c:v>
                </c:pt>
                <c:pt idx="32">
                  <c:v>5000000</c:v>
                </c:pt>
                <c:pt idx="33">
                  <c:v>5100000</c:v>
                </c:pt>
                <c:pt idx="34">
                  <c:v>5200000</c:v>
                </c:pt>
                <c:pt idx="35">
                  <c:v>5300000</c:v>
                </c:pt>
                <c:pt idx="36">
                  <c:v>5400000</c:v>
                </c:pt>
                <c:pt idx="37">
                  <c:v>5500000</c:v>
                </c:pt>
                <c:pt idx="38">
                  <c:v>5600000</c:v>
                </c:pt>
                <c:pt idx="39">
                  <c:v>5700000</c:v>
                </c:pt>
                <c:pt idx="40">
                  <c:v>5800000</c:v>
                </c:pt>
                <c:pt idx="41">
                  <c:v>5900000</c:v>
                </c:pt>
                <c:pt idx="42">
                  <c:v>6000000</c:v>
                </c:pt>
                <c:pt idx="43">
                  <c:v>6100000</c:v>
                </c:pt>
                <c:pt idx="44">
                  <c:v>6200000</c:v>
                </c:pt>
                <c:pt idx="45">
                  <c:v>6300000</c:v>
                </c:pt>
                <c:pt idx="46">
                  <c:v>6400000</c:v>
                </c:pt>
                <c:pt idx="47">
                  <c:v>6500000</c:v>
                </c:pt>
                <c:pt idx="48">
                  <c:v>6600000</c:v>
                </c:pt>
                <c:pt idx="49">
                  <c:v>6700000</c:v>
                </c:pt>
                <c:pt idx="50">
                  <c:v>6800000</c:v>
                </c:pt>
                <c:pt idx="51">
                  <c:v>6900000</c:v>
                </c:pt>
                <c:pt idx="52">
                  <c:v>7000000</c:v>
                </c:pt>
                <c:pt idx="53">
                  <c:v>7100000</c:v>
                </c:pt>
                <c:pt idx="54">
                  <c:v>7200000</c:v>
                </c:pt>
                <c:pt idx="55">
                  <c:v>7300000</c:v>
                </c:pt>
                <c:pt idx="56">
                  <c:v>7400000</c:v>
                </c:pt>
                <c:pt idx="57">
                  <c:v>7500000</c:v>
                </c:pt>
              </c:numCache>
            </c:numRef>
          </c:xVal>
          <c:yVal>
            <c:numRef>
              <c:f>'[water prices.xlsx]Dave'!$I$30:$I$87</c:f>
              <c:numCache>
                <c:formatCode>0</c:formatCode>
                <c:ptCount val="58"/>
                <c:pt idx="0">
                  <c:v>801.73513458271839</c:v>
                </c:pt>
                <c:pt idx="1">
                  <c:v>747.5328846863905</c:v>
                </c:pt>
                <c:pt idx="2">
                  <c:v>696.99504185805654</c:v>
                </c:pt>
                <c:pt idx="3">
                  <c:v>649.87386953353951</c:v>
                </c:pt>
                <c:pt idx="4">
                  <c:v>605.93837967143702</c:v>
                </c:pt>
                <c:pt idx="5">
                  <c:v>564.97320044947162</c:v>
                </c:pt>
                <c:pt idx="6">
                  <c:v>526.77752051157177</c:v>
                </c:pt>
                <c:pt idx="7">
                  <c:v>491.16410459036871</c:v>
                </c:pt>
                <c:pt idx="8">
                  <c:v>457.95837567969812</c:v>
                </c:pt>
                <c:pt idx="9">
                  <c:v>426.99755925791101</c:v>
                </c:pt>
                <c:pt idx="10">
                  <c:v>398.12988536700601</c:v>
                </c:pt>
                <c:pt idx="11">
                  <c:v>371.21384463606</c:v>
                </c:pt>
                <c:pt idx="12">
                  <c:v>346.11749460218903</c:v>
                </c:pt>
                <c:pt idx="13">
                  <c:v>322.71781292841149</c:v>
                </c:pt>
                <c:pt idx="14">
                  <c:v>300.90009434801391</c:v>
                </c:pt>
                <c:pt idx="15">
                  <c:v>280.55738837920569</c:v>
                </c:pt>
                <c:pt idx="16">
                  <c:v>261.5899750537244</c:v>
                </c:pt>
                <c:pt idx="17">
                  <c:v>243.9048760894438</c:v>
                </c:pt>
                <c:pt idx="18">
                  <c:v>227.41539911072351</c:v>
                </c:pt>
                <c:pt idx="19">
                  <c:v>212.0407126822833</c:v>
                </c:pt>
                <c:pt idx="20">
                  <c:v>197.70545007341369</c:v>
                </c:pt>
                <c:pt idx="21">
                  <c:v>184.33933981017501</c:v>
                </c:pt>
                <c:pt idx="22">
                  <c:v>171.87686120454961</c:v>
                </c:pt>
                <c:pt idx="23">
                  <c:v>160.2569231719545</c:v>
                </c:pt>
                <c:pt idx="24">
                  <c:v>149.42256476267281</c:v>
                </c:pt>
                <c:pt idx="25">
                  <c:v>139.32067593921241</c:v>
                </c:pt>
                <c:pt idx="26">
                  <c:v>129.90173723084101</c:v>
                </c:pt>
                <c:pt idx="27">
                  <c:v>121.1195769890826</c:v>
                </c:pt>
                <c:pt idx="28">
                  <c:v>112.9311450542432</c:v>
                </c:pt>
                <c:pt idx="29">
                  <c:v>105.29630172347861</c:v>
                </c:pt>
                <c:pt idx="30">
                  <c:v>98.177620985923525</c:v>
                </c:pt>
                <c:pt idx="31">
                  <c:v>91.540207060343604</c:v>
                </c:pt>
                <c:pt idx="32">
                  <c:v>85.351523335975301</c:v>
                </c:pt>
                <c:pt idx="33">
                  <c:v>79.581232878020742</c:v>
                </c:pt>
                <c:pt idx="34">
                  <c:v>74.201049715963407</c:v>
                </c:pt>
                <c:pt idx="35">
                  <c:v>69.184600185698301</c:v>
                </c:pt>
                <c:pt idx="36">
                  <c:v>64.507293645809099</c:v>
                </c:pt>
                <c:pt idx="37">
                  <c:v>60.146201934210502</c:v>
                </c:pt>
                <c:pt idx="38">
                  <c:v>56.079946974273128</c:v>
                </c:pt>
                <c:pt idx="39">
                  <c:v>52.288595979465541</c:v>
                </c:pt>
                <c:pt idx="40">
                  <c:v>48.753563742812673</c:v>
                </c:pt>
                <c:pt idx="41">
                  <c:v>45.457521532189247</c:v>
                </c:pt>
                <c:pt idx="42">
                  <c:v>42.384312144854832</c:v>
                </c:pt>
                <c:pt idx="43">
                  <c:v>39.518870704827272</c:v>
                </c:pt>
                <c:pt idx="44">
                  <c:v>36.847150814843182</c:v>
                </c:pt>
                <c:pt idx="45">
                  <c:v>34.356055700902147</c:v>
                </c:pt>
                <c:pt idx="46">
                  <c:v>32.033374011865718</c:v>
                </c:pt>
                <c:pt idx="47">
                  <c:v>29.86771995939942</c:v>
                </c:pt>
                <c:pt idx="48">
                  <c:v>27.848477504825549</c:v>
                </c:pt>
                <c:pt idx="49">
                  <c:v>25.965748319289119</c:v>
                </c:pt>
                <c:pt idx="50">
                  <c:v>24.210303262138488</c:v>
                </c:pt>
                <c:pt idx="51">
                  <c:v>22.57353713966674</c:v>
                </c:pt>
                <c:pt idx="52">
                  <c:v>21.04742652244266</c:v>
                </c:pt>
                <c:pt idx="53">
                  <c:v>19.624490414450101</c:v>
                </c:pt>
                <c:pt idx="54">
                  <c:v>18.29775358123678</c:v>
                </c:pt>
                <c:pt idx="55">
                  <c:v>17.060712357307079</c:v>
                </c:pt>
                <c:pt idx="56">
                  <c:v>15.90730276514619</c:v>
                </c:pt>
                <c:pt idx="57">
                  <c:v>14.831870789595101</c:v>
                </c:pt>
              </c:numCache>
            </c:numRef>
          </c:yVal>
          <c:smooth val="0"/>
          <c:extLst>
            <c:ext xmlns:c16="http://schemas.microsoft.com/office/drawing/2014/chart" uri="{C3380CC4-5D6E-409C-BE32-E72D297353CC}">
              <c16:uniqueId val="{00000003-F01D-486C-BABE-9D3D3080B24C}"/>
            </c:ext>
          </c:extLst>
        </c:ser>
        <c:dLbls>
          <c:showLegendKey val="0"/>
          <c:showVal val="0"/>
          <c:showCatName val="0"/>
          <c:showSerName val="0"/>
          <c:showPercent val="0"/>
          <c:showBubbleSize val="0"/>
        </c:dLbls>
        <c:axId val="173548672"/>
        <c:axId val="173550592"/>
      </c:scatterChart>
      <c:valAx>
        <c:axId val="173548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 of announced allocations in the sMDB (ML)</a:t>
                </a:r>
              </a:p>
            </c:rich>
          </c:tx>
          <c:overlay val="0"/>
          <c:spPr>
            <a:noFill/>
            <a:ln>
              <a:noFill/>
            </a:ln>
            <a:effectLst/>
          </c:spPr>
        </c:title>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50592"/>
        <c:crosses val="autoZero"/>
        <c:crossBetween val="midCat"/>
      </c:valAx>
      <c:valAx>
        <c:axId val="1735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Allocation price ($/ML)</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48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'Fig6'!$D$112</c:f>
              <c:strCache>
                <c:ptCount val="1"/>
                <c:pt idx="0">
                  <c:v>Observed "with BP" GMW districts subtotal</c:v>
                </c:pt>
              </c:strCache>
            </c:strRef>
          </c:tx>
          <c:spPr>
            <a:solidFill>
              <a:schemeClr val="accent1"/>
            </a:solidFill>
            <a:ln>
              <a:noFill/>
            </a:ln>
            <a:effectLst/>
          </c:spPr>
          <c:invertIfNegative val="0"/>
          <c:cat>
            <c:strRef>
              <c:f>'Fig6'!$E$98:$M$98</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'Fig6'!$E$112:$M$112</c:f>
              <c:numCache>
                <c:formatCode>#,##0</c:formatCode>
                <c:ptCount val="9"/>
                <c:pt idx="0">
                  <c:v>1686</c:v>
                </c:pt>
                <c:pt idx="1">
                  <c:v>555</c:v>
                </c:pt>
                <c:pt idx="2">
                  <c:v>745</c:v>
                </c:pt>
                <c:pt idx="3">
                  <c:v>495</c:v>
                </c:pt>
                <c:pt idx="4">
                  <c:v>1267</c:v>
                </c:pt>
                <c:pt idx="5">
                  <c:v>1776</c:v>
                </c:pt>
                <c:pt idx="6">
                  <c:v>1316</c:v>
                </c:pt>
                <c:pt idx="7">
                  <c:v>1450</c:v>
                </c:pt>
                <c:pt idx="8">
                  <c:v>1154</c:v>
                </c:pt>
              </c:numCache>
            </c:numRef>
          </c:val>
          <c:extLst>
            <c:ext xmlns:c16="http://schemas.microsoft.com/office/drawing/2014/chart" uri="{C3380CC4-5D6E-409C-BE32-E72D297353CC}">
              <c16:uniqueId val="{00000000-5FE8-4718-ADD7-BACF8CB8D9C9}"/>
            </c:ext>
          </c:extLst>
        </c:ser>
        <c:ser>
          <c:idx val="1"/>
          <c:order val="1"/>
          <c:tx>
            <c:strRef>
              <c:f>'Fig6'!$D$117</c:f>
              <c:strCache>
                <c:ptCount val="1"/>
                <c:pt idx="0">
                  <c:v>"Without BP" estimated GMW districts subtotal</c:v>
                </c:pt>
              </c:strCache>
            </c:strRef>
          </c:tx>
          <c:spPr>
            <a:solidFill>
              <a:schemeClr val="accent2"/>
            </a:solidFill>
            <a:ln>
              <a:noFill/>
            </a:ln>
            <a:effectLst/>
          </c:spPr>
          <c:invertIfNegative val="0"/>
          <c:cat>
            <c:strRef>
              <c:f>'Fig6'!$E$98:$M$98</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'Fig6'!$E$117:$M$117</c:f>
              <c:numCache>
                <c:formatCode>#,##0</c:formatCode>
                <c:ptCount val="9"/>
                <c:pt idx="0">
                  <c:v>1686</c:v>
                </c:pt>
                <c:pt idx="1">
                  <c:v>556.50691973787082</c:v>
                </c:pt>
                <c:pt idx="2">
                  <c:v>817.25459842377938</c:v>
                </c:pt>
                <c:pt idx="3">
                  <c:v>637.18244436471218</c:v>
                </c:pt>
                <c:pt idx="4">
                  <c:v>1593.709004763374</c:v>
                </c:pt>
                <c:pt idx="5">
                  <c:v>2293.5810020812442</c:v>
                </c:pt>
                <c:pt idx="6">
                  <c:v>1749.717524562164</c:v>
                </c:pt>
                <c:pt idx="7">
                  <c:v>1922.65833856871</c:v>
                </c:pt>
                <c:pt idx="8">
                  <c:v>1555.3195947143911</c:v>
                </c:pt>
              </c:numCache>
            </c:numRef>
          </c:val>
          <c:extLst>
            <c:ext xmlns:c16="http://schemas.microsoft.com/office/drawing/2014/chart" uri="{C3380CC4-5D6E-409C-BE32-E72D297353CC}">
              <c16:uniqueId val="{00000001-5FE8-4718-ADD7-BACF8CB8D9C9}"/>
            </c:ext>
          </c:extLst>
        </c:ser>
        <c:dLbls>
          <c:showLegendKey val="0"/>
          <c:showVal val="0"/>
          <c:showCatName val="0"/>
          <c:showSerName val="0"/>
          <c:showPercent val="0"/>
          <c:showBubbleSize val="0"/>
        </c:dLbls>
        <c:gapWidth val="219"/>
        <c:overlap val="-27"/>
        <c:axId val="68655744"/>
        <c:axId val="68657536"/>
      </c:barChart>
      <c:catAx>
        <c:axId val="6865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57536"/>
        <c:crosses val="autoZero"/>
        <c:auto val="1"/>
        <c:lblAlgn val="ctr"/>
        <c:lblOffset val="100"/>
        <c:noMultiLvlLbl val="0"/>
      </c:catAx>
      <c:valAx>
        <c:axId val="68657536"/>
        <c:scaling>
          <c:orientation val="minMax"/>
          <c:max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Water use (GL)</a:t>
                </a:r>
              </a:p>
            </c:rich>
          </c:tx>
          <c:layout>
            <c:manualLayout>
              <c:xMode val="edge"/>
              <c:yMode val="edge"/>
              <c:x val="1.9515596122433199E-2"/>
              <c:y val="0.27584776902887098"/>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5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'Fig7'!$K$14</c:f>
              <c:strCache>
                <c:ptCount val="1"/>
                <c:pt idx="0">
                  <c:v>Observed "with BP" GMID milk production</c:v>
                </c:pt>
              </c:strCache>
            </c:strRef>
          </c:tx>
          <c:spPr>
            <a:solidFill>
              <a:schemeClr val="accent1"/>
            </a:solidFill>
            <a:ln>
              <a:noFill/>
            </a:ln>
            <a:effectLst/>
          </c:spPr>
          <c:invertIfNegative val="0"/>
          <c:cat>
            <c:strRef>
              <c:f>'Fig7'!$D$5:$T$5</c:f>
              <c:strCache>
                <c:ptCount val="17"/>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strCache>
            </c:strRef>
          </c:cat>
          <c:val>
            <c:numRef>
              <c:f>'Fig7'!$D$10:$T$10</c:f>
              <c:numCache>
                <c:formatCode>#,###</c:formatCode>
                <c:ptCount val="17"/>
                <c:pt idx="0">
                  <c:v>2755.4059590000002</c:v>
                </c:pt>
                <c:pt idx="1">
                  <c:v>2531.3705199999999</c:v>
                </c:pt>
                <c:pt idx="2">
                  <c:v>2787.3154829999999</c:v>
                </c:pt>
                <c:pt idx="3">
                  <c:v>2335.5806975</c:v>
                </c:pt>
                <c:pt idx="4">
                  <c:v>2329.0023960379799</c:v>
                </c:pt>
                <c:pt idx="5">
                  <c:v>2378.8933860000002</c:v>
                </c:pt>
                <c:pt idx="6">
                  <c:v>2336.7103394999999</c:v>
                </c:pt>
                <c:pt idx="7">
                  <c:v>1904.07850676</c:v>
                </c:pt>
                <c:pt idx="8">
                  <c:v>1735.19117643</c:v>
                </c:pt>
                <c:pt idx="9">
                  <c:v>1649.15594599</c:v>
                </c:pt>
                <c:pt idx="10">
                  <c:v>1411.82505416</c:v>
                </c:pt>
                <c:pt idx="11">
                  <c:v>1400.3714184750861</c:v>
                </c:pt>
                <c:pt idx="12">
                  <c:v>1671.157481264253</c:v>
                </c:pt>
                <c:pt idx="13">
                  <c:v>1739.7376892499999</c:v>
                </c:pt>
                <c:pt idx="14">
                  <c:v>1760.5466972500001</c:v>
                </c:pt>
                <c:pt idx="15">
                  <c:v>1801.38796923</c:v>
                </c:pt>
                <c:pt idx="16">
                  <c:v>1728.0812252400001</c:v>
                </c:pt>
              </c:numCache>
            </c:numRef>
          </c:val>
          <c:extLst>
            <c:ext xmlns:c16="http://schemas.microsoft.com/office/drawing/2014/chart" uri="{C3380CC4-5D6E-409C-BE32-E72D297353CC}">
              <c16:uniqueId val="{00000000-2662-43AB-AC9A-E00B525E3061}"/>
            </c:ext>
          </c:extLst>
        </c:ser>
        <c:ser>
          <c:idx val="1"/>
          <c:order val="1"/>
          <c:tx>
            <c:strRef>
              <c:f>'Fig7'!$K$15</c:f>
              <c:strCache>
                <c:ptCount val="1"/>
                <c:pt idx="0">
                  <c:v>"Without BP" estimated GMID milk production</c:v>
                </c:pt>
              </c:strCache>
            </c:strRef>
          </c:tx>
          <c:spPr>
            <a:solidFill>
              <a:schemeClr val="accent2"/>
            </a:solidFill>
            <a:ln>
              <a:noFill/>
            </a:ln>
            <a:effectLst/>
          </c:spPr>
          <c:invertIfNegative val="0"/>
          <c:cat>
            <c:strRef>
              <c:f>'Fig7'!$D$5:$T$5</c:f>
              <c:strCache>
                <c:ptCount val="17"/>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strCache>
            </c:strRef>
          </c:cat>
          <c:val>
            <c:numRef>
              <c:f>'Fig7'!$D$11:$T$11</c:f>
              <c:numCache>
                <c:formatCode>#,###</c:formatCode>
                <c:ptCount val="17"/>
                <c:pt idx="0">
                  <c:v>2755.4059590000002</c:v>
                </c:pt>
                <c:pt idx="1">
                  <c:v>2531.3705199999999</c:v>
                </c:pt>
                <c:pt idx="2">
                  <c:v>2787.3154829999999</c:v>
                </c:pt>
                <c:pt idx="3">
                  <c:v>2335.5806975</c:v>
                </c:pt>
                <c:pt idx="4">
                  <c:v>2329.0023960379799</c:v>
                </c:pt>
                <c:pt idx="5">
                  <c:v>2378.8933860000002</c:v>
                </c:pt>
                <c:pt idx="6">
                  <c:v>2336.7103394999999</c:v>
                </c:pt>
                <c:pt idx="7">
                  <c:v>1904.07850676</c:v>
                </c:pt>
                <c:pt idx="8">
                  <c:v>1735.19117643</c:v>
                </c:pt>
                <c:pt idx="9" formatCode="_-* #,##0_-;\-* #,##0_-;_-* &quot;-&quot;??_-;_-@_-">
                  <c:v>1653.633685892413</c:v>
                </c:pt>
                <c:pt idx="10" formatCode="_-* #,##0_-;\-* #,##0_-;_-* &quot;-&quot;??_-;_-@_-">
                  <c:v>1548.752372727733</c:v>
                </c:pt>
                <c:pt idx="11" formatCode="_-* #,##0_-;\-* #,##0_-;_-* &quot;-&quot;??_-;_-@_-">
                  <c:v>1802.610269580676</c:v>
                </c:pt>
                <c:pt idx="12" formatCode="_-* #,##0_-;\-* #,##0_-;_-* &quot;-&quot;??_-;_-@_-">
                  <c:v>2102.0826568812308</c:v>
                </c:pt>
                <c:pt idx="13" formatCode="_-* #,##0_-;\-* #,##0_-;_-* &quot;-&quot;??_-;_-@_-">
                  <c:v>2246.7507391151589</c:v>
                </c:pt>
                <c:pt idx="14" formatCode="_-* #,##0_-;\-* #,##0_-;_-* &quot;-&quot;??_-;_-@_-">
                  <c:v>2340.7746268908531</c:v>
                </c:pt>
                <c:pt idx="15" formatCode="_-* #,##0_-;\-* #,##0_-;_-* &quot;-&quot;??_-;_-@_-">
                  <c:v>2388.5886896809639</c:v>
                </c:pt>
                <c:pt idx="16" formatCode="_-* #,##0_-;\-* #,##0_-;_-* &quot;-&quot;??_-;_-@_-">
                  <c:v>2329.0455726809569</c:v>
                </c:pt>
              </c:numCache>
            </c:numRef>
          </c:val>
          <c:extLst>
            <c:ext xmlns:c16="http://schemas.microsoft.com/office/drawing/2014/chart" uri="{C3380CC4-5D6E-409C-BE32-E72D297353CC}">
              <c16:uniqueId val="{00000001-2662-43AB-AC9A-E00B525E3061}"/>
            </c:ext>
          </c:extLst>
        </c:ser>
        <c:dLbls>
          <c:showLegendKey val="0"/>
          <c:showVal val="0"/>
          <c:showCatName val="0"/>
          <c:showSerName val="0"/>
          <c:showPercent val="0"/>
          <c:showBubbleSize val="0"/>
        </c:dLbls>
        <c:gapWidth val="219"/>
        <c:overlap val="-27"/>
        <c:axId val="68675456"/>
        <c:axId val="68676992"/>
      </c:barChart>
      <c:catAx>
        <c:axId val="686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76992"/>
        <c:crosses val="autoZero"/>
        <c:auto val="1"/>
        <c:lblAlgn val="ctr"/>
        <c:lblOffset val="100"/>
        <c:noMultiLvlLbl val="0"/>
      </c:catAx>
      <c:valAx>
        <c:axId val="6867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Milk production (million litres)</a:t>
                </a:r>
              </a:p>
            </c:rich>
          </c:tx>
          <c:layout>
            <c:manualLayout>
              <c:xMode val="edge"/>
              <c:yMode val="edge"/>
              <c:x val="2.27434257285004E-2"/>
              <c:y val="8.6376552930883699E-2"/>
            </c:manualLayout>
          </c:layout>
          <c:overlay val="0"/>
          <c:spPr>
            <a:noFill/>
            <a:ln>
              <a:noFill/>
            </a:ln>
            <a:effectLst/>
          </c:spPr>
        </c:title>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7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'Fig1'!$C$95</c:f>
              <c:strCache>
                <c:ptCount val="1"/>
                <c:pt idx="0">
                  <c:v>NSW High</c:v>
                </c:pt>
              </c:strCache>
            </c:strRef>
          </c:tx>
          <c:spPr>
            <a:solidFill>
              <a:schemeClr val="accent1"/>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'Fig1'!$D$95:$L$95</c:f>
              <c:numCache>
                <c:formatCode>0</c:formatCode>
                <c:ptCount val="9"/>
                <c:pt idx="0">
                  <c:v>396.97937099999962</c:v>
                </c:pt>
                <c:pt idx="1">
                  <c:v>541.15978199999995</c:v>
                </c:pt>
                <c:pt idx="2">
                  <c:v>555.30844000000002</c:v>
                </c:pt>
                <c:pt idx="3">
                  <c:v>557.81516279999755</c:v>
                </c:pt>
                <c:pt idx="4">
                  <c:v>492.4666656</c:v>
                </c:pt>
                <c:pt idx="5">
                  <c:v>568.09802999999999</c:v>
                </c:pt>
                <c:pt idx="6">
                  <c:v>544.75189499999999</c:v>
                </c:pt>
                <c:pt idx="7">
                  <c:v>536.0058514000001</c:v>
                </c:pt>
                <c:pt idx="8">
                  <c:v>534.55865139999878</c:v>
                </c:pt>
              </c:numCache>
            </c:numRef>
          </c:val>
          <c:extLst>
            <c:ext xmlns:c16="http://schemas.microsoft.com/office/drawing/2014/chart" uri="{C3380CC4-5D6E-409C-BE32-E72D297353CC}">
              <c16:uniqueId val="{00000000-5613-4175-ABD5-B434E9C3FF20}"/>
            </c:ext>
          </c:extLst>
        </c:ser>
        <c:ser>
          <c:idx val="1"/>
          <c:order val="1"/>
          <c:tx>
            <c:strRef>
              <c:f>'Fig1'!$C$96</c:f>
              <c:strCache>
                <c:ptCount val="1"/>
                <c:pt idx="0">
                  <c:v>VIC HRWS</c:v>
                </c:pt>
              </c:strCache>
            </c:strRef>
          </c:tx>
          <c:spPr>
            <a:solidFill>
              <a:schemeClr val="accent2"/>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'Fig1'!$D$96:$L$96</c:f>
              <c:numCache>
                <c:formatCode>0</c:formatCode>
                <c:ptCount val="9"/>
                <c:pt idx="0">
                  <c:v>1097.1945800000001</c:v>
                </c:pt>
                <c:pt idx="1">
                  <c:v>741.34980499999938</c:v>
                </c:pt>
                <c:pt idx="2">
                  <c:v>1812.885419</c:v>
                </c:pt>
                <c:pt idx="3">
                  <c:v>2025.5559000000001</c:v>
                </c:pt>
                <c:pt idx="4">
                  <c:v>1919.4988000000001</c:v>
                </c:pt>
                <c:pt idx="5">
                  <c:v>1743.3527999999999</c:v>
                </c:pt>
                <c:pt idx="6">
                  <c:v>1742.5678</c:v>
                </c:pt>
                <c:pt idx="7">
                  <c:v>1741.8556000000001</c:v>
                </c:pt>
                <c:pt idx="8">
                  <c:v>1642.070496</c:v>
                </c:pt>
              </c:numCache>
            </c:numRef>
          </c:val>
          <c:extLst>
            <c:ext xmlns:c16="http://schemas.microsoft.com/office/drawing/2014/chart" uri="{C3380CC4-5D6E-409C-BE32-E72D297353CC}">
              <c16:uniqueId val="{00000001-5613-4175-ABD5-B434E9C3FF20}"/>
            </c:ext>
          </c:extLst>
        </c:ser>
        <c:ser>
          <c:idx val="2"/>
          <c:order val="2"/>
          <c:tx>
            <c:strRef>
              <c:f>'Fig1'!$C$97</c:f>
              <c:strCache>
                <c:ptCount val="1"/>
                <c:pt idx="0">
                  <c:v>SA High</c:v>
                </c:pt>
              </c:strCache>
            </c:strRef>
          </c:tx>
          <c:spPr>
            <a:solidFill>
              <a:schemeClr val="accent3"/>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'Fig1'!$D$97:$L$97</c:f>
              <c:numCache>
                <c:formatCode>0</c:formatCode>
                <c:ptCount val="9"/>
                <c:pt idx="0">
                  <c:v>175.45184</c:v>
                </c:pt>
                <c:pt idx="1">
                  <c:v>98.63946</c:v>
                </c:pt>
                <c:pt idx="2">
                  <c:v>336.01820823999992</c:v>
                </c:pt>
                <c:pt idx="3">
                  <c:v>339.72731631999892</c:v>
                </c:pt>
                <c:pt idx="4">
                  <c:v>478.06994200000008</c:v>
                </c:pt>
                <c:pt idx="5">
                  <c:v>453.5083159999989</c:v>
                </c:pt>
                <c:pt idx="6">
                  <c:v>452.35418600000008</c:v>
                </c:pt>
                <c:pt idx="7">
                  <c:v>452.35418600000008</c:v>
                </c:pt>
                <c:pt idx="8">
                  <c:v>452.35418600000008</c:v>
                </c:pt>
              </c:numCache>
            </c:numRef>
          </c:val>
          <c:extLst>
            <c:ext xmlns:c16="http://schemas.microsoft.com/office/drawing/2014/chart" uri="{C3380CC4-5D6E-409C-BE32-E72D297353CC}">
              <c16:uniqueId val="{00000002-5613-4175-ABD5-B434E9C3FF20}"/>
            </c:ext>
          </c:extLst>
        </c:ser>
        <c:ser>
          <c:idx val="3"/>
          <c:order val="3"/>
          <c:tx>
            <c:strRef>
              <c:f>'Fig1'!$C$98</c:f>
              <c:strCache>
                <c:ptCount val="1"/>
                <c:pt idx="0">
                  <c:v>NSW General</c:v>
                </c:pt>
              </c:strCache>
            </c:strRef>
          </c:tx>
          <c:spPr>
            <a:solidFill>
              <a:schemeClr val="accent4"/>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'Fig1'!$D$98:$L$98</c:f>
              <c:numCache>
                <c:formatCode>0</c:formatCode>
                <c:ptCount val="9"/>
                <c:pt idx="0">
                  <c:v>245.95921999999999</c:v>
                </c:pt>
                <c:pt idx="1">
                  <c:v>557.4643992</c:v>
                </c:pt>
                <c:pt idx="2">
                  <c:v>1026.7292688499999</c:v>
                </c:pt>
                <c:pt idx="3">
                  <c:v>2502.2476962000001</c:v>
                </c:pt>
                <c:pt idx="4">
                  <c:v>1979.3311351</c:v>
                </c:pt>
                <c:pt idx="5">
                  <c:v>2217.3969609999999</c:v>
                </c:pt>
                <c:pt idx="6">
                  <c:v>2510.0371679999998</c:v>
                </c:pt>
                <c:pt idx="7">
                  <c:v>1840.4854078000001</c:v>
                </c:pt>
                <c:pt idx="8">
                  <c:v>953.02488619999997</c:v>
                </c:pt>
              </c:numCache>
            </c:numRef>
          </c:val>
          <c:extLst>
            <c:ext xmlns:c16="http://schemas.microsoft.com/office/drawing/2014/chart" uri="{C3380CC4-5D6E-409C-BE32-E72D297353CC}">
              <c16:uniqueId val="{00000003-5613-4175-ABD5-B434E9C3FF20}"/>
            </c:ext>
          </c:extLst>
        </c:ser>
        <c:ser>
          <c:idx val="4"/>
          <c:order val="4"/>
          <c:tx>
            <c:strRef>
              <c:f>'Fig1'!$C$99</c:f>
              <c:strCache>
                <c:ptCount val="1"/>
                <c:pt idx="0">
                  <c:v>VIC LRWS</c:v>
                </c:pt>
              </c:strCache>
            </c:strRef>
          </c:tx>
          <c:spPr>
            <a:solidFill>
              <a:schemeClr val="accent5"/>
            </a:solidFill>
            <a:ln>
              <a:noFill/>
            </a:ln>
            <a:effectLst/>
          </c:spPr>
          <c:invertIfNegative val="0"/>
          <c:cat>
            <c:strRef>
              <c:f>'Fig1'!$D$87:$L$87</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'Fig1'!$D$99:$L$99</c:f>
              <c:numCache>
                <c:formatCode>0</c:formatCode>
                <c:ptCount val="9"/>
                <c:pt idx="0">
                  <c:v>0</c:v>
                </c:pt>
                <c:pt idx="1">
                  <c:v>0</c:v>
                </c:pt>
                <c:pt idx="2">
                  <c:v>0</c:v>
                </c:pt>
                <c:pt idx="3">
                  <c:v>22.118399999999991</c:v>
                </c:pt>
                <c:pt idx="4">
                  <c:v>22.118399999999991</c:v>
                </c:pt>
                <c:pt idx="5">
                  <c:v>22.118399999999991</c:v>
                </c:pt>
                <c:pt idx="6">
                  <c:v>11.977956000000001</c:v>
                </c:pt>
                <c:pt idx="7">
                  <c:v>3.3397999999999981</c:v>
                </c:pt>
                <c:pt idx="8">
                  <c:v>0</c:v>
                </c:pt>
              </c:numCache>
            </c:numRef>
          </c:val>
          <c:extLst>
            <c:ext xmlns:c16="http://schemas.microsoft.com/office/drawing/2014/chart" uri="{C3380CC4-5D6E-409C-BE32-E72D297353CC}">
              <c16:uniqueId val="{00000004-5613-4175-ABD5-B434E9C3FF20}"/>
            </c:ext>
          </c:extLst>
        </c:ser>
        <c:dLbls>
          <c:showLegendKey val="0"/>
          <c:showVal val="0"/>
          <c:showCatName val="0"/>
          <c:showSerName val="0"/>
          <c:showPercent val="0"/>
          <c:showBubbleSize val="0"/>
        </c:dLbls>
        <c:gapWidth val="150"/>
        <c:overlap val="100"/>
        <c:axId val="71967872"/>
        <c:axId val="71969408"/>
      </c:barChart>
      <c:catAx>
        <c:axId val="7196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69408"/>
        <c:crosses val="autoZero"/>
        <c:auto val="1"/>
        <c:lblAlgn val="ctr"/>
        <c:lblOffset val="100"/>
        <c:noMultiLvlLbl val="0"/>
      </c:catAx>
      <c:valAx>
        <c:axId val="7196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Allocated volume (GL)</a:t>
                </a:r>
              </a:p>
            </c:rich>
          </c:tx>
          <c:layout>
            <c:manualLayout>
              <c:xMode val="edge"/>
              <c:yMode val="edge"/>
              <c:x val="1.88679245283019E-2"/>
              <c:y val="0.178702610090405"/>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6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'Fig2'!$B$26</c:f>
              <c:strCache>
                <c:ptCount val="1"/>
                <c:pt idx="0">
                  <c:v>Horticulture</c:v>
                </c:pt>
              </c:strCache>
            </c:strRef>
          </c:tx>
          <c:spPr>
            <a:solidFill>
              <a:schemeClr val="accent1"/>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'Fig2'!$C$26:$K$26</c:f>
              <c:numCache>
                <c:formatCode>_-* #,##0_-;\-* #,##0_-;_-* "-"??_-;_-@_-</c:formatCode>
                <c:ptCount val="9"/>
                <c:pt idx="0">
                  <c:v>972</c:v>
                </c:pt>
                <c:pt idx="1">
                  <c:v>972</c:v>
                </c:pt>
                <c:pt idx="2">
                  <c:v>972</c:v>
                </c:pt>
                <c:pt idx="3">
                  <c:v>1016.25</c:v>
                </c:pt>
                <c:pt idx="4">
                  <c:v>1060.5</c:v>
                </c:pt>
                <c:pt idx="5">
                  <c:v>1104.75</c:v>
                </c:pt>
                <c:pt idx="6">
                  <c:v>1149</c:v>
                </c:pt>
                <c:pt idx="7">
                  <c:v>1193.25</c:v>
                </c:pt>
                <c:pt idx="8">
                  <c:v>1237.5</c:v>
                </c:pt>
              </c:numCache>
            </c:numRef>
          </c:val>
          <c:extLst>
            <c:ext xmlns:c16="http://schemas.microsoft.com/office/drawing/2014/chart" uri="{C3380CC4-5D6E-409C-BE32-E72D297353CC}">
              <c16:uniqueId val="{00000000-E5F4-4A5C-97F6-B5F3E572CF8F}"/>
            </c:ext>
          </c:extLst>
        </c:ser>
        <c:ser>
          <c:idx val="1"/>
          <c:order val="1"/>
          <c:tx>
            <c:strRef>
              <c:f>'Fig2'!$B$27</c:f>
              <c:strCache>
                <c:ptCount val="1"/>
                <c:pt idx="0">
                  <c:v>Dairy</c:v>
                </c:pt>
              </c:strCache>
            </c:strRef>
          </c:tx>
          <c:spPr>
            <a:solidFill>
              <a:schemeClr val="accent2"/>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'Fig2'!$C$27:$K$27</c:f>
              <c:numCache>
                <c:formatCode>_-* #,##0_-;\-* #,##0_-;_-* "-"??_-;_-@_-</c:formatCode>
                <c:ptCount val="9"/>
                <c:pt idx="0">
                  <c:v>406.48346542524922</c:v>
                </c:pt>
                <c:pt idx="1">
                  <c:v>416.40379908283461</c:v>
                </c:pt>
                <c:pt idx="2">
                  <c:v>1031.545476624296</c:v>
                </c:pt>
                <c:pt idx="3">
                  <c:v>1656.79465096801</c:v>
                </c:pt>
                <c:pt idx="4">
                  <c:v>1432.373764879884</c:v>
                </c:pt>
                <c:pt idx="5">
                  <c:v>1458.074922672271</c:v>
                </c:pt>
                <c:pt idx="6">
                  <c:v>1537.7005971002759</c:v>
                </c:pt>
                <c:pt idx="7">
                  <c:v>1264.049894124</c:v>
                </c:pt>
                <c:pt idx="8">
                  <c:v>876.59234257743844</c:v>
                </c:pt>
              </c:numCache>
            </c:numRef>
          </c:val>
          <c:extLst>
            <c:ext xmlns:c16="http://schemas.microsoft.com/office/drawing/2014/chart" uri="{C3380CC4-5D6E-409C-BE32-E72D297353CC}">
              <c16:uniqueId val="{00000001-E5F4-4A5C-97F6-B5F3E572CF8F}"/>
            </c:ext>
          </c:extLst>
        </c:ser>
        <c:ser>
          <c:idx val="2"/>
          <c:order val="2"/>
          <c:tx>
            <c:strRef>
              <c:f>'Fig2'!$B$28</c:f>
              <c:strCache>
                <c:ptCount val="1"/>
                <c:pt idx="0">
                  <c:v>Crops</c:v>
                </c:pt>
              </c:strCache>
            </c:strRef>
          </c:tx>
          <c:spPr>
            <a:solidFill>
              <a:schemeClr val="accent3"/>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'Fig2'!$C$28:$K$28</c:f>
              <c:numCache>
                <c:formatCode>_-* #,##0_-;\-* #,##0_-;_-* "-"??_-;_-@_-</c:formatCode>
                <c:ptCount val="9"/>
                <c:pt idx="0">
                  <c:v>217.87095768936879</c:v>
                </c:pt>
                <c:pt idx="1">
                  <c:v>223.18815452126231</c:v>
                </c:pt>
                <c:pt idx="2">
                  <c:v>522.09865088343236</c:v>
                </c:pt>
                <c:pt idx="3">
                  <c:v>838.55755433294826</c:v>
                </c:pt>
                <c:pt idx="4">
                  <c:v>724.97085892121697</c:v>
                </c:pt>
                <c:pt idx="5">
                  <c:v>737.97904916936795</c:v>
                </c:pt>
                <c:pt idx="6">
                  <c:v>778.28018773922361</c:v>
                </c:pt>
                <c:pt idx="7">
                  <c:v>639.77668394338195</c:v>
                </c:pt>
                <c:pt idx="8">
                  <c:v>443.67183978367461</c:v>
                </c:pt>
              </c:numCache>
            </c:numRef>
          </c:val>
          <c:extLst>
            <c:ext xmlns:c16="http://schemas.microsoft.com/office/drawing/2014/chart" uri="{C3380CC4-5D6E-409C-BE32-E72D297353CC}">
              <c16:uniqueId val="{00000002-E5F4-4A5C-97F6-B5F3E572CF8F}"/>
            </c:ext>
          </c:extLst>
        </c:ser>
        <c:ser>
          <c:idx val="3"/>
          <c:order val="3"/>
          <c:tx>
            <c:strRef>
              <c:f>'Fig2'!$B$29</c:f>
              <c:strCache>
                <c:ptCount val="1"/>
                <c:pt idx="0">
                  <c:v>Rice</c:v>
                </c:pt>
              </c:strCache>
            </c:strRef>
          </c:tx>
          <c:spPr>
            <a:solidFill>
              <a:schemeClr val="accent4"/>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'Fig2'!$C$29:$K$29</c:f>
              <c:numCache>
                <c:formatCode>_-* #,##0_-;\-* #,##0_-;_-* "-"??_-;_-@_-</c:formatCode>
                <c:ptCount val="9"/>
                <c:pt idx="0">
                  <c:v>62.174206151162792</c:v>
                </c:pt>
                <c:pt idx="1">
                  <c:v>63.691583664341053</c:v>
                </c:pt>
                <c:pt idx="2">
                  <c:v>969.12980592094482</c:v>
                </c:pt>
                <c:pt idx="3">
                  <c:v>1556.5470596584159</c:v>
                </c:pt>
                <c:pt idx="4">
                  <c:v>1345.7051969313061</c:v>
                </c:pt>
                <c:pt idx="5">
                  <c:v>1369.8512560510551</c:v>
                </c:pt>
                <c:pt idx="6">
                  <c:v>1444.6590237679609</c:v>
                </c:pt>
                <c:pt idx="7">
                  <c:v>1187.5660902276979</c:v>
                </c:pt>
                <c:pt idx="8">
                  <c:v>823.55241342720751</c:v>
                </c:pt>
              </c:numCache>
            </c:numRef>
          </c:val>
          <c:extLst>
            <c:ext xmlns:c16="http://schemas.microsoft.com/office/drawing/2014/chart" uri="{C3380CC4-5D6E-409C-BE32-E72D297353CC}">
              <c16:uniqueId val="{00000003-E5F4-4A5C-97F6-B5F3E572CF8F}"/>
            </c:ext>
          </c:extLst>
        </c:ser>
        <c:ser>
          <c:idx val="4"/>
          <c:order val="4"/>
          <c:tx>
            <c:strRef>
              <c:f>'Fig2'!$B$30</c:f>
              <c:strCache>
                <c:ptCount val="1"/>
                <c:pt idx="0">
                  <c:v>Mixed grazing</c:v>
                </c:pt>
              </c:strCache>
            </c:strRef>
          </c:tx>
          <c:spPr>
            <a:solidFill>
              <a:schemeClr val="accent5"/>
            </a:solidFill>
            <a:ln>
              <a:noFill/>
            </a:ln>
            <a:effectLst/>
          </c:spPr>
          <c:invertIfNegative val="0"/>
          <c:cat>
            <c:strRef>
              <c:f>'Fig2'!$C$25:$K$25</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'Fig2'!$C$30:$K$30</c:f>
              <c:numCache>
                <c:formatCode>_-* #,##0_-;\-* #,##0_-;_-* "-"??_-;_-@_-</c:formatCode>
                <c:ptCount val="9"/>
                <c:pt idx="0">
                  <c:v>257.05638173421931</c:v>
                </c:pt>
                <c:pt idx="1">
                  <c:v>263.32990893156142</c:v>
                </c:pt>
                <c:pt idx="2">
                  <c:v>235.32394765182221</c:v>
                </c:pt>
                <c:pt idx="3">
                  <c:v>377.96051318076428</c:v>
                </c:pt>
                <c:pt idx="4">
                  <c:v>326.76392510342419</c:v>
                </c:pt>
                <c:pt idx="5">
                  <c:v>332.6270673962091</c:v>
                </c:pt>
                <c:pt idx="6">
                  <c:v>350.79187783399573</c:v>
                </c:pt>
                <c:pt idx="7">
                  <c:v>288.36461198740449</c:v>
                </c:pt>
                <c:pt idx="8">
                  <c:v>199.97486801235101</c:v>
                </c:pt>
              </c:numCache>
            </c:numRef>
          </c:val>
          <c:extLst>
            <c:ext xmlns:c16="http://schemas.microsoft.com/office/drawing/2014/chart" uri="{C3380CC4-5D6E-409C-BE32-E72D297353CC}">
              <c16:uniqueId val="{00000004-E5F4-4A5C-97F6-B5F3E572CF8F}"/>
            </c:ext>
          </c:extLst>
        </c:ser>
        <c:dLbls>
          <c:showLegendKey val="0"/>
          <c:showVal val="0"/>
          <c:showCatName val="0"/>
          <c:showSerName val="0"/>
          <c:showPercent val="0"/>
          <c:showBubbleSize val="0"/>
        </c:dLbls>
        <c:gapWidth val="150"/>
        <c:overlap val="100"/>
        <c:axId val="72110848"/>
        <c:axId val="72112384"/>
      </c:barChart>
      <c:catAx>
        <c:axId val="7211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12384"/>
        <c:crosses val="autoZero"/>
        <c:auto val="1"/>
        <c:lblAlgn val="ctr"/>
        <c:lblOffset val="100"/>
        <c:noMultiLvlLbl val="0"/>
      </c:catAx>
      <c:valAx>
        <c:axId val="7211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Estimated water use (GL)</a:t>
                </a:r>
              </a:p>
            </c:rich>
          </c:tx>
          <c:layout>
            <c:manualLayout>
              <c:xMode val="edge"/>
              <c:yMode val="edge"/>
              <c:x val="1.67276538192285E-2"/>
              <c:y val="0.23993700787401601"/>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1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'Fig6'!$E$19:$M$19</c:f>
              <c:numCache>
                <c:formatCode>General</c:formatCode>
                <c:ptCount val="9"/>
                <c:pt idx="0" formatCode="#,##0">
                  <c:v>2150</c:v>
                </c:pt>
                <c:pt idx="1">
                  <c:v>924</c:v>
                </c:pt>
                <c:pt idx="2" formatCode="#,##0">
                  <c:v>1135</c:v>
                </c:pt>
                <c:pt idx="3">
                  <c:v>751</c:v>
                </c:pt>
                <c:pt idx="4" formatCode="#,##0">
                  <c:v>1731</c:v>
                </c:pt>
                <c:pt idx="5" formatCode="#,##0">
                  <c:v>2402</c:v>
                </c:pt>
                <c:pt idx="6" formatCode="#,##0">
                  <c:v>1857</c:v>
                </c:pt>
                <c:pt idx="7" formatCode="#,##0">
                  <c:v>2033</c:v>
                </c:pt>
                <c:pt idx="8">
                  <c:v>1762</c:v>
                </c:pt>
              </c:numCache>
            </c:numRef>
          </c:val>
          <c:extLst>
            <c:ext xmlns:c16="http://schemas.microsoft.com/office/drawing/2014/chart" uri="{C3380CC4-5D6E-409C-BE32-E72D297353CC}">
              <c16:uniqueId val="{00000000-BA87-42D3-A80F-59BF6EA8C480}"/>
            </c:ext>
          </c:extLst>
        </c:ser>
        <c:dLbls>
          <c:showLegendKey val="0"/>
          <c:showVal val="0"/>
          <c:showCatName val="0"/>
          <c:showSerName val="0"/>
          <c:showPercent val="0"/>
          <c:showBubbleSize val="0"/>
        </c:dLbls>
        <c:gapWidth val="219"/>
        <c:overlap val="-27"/>
        <c:axId val="72575232"/>
        <c:axId val="72581120"/>
      </c:barChart>
      <c:catAx>
        <c:axId val="7257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81120"/>
        <c:crosses val="autoZero"/>
        <c:auto val="1"/>
        <c:lblAlgn val="ctr"/>
        <c:lblOffset val="100"/>
        <c:noMultiLvlLbl val="0"/>
      </c:catAx>
      <c:valAx>
        <c:axId val="7258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Water use (GL)</a:t>
                </a:r>
              </a:p>
            </c:rich>
          </c:tx>
          <c:layout>
            <c:manualLayout>
              <c:xMode val="edge"/>
              <c:yMode val="edge"/>
              <c:x val="1.6736401673640201E-2"/>
              <c:y val="0.2755505726119690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75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'Fig6'!$D$13</c:f>
              <c:strCache>
                <c:ptCount val="1"/>
                <c:pt idx="0">
                  <c:v>GMW districts subtotal</c:v>
                </c:pt>
              </c:strCache>
            </c:strRef>
          </c:tx>
          <c:spPr>
            <a:ln w="28575" cap="rnd">
              <a:solidFill>
                <a:schemeClr val="accent1"/>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'Fig6'!$E$13:$M$13</c:f>
              <c:numCache>
                <c:formatCode>General</c:formatCode>
                <c:ptCount val="9"/>
                <c:pt idx="0" formatCode="#,##0">
                  <c:v>1686</c:v>
                </c:pt>
                <c:pt idx="1">
                  <c:v>555</c:v>
                </c:pt>
                <c:pt idx="2">
                  <c:v>745</c:v>
                </c:pt>
                <c:pt idx="3">
                  <c:v>495</c:v>
                </c:pt>
                <c:pt idx="4" formatCode="#,##0">
                  <c:v>1267</c:v>
                </c:pt>
                <c:pt idx="5" formatCode="#,##0">
                  <c:v>1776</c:v>
                </c:pt>
                <c:pt idx="6" formatCode="#,##0">
                  <c:v>1316</c:v>
                </c:pt>
                <c:pt idx="7" formatCode="#,##0">
                  <c:v>1450</c:v>
                </c:pt>
                <c:pt idx="8">
                  <c:v>1154</c:v>
                </c:pt>
              </c:numCache>
            </c:numRef>
          </c:val>
          <c:smooth val="0"/>
          <c:extLst>
            <c:ext xmlns:c16="http://schemas.microsoft.com/office/drawing/2014/chart" uri="{C3380CC4-5D6E-409C-BE32-E72D297353CC}">
              <c16:uniqueId val="{00000000-487A-4714-9C29-D17FD9558BF9}"/>
            </c:ext>
          </c:extLst>
        </c:ser>
        <c:ser>
          <c:idx val="1"/>
          <c:order val="1"/>
          <c:tx>
            <c:strRef>
              <c:f>'Fig6'!$C$14</c:f>
              <c:strCache>
                <c:ptCount val="1"/>
                <c:pt idx="0">
                  <c:v>GMW diverters</c:v>
                </c:pt>
              </c:strCache>
            </c:strRef>
          </c:tx>
          <c:spPr>
            <a:ln w="28575" cap="rnd">
              <a:solidFill>
                <a:schemeClr val="accent2"/>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'Fig6'!$E$14:$M$14</c:f>
              <c:numCache>
                <c:formatCode>General</c:formatCode>
                <c:ptCount val="9"/>
                <c:pt idx="0">
                  <c:v>133</c:v>
                </c:pt>
                <c:pt idx="1">
                  <c:v>43</c:v>
                </c:pt>
                <c:pt idx="2">
                  <c:v>33</c:v>
                </c:pt>
                <c:pt idx="3">
                  <c:v>19</c:v>
                </c:pt>
                <c:pt idx="4">
                  <c:v>59</c:v>
                </c:pt>
                <c:pt idx="5">
                  <c:v>104</c:v>
                </c:pt>
                <c:pt idx="6">
                  <c:v>89</c:v>
                </c:pt>
                <c:pt idx="7">
                  <c:v>91</c:v>
                </c:pt>
                <c:pt idx="8">
                  <c:v>82</c:v>
                </c:pt>
              </c:numCache>
            </c:numRef>
          </c:val>
          <c:smooth val="0"/>
          <c:extLst>
            <c:ext xmlns:c16="http://schemas.microsoft.com/office/drawing/2014/chart" uri="{C3380CC4-5D6E-409C-BE32-E72D297353CC}">
              <c16:uniqueId val="{00000001-487A-4714-9C29-D17FD9558BF9}"/>
            </c:ext>
          </c:extLst>
        </c:ser>
        <c:ser>
          <c:idx val="2"/>
          <c:order val="2"/>
          <c:tx>
            <c:strRef>
              <c:f>'Fig6'!$D$17</c:f>
              <c:strCache>
                <c:ptCount val="1"/>
                <c:pt idx="0">
                  <c:v>LMW districts subtotal</c:v>
                </c:pt>
              </c:strCache>
            </c:strRef>
          </c:tx>
          <c:spPr>
            <a:ln w="28575" cap="rnd">
              <a:solidFill>
                <a:schemeClr val="accent3"/>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'Fig6'!$E$17:$M$17</c:f>
              <c:numCache>
                <c:formatCode>General</c:formatCode>
                <c:ptCount val="9"/>
                <c:pt idx="0">
                  <c:v>136</c:v>
                </c:pt>
                <c:pt idx="1">
                  <c:v>90</c:v>
                </c:pt>
                <c:pt idx="2">
                  <c:v>87</c:v>
                </c:pt>
                <c:pt idx="3">
                  <c:v>46</c:v>
                </c:pt>
                <c:pt idx="4">
                  <c:v>94</c:v>
                </c:pt>
                <c:pt idx="5">
                  <c:v>113</c:v>
                </c:pt>
                <c:pt idx="6">
                  <c:v>98</c:v>
                </c:pt>
                <c:pt idx="7">
                  <c:v>96</c:v>
                </c:pt>
                <c:pt idx="8">
                  <c:v>104</c:v>
                </c:pt>
              </c:numCache>
            </c:numRef>
          </c:val>
          <c:smooth val="0"/>
          <c:extLst>
            <c:ext xmlns:c16="http://schemas.microsoft.com/office/drawing/2014/chart" uri="{C3380CC4-5D6E-409C-BE32-E72D297353CC}">
              <c16:uniqueId val="{00000002-487A-4714-9C29-D17FD9558BF9}"/>
            </c:ext>
          </c:extLst>
        </c:ser>
        <c:ser>
          <c:idx val="3"/>
          <c:order val="3"/>
          <c:tx>
            <c:strRef>
              <c:f>'Fig6'!$C$18</c:f>
              <c:strCache>
                <c:ptCount val="1"/>
                <c:pt idx="0">
                  <c:v>LMW diverters</c:v>
                </c:pt>
              </c:strCache>
            </c:strRef>
          </c:tx>
          <c:spPr>
            <a:ln w="28575" cap="rnd">
              <a:solidFill>
                <a:schemeClr val="accent4"/>
              </a:solidFill>
              <a:round/>
            </a:ln>
            <a:effectLst/>
          </c:spPr>
          <c:marker>
            <c:symbol val="none"/>
          </c:marker>
          <c:cat>
            <c:strRef>
              <c:f>'Fig6'!$E$4:$M$4</c:f>
              <c:strCache>
                <c:ptCount val="9"/>
                <c:pt idx="0">
                  <c:v>2004-05</c:v>
                </c:pt>
                <c:pt idx="1">
                  <c:v>2008-09</c:v>
                </c:pt>
                <c:pt idx="2">
                  <c:v>2009-10</c:v>
                </c:pt>
                <c:pt idx="3">
                  <c:v>2010-11</c:v>
                </c:pt>
                <c:pt idx="4">
                  <c:v>2011-12</c:v>
                </c:pt>
                <c:pt idx="5">
                  <c:v>2012-13</c:v>
                </c:pt>
                <c:pt idx="6">
                  <c:v>2013-14</c:v>
                </c:pt>
                <c:pt idx="7">
                  <c:v>2014-15</c:v>
                </c:pt>
                <c:pt idx="8">
                  <c:v>2015-16</c:v>
                </c:pt>
              </c:strCache>
            </c:strRef>
          </c:cat>
          <c:val>
            <c:numRef>
              <c:f>'Fig6'!$E$18:$M$18</c:f>
              <c:numCache>
                <c:formatCode>General</c:formatCode>
                <c:ptCount val="9"/>
                <c:pt idx="0">
                  <c:v>196</c:v>
                </c:pt>
                <c:pt idx="1">
                  <c:v>236</c:v>
                </c:pt>
                <c:pt idx="2">
                  <c:v>270</c:v>
                </c:pt>
                <c:pt idx="3">
                  <c:v>190</c:v>
                </c:pt>
                <c:pt idx="4">
                  <c:v>310</c:v>
                </c:pt>
                <c:pt idx="5">
                  <c:v>408</c:v>
                </c:pt>
                <c:pt idx="6">
                  <c:v>354</c:v>
                </c:pt>
                <c:pt idx="7">
                  <c:v>397</c:v>
                </c:pt>
                <c:pt idx="8">
                  <c:v>422</c:v>
                </c:pt>
              </c:numCache>
            </c:numRef>
          </c:val>
          <c:smooth val="0"/>
          <c:extLst>
            <c:ext xmlns:c16="http://schemas.microsoft.com/office/drawing/2014/chart" uri="{C3380CC4-5D6E-409C-BE32-E72D297353CC}">
              <c16:uniqueId val="{00000003-487A-4714-9C29-D17FD9558BF9}"/>
            </c:ext>
          </c:extLst>
        </c:ser>
        <c:dLbls>
          <c:showLegendKey val="0"/>
          <c:showVal val="0"/>
          <c:showCatName val="0"/>
          <c:showSerName val="0"/>
          <c:showPercent val="0"/>
          <c:showBubbleSize val="0"/>
        </c:dLbls>
        <c:smooth val="0"/>
        <c:axId val="72600960"/>
        <c:axId val="72610944"/>
      </c:lineChart>
      <c:catAx>
        <c:axId val="7260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10944"/>
        <c:crosses val="autoZero"/>
        <c:auto val="1"/>
        <c:lblAlgn val="ctr"/>
        <c:lblOffset val="100"/>
        <c:noMultiLvlLbl val="0"/>
      </c:catAx>
      <c:valAx>
        <c:axId val="7261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Water use (GL)</a:t>
                </a:r>
              </a:p>
            </c:rich>
          </c:tx>
          <c:layout>
            <c:manualLayout>
              <c:xMode val="edge"/>
              <c:yMode val="edge"/>
              <c:x val="2.5104602510460199E-2"/>
              <c:y val="0.28845788212168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00960"/>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0.47519</cdr:x>
      <cdr:y>0.08439</cdr:y>
    </cdr:from>
    <cdr:to>
      <cdr:x>0.47519</cdr:x>
      <cdr:y>0.81195</cdr:y>
    </cdr:to>
    <cdr:cxnSp macro="">
      <cdr:nvCxnSpPr>
        <cdr:cNvPr id="3" name="Straight Connector 2"/>
        <cdr:cNvCxnSpPr/>
      </cdr:nvCxnSpPr>
      <cdr:spPr>
        <a:xfrm xmlns:a="http://schemas.openxmlformats.org/drawingml/2006/main" flipV="1">
          <a:off x="2819787" y="361703"/>
          <a:ext cx="0" cy="3118504"/>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0.31493</cdr:x>
      <cdr:y>0</cdr:y>
    </cdr:from>
    <cdr:to>
      <cdr:x>0.31493</cdr:x>
      <cdr:y>0.73714</cdr:y>
    </cdr:to>
    <cdr:cxnSp macro="">
      <cdr:nvCxnSpPr>
        <cdr:cNvPr id="3" name="Straight Connector 2"/>
        <cdr:cNvCxnSpPr/>
      </cdr:nvCxnSpPr>
      <cdr:spPr>
        <a:xfrm xmlns:a="http://schemas.openxmlformats.org/drawingml/2006/main">
          <a:off x="1641844" y="0"/>
          <a:ext cx="0" cy="246212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0.31341</cdr:x>
      <cdr:y>0</cdr:y>
    </cdr:from>
    <cdr:to>
      <cdr:x>0.31341</cdr:x>
      <cdr:y>0.73714</cdr:y>
    </cdr:to>
    <cdr:cxnSp macro="">
      <cdr:nvCxnSpPr>
        <cdr:cNvPr id="3" name="Straight Connector 2"/>
        <cdr:cNvCxnSpPr/>
      </cdr:nvCxnSpPr>
      <cdr:spPr>
        <a:xfrm xmlns:a="http://schemas.openxmlformats.org/drawingml/2006/main">
          <a:off x="1633907" y="0"/>
          <a:ext cx="0" cy="245794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0.31493</cdr:x>
      <cdr:y>0</cdr:y>
    </cdr:from>
    <cdr:to>
      <cdr:x>0.31493</cdr:x>
      <cdr:y>0.73714</cdr:y>
    </cdr:to>
    <cdr:cxnSp macro="">
      <cdr:nvCxnSpPr>
        <cdr:cNvPr id="3" name="Straight Connector 2"/>
        <cdr:cNvCxnSpPr/>
      </cdr:nvCxnSpPr>
      <cdr:spPr>
        <a:xfrm xmlns:a="http://schemas.openxmlformats.org/drawingml/2006/main">
          <a:off x="1641844" y="0"/>
          <a:ext cx="0" cy="245794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0.31493</cdr:x>
      <cdr:y>0</cdr:y>
    </cdr:from>
    <cdr:to>
      <cdr:x>0.31493</cdr:x>
      <cdr:y>0.73714</cdr:y>
    </cdr:to>
    <cdr:cxnSp macro="">
      <cdr:nvCxnSpPr>
        <cdr:cNvPr id="3" name="Straight Connector 2"/>
        <cdr:cNvCxnSpPr/>
      </cdr:nvCxnSpPr>
      <cdr:spPr>
        <a:xfrm xmlns:a="http://schemas.openxmlformats.org/drawingml/2006/main">
          <a:off x="1641844" y="0"/>
          <a:ext cx="0" cy="245794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0.31493</cdr:x>
      <cdr:y>0</cdr:y>
    </cdr:from>
    <cdr:to>
      <cdr:x>0.31493</cdr:x>
      <cdr:y>0.73714</cdr:y>
    </cdr:to>
    <cdr:cxnSp macro="">
      <cdr:nvCxnSpPr>
        <cdr:cNvPr id="3" name="Straight Connector 2"/>
        <cdr:cNvCxnSpPr/>
      </cdr:nvCxnSpPr>
      <cdr:spPr>
        <a:xfrm xmlns:a="http://schemas.openxmlformats.org/drawingml/2006/main">
          <a:off x="1641844" y="0"/>
          <a:ext cx="0" cy="245794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0.31493</cdr:x>
      <cdr:y>0</cdr:y>
    </cdr:from>
    <cdr:to>
      <cdr:x>0.31493</cdr:x>
      <cdr:y>0.73714</cdr:y>
    </cdr:to>
    <cdr:cxnSp macro="">
      <cdr:nvCxnSpPr>
        <cdr:cNvPr id="3" name="Straight Connector 2"/>
        <cdr:cNvCxnSpPr/>
      </cdr:nvCxnSpPr>
      <cdr:spPr>
        <a:xfrm xmlns:a="http://schemas.openxmlformats.org/drawingml/2006/main">
          <a:off x="1641844" y="0"/>
          <a:ext cx="0" cy="245794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0.31341</cdr:x>
      <cdr:y>0</cdr:y>
    </cdr:from>
    <cdr:to>
      <cdr:x>0.31341</cdr:x>
      <cdr:y>0.73714</cdr:y>
    </cdr:to>
    <cdr:cxnSp macro="">
      <cdr:nvCxnSpPr>
        <cdr:cNvPr id="3" name="Straight Connector 2"/>
        <cdr:cNvCxnSpPr/>
      </cdr:nvCxnSpPr>
      <cdr:spPr>
        <a:xfrm xmlns:a="http://schemas.openxmlformats.org/drawingml/2006/main">
          <a:off x="1633906" y="0"/>
          <a:ext cx="0" cy="245794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0.31493</cdr:x>
      <cdr:y>0</cdr:y>
    </cdr:from>
    <cdr:to>
      <cdr:x>0.31493</cdr:x>
      <cdr:y>0.73714</cdr:y>
    </cdr:to>
    <cdr:cxnSp macro="">
      <cdr:nvCxnSpPr>
        <cdr:cNvPr id="3" name="Straight Connector 2"/>
        <cdr:cNvCxnSpPr/>
      </cdr:nvCxnSpPr>
      <cdr:spPr>
        <a:xfrm xmlns:a="http://schemas.openxmlformats.org/drawingml/2006/main">
          <a:off x="1641844" y="0"/>
          <a:ext cx="0" cy="2457941"/>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145</Value>
      <Value>3</Value>
      <Value>2</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General Admin Functions</TermName>
          <TermId xmlns="http://schemas.microsoft.com/office/infopath/2007/PartnerControls">9dec8635-7986-4150-84a8-10b3d678d88b</TermId>
        </TermInfo>
      </Terms>
    </f2ccc2d036544b63b99cbcec8aa9ae6a>
    <_dlc_DocId xmlns="a5f32de4-e402-4188-b034-e71ca7d22e54">DOCID517-1752578590-1078</_dlc_DocId>
    <_dlc_DocIdUrl xmlns="a5f32de4-e402-4188-b034-e71ca7d22e54">
      <Url>https://delwpvicgovau.sharepoint.com/sites/ecm_517/_layouts/15/DocIdRedir.aspx?ID=DOCID517-1752578590-1078</Url>
      <Description>DOCID517-1752578590-1078</Description>
    </_dlc_DocIdUrl>
  </documentManagement>
</p: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070787EB0367840814AAC627E9092D6" ma:contentTypeVersion="149" ma:contentTypeDescription="All project related information. The library can be used to manage multiple projects." ma:contentTypeScope="" ma:versionID="d94d65d576b17fc2044175abb88fc2fc">
  <xsd:schema xmlns:xsd="http://www.w3.org/2001/XMLSchema" xmlns:xs="http://www.w3.org/2001/XMLSchema" xmlns:p="http://schemas.microsoft.com/office/2006/metadata/properties" xmlns:ns2="9fd47c19-1c4a-4d7d-b342-c10cef269344" xmlns:ns3="a5f32de4-e402-4188-b034-e71ca7d22e54" xmlns:ns4="b4803a05-dce1-44ab-b16b-5ee503439761" xmlns:ns5="39de8d89-45ec-4b7c-a269-252837642727" xmlns:ns6="add75793-3539-4089-8056-52012629aff0" targetNamespace="http://schemas.microsoft.com/office/2006/metadata/properties" ma:root="true" ma:fieldsID="4fbb8f15d59472e81c0eae7a0a078831" ns2:_="" ns3:_="" ns4:_="" ns5:_="" ns6:_="">
    <xsd:import namespace="9fd47c19-1c4a-4d7d-b342-c10cef269344"/>
    <xsd:import namespace="a5f32de4-e402-4188-b034-e71ca7d22e54"/>
    <xsd:import namespace="b4803a05-dce1-44ab-b16b-5ee503439761"/>
    <xsd:import namespace="39de8d89-45ec-4b7c-a269-252837642727"/>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SharedWithUsers" minOccurs="0"/>
                <xsd:element ref="ns4:SharedWithDetails" minOccurs="0"/>
                <xsd:element ref="ns5:MediaServiceAutoKeyPoints" minOccurs="0"/>
                <xsd:element ref="ns5:MediaServiceKeyPoints" minOccurs="0"/>
                <xsd:element ref="ns6:MediaServiceMetadata" minOccurs="0"/>
                <xsd:element ref="ns6:MediaServiceFastMetadata" minOccurs="0"/>
                <xsd:element ref="ns5:MediaServiceAutoTags" minOccurs="0"/>
                <xsd:element ref="ns5:MediaServiceOCR" minOccurs="0"/>
                <xsd:element ref="ns5:MediaServiceGenerationTime" minOccurs="0"/>
                <xsd:element ref="ns5:MediaServiceEventHashCode" minOccurs="0"/>
                <xsd:element ref="ns2:Proj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4803a05-dce1-44ab-b16b-5ee50343976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e8d89-45ec-4b7c-a269-252837642727"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80742C-66DA-438F-8183-E88913B3C1A3}">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2.xml><?xml version="1.0" encoding="utf-8"?>
<ds:datastoreItem xmlns:ds="http://schemas.openxmlformats.org/officeDocument/2006/customXml" ds:itemID="{ABAE9A1D-810A-41F3-B979-B2B2F2A3D2D7}">
  <ds:schemaRefs>
    <ds:schemaRef ds:uri="Microsoft.SharePoint.Taxonomy.ContentTypeSync"/>
  </ds:schemaRefs>
</ds:datastoreItem>
</file>

<file path=customXml/itemProps3.xml><?xml version="1.0" encoding="utf-8"?>
<ds:datastoreItem xmlns:ds="http://schemas.openxmlformats.org/officeDocument/2006/customXml" ds:itemID="{0D283F14-FE0C-4B9D-85E0-EDB82820E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b4803a05-dce1-44ab-b16b-5ee503439761"/>
    <ds:schemaRef ds:uri="39de8d89-45ec-4b7c-a269-252837642727"/>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ED519E-DA2E-4939-B287-CACB62DD8841}">
  <ds:schemaRefs>
    <ds:schemaRef ds:uri="http://schemas.microsoft.com/sharepoint/events"/>
  </ds:schemaRefs>
</ds:datastoreItem>
</file>

<file path=customXml/itemProps5.xml><?xml version="1.0" encoding="utf-8"?>
<ds:datastoreItem xmlns:ds="http://schemas.openxmlformats.org/officeDocument/2006/customXml" ds:itemID="{CCD4D166-6CE5-492D-89EE-EA11AEE51A8A}">
  <ds:schemaRefs>
    <ds:schemaRef ds:uri="http://schemas.openxmlformats.org/officeDocument/2006/bibliography"/>
  </ds:schemaRefs>
</ds:datastoreItem>
</file>

<file path=customXml/itemProps6.xml><?xml version="1.0" encoding="utf-8"?>
<ds:datastoreItem xmlns:ds="http://schemas.openxmlformats.org/officeDocument/2006/customXml" ds:itemID="{7E199643-3273-431E-8084-ACE05C6A41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193</Pages>
  <Words>53544</Words>
  <Characters>305203</Characters>
  <Application>Microsoft Office Word</Application>
  <DocSecurity>0</DocSecurity>
  <Lines>2543</Lines>
  <Paragraphs>716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358031</CharactersWithSpaces>
  <SharedDoc>false</SharedDoc>
  <HLinks>
    <vt:vector size="42" baseType="variant">
      <vt:variant>
        <vt:i4>6488126</vt:i4>
      </vt:variant>
      <vt:variant>
        <vt:i4>264</vt:i4>
      </vt:variant>
      <vt:variant>
        <vt:i4>0</vt:i4>
      </vt:variant>
      <vt:variant>
        <vt:i4>5</vt:i4>
      </vt:variant>
      <vt:variant>
        <vt:lpwstr>http://www.bom.gov.au/climate/updates/articles/a010-southern-rainfall-decline.shtml</vt:lpwstr>
      </vt:variant>
      <vt:variant>
        <vt:lpwstr/>
      </vt:variant>
      <vt:variant>
        <vt:i4>7929905</vt:i4>
      </vt:variant>
      <vt:variant>
        <vt:i4>171</vt:i4>
      </vt:variant>
      <vt:variant>
        <vt:i4>0</vt:i4>
      </vt:variant>
      <vt:variant>
        <vt:i4>5</vt:i4>
      </vt:variant>
      <vt:variant>
        <vt:lpwstr>http://agriculture.gov.au/water/markets/commonwealth-water-mdb/progress-water-purchases</vt:lpwstr>
      </vt:variant>
      <vt:variant>
        <vt:lpwstr/>
      </vt:variant>
      <vt:variant>
        <vt:i4>3276821</vt:i4>
      </vt:variant>
      <vt:variant>
        <vt:i4>12</vt:i4>
      </vt:variant>
      <vt:variant>
        <vt:i4>0</vt:i4>
      </vt:variant>
      <vt:variant>
        <vt:i4>5</vt:i4>
      </vt:variant>
      <vt:variant>
        <vt:lpwstr>http://www.canberra.edu.au/research/faculty-research-centres/ceraph/regional-wellbeing/survey-results/2014-survey-results/Farmers-and-agriculture_LR.pdf</vt:lpwstr>
      </vt:variant>
      <vt:variant>
        <vt:lpwstr/>
      </vt:variant>
      <vt:variant>
        <vt:i4>5570627</vt:i4>
      </vt:variant>
      <vt:variant>
        <vt:i4>9</vt:i4>
      </vt:variant>
      <vt:variant>
        <vt:i4>0</vt:i4>
      </vt:variant>
      <vt:variant>
        <vt:i4>5</vt:i4>
      </vt:variant>
      <vt:variant>
        <vt:lpwstr>http://waterregister.vic.gov.au/water-entitlements/entitlement-statistics</vt:lpwstr>
      </vt:variant>
      <vt:variant>
        <vt:lpwstr/>
      </vt:variant>
      <vt:variant>
        <vt:i4>4718670</vt:i4>
      </vt:variant>
      <vt:variant>
        <vt:i4>6</vt:i4>
      </vt:variant>
      <vt:variant>
        <vt:i4>0</vt:i4>
      </vt:variant>
      <vt:variant>
        <vt:i4>5</vt:i4>
      </vt:variant>
      <vt:variant>
        <vt:lpwstr>http://www.legislation.nsw.gov.au/</vt:lpwstr>
      </vt:variant>
      <vt:variant>
        <vt:lpwstr>/view/regulation/2016/366/part5/div3/sec24</vt:lpwstr>
      </vt:variant>
      <vt:variant>
        <vt:i4>6357109</vt:i4>
      </vt:variant>
      <vt:variant>
        <vt:i4>3</vt:i4>
      </vt:variant>
      <vt:variant>
        <vt:i4>0</vt:i4>
      </vt:variant>
      <vt:variant>
        <vt:i4>5</vt:i4>
      </vt:variant>
      <vt:variant>
        <vt:lpwstr>http://nvrm.net.au/seasonal-determinations/how-allocations-work</vt:lpwstr>
      </vt:variant>
      <vt:variant>
        <vt:lpwstr/>
      </vt:variant>
      <vt:variant>
        <vt:i4>7274537</vt:i4>
      </vt:variant>
      <vt:variant>
        <vt:i4>0</vt:i4>
      </vt:variant>
      <vt:variant>
        <vt:i4>0</vt:i4>
      </vt:variant>
      <vt:variant>
        <vt:i4>5</vt:i4>
      </vt:variant>
      <vt:variant>
        <vt:lpwstr>http://www.water.nsw.gov.au/water-management/water-availability/how-water-is-allocated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and economic impacts of the Basin plan in Victoria 2017</dc:title>
  <dc:creator>Tim Cummins</dc:creator>
  <cp:lastModifiedBy>Carissa J Webb (DEECA)</cp:lastModifiedBy>
  <cp:revision>3</cp:revision>
  <cp:lastPrinted>2017-02-03T00:44:00Z</cp:lastPrinted>
  <dcterms:created xsi:type="dcterms:W3CDTF">2022-10-04T23:49:00Z</dcterms:created>
  <dcterms:modified xsi:type="dcterms:W3CDTF">2023-08-02T00:28:00Z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0x0101009298E819CE1EBB4F8D2096B3E0F0C2911D007070787EB0367840814AAC627E9092D6</vt:lpwstr>
  </property>
  <property fmtid="{D5CDD505-2E9C-101B-9397-08002B2CF9AE}" pid="3" name="Records Class Project">
    <vt:lpwstr>145</vt:lpwstr>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_dlc_DocIdItemGuid">
    <vt:lpwstr>cdbd2741-50cf-49f0-8f2d-a60ae69ef289</vt:lpwstr>
  </property>
  <property fmtid="{D5CDD505-2E9C-101B-9397-08002B2CF9AE}" pid="7" name="Department Document Type">
    <vt:lpwstr/>
  </property>
  <property fmtid="{D5CDD505-2E9C-101B-9397-08002B2CF9AE}" pid="8" name="Record Purpose">
    <vt:lpwstr/>
  </property>
  <property fmtid="{D5CDD505-2E9C-101B-9397-08002B2CF9AE}" pid="9" name="MSIP_Label_4257e2ab-f512-40e2-9c9a-c64247360765_Enabled">
    <vt:lpwstr>true</vt:lpwstr>
  </property>
  <property fmtid="{D5CDD505-2E9C-101B-9397-08002B2CF9AE}" pid="10" name="MSIP_Label_4257e2ab-f512-40e2-9c9a-c64247360765_SetDate">
    <vt:lpwstr>2023-08-02T00:28:08Z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f32223da-4dea-4d19-af14-ce04b5b2a2e5</vt:lpwstr>
  </property>
  <property fmtid="{D5CDD505-2E9C-101B-9397-08002B2CF9AE}" pid="15" name="MSIP_Label_4257e2ab-f512-40e2-9c9a-c64247360765_ContentBits">
    <vt:lpwstr>2</vt:lpwstr>
  </property>
</Properties>
</file>