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B27C593" w14:textId="77777777" w:rsidTr="003F46E9">
        <w:trPr>
          <w:trHeight w:hRule="exact" w:val="1418"/>
        </w:trPr>
        <w:tc>
          <w:tcPr>
            <w:tcW w:w="7761" w:type="dxa"/>
            <w:vAlign w:val="center"/>
          </w:tcPr>
          <w:p w14:paraId="57420788" w14:textId="77777777" w:rsidR="00975ED3" w:rsidRPr="00975ED3" w:rsidRDefault="00E56B2E" w:rsidP="003F46E9">
            <w:pPr>
              <w:pStyle w:val="Title"/>
            </w:pPr>
            <w:r w:rsidRPr="00EC5E35">
              <w:t xml:space="preserve">Managing </w:t>
            </w:r>
            <w:r>
              <w:t>willows</w:t>
            </w:r>
            <w:r w:rsidRPr="00EC5E35">
              <w:t xml:space="preserve"> in Victoria</w:t>
            </w:r>
          </w:p>
        </w:tc>
      </w:tr>
      <w:tr w:rsidR="00975ED3" w14:paraId="48F2FE53" w14:textId="77777777" w:rsidTr="00E365EF">
        <w:trPr>
          <w:trHeight w:val="850"/>
        </w:trPr>
        <w:tc>
          <w:tcPr>
            <w:tcW w:w="7761" w:type="dxa"/>
            <w:vAlign w:val="center"/>
          </w:tcPr>
          <w:p w14:paraId="5FD351B9" w14:textId="77777777" w:rsidR="00975ED3" w:rsidRDefault="00975ED3" w:rsidP="003F46E9">
            <w:pPr>
              <w:pStyle w:val="Subtitle"/>
            </w:pPr>
          </w:p>
        </w:tc>
      </w:tr>
    </w:tbl>
    <w:p w14:paraId="2D138102" w14:textId="77777777" w:rsidR="00806AB6" w:rsidRDefault="00806AB6" w:rsidP="00307C36"/>
    <w:p w14:paraId="6048EECF" w14:textId="77777777" w:rsidR="00806AB6" w:rsidRDefault="00806AB6" w:rsidP="00806AB6">
      <w:pPr>
        <w:pStyle w:val="BodyText"/>
        <w:sectPr w:rsidR="00806AB6" w:rsidSect="00E97294">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68FE672B" w14:textId="77777777" w:rsidR="00E56B2E" w:rsidRDefault="00E56B2E" w:rsidP="00E56B2E">
      <w:pPr>
        <w:pStyle w:val="Heading2"/>
      </w:pPr>
      <w:r>
        <w:t>What’s the issue?</w:t>
      </w:r>
    </w:p>
    <w:p w14:paraId="02C8D303" w14:textId="77777777" w:rsidR="00E56B2E" w:rsidRPr="002C2B4A" w:rsidRDefault="00E56B2E" w:rsidP="00E56B2E">
      <w:pPr>
        <w:pStyle w:val="BodyText100ThemeColour"/>
        <w:rPr>
          <w:b/>
        </w:rPr>
      </w:pPr>
      <w:r w:rsidRPr="002C2B4A">
        <w:rPr>
          <w:b/>
        </w:rPr>
        <w:t>Exotic species such as ash, elm, poplar and particularly willows were historically planted along waterways for erosion control and aesthetic purposes. The spread of these species over time has degraded riparian environments</w:t>
      </w:r>
      <w:r w:rsidRPr="002C2B4A">
        <w:rPr>
          <w:b/>
          <w:vertAlign w:val="superscript"/>
        </w:rPr>
        <w:footnoteReference w:id="2"/>
      </w:r>
      <w:r w:rsidRPr="002C2B4A">
        <w:rPr>
          <w:b/>
        </w:rPr>
        <w:t xml:space="preserve">. Willows have now invaded thousands of kilometres of </w:t>
      </w:r>
      <w:r w:rsidR="00CF3B2C" w:rsidRPr="002C2B4A">
        <w:rPr>
          <w:b/>
        </w:rPr>
        <w:t>riparian environments in south e</w:t>
      </w:r>
      <w:r w:rsidRPr="002C2B4A">
        <w:rPr>
          <w:b/>
        </w:rPr>
        <w:t>astern Australia.</w:t>
      </w:r>
    </w:p>
    <w:p w14:paraId="6D53CD43" w14:textId="77777777" w:rsidR="00E56B2E" w:rsidRDefault="00E56B2E" w:rsidP="00E56B2E">
      <w:pPr>
        <w:pStyle w:val="BodyText"/>
      </w:pPr>
      <w:r>
        <w:t xml:space="preserve">Consequently, over the last 20 years or so, catchment management authorities (CMAs) have been removing willows along many Victorian waterways. </w:t>
      </w:r>
    </w:p>
    <w:p w14:paraId="42F685DE" w14:textId="77777777" w:rsidR="00E56B2E" w:rsidRPr="005B617F" w:rsidRDefault="00E56B2E" w:rsidP="00E56B2E">
      <w:pPr>
        <w:pStyle w:val="BodyText"/>
        <w:rPr>
          <w:spacing w:val="-2"/>
        </w:rPr>
      </w:pPr>
      <w:r w:rsidRPr="005B617F">
        <w:rPr>
          <w:spacing w:val="-2"/>
        </w:rPr>
        <w:t>These willow management programs have sometimes caused concern with the public, particularly landholders and recreational fishers, who have a strong interest in the health of our waterways. Concerns have been raised about the location and extent of willow control, the management techniques used, the timing of revegetation efforts after willow control and the limited consultation with the public about willow control projects.</w:t>
      </w:r>
    </w:p>
    <w:p w14:paraId="067A703E" w14:textId="77777777" w:rsidR="00E56B2E" w:rsidRDefault="00E56B2E" w:rsidP="00E56B2E">
      <w:pPr>
        <w:pStyle w:val="BodyText"/>
      </w:pPr>
      <w:r>
        <w:t>This brochure has been developed to acknowledge those concerns, improve communication and raise awareness of the ‘why, what and how’ about willow management in Victoria.</w:t>
      </w:r>
    </w:p>
    <w:p w14:paraId="22309ECA" w14:textId="77777777" w:rsidR="00E56B2E" w:rsidRDefault="00E56B2E" w:rsidP="00E56B2E">
      <w:pPr>
        <w:pStyle w:val="Heading2"/>
      </w:pPr>
      <w:r>
        <w:t>The problem with will</w:t>
      </w:r>
      <w:r w:rsidRPr="004727B7">
        <w:t>o</w:t>
      </w:r>
      <w:r>
        <w:t>ws</w:t>
      </w:r>
    </w:p>
    <w:p w14:paraId="3E4881ED" w14:textId="77777777" w:rsidR="00E56B2E" w:rsidRDefault="00E56B2E" w:rsidP="00E56B2E">
      <w:pPr>
        <w:pStyle w:val="BodyText"/>
      </w:pPr>
      <w:r>
        <w:t xml:space="preserve">Willows are recognised as one of the most serious riparian weeds in temperate Australia and most types </w:t>
      </w:r>
      <w:r w:rsidR="005B617F">
        <w:br/>
      </w:r>
      <w:r>
        <w:t>of willows are considered Weeds of National Significance (WoNS)</w:t>
      </w:r>
      <w:r>
        <w:rPr>
          <w:rStyle w:val="FootnoteReference"/>
        </w:rPr>
        <w:footnoteReference w:id="3"/>
      </w:r>
      <w:r>
        <w:t>.</w:t>
      </w:r>
    </w:p>
    <w:p w14:paraId="7EAD3311" w14:textId="77777777" w:rsidR="00E56B2E" w:rsidRDefault="00E56B2E" w:rsidP="00E56B2E">
      <w:pPr>
        <w:pStyle w:val="BodyText"/>
      </w:pPr>
      <w:r>
        <w:t>There are numerous scientific studies which have demonstrated that:</w:t>
      </w:r>
    </w:p>
    <w:p w14:paraId="558D0870" w14:textId="77777777" w:rsidR="005B617F" w:rsidRDefault="00E56B2E" w:rsidP="005B617F">
      <w:pPr>
        <w:pStyle w:val="ListBullet"/>
      </w:pPr>
      <w:r w:rsidRPr="00EC5E35">
        <w:rPr>
          <w:b/>
        </w:rPr>
        <w:t>Willows degrade the condition of rivers</w:t>
      </w:r>
      <w:r>
        <w:t xml:space="preserve"> </w:t>
      </w:r>
      <w:r w:rsidRPr="00DE357F">
        <w:rPr>
          <w:b/>
        </w:rPr>
        <w:t>and riparian land</w:t>
      </w:r>
      <w:r>
        <w:t xml:space="preserve"> – Willows crowd out or exclude native plants, they reduce native biodiversity especially by providing less hollows for native birds and animals, and their massed autumn leaf fall can deplete oxygen levels in waterways.</w:t>
      </w:r>
    </w:p>
    <w:p w14:paraId="1E8994DE" w14:textId="77777777" w:rsidR="00E56B2E" w:rsidRDefault="00E56B2E" w:rsidP="00635285">
      <w:pPr>
        <w:pStyle w:val="ListBullet"/>
        <w:spacing w:before="240"/>
      </w:pPr>
      <w:r w:rsidRPr="00EC5E35">
        <w:rPr>
          <w:b/>
        </w:rPr>
        <w:t>Willows are highly invasive</w:t>
      </w:r>
      <w:r>
        <w:t xml:space="preserve"> – Several varieties of willows produce huge quantities of seeds and most varieties are able to spread from broken twigs and branches.</w:t>
      </w:r>
    </w:p>
    <w:p w14:paraId="1F20DCDF" w14:textId="77777777" w:rsidR="00E56B2E" w:rsidRDefault="00E56B2E" w:rsidP="00E56B2E">
      <w:pPr>
        <w:pStyle w:val="ListBullet"/>
      </w:pPr>
      <w:r w:rsidRPr="004151CB">
        <w:rPr>
          <w:b/>
        </w:rPr>
        <w:t>Willows can initiate erosion and channel widening</w:t>
      </w:r>
      <w:r>
        <w:t xml:space="preserve"> – Extensive willow root mats extend into the channel bed and trap sediment, multi stem trunks catch more debris, and trees and limbs fall instream and continue to grow, all contributing to raising the bed level and diverting flows into and over the bank. This results in bank erosion and causes the river to widen out around the willow.</w:t>
      </w:r>
    </w:p>
    <w:p w14:paraId="4AC610C8" w14:textId="77777777" w:rsidR="001306D2" w:rsidRDefault="00E56B2E" w:rsidP="001306D2">
      <w:pPr>
        <w:pStyle w:val="BodyText"/>
      </w:pPr>
      <w:r>
        <w:rPr>
          <w:noProof/>
          <w:lang w:eastAsia="en-AU"/>
        </w:rPr>
        <w:drawing>
          <wp:inline distT="0" distB="0" distL="0" distR="0" wp14:anchorId="1187FEE5" wp14:editId="294A504A">
            <wp:extent cx="3149600" cy="2361724"/>
            <wp:effectExtent l="0" t="0" r="0" b="635"/>
            <wp:docPr id="9" name="Picture 9" descr="J:\WSG-ACTIVE\Catchments Branch\Waterway Health\Riparian\Willows\Photos\Goulburn Broken\Rubicon River_Thor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SG-ACTIVE\Catchments Branch\Waterway Health\Riparian\Willows\Photos\Goulburn Broken\Rubicon River_Thornt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2361724"/>
                    </a:xfrm>
                    <a:prstGeom prst="rect">
                      <a:avLst/>
                    </a:prstGeom>
                    <a:noFill/>
                    <a:ln>
                      <a:noFill/>
                    </a:ln>
                  </pic:spPr>
                </pic:pic>
              </a:graphicData>
            </a:graphic>
          </wp:inline>
        </w:drawing>
      </w:r>
    </w:p>
    <w:p w14:paraId="2B7EA438" w14:textId="77777777" w:rsidR="00E56B2E" w:rsidRPr="00036289" w:rsidRDefault="00E56B2E" w:rsidP="007106B2">
      <w:pPr>
        <w:pStyle w:val="CaptionImageorFigure"/>
      </w:pPr>
      <w:r w:rsidRPr="00036289">
        <w:t>Rubicon River, Thornton, showing the river widening out behind the willows. Photo courtesy Goulburn Broken CMA</w:t>
      </w:r>
    </w:p>
    <w:p w14:paraId="346ED0D6" w14:textId="77777777" w:rsidR="00E56B2E" w:rsidRDefault="00E56B2E" w:rsidP="007B78BA">
      <w:pPr>
        <w:pStyle w:val="ListBullet"/>
      </w:pPr>
      <w:r w:rsidRPr="004151CB">
        <w:rPr>
          <w:b/>
        </w:rPr>
        <w:t>Willows reduce the supply of habitat and food for fish</w:t>
      </w:r>
      <w:r>
        <w:t xml:space="preserve"> – Willow root mats can create uniform stream channels with reduced fish habitat diversity. Willows also support fewer terrestrial bugs than native plants, reducing the number of bugs falling into rivers as a possible source of food for fish.</w:t>
      </w:r>
    </w:p>
    <w:p w14:paraId="1A4E6914" w14:textId="77777777" w:rsidR="00E365EF" w:rsidRDefault="00E56B2E" w:rsidP="00E365EF">
      <w:pPr>
        <w:pStyle w:val="ListBullet"/>
      </w:pPr>
      <w:r w:rsidRPr="00EC5E35">
        <w:rPr>
          <w:b/>
        </w:rPr>
        <w:t xml:space="preserve">Willows growing instream are </w:t>
      </w:r>
      <w:r>
        <w:rPr>
          <w:b/>
        </w:rPr>
        <w:t>big water users</w:t>
      </w:r>
      <w:r>
        <w:t xml:space="preserve"> – When willows extend their roots into a waterway, they can consume significant amounts of water and dry out small streams and swamps.</w:t>
      </w:r>
    </w:p>
    <w:p w14:paraId="4D21D4BE" w14:textId="77777777" w:rsidR="007B78BA" w:rsidRPr="007106B2" w:rsidRDefault="00635285" w:rsidP="007106B2">
      <w:pPr>
        <w:pStyle w:val="ListBullet"/>
      </w:pPr>
      <w:r>
        <w:rPr>
          <w:b/>
        </w:rPr>
        <w:br w:type="column"/>
      </w:r>
      <w:r w:rsidR="007B78BA" w:rsidRPr="007106B2">
        <w:rPr>
          <w:b/>
        </w:rPr>
        <w:lastRenderedPageBreak/>
        <w:t>Willows can restrict recreational access</w:t>
      </w:r>
      <w:r w:rsidR="007B78BA" w:rsidRPr="007106B2">
        <w:t xml:space="preserve"> – Dense stands of willows reduce access for fishing, walking and can be dangerous for canoeists who may become trapped.</w:t>
      </w:r>
    </w:p>
    <w:p w14:paraId="25EB6ADF" w14:textId="77777777" w:rsidR="007B78BA" w:rsidRDefault="007B78BA" w:rsidP="00405BD3">
      <w:pPr>
        <w:pStyle w:val="BodyText"/>
      </w:pPr>
      <w:r>
        <w:rPr>
          <w:noProof/>
          <w:lang w:eastAsia="en-AU"/>
        </w:rPr>
        <w:drawing>
          <wp:inline distT="0" distB="0" distL="0" distR="0" wp14:anchorId="22F6EA18" wp14:editId="757F71EF">
            <wp:extent cx="3149599" cy="1943100"/>
            <wp:effectExtent l="0" t="0" r="0" b="0"/>
            <wp:docPr id="2" name="Picture 2" descr="J:\WSG-ACTIVE\Catchments Branch\Waterway Health\Riparian\Willows\Photos\North East\Ovens River Bright - willow choked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SG-ACTIVE\Catchments Branch\Waterway Health\Riparian\Willows\Photos\North East\Ovens River Bright - willow choked -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43"/>
                    <a:stretch/>
                  </pic:blipFill>
                  <pic:spPr bwMode="auto">
                    <a:xfrm>
                      <a:off x="0" y="0"/>
                      <a:ext cx="3149759" cy="1943199"/>
                    </a:xfrm>
                    <a:prstGeom prst="rect">
                      <a:avLst/>
                    </a:prstGeom>
                    <a:noFill/>
                    <a:ln>
                      <a:noFill/>
                    </a:ln>
                    <a:extLst>
                      <a:ext uri="{53640926-AAD7-44D8-BBD7-CCE9431645EC}">
                        <a14:shadowObscured xmlns:a14="http://schemas.microsoft.com/office/drawing/2010/main"/>
                      </a:ext>
                    </a:extLst>
                  </pic:spPr>
                </pic:pic>
              </a:graphicData>
            </a:graphic>
          </wp:inline>
        </w:drawing>
      </w:r>
    </w:p>
    <w:p w14:paraId="536FAB6D" w14:textId="77777777" w:rsidR="007B78BA" w:rsidRPr="003A3CB5" w:rsidRDefault="007B78BA" w:rsidP="007106B2">
      <w:pPr>
        <w:pStyle w:val="CaptionImageorFigure"/>
      </w:pPr>
      <w:r w:rsidRPr="00036289">
        <w:t xml:space="preserve">Willow blockage on the Ovens River near Bright causing obstructions for recreational activity. Photo courtesy North </w:t>
      </w:r>
      <w:r w:rsidR="005B617F">
        <w:br/>
      </w:r>
      <w:r w:rsidRPr="00036289">
        <w:t>East CMA</w:t>
      </w:r>
    </w:p>
    <w:p w14:paraId="7E105A32" w14:textId="77777777" w:rsidR="007B78BA" w:rsidRDefault="007B78BA" w:rsidP="007B78BA">
      <w:pPr>
        <w:pStyle w:val="ListBullet"/>
      </w:pPr>
      <w:r>
        <w:rPr>
          <w:b/>
        </w:rPr>
        <w:t>Willows can create a threat to public and private infrastructure</w:t>
      </w:r>
      <w:r>
        <w:t xml:space="preserve"> –</w:t>
      </w:r>
      <w:r>
        <w:rPr>
          <w:b/>
        </w:rPr>
        <w:t xml:space="preserve"> </w:t>
      </w:r>
      <w:r>
        <w:t>Dense colonisation of waterways can restrict flows to such an extent that waterways can change course completely (“avulse”). When this occurs there are frequently significant risks to public infrastructure such as roads and bridges, as well as private property. Floating rafts of willow debris also create issues for infrastructure where they jam up against bridge pylons, fences and other assets.</w:t>
      </w:r>
    </w:p>
    <w:p w14:paraId="54613C0E" w14:textId="77777777" w:rsidR="007B78BA" w:rsidRDefault="007B78BA" w:rsidP="007B78BA">
      <w:pPr>
        <w:pStyle w:val="Heading2"/>
      </w:pPr>
      <w:r w:rsidRPr="00EC5E35">
        <w:t>Legislation and policy</w:t>
      </w:r>
    </w:p>
    <w:p w14:paraId="3149C3B9" w14:textId="77777777" w:rsidR="007B78BA" w:rsidRDefault="007B78BA" w:rsidP="007B78BA">
      <w:pPr>
        <w:pStyle w:val="BodyText"/>
      </w:pPr>
      <w:r>
        <w:t xml:space="preserve">The Victorian </w:t>
      </w:r>
      <w:r w:rsidRPr="00A60890">
        <w:rPr>
          <w:i/>
        </w:rPr>
        <w:t>Catchment and Land Protection Act 1994</w:t>
      </w:r>
      <w:r>
        <w:t xml:space="preserve"> has declared</w:t>
      </w:r>
      <w:r w:rsidRPr="00994A90">
        <w:t xml:space="preserve"> most willow species</w:t>
      </w:r>
      <w:r>
        <w:rPr>
          <w:rStyle w:val="FootnoteReference"/>
        </w:rPr>
        <w:footnoteReference w:id="4"/>
      </w:r>
      <w:r w:rsidRPr="00994A90">
        <w:t xml:space="preserve"> as noxious weeds </w:t>
      </w:r>
      <w:r w:rsidR="007742E6">
        <w:br/>
      </w:r>
      <w:r w:rsidRPr="00994A90">
        <w:t>in Victoria. The</w:t>
      </w:r>
      <w:r>
        <w:t>se willows</w:t>
      </w:r>
      <w:r w:rsidRPr="00994A90">
        <w:t xml:space="preserve"> are further categorised as </w:t>
      </w:r>
      <w:r>
        <w:t>‘</w:t>
      </w:r>
      <w:r w:rsidRPr="00994A90">
        <w:t>restricted</w:t>
      </w:r>
      <w:r>
        <w:t>’</w:t>
      </w:r>
      <w:r w:rsidRPr="00994A90">
        <w:t xml:space="preserve"> weeds</w:t>
      </w:r>
      <w:r>
        <w:rPr>
          <w:rStyle w:val="FootnoteReference"/>
        </w:rPr>
        <w:footnoteReference w:id="5"/>
      </w:r>
      <w:r w:rsidRPr="00994A90">
        <w:t xml:space="preserve"> that pose an unacceptable risk of spreading in </w:t>
      </w:r>
      <w:r>
        <w:t>Victoria</w:t>
      </w:r>
      <w:r w:rsidRPr="00994A90">
        <w:t xml:space="preserve"> and are a serious threat to another </w:t>
      </w:r>
      <w:r>
        <w:t>s</w:t>
      </w:r>
      <w:r w:rsidRPr="00994A90">
        <w:t>t</w:t>
      </w:r>
      <w:r>
        <w:t>ate or territory of Australia. They cannot be legally sold or traded within Victoria. However, t</w:t>
      </w:r>
      <w:r w:rsidRPr="00A60890">
        <w:t xml:space="preserve">here is no </w:t>
      </w:r>
      <w:r w:rsidR="007742E6">
        <w:br/>
      </w:r>
      <w:r w:rsidRPr="00A60890">
        <w:t xml:space="preserve">legal obligation upon landholders to manage willows </w:t>
      </w:r>
      <w:r w:rsidR="007742E6">
        <w:br/>
      </w:r>
      <w:r w:rsidRPr="00A60890">
        <w:t>on their properties.</w:t>
      </w:r>
      <w:r>
        <w:t xml:space="preserve"> </w:t>
      </w:r>
    </w:p>
    <w:p w14:paraId="75E6537D" w14:textId="77777777" w:rsidR="007B78BA" w:rsidRDefault="00D200D8" w:rsidP="007106B2">
      <w:pPr>
        <w:pStyle w:val="Heading2"/>
        <w:spacing w:before="0"/>
      </w:pPr>
      <w:r>
        <w:br w:type="column"/>
      </w:r>
      <w:r w:rsidR="007B78BA">
        <w:t xml:space="preserve">Willow management principles, priorities </w:t>
      </w:r>
      <w:r>
        <w:br/>
      </w:r>
      <w:r w:rsidR="007B78BA">
        <w:t>and implementation</w:t>
      </w:r>
    </w:p>
    <w:p w14:paraId="201DE6F6" w14:textId="77777777" w:rsidR="007B78BA" w:rsidRDefault="007B78BA" w:rsidP="007B78BA">
      <w:pPr>
        <w:pStyle w:val="Heading3"/>
      </w:pPr>
      <w:r>
        <w:t>Managing willows as part of a broader waterway health program</w:t>
      </w:r>
    </w:p>
    <w:p w14:paraId="36322B48" w14:textId="77777777" w:rsidR="007B78BA" w:rsidRPr="007429A1" w:rsidRDefault="007B78BA" w:rsidP="007B78BA">
      <w:pPr>
        <w:pStyle w:val="BodyText"/>
      </w:pPr>
      <w:r>
        <w:t>Catchment management authorities address the impacts of willows and other key threats to waterway health through their regional waterway strategies. This enables them to integrate willow management with other waterway management activities such as establishing instream habitat, managing stock access, replanting the site with native plants or managing for natural regeneration. Consideration is also given to the risks willows present to public infrastructure.</w:t>
      </w:r>
    </w:p>
    <w:p w14:paraId="3DB340AC" w14:textId="77777777" w:rsidR="007B78BA" w:rsidRDefault="007B78BA" w:rsidP="007B78BA">
      <w:pPr>
        <w:pStyle w:val="Heading3"/>
      </w:pPr>
      <w:r>
        <w:t xml:space="preserve">Setting willow management priorities at the </w:t>
      </w:r>
      <w:r w:rsidR="00D200D8">
        <w:br/>
      </w:r>
      <w:r>
        <w:t>regional level</w:t>
      </w:r>
    </w:p>
    <w:p w14:paraId="20C4E652" w14:textId="77777777" w:rsidR="007B78BA" w:rsidRDefault="007B78BA" w:rsidP="007B78BA">
      <w:pPr>
        <w:pStyle w:val="BodyText"/>
      </w:pPr>
      <w:r>
        <w:t>Willows are present throughout Victoria in varying densities depending on environmental conditions and previous introduction and management practices.  Some willow taxa also pose more of a threat to waterway health than others. Therefore, management of willow control across a region should be prioritised as follows:</w:t>
      </w:r>
    </w:p>
    <w:p w14:paraId="3CC4977B" w14:textId="77777777" w:rsidR="007B78BA" w:rsidRDefault="007B78BA" w:rsidP="007B78BA">
      <w:pPr>
        <w:pStyle w:val="ListBullet"/>
      </w:pPr>
      <w:r>
        <w:rPr>
          <w:b/>
        </w:rPr>
        <w:t>First</w:t>
      </w:r>
      <w:r w:rsidRPr="0022618A">
        <w:rPr>
          <w:b/>
        </w:rPr>
        <w:t xml:space="preserve"> priority</w:t>
      </w:r>
      <w:r>
        <w:t xml:space="preserve"> – Protect the best waterways. A high quality riparian environment with native vegetation is not easily replaced once lost.</w:t>
      </w:r>
    </w:p>
    <w:p w14:paraId="5CF40C4B" w14:textId="77777777" w:rsidR="007B78BA" w:rsidRDefault="007B78BA" w:rsidP="007B78BA">
      <w:pPr>
        <w:pStyle w:val="ListBullet"/>
      </w:pPr>
      <w:r>
        <w:rPr>
          <w:b/>
        </w:rPr>
        <w:t>Second</w:t>
      </w:r>
      <w:r w:rsidRPr="0022618A">
        <w:rPr>
          <w:b/>
        </w:rPr>
        <w:t xml:space="preserve"> priority</w:t>
      </w:r>
      <w:r>
        <w:rPr>
          <w:b/>
        </w:rPr>
        <w:t xml:space="preserve"> </w:t>
      </w:r>
      <w:r>
        <w:t xml:space="preserve">– Prevent the spread of highly invasive </w:t>
      </w:r>
      <w:r w:rsidRPr="004151CB">
        <w:rPr>
          <w:i/>
        </w:rPr>
        <w:t>seeding</w:t>
      </w:r>
      <w:r>
        <w:t xml:space="preserve"> willow species wherever they are located. These include black willow, grey sallow and types of pussy willow. These species </w:t>
      </w:r>
      <w:r w:rsidRPr="00CC2169">
        <w:t xml:space="preserve">have the potential to spread long distances and </w:t>
      </w:r>
      <w:r>
        <w:t xml:space="preserve">can quickly </w:t>
      </w:r>
      <w:r w:rsidRPr="00CC2169">
        <w:t>become a serious problem.</w:t>
      </w:r>
    </w:p>
    <w:p w14:paraId="19888572" w14:textId="77777777" w:rsidR="007B78BA" w:rsidRDefault="007B78BA" w:rsidP="007B78BA">
      <w:pPr>
        <w:pStyle w:val="ListBullet"/>
      </w:pPr>
      <w:r w:rsidRPr="00953800">
        <w:rPr>
          <w:b/>
        </w:rPr>
        <w:t>Third priority</w:t>
      </w:r>
      <w:r>
        <w:t xml:space="preserve"> – Prevent the spread of highly invasive </w:t>
      </w:r>
      <w:r w:rsidRPr="004151CB">
        <w:rPr>
          <w:i/>
        </w:rPr>
        <w:t>brittle</w:t>
      </w:r>
      <w:r>
        <w:t xml:space="preserve"> willow species. These include crack willow and crack willow hybrids</w:t>
      </w:r>
      <w:r w:rsidRPr="00614F29">
        <w:t xml:space="preserve"> that spread vegetatively</w:t>
      </w:r>
      <w:r>
        <w:t>.</w:t>
      </w:r>
      <w:r w:rsidRPr="00953800">
        <w:t xml:space="preserve"> </w:t>
      </w:r>
    </w:p>
    <w:p w14:paraId="257424FB" w14:textId="77777777" w:rsidR="00B87A12" w:rsidRDefault="00B87A12" w:rsidP="00405BD3">
      <w:pPr>
        <w:pStyle w:val="BodyText"/>
        <w:rPr>
          <w:color w:val="404040"/>
          <w:szCs w:val="14"/>
        </w:rPr>
      </w:pPr>
      <w:r>
        <w:rPr>
          <w:noProof/>
          <w:lang w:eastAsia="en-AU"/>
        </w:rPr>
        <w:drawing>
          <wp:inline distT="0" distB="0" distL="0" distR="0" wp14:anchorId="3542C826" wp14:editId="5E052A0D">
            <wp:extent cx="3145604" cy="2030083"/>
            <wp:effectExtent l="0" t="0" r="0" b="8890"/>
            <wp:docPr id="10" name="Picture 10" descr="J:\WSG-ACTIVE\Catchments Branch\Waterway Health\Riparian\Willows\Photos\North East\Salix fragilis Happy Valley Creek O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SG-ACTIVE\Catchments Branch\Waterway Health\Riparian\Willows\Photos\North East\Salix fragilis Happy Valley Creek Oven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13955"/>
                    <a:stretch/>
                  </pic:blipFill>
                  <pic:spPr bwMode="auto">
                    <a:xfrm>
                      <a:off x="0" y="0"/>
                      <a:ext cx="3150235" cy="2033072"/>
                    </a:xfrm>
                    <a:prstGeom prst="rect">
                      <a:avLst/>
                    </a:prstGeom>
                    <a:noFill/>
                    <a:ln>
                      <a:noFill/>
                    </a:ln>
                    <a:extLst>
                      <a:ext uri="{53640926-AAD7-44D8-BBD7-CCE9431645EC}">
                        <a14:shadowObscured xmlns:a14="http://schemas.microsoft.com/office/drawing/2010/main"/>
                      </a:ext>
                    </a:extLst>
                  </pic:spPr>
                </pic:pic>
              </a:graphicData>
            </a:graphic>
          </wp:inline>
        </w:drawing>
      </w:r>
    </w:p>
    <w:p w14:paraId="73BB7E5B" w14:textId="77777777" w:rsidR="00B87A12" w:rsidRDefault="00B87A12" w:rsidP="007106B2">
      <w:pPr>
        <w:pStyle w:val="CaptionImageorFigure"/>
      </w:pPr>
      <w:r w:rsidRPr="00036289">
        <w:t>Crack willow (</w:t>
      </w:r>
      <w:r w:rsidRPr="00635285">
        <w:rPr>
          <w:i/>
        </w:rPr>
        <w:t>Salix fragilis</w:t>
      </w:r>
      <w:r w:rsidRPr="00036289">
        <w:t xml:space="preserve">), a type of </w:t>
      </w:r>
      <w:r w:rsidRPr="007106B2">
        <w:t>highly i</w:t>
      </w:r>
      <w:r w:rsidRPr="00036289">
        <w:t xml:space="preserve">nvasive brittle willow, on the Happy Valley Creek, Ovens. Photo courtesy </w:t>
      </w:r>
      <w:r w:rsidR="007742E6">
        <w:br/>
      </w:r>
      <w:r w:rsidRPr="00036289">
        <w:t>Paul McInerny.</w:t>
      </w:r>
    </w:p>
    <w:p w14:paraId="7AEB6CB4" w14:textId="77777777" w:rsidR="00635285" w:rsidRDefault="00635285" w:rsidP="00635285">
      <w:pPr>
        <w:pStyle w:val="Heading3"/>
      </w:pPr>
      <w:r>
        <w:lastRenderedPageBreak/>
        <w:t>Implementing willow management at the site level</w:t>
      </w:r>
    </w:p>
    <w:p w14:paraId="34B63B23" w14:textId="77777777" w:rsidR="00635285" w:rsidRDefault="00635285" w:rsidP="00635285">
      <w:pPr>
        <w:pStyle w:val="BodyText"/>
      </w:pPr>
      <w:r>
        <w:t xml:space="preserve">At the site level, the following factors should be considered when managing willows:  </w:t>
      </w:r>
    </w:p>
    <w:p w14:paraId="4E079065" w14:textId="77777777" w:rsidR="00635285" w:rsidRDefault="00635285" w:rsidP="00635285">
      <w:pPr>
        <w:pStyle w:val="ListBullet"/>
      </w:pPr>
      <w:r>
        <w:t>Brittle w</w:t>
      </w:r>
      <w:r w:rsidRPr="0031784F">
        <w:t>illows</w:t>
      </w:r>
      <w:r>
        <w:t xml:space="preserve"> that spread by broken twigs and branches should</w:t>
      </w:r>
      <w:r w:rsidRPr="008532EA">
        <w:t xml:space="preserve"> ideally </w:t>
      </w:r>
      <w:r>
        <w:t>be controlled starting at</w:t>
      </w:r>
      <w:r w:rsidRPr="008532EA">
        <w:t xml:space="preserve"> the upstream end and work</w:t>
      </w:r>
      <w:r>
        <w:t>ing</w:t>
      </w:r>
      <w:r w:rsidRPr="008532EA">
        <w:t xml:space="preserve"> downstream</w:t>
      </w:r>
      <w:r>
        <w:t xml:space="preserve"> to limit reinvasion.</w:t>
      </w:r>
      <w:r w:rsidRPr="00131084">
        <w:t xml:space="preserve"> </w:t>
      </w:r>
      <w:r>
        <w:t>However, in open farmland it may be better to</w:t>
      </w:r>
      <w:r w:rsidRPr="00341024">
        <w:t xml:space="preserve"> focus on sparse rather than dense willow populations first</w:t>
      </w:r>
      <w:r>
        <w:t>, to minimise spread downstream. This approach</w:t>
      </w:r>
      <w:r w:rsidRPr="00341024">
        <w:t xml:space="preserve"> creates a mosaic of treated areas along the river that can be joined over </w:t>
      </w:r>
      <w:r>
        <w:t xml:space="preserve">time. </w:t>
      </w:r>
    </w:p>
    <w:p w14:paraId="133B5500" w14:textId="77777777" w:rsidR="00B87A12" w:rsidRDefault="00B87A12" w:rsidP="00D124D9">
      <w:pPr>
        <w:pStyle w:val="ListBullet"/>
      </w:pPr>
      <w:r w:rsidRPr="0031784F">
        <w:t>Where</w:t>
      </w:r>
      <w:r>
        <w:t xml:space="preserve"> infestations are significant i.e. along several kilometres, willow control should be staged over several years.</w:t>
      </w:r>
    </w:p>
    <w:p w14:paraId="6638A076" w14:textId="77777777" w:rsidR="00B87A12" w:rsidRDefault="00B87A12" w:rsidP="00D124D9">
      <w:pPr>
        <w:pStyle w:val="ListBullet"/>
      </w:pPr>
      <w:r>
        <w:t>Sele</w:t>
      </w:r>
      <w:r w:rsidRPr="00873FD7">
        <w:t>c</w:t>
      </w:r>
      <w:r>
        <w:t>tive control of willows may be required in sensitive areas such as:</w:t>
      </w:r>
    </w:p>
    <w:p w14:paraId="2570C94D" w14:textId="77777777" w:rsidR="00B87A12" w:rsidRDefault="00B87A12" w:rsidP="00F40D4B">
      <w:pPr>
        <w:pStyle w:val="ListBullet2"/>
      </w:pPr>
      <w:r>
        <w:t xml:space="preserve">vulnerable </w:t>
      </w:r>
      <w:r w:rsidRPr="00F40D4B">
        <w:t>banks t</w:t>
      </w:r>
      <w:r>
        <w:t>hat may require additional stabilisation before removing willows</w:t>
      </w:r>
      <w:r w:rsidRPr="00AD52ED">
        <w:t xml:space="preserve"> </w:t>
      </w:r>
      <w:r>
        <w:t>to prevent bank erosion e.g. with rock beaching.</w:t>
      </w:r>
    </w:p>
    <w:p w14:paraId="72E7612B" w14:textId="77777777" w:rsidR="00B87A12" w:rsidRDefault="00B87A12" w:rsidP="00F40D4B">
      <w:pPr>
        <w:pStyle w:val="ListBullet2"/>
      </w:pPr>
      <w:r>
        <w:t>willow dominated reaches where social values exist that rely on willows e.g. shading of swimming or fishing holes.</w:t>
      </w:r>
    </w:p>
    <w:p w14:paraId="3187926D" w14:textId="77777777" w:rsidR="00B87A12" w:rsidRDefault="00B87A12" w:rsidP="00F40D4B">
      <w:pPr>
        <w:pStyle w:val="ListBullet2"/>
      </w:pPr>
      <w:r>
        <w:t xml:space="preserve">near built </w:t>
      </w:r>
      <w:r w:rsidRPr="00A57738">
        <w:t>asset</w:t>
      </w:r>
      <w:r>
        <w:t>s</w:t>
      </w:r>
      <w:r w:rsidRPr="00A57738">
        <w:t xml:space="preserve"> e.g. bridges, pump sites, power poles, roads</w:t>
      </w:r>
      <w:r>
        <w:t>.</w:t>
      </w:r>
    </w:p>
    <w:p w14:paraId="39093757" w14:textId="77777777" w:rsidR="00B87A12" w:rsidRDefault="00B87A12" w:rsidP="00F40D4B">
      <w:pPr>
        <w:pStyle w:val="ListBullet2"/>
      </w:pPr>
      <w:r>
        <w:t xml:space="preserve">where </w:t>
      </w:r>
      <w:r w:rsidRPr="00A57738">
        <w:t>landholder</w:t>
      </w:r>
      <w:r>
        <w:t xml:space="preserve"> or stakeholder concern</w:t>
      </w:r>
      <w:r w:rsidRPr="00A57738">
        <w:t xml:space="preserve"> is </w:t>
      </w:r>
      <w:r w:rsidR="007742E6">
        <w:br/>
      </w:r>
      <w:r w:rsidRPr="00A57738">
        <w:t>high</w:t>
      </w:r>
      <w:r>
        <w:t>, including concerns from local recreational fishing groups.</w:t>
      </w:r>
    </w:p>
    <w:p w14:paraId="319CD2FB" w14:textId="77777777" w:rsidR="00B87A12" w:rsidRDefault="00B87A12" w:rsidP="00D124D9">
      <w:pPr>
        <w:pStyle w:val="ListBullet"/>
      </w:pPr>
      <w:r>
        <w:t>Circumstances such as:</w:t>
      </w:r>
    </w:p>
    <w:p w14:paraId="6856C0DF" w14:textId="77777777" w:rsidR="00B87A12" w:rsidRDefault="00B87A12" w:rsidP="00D124D9">
      <w:pPr>
        <w:pStyle w:val="ListBullet2"/>
      </w:pPr>
      <w:r>
        <w:t xml:space="preserve">the stream type (e.g. is the stream bed gravel, </w:t>
      </w:r>
      <w:r w:rsidR="007742E6">
        <w:br/>
      </w:r>
      <w:r>
        <w:t xml:space="preserve">clay etc.), </w:t>
      </w:r>
    </w:p>
    <w:p w14:paraId="6332151C" w14:textId="77777777" w:rsidR="00B87A12" w:rsidRDefault="00B87A12" w:rsidP="00D124D9">
      <w:pPr>
        <w:pStyle w:val="ListBullet2"/>
      </w:pPr>
      <w:r>
        <w:t xml:space="preserve">the waterway’s location (e.g. urban, agricultural, recreational site etc.) and </w:t>
      </w:r>
    </w:p>
    <w:p w14:paraId="1360B4CE" w14:textId="77777777" w:rsidR="00B87A12" w:rsidRDefault="00B87A12" w:rsidP="00D124D9">
      <w:pPr>
        <w:pStyle w:val="ListBullet2"/>
      </w:pPr>
      <w:r>
        <w:t>where the willows occur (are they instream, on the face or toe of the bank, or on the riparian land?),</w:t>
      </w:r>
    </w:p>
    <w:p w14:paraId="00051051" w14:textId="77777777" w:rsidR="00B87A12" w:rsidRDefault="00B87A12" w:rsidP="00D124D9">
      <w:pPr>
        <w:pStyle w:val="BodyText"/>
        <w:ind w:left="284"/>
      </w:pPr>
      <w:r>
        <w:t xml:space="preserve">will determine the best willow control method (e.g. pre poison then cut, cut and paint stump etc.). </w:t>
      </w:r>
    </w:p>
    <w:p w14:paraId="5D4F9FDB" w14:textId="77777777" w:rsidR="00B87A12" w:rsidRDefault="00B87A12" w:rsidP="00D124D9">
      <w:pPr>
        <w:pStyle w:val="ListBullet"/>
      </w:pPr>
      <w:r>
        <w:t>Willows ma</w:t>
      </w:r>
      <w:r w:rsidRPr="00873FD7">
        <w:t>y</w:t>
      </w:r>
      <w:r>
        <w:t xml:space="preserve"> be retained if they do not have a propensity to spread (e.g. weeping willows) and are </w:t>
      </w:r>
      <w:r w:rsidR="007742E6">
        <w:br/>
      </w:r>
      <w:r>
        <w:t>in isolated occurrences with minimal impact on waterway condition.</w:t>
      </w:r>
    </w:p>
    <w:p w14:paraId="52B489BF" w14:textId="77777777" w:rsidR="00B87A12" w:rsidRDefault="00B87A12" w:rsidP="00405BD3">
      <w:pPr>
        <w:pStyle w:val="BodyText"/>
      </w:pPr>
      <w:r>
        <w:rPr>
          <w:noProof/>
          <w:lang w:eastAsia="en-AU"/>
        </w:rPr>
        <w:drawing>
          <wp:inline distT="0" distB="0" distL="0" distR="0" wp14:anchorId="072B232C" wp14:editId="1CF0F86C">
            <wp:extent cx="3150035" cy="2259106"/>
            <wp:effectExtent l="0" t="0" r="0" b="8255"/>
            <wp:docPr id="11" name="Picture 11" descr="C:\Users\Greg Peeters\AppData\Local\Microsoft\Windows\INetCache\Content.Word\Gellibrand River pre works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 Peeters\AppData\Local\Microsoft\Windows\INetCache\Content.Word\Gellibrand River pre works 2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339"/>
                    <a:stretch/>
                  </pic:blipFill>
                  <pic:spPr bwMode="auto">
                    <a:xfrm>
                      <a:off x="0" y="0"/>
                      <a:ext cx="3150235" cy="2259249"/>
                    </a:xfrm>
                    <a:prstGeom prst="rect">
                      <a:avLst/>
                    </a:prstGeom>
                    <a:noFill/>
                    <a:ln>
                      <a:noFill/>
                    </a:ln>
                    <a:extLst>
                      <a:ext uri="{53640926-AAD7-44D8-BBD7-CCE9431645EC}">
                        <a14:shadowObscured xmlns:a14="http://schemas.microsoft.com/office/drawing/2010/main"/>
                      </a:ext>
                    </a:extLst>
                  </pic:spPr>
                </pic:pic>
              </a:graphicData>
            </a:graphic>
          </wp:inline>
        </w:drawing>
      </w:r>
    </w:p>
    <w:p w14:paraId="73154F62" w14:textId="77777777" w:rsidR="00B87A12" w:rsidRPr="007106B2" w:rsidRDefault="00B87A12" w:rsidP="007106B2">
      <w:pPr>
        <w:pStyle w:val="CaptionImageorFigure"/>
      </w:pPr>
      <w:r w:rsidRPr="007106B2">
        <w:t xml:space="preserve">Gellibrand River – pre </w:t>
      </w:r>
      <w:r w:rsidR="00381EDF">
        <w:t>willow control</w:t>
      </w:r>
      <w:r w:rsidRPr="007106B2">
        <w:t xml:space="preserve"> (2002). Photos courtesy Corangamite CMA</w:t>
      </w:r>
    </w:p>
    <w:p w14:paraId="13934B21" w14:textId="77777777" w:rsidR="00B87A12" w:rsidRDefault="00B87A12" w:rsidP="00405BD3">
      <w:pPr>
        <w:pStyle w:val="BodyText"/>
      </w:pPr>
      <w:r>
        <w:rPr>
          <w:noProof/>
          <w:lang w:eastAsia="en-AU"/>
        </w:rPr>
        <w:drawing>
          <wp:inline distT="0" distB="0" distL="0" distR="0" wp14:anchorId="63770BDE" wp14:editId="690F2C2C">
            <wp:extent cx="3148885" cy="2223247"/>
            <wp:effectExtent l="0" t="0" r="0" b="5715"/>
            <wp:docPr id="4" name="Picture 4" descr="C:\Users\Greg Peeters\AppData\Local\Microsoft\Windows\INetCache\Content.Word\Gellibrand River 2002 during 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 Peeters\AppData\Local\Microsoft\Windows\INetCache\Content.Word\Gellibrand River 2002 during work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884"/>
                    <a:stretch/>
                  </pic:blipFill>
                  <pic:spPr bwMode="auto">
                    <a:xfrm>
                      <a:off x="0" y="0"/>
                      <a:ext cx="3150235" cy="2224200"/>
                    </a:xfrm>
                    <a:prstGeom prst="rect">
                      <a:avLst/>
                    </a:prstGeom>
                    <a:noFill/>
                    <a:ln>
                      <a:noFill/>
                    </a:ln>
                    <a:extLst>
                      <a:ext uri="{53640926-AAD7-44D8-BBD7-CCE9431645EC}">
                        <a14:shadowObscured xmlns:a14="http://schemas.microsoft.com/office/drawing/2010/main"/>
                      </a:ext>
                    </a:extLst>
                  </pic:spPr>
                </pic:pic>
              </a:graphicData>
            </a:graphic>
          </wp:inline>
        </w:drawing>
      </w:r>
    </w:p>
    <w:p w14:paraId="14B5F374" w14:textId="77777777" w:rsidR="00D124D9" w:rsidRDefault="00B87A12" w:rsidP="007106B2">
      <w:pPr>
        <w:pStyle w:val="CaptionImageorFigure"/>
      </w:pPr>
      <w:r>
        <w:t>Gellibrand River – post willow control (2002)</w:t>
      </w:r>
    </w:p>
    <w:p w14:paraId="2349610A" w14:textId="77777777" w:rsidR="00635285" w:rsidRDefault="007106B2" w:rsidP="007106B2">
      <w:pPr>
        <w:pStyle w:val="BodyText"/>
      </w:pPr>
      <w:r>
        <w:rPr>
          <w:noProof/>
          <w:lang w:eastAsia="en-AU"/>
        </w:rPr>
        <w:drawing>
          <wp:inline distT="0" distB="0" distL="0" distR="0" wp14:anchorId="061E7CBD" wp14:editId="5AA40F96">
            <wp:extent cx="3149600" cy="2362994"/>
            <wp:effectExtent l="0" t="0" r="0" b="0"/>
            <wp:docPr id="8" name="Picture 8" descr="C:\Users\Greg Peeters\AppData\Local\Microsoft\Windows\INetCache\Content.Word\Gellibrand River post work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g Peeters\AppData\Local\Microsoft\Windows\INetCache\Content.Word\Gellibrand River post works 2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2362994"/>
                    </a:xfrm>
                    <a:prstGeom prst="rect">
                      <a:avLst/>
                    </a:prstGeom>
                    <a:noFill/>
                    <a:ln>
                      <a:noFill/>
                    </a:ln>
                  </pic:spPr>
                </pic:pic>
              </a:graphicData>
            </a:graphic>
          </wp:inline>
        </w:drawing>
      </w:r>
    </w:p>
    <w:p w14:paraId="511C8370" w14:textId="77777777" w:rsidR="007106B2" w:rsidRDefault="007106B2" w:rsidP="007106B2">
      <w:pPr>
        <w:pStyle w:val="CaptionImageorFigure"/>
      </w:pPr>
      <w:r>
        <w:t>Gellibrand River – following revegetation and natural regeneration (2010)</w:t>
      </w:r>
    </w:p>
    <w:p w14:paraId="4DEB527A" w14:textId="77777777" w:rsidR="00635285" w:rsidRPr="007106B2" w:rsidRDefault="007106B2" w:rsidP="007106B2">
      <w:pPr>
        <w:pStyle w:val="ListBullet"/>
      </w:pPr>
      <w:r>
        <w:br w:type="column"/>
      </w:r>
      <w:r w:rsidR="00635285" w:rsidRPr="007106B2">
        <w:lastRenderedPageBreak/>
        <w:t>Follow up revegetation with indigenous plants should occur in treated areas as soon as possible after willow removal taking seasonal factors into consideration.  The biodiversity and erosion control value of the indigenous vegetation will be low while it is establishing then increase over time until it is fully established, which could take many years. These site level willow management factors are considered in the context of:</w:t>
      </w:r>
    </w:p>
    <w:p w14:paraId="57C7F6A6" w14:textId="77777777" w:rsidR="00635285" w:rsidRDefault="00635285" w:rsidP="00635285">
      <w:pPr>
        <w:pStyle w:val="ListBullet2"/>
      </w:pPr>
      <w:r w:rsidRPr="0031784F">
        <w:t>the objectives for the</w:t>
      </w:r>
      <w:r>
        <w:t xml:space="preserve"> management of the waterway,</w:t>
      </w:r>
      <w:r w:rsidRPr="0031784F">
        <w:t xml:space="preserve"> </w:t>
      </w:r>
    </w:p>
    <w:p w14:paraId="2D4E2076" w14:textId="77777777" w:rsidR="00635285" w:rsidRDefault="00635285" w:rsidP="00635285">
      <w:pPr>
        <w:pStyle w:val="ListBullet2"/>
      </w:pPr>
      <w:r w:rsidRPr="0031784F">
        <w:t xml:space="preserve">site constraints such as stream type, form </w:t>
      </w:r>
      <w:r w:rsidR="008D7E01">
        <w:br/>
      </w:r>
      <w:r w:rsidRPr="0031784F">
        <w:t>and condition</w:t>
      </w:r>
      <w:r>
        <w:t>,</w:t>
      </w:r>
      <w:r w:rsidRPr="0031784F">
        <w:t xml:space="preserve"> </w:t>
      </w:r>
    </w:p>
    <w:p w14:paraId="294026C3" w14:textId="77777777" w:rsidR="00635285" w:rsidRDefault="00635285" w:rsidP="00635285">
      <w:pPr>
        <w:pStyle w:val="ListBullet2"/>
      </w:pPr>
      <w:r>
        <w:t>the existing riparian condition,</w:t>
      </w:r>
      <w:r w:rsidRPr="0031784F">
        <w:t xml:space="preserve"> </w:t>
      </w:r>
    </w:p>
    <w:p w14:paraId="1D1BBCCA" w14:textId="77777777" w:rsidR="00635285" w:rsidRDefault="00635285" w:rsidP="00635285">
      <w:pPr>
        <w:pStyle w:val="ListBullet2"/>
      </w:pPr>
      <w:r w:rsidRPr="0031784F">
        <w:t xml:space="preserve">community attitudes </w:t>
      </w:r>
      <w:r>
        <w:t>towards willow management,</w:t>
      </w:r>
    </w:p>
    <w:p w14:paraId="4C2662D4" w14:textId="77777777" w:rsidR="00635285" w:rsidRDefault="00635285" w:rsidP="00635285">
      <w:pPr>
        <w:pStyle w:val="ListBullet2"/>
      </w:pPr>
      <w:r w:rsidRPr="0031784F">
        <w:t xml:space="preserve">the ecological or </w:t>
      </w:r>
      <w:r>
        <w:t>infrastructure</w:t>
      </w:r>
      <w:r w:rsidRPr="0031784F">
        <w:t xml:space="preserve"> assets at risk</w:t>
      </w:r>
      <w:r>
        <w:t xml:space="preserve"> from willows and </w:t>
      </w:r>
    </w:p>
    <w:p w14:paraId="77AA49DC" w14:textId="77777777" w:rsidR="00635285" w:rsidRDefault="00635285" w:rsidP="00635285">
      <w:pPr>
        <w:pStyle w:val="ListBullet2"/>
      </w:pPr>
      <w:r w:rsidRPr="0031784F">
        <w:t>available funding.</w:t>
      </w:r>
    </w:p>
    <w:p w14:paraId="5AE07DDF" w14:textId="77777777" w:rsidR="00B87A12" w:rsidRDefault="00B87A12" w:rsidP="00D124D9">
      <w:pPr>
        <w:pStyle w:val="Heading2"/>
      </w:pPr>
      <w:r>
        <w:t>Engaging the community</w:t>
      </w:r>
    </w:p>
    <w:p w14:paraId="7149C513" w14:textId="77777777" w:rsidR="00B87A12" w:rsidRDefault="00B87A12" w:rsidP="00D124D9">
      <w:pPr>
        <w:pStyle w:val="BodyText"/>
      </w:pPr>
      <w:r>
        <w:t>To ensure a successful willow control program, CMAs will improve their community engagement and provide landholders, communities and key stakeholders such as recreational fishers with meaningful opportunities to get involved in willow removal and riparian management projects.</w:t>
      </w:r>
      <w:r w:rsidRPr="00B00819">
        <w:t xml:space="preserve"> </w:t>
      </w:r>
      <w:r>
        <w:t>This engagement will begin early in the planning process before detailed site or reach-scale project plans are made.</w:t>
      </w:r>
    </w:p>
    <w:p w14:paraId="361A6DC7" w14:textId="77777777" w:rsidR="00B87A12" w:rsidRDefault="00381EDF" w:rsidP="00405BD3">
      <w:pPr>
        <w:pStyle w:val="BodyText"/>
      </w:pPr>
      <w:r>
        <w:rPr>
          <w:noProof/>
          <w:lang w:eastAsia="en-AU"/>
        </w:rPr>
        <w:drawing>
          <wp:inline distT="0" distB="0" distL="0" distR="0" wp14:anchorId="62F6DEC8" wp14:editId="33CD9113">
            <wp:extent cx="3149600" cy="1704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789.jpg"/>
                    <pic:cNvPicPr/>
                  </pic:nvPicPr>
                  <pic:blipFill rotWithShape="1">
                    <a:blip r:embed="rId20" cstate="print">
                      <a:extLst>
                        <a:ext uri="{28A0092B-C50C-407E-A947-70E740481C1C}">
                          <a14:useLocalDpi xmlns:a14="http://schemas.microsoft.com/office/drawing/2010/main" val="0"/>
                        </a:ext>
                      </a:extLst>
                    </a:blip>
                    <a:srcRect t="8466" b="19356"/>
                    <a:stretch/>
                  </pic:blipFill>
                  <pic:spPr bwMode="auto">
                    <a:xfrm>
                      <a:off x="0" y="0"/>
                      <a:ext cx="3149600" cy="1704975"/>
                    </a:xfrm>
                    <a:prstGeom prst="rect">
                      <a:avLst/>
                    </a:prstGeom>
                    <a:ln>
                      <a:noFill/>
                    </a:ln>
                    <a:extLst>
                      <a:ext uri="{53640926-AAD7-44D8-BBD7-CCE9431645EC}">
                        <a14:shadowObscured xmlns:a14="http://schemas.microsoft.com/office/drawing/2010/main"/>
                      </a:ext>
                    </a:extLst>
                  </pic:spPr>
                </pic:pic>
              </a:graphicData>
            </a:graphic>
          </wp:inline>
        </w:drawing>
      </w:r>
    </w:p>
    <w:p w14:paraId="2EF23925" w14:textId="77777777" w:rsidR="00381EDF" w:rsidRDefault="00381EDF" w:rsidP="00381EDF">
      <w:pPr>
        <w:pStyle w:val="CaptionImageorFigure"/>
        <w:spacing w:after="0"/>
      </w:pPr>
      <w:r>
        <w:t>Caring for the Campaspe Project Reference Group discussing willow management at Langley on the Campaspe River. Photo courtesy North Central CMA</w:t>
      </w:r>
    </w:p>
    <w:p w14:paraId="1D870FB8" w14:textId="77777777" w:rsidR="00B87A12" w:rsidRDefault="007106B2" w:rsidP="00FB26CC">
      <w:pPr>
        <w:pStyle w:val="Heading2"/>
        <w:spacing w:before="0"/>
      </w:pPr>
      <w:r>
        <w:br w:type="column"/>
      </w:r>
      <w:r w:rsidR="00B87A12">
        <w:t>Further information</w:t>
      </w:r>
    </w:p>
    <w:p w14:paraId="6172C010" w14:textId="77777777" w:rsidR="00B87A12" w:rsidRDefault="00B87A12" w:rsidP="00D124D9">
      <w:pPr>
        <w:pStyle w:val="BodyText"/>
      </w:pPr>
      <w:r w:rsidRPr="00B622D2">
        <w:t xml:space="preserve">More information about willows </w:t>
      </w:r>
      <w:r>
        <w:t xml:space="preserve">and their management </w:t>
      </w:r>
      <w:r w:rsidRPr="00B622D2">
        <w:t xml:space="preserve">can be found on the WoNS website at: </w:t>
      </w:r>
      <w:hyperlink r:id="rId21" w:history="1">
        <w:r w:rsidR="00BE7E21" w:rsidRPr="00A22354">
          <w:rPr>
            <w:rStyle w:val="Hyperlink"/>
          </w:rPr>
          <w:t>http://weeds.ala.org.au/WoNS/willows/</w:t>
        </w:r>
      </w:hyperlink>
      <w:r>
        <w:t>.</w:t>
      </w:r>
      <w:r w:rsidR="00BE7E21">
        <w:t xml:space="preserve"> </w:t>
      </w:r>
    </w:p>
    <w:p w14:paraId="0A3F04D3" w14:textId="77777777" w:rsidR="00B87A12" w:rsidRDefault="00B87A12" w:rsidP="00D124D9">
      <w:pPr>
        <w:pStyle w:val="BodyText"/>
      </w:pPr>
      <w:r>
        <w:t>More information about waterway management programs in your region, including willow management, can be obtained from your CMA.</w:t>
      </w:r>
      <w:r w:rsidRPr="00AD2C92">
        <w:t xml:space="preserve"> </w:t>
      </w:r>
    </w:p>
    <w:p w14:paraId="2EA8D26B" w14:textId="77777777" w:rsidR="00B87A12" w:rsidRDefault="00B87A12" w:rsidP="00D124D9">
      <w:pPr>
        <w:pStyle w:val="BodyText"/>
      </w:pPr>
      <w:r>
        <w:t>Want to get involved and help improve riparian land? We would love to hear from you:</w:t>
      </w:r>
    </w:p>
    <w:p w14:paraId="1D9D1C74" w14:textId="77777777" w:rsidR="00B87A12" w:rsidRPr="00647DA0" w:rsidRDefault="00B87A12" w:rsidP="00883628">
      <w:pPr>
        <w:pStyle w:val="BodyText"/>
        <w:tabs>
          <w:tab w:val="right" w:pos="4933"/>
        </w:tabs>
        <w:spacing w:after="60"/>
      </w:pPr>
      <w:r w:rsidRPr="00647DA0">
        <w:t xml:space="preserve">East Gippsland CMA </w:t>
      </w:r>
      <w:r w:rsidRPr="00647DA0">
        <w:tab/>
        <w:t>5152 0600</w:t>
      </w:r>
    </w:p>
    <w:p w14:paraId="2F594FDB" w14:textId="77777777" w:rsidR="00B87A12" w:rsidRPr="00647DA0" w:rsidRDefault="00B87A12" w:rsidP="00883628">
      <w:pPr>
        <w:pStyle w:val="BodyText"/>
        <w:tabs>
          <w:tab w:val="right" w:pos="4933"/>
        </w:tabs>
        <w:spacing w:after="60"/>
      </w:pPr>
      <w:r w:rsidRPr="00647DA0">
        <w:t xml:space="preserve">West Gippsland CMA </w:t>
      </w:r>
      <w:r w:rsidRPr="00647DA0">
        <w:tab/>
        <w:t>1300 094 262</w:t>
      </w:r>
    </w:p>
    <w:p w14:paraId="10594380" w14:textId="77777777" w:rsidR="00B87A12" w:rsidRPr="00647DA0" w:rsidRDefault="00B87A12" w:rsidP="00883628">
      <w:pPr>
        <w:pStyle w:val="BodyText"/>
        <w:tabs>
          <w:tab w:val="right" w:pos="4933"/>
        </w:tabs>
        <w:spacing w:after="60"/>
      </w:pPr>
      <w:r w:rsidRPr="00647DA0">
        <w:t xml:space="preserve">Corangamite CMA </w:t>
      </w:r>
      <w:r w:rsidRPr="00647DA0">
        <w:tab/>
        <w:t>5232 9100</w:t>
      </w:r>
    </w:p>
    <w:p w14:paraId="4B7F4F27" w14:textId="77777777" w:rsidR="00B87A12" w:rsidRPr="00647DA0" w:rsidRDefault="00B87A12" w:rsidP="00883628">
      <w:pPr>
        <w:pStyle w:val="BodyText"/>
        <w:tabs>
          <w:tab w:val="right" w:pos="4933"/>
        </w:tabs>
        <w:spacing w:after="60"/>
      </w:pPr>
      <w:r w:rsidRPr="00647DA0">
        <w:t xml:space="preserve">Glenelg Hopkins CMA </w:t>
      </w:r>
      <w:r w:rsidRPr="00647DA0">
        <w:tab/>
        <w:t>5571 2526</w:t>
      </w:r>
    </w:p>
    <w:p w14:paraId="6E0C7A36" w14:textId="77777777" w:rsidR="00B87A12" w:rsidRPr="00647DA0" w:rsidRDefault="00B87A12" w:rsidP="00883628">
      <w:pPr>
        <w:pStyle w:val="BodyText"/>
        <w:tabs>
          <w:tab w:val="right" w:pos="4933"/>
        </w:tabs>
        <w:spacing w:after="60"/>
      </w:pPr>
      <w:r w:rsidRPr="00647DA0">
        <w:t xml:space="preserve">Wimmera CMA </w:t>
      </w:r>
      <w:r w:rsidRPr="00647DA0">
        <w:tab/>
        <w:t>5382 1544</w:t>
      </w:r>
    </w:p>
    <w:p w14:paraId="6FB94ACC" w14:textId="77777777" w:rsidR="00B87A12" w:rsidRPr="00647DA0" w:rsidRDefault="00B87A12" w:rsidP="00883628">
      <w:pPr>
        <w:pStyle w:val="BodyText"/>
        <w:tabs>
          <w:tab w:val="right" w:pos="4933"/>
        </w:tabs>
        <w:spacing w:after="60"/>
      </w:pPr>
      <w:r w:rsidRPr="00647DA0">
        <w:t xml:space="preserve">Mallee CMA </w:t>
      </w:r>
      <w:r w:rsidRPr="00647DA0">
        <w:tab/>
        <w:t>5051 4377</w:t>
      </w:r>
    </w:p>
    <w:p w14:paraId="32776494" w14:textId="77777777" w:rsidR="00B87A12" w:rsidRPr="00647DA0" w:rsidRDefault="00B87A12" w:rsidP="00883628">
      <w:pPr>
        <w:pStyle w:val="BodyText"/>
        <w:tabs>
          <w:tab w:val="right" w:pos="4933"/>
        </w:tabs>
        <w:spacing w:after="60"/>
      </w:pPr>
      <w:r w:rsidRPr="00647DA0">
        <w:t xml:space="preserve">North Central CMA </w:t>
      </w:r>
      <w:r w:rsidRPr="00647DA0">
        <w:tab/>
        <w:t>5448 7124</w:t>
      </w:r>
    </w:p>
    <w:p w14:paraId="295A4DF8" w14:textId="77777777" w:rsidR="00500028" w:rsidRPr="00500028" w:rsidRDefault="00B87A12" w:rsidP="00500028">
      <w:pPr>
        <w:pStyle w:val="BodyText"/>
        <w:tabs>
          <w:tab w:val="right" w:pos="4933"/>
        </w:tabs>
        <w:spacing w:after="60"/>
      </w:pPr>
      <w:r w:rsidRPr="00647DA0">
        <w:t>Goulburn Broken CMA</w:t>
      </w:r>
      <w:r w:rsidRPr="00647DA0">
        <w:tab/>
      </w:r>
      <w:r w:rsidR="00500028" w:rsidRPr="00500028">
        <w:t>5822 7700</w:t>
      </w:r>
    </w:p>
    <w:p w14:paraId="086DF285" w14:textId="77777777" w:rsidR="00B87A12" w:rsidRPr="00647DA0" w:rsidRDefault="00500028" w:rsidP="00883628">
      <w:pPr>
        <w:pStyle w:val="BodyText"/>
        <w:tabs>
          <w:tab w:val="right" w:pos="4933"/>
        </w:tabs>
        <w:spacing w:after="60"/>
      </w:pPr>
      <w:r>
        <w:t>N</w:t>
      </w:r>
      <w:r w:rsidR="00B87A12" w:rsidRPr="00647DA0">
        <w:t xml:space="preserve">orth East CMA </w:t>
      </w:r>
      <w:r w:rsidR="00B87A12" w:rsidRPr="00647DA0">
        <w:tab/>
      </w:r>
      <w:r w:rsidRPr="00500028">
        <w:t>1300 216 513</w:t>
      </w:r>
    </w:p>
    <w:p w14:paraId="7CFDA078" w14:textId="77777777" w:rsidR="00B87A12" w:rsidRPr="00647DA0" w:rsidRDefault="00B87A12" w:rsidP="00883628">
      <w:pPr>
        <w:pStyle w:val="BodyText"/>
        <w:tabs>
          <w:tab w:val="right" w:pos="4933"/>
        </w:tabs>
        <w:spacing w:after="60"/>
      </w:pPr>
      <w:r w:rsidRPr="00647DA0">
        <w:t xml:space="preserve">Melbourne Water* </w:t>
      </w:r>
      <w:r>
        <w:tab/>
      </w:r>
      <w:r w:rsidRPr="00647DA0">
        <w:t>131 722</w:t>
      </w:r>
    </w:p>
    <w:p w14:paraId="290218BA" w14:textId="77777777" w:rsidR="00B87A12" w:rsidRPr="00F40D4B" w:rsidRDefault="00B87A12" w:rsidP="007106B2">
      <w:pPr>
        <w:pStyle w:val="Footnotes"/>
      </w:pPr>
      <w:r w:rsidRPr="00E83581">
        <w:t xml:space="preserve">* </w:t>
      </w:r>
      <w:r w:rsidR="007106B2">
        <w:tab/>
      </w:r>
      <w:r w:rsidRPr="00F40D4B">
        <w:t>Melbourne Water is the waterway manager for the Port Phillip region</w:t>
      </w:r>
    </w:p>
    <w:p w14:paraId="507B583C" w14:textId="77777777" w:rsidR="00B87A12" w:rsidRDefault="00B87A12" w:rsidP="00D124D9">
      <w:pPr>
        <w:pStyle w:val="Heading2"/>
      </w:pPr>
      <w:r>
        <w:t>Acknowledg</w:t>
      </w:r>
      <w:r w:rsidR="000D40A7">
        <w:t>e</w:t>
      </w:r>
      <w:r>
        <w:t>ments</w:t>
      </w:r>
    </w:p>
    <w:p w14:paraId="26F4C646" w14:textId="77777777" w:rsidR="00B87A12" w:rsidRDefault="00B87A12" w:rsidP="00D124D9">
      <w:pPr>
        <w:pStyle w:val="BodyText"/>
      </w:pPr>
      <w:r>
        <w:t xml:space="preserve">This fact sheet was prepared with assistance from Riverness and in consultation </w:t>
      </w:r>
      <w:r w:rsidRPr="002C0CF0">
        <w:t xml:space="preserve">with </w:t>
      </w:r>
      <w:r>
        <w:t xml:space="preserve">CMAs, </w:t>
      </w:r>
      <w:r w:rsidRPr="002C0CF0">
        <w:rPr>
          <w:bCs/>
        </w:rPr>
        <w:t>Fisheries Victoria</w:t>
      </w:r>
      <w:r>
        <w:rPr>
          <w:bCs/>
        </w:rPr>
        <w:t xml:space="preserve"> (</w:t>
      </w:r>
      <w:r w:rsidRPr="002C0CF0">
        <w:t>Department of Economic Development, Jobs, Transport and Resources</w:t>
      </w:r>
      <w:r>
        <w:t>), VRFish (Victorian Recreational Fishing Peak Body) and the Australian Trout Foundation.</w:t>
      </w:r>
    </w:p>
    <w:p w14:paraId="1767220E" w14:textId="77777777" w:rsidR="006E1C8D" w:rsidRDefault="006E1C8D" w:rsidP="00F12070">
      <w:pPr>
        <w:pStyle w:val="BodyText"/>
      </w:pPr>
    </w:p>
    <w:tbl>
      <w:tblPr>
        <w:tblpPr w:leftFromText="181" w:rightFromText="181" w:topFromText="113" w:vertAnchor="page" w:horzAnchor="page" w:tblpX="852" w:tblpY="13269"/>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1D9B7EC" w14:textId="77777777" w:rsidTr="00FB26CC">
        <w:trPr>
          <w:trHeight w:val="2608"/>
        </w:trPr>
        <w:tc>
          <w:tcPr>
            <w:tcW w:w="5216" w:type="dxa"/>
            <w:shd w:val="clear" w:color="auto" w:fill="auto"/>
          </w:tcPr>
          <w:p w14:paraId="6A923685" w14:textId="77777777" w:rsidR="00001E86" w:rsidRDefault="00001E86" w:rsidP="00FB26C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B1812">
              <w:rPr>
                <w:noProof/>
              </w:rPr>
              <w:t>2023</w:t>
            </w:r>
            <w:r>
              <w:fldChar w:fldCharType="end"/>
            </w:r>
          </w:p>
          <w:p w14:paraId="06427871" w14:textId="77777777" w:rsidR="00001E86" w:rsidRDefault="00001E86" w:rsidP="00FB26CC">
            <w:pPr>
              <w:pStyle w:val="SmallBodyText"/>
            </w:pPr>
            <w:r>
              <w:rPr>
                <w:noProof/>
              </w:rPr>
              <w:drawing>
                <wp:anchor distT="0" distB="0" distL="114300" distR="36195" simplePos="0" relativeHeight="251655680" behindDoc="0" locked="1" layoutInCell="1" allowOverlap="1" wp14:anchorId="70434763" wp14:editId="601697B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F133EA6" w14:textId="77777777" w:rsidR="00001E86" w:rsidRDefault="00001E86" w:rsidP="00FB26CC">
            <w:pPr>
              <w:pStyle w:val="SmallBodyText"/>
            </w:pPr>
            <w:r w:rsidRPr="00C255C2">
              <w:t>ISBN</w:t>
            </w:r>
            <w:r>
              <w:t xml:space="preserve"> </w:t>
            </w:r>
            <w:r w:rsidR="007106B2">
              <w:t>978-1-76047-236-8 (pdf/online)</w:t>
            </w:r>
          </w:p>
          <w:p w14:paraId="6057379A" w14:textId="77777777" w:rsidR="00E97294" w:rsidRPr="008F559C" w:rsidRDefault="00E97294" w:rsidP="00FB26CC">
            <w:pPr>
              <w:pStyle w:val="SmallHeading"/>
            </w:pPr>
            <w:r w:rsidRPr="00C255C2">
              <w:t>Disclaimer</w:t>
            </w:r>
          </w:p>
          <w:p w14:paraId="0CFCEBDC" w14:textId="77777777" w:rsidR="00001E86" w:rsidRDefault="00E97294" w:rsidP="00FB26CC">
            <w:pPr>
              <w:pStyle w:val="SmallBodyText"/>
            </w:pPr>
            <w:r w:rsidRPr="00405DE3">
              <w:t xml:space="preserve">This publication may be of assistance to you but the State of Victoria and its </w:t>
            </w:r>
            <w:r w:rsidR="007106B2">
              <w:br/>
            </w:r>
            <w:r w:rsidRPr="00405DE3">
              <w:t xml:space="preserve">employees do not guarantee that </w:t>
            </w:r>
            <w:r w:rsidRPr="00C255C2">
              <w:t>the</w:t>
            </w:r>
            <w:r w:rsidRPr="00405DE3">
              <w:t xml:space="preserve"> publication is without flaw of any kind or is </w:t>
            </w:r>
            <w:r w:rsidR="007106B2">
              <w:br/>
            </w:r>
            <w:r w:rsidRPr="00405DE3">
              <w:t xml:space="preserve">wholly appropriate for your particular purposes and therefore disclaims all </w:t>
            </w:r>
            <w:r w:rsidRPr="00C255C2">
              <w:t>liability</w:t>
            </w:r>
            <w:r w:rsidRPr="00405DE3">
              <w:t xml:space="preserve"> </w:t>
            </w:r>
            <w:r w:rsidR="007106B2">
              <w:br/>
            </w:r>
            <w:r w:rsidRPr="00405DE3">
              <w:t xml:space="preserve">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DF11363" w14:textId="77777777" w:rsidR="00001E86" w:rsidRPr="00E97294" w:rsidRDefault="00001E86" w:rsidP="00FB26CC">
            <w:pPr>
              <w:pStyle w:val="xAccessibilityHeading"/>
            </w:pPr>
            <w:bookmarkStart w:id="3" w:name="_Accessibility"/>
            <w:bookmarkEnd w:id="3"/>
            <w:r w:rsidRPr="00E97294">
              <w:t>Accessibility</w:t>
            </w:r>
          </w:p>
          <w:p w14:paraId="0481AD36" w14:textId="77777777" w:rsidR="00001E86" w:rsidRDefault="00001E86" w:rsidP="00FB26CC">
            <w:pPr>
              <w:pStyle w:val="xAccessibilityText"/>
            </w:pPr>
            <w:r>
              <w:t>If you would like to receive this publication in an alternative format, please telephone the DELWP Customer Service Centre on 136186, email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hyperlink r:id="rId25" w:history="1">
              <w:r w:rsidRPr="00AE3298">
                <w:t>www.delwp.vic.gov.au</w:t>
              </w:r>
            </w:hyperlink>
            <w:r>
              <w:t xml:space="preserve">. </w:t>
            </w:r>
          </w:p>
          <w:p w14:paraId="7DDEA7D6" w14:textId="77777777" w:rsidR="00001E86" w:rsidRDefault="00001E86" w:rsidP="00FB26CC">
            <w:pPr>
              <w:pStyle w:val="SmallBodyText"/>
            </w:pPr>
          </w:p>
        </w:tc>
      </w:tr>
    </w:tbl>
    <w:p w14:paraId="7871CA3F" w14:textId="77777777" w:rsidR="004C6213" w:rsidRDefault="004C6213" w:rsidP="004C6213">
      <w:pPr>
        <w:pStyle w:val="SmallBodyText"/>
      </w:pPr>
    </w:p>
    <w:p w14:paraId="4068DA35" w14:textId="77777777" w:rsidR="00001E86" w:rsidRPr="00806AB6" w:rsidRDefault="00001E86" w:rsidP="004C6213"/>
    <w:sectPr w:rsidR="00001E86" w:rsidRPr="00806AB6" w:rsidSect="005B617F">
      <w:type w:val="continuous"/>
      <w:pgSz w:w="11907" w:h="16840" w:code="9"/>
      <w:pgMar w:top="2211" w:right="851" w:bottom="567"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BE817" w14:textId="77777777" w:rsidR="003D5D61" w:rsidRDefault="003D5D61">
      <w:r>
        <w:separator/>
      </w:r>
    </w:p>
    <w:p w14:paraId="17B36CB6" w14:textId="77777777" w:rsidR="003D5D61" w:rsidRDefault="003D5D61"/>
    <w:p w14:paraId="595E37FD" w14:textId="77777777" w:rsidR="003D5D61" w:rsidRDefault="003D5D61"/>
  </w:endnote>
  <w:endnote w:type="continuationSeparator" w:id="0">
    <w:p w14:paraId="4B9315B8" w14:textId="77777777" w:rsidR="003D5D61" w:rsidRDefault="003D5D61">
      <w:r>
        <w:continuationSeparator/>
      </w:r>
    </w:p>
    <w:p w14:paraId="64B50E0E" w14:textId="77777777" w:rsidR="003D5D61" w:rsidRDefault="003D5D61"/>
    <w:p w14:paraId="10E9239A" w14:textId="77777777" w:rsidR="003D5D61" w:rsidRDefault="003D5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F816" w14:textId="2C367423" w:rsidR="001B1812" w:rsidRDefault="001B1812">
    <w:pPr>
      <w:pStyle w:val="Footer"/>
    </w:pPr>
    <w:r>
      <w:rPr>
        <w:noProof/>
      </w:rPr>
      <mc:AlternateContent>
        <mc:Choice Requires="wps">
          <w:drawing>
            <wp:anchor distT="0" distB="0" distL="0" distR="0" simplePos="0" relativeHeight="251665408" behindDoc="0" locked="0" layoutInCell="1" allowOverlap="1" wp14:anchorId="4012398F" wp14:editId="4D2F5309">
              <wp:simplePos x="635" y="635"/>
              <wp:positionH relativeFrom="page">
                <wp:align>center</wp:align>
              </wp:positionH>
              <wp:positionV relativeFrom="page">
                <wp:align>bottom</wp:align>
              </wp:positionV>
              <wp:extent cx="443865" cy="443865"/>
              <wp:effectExtent l="0" t="0" r="635"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4D243" w14:textId="653339DE"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12398F" id="_x0000_t202" coordsize="21600,21600" o:spt="202" path="m,l,21600r21600,l21600,xe">
              <v:stroke joinstyle="miter"/>
              <v:path gradientshapeok="t" o:connecttype="rect"/>
            </v:shapetype>
            <v:shape id="Text Box 17" o:spid="_x0000_s1026"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62F4D243" w14:textId="653339DE"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6598" w14:textId="0331EABA" w:rsidR="001B1812" w:rsidRDefault="001B1812">
    <w:pPr>
      <w:pStyle w:val="Footer"/>
    </w:pPr>
    <w:r>
      <w:rPr>
        <w:noProof/>
      </w:rPr>
      <mc:AlternateContent>
        <mc:Choice Requires="wps">
          <w:drawing>
            <wp:anchor distT="0" distB="0" distL="0" distR="0" simplePos="0" relativeHeight="251666432" behindDoc="0" locked="0" layoutInCell="1" allowOverlap="1" wp14:anchorId="2D068B75" wp14:editId="44ABE3FB">
              <wp:simplePos x="635" y="635"/>
              <wp:positionH relativeFrom="page">
                <wp:align>center</wp:align>
              </wp:positionH>
              <wp:positionV relativeFrom="page">
                <wp:align>bottom</wp:align>
              </wp:positionV>
              <wp:extent cx="443865" cy="443865"/>
              <wp:effectExtent l="0" t="0" r="635"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EDE32E" w14:textId="3E311EB3"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68B75" id="_x0000_t202" coordsize="21600,21600" o:spt="202" path="m,l,21600r21600,l21600,xe">
              <v:stroke joinstyle="miter"/>
              <v:path gradientshapeok="t" o:connecttype="rect"/>
            </v:shapetype>
            <v:shape id="Text Box 18" o:spid="_x0000_s1027"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1EDE32E" w14:textId="3E311EB3"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EE58" w14:textId="1D125B87" w:rsidR="00A209C4" w:rsidRDefault="001B1812" w:rsidP="00BF3066">
    <w:pPr>
      <w:pStyle w:val="Footer"/>
      <w:spacing w:before="1600"/>
    </w:pPr>
    <w:r>
      <w:rPr>
        <w:noProof/>
        <w:sz w:val="18"/>
      </w:rPr>
      <mc:AlternateContent>
        <mc:Choice Requires="wps">
          <w:drawing>
            <wp:anchor distT="0" distB="0" distL="0" distR="0" simplePos="0" relativeHeight="251664384" behindDoc="0" locked="0" layoutInCell="1" allowOverlap="1" wp14:anchorId="644E1019" wp14:editId="1BFE9EC9">
              <wp:simplePos x="542795" y="9369468"/>
              <wp:positionH relativeFrom="page">
                <wp:align>center</wp:align>
              </wp:positionH>
              <wp:positionV relativeFrom="page">
                <wp:align>bottom</wp:align>
              </wp:positionV>
              <wp:extent cx="443865" cy="443865"/>
              <wp:effectExtent l="0" t="0" r="635"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FC97D" w14:textId="3BF16ECB"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4E1019" id="_x0000_t202" coordsize="21600,21600" o:spt="202" path="m,l,21600r21600,l21600,xe">
              <v:stroke joinstyle="miter"/>
              <v:path gradientshapeok="t" o:connecttype="rect"/>
            </v:shapetype>
            <v:shape id="Text Box 16" o:spid="_x0000_s1028"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C4FC97D" w14:textId="3BF16ECB" w:rsidR="001B1812" w:rsidRPr="001B1812" w:rsidRDefault="001B1812" w:rsidP="001B1812">
                    <w:pPr>
                      <w:rPr>
                        <w:rFonts w:ascii="Calibri" w:eastAsia="Calibri" w:hAnsi="Calibri" w:cs="Calibri"/>
                        <w:noProof/>
                        <w:color w:val="000000"/>
                        <w:sz w:val="24"/>
                        <w:szCs w:val="24"/>
                      </w:rPr>
                    </w:pPr>
                    <w:r w:rsidRPr="001B1812">
                      <w:rPr>
                        <w:rFonts w:ascii="Calibri" w:eastAsia="Calibri" w:hAnsi="Calibri" w:cs="Calibri"/>
                        <w:noProof/>
                        <w:color w:val="000000"/>
                        <w:sz w:val="24"/>
                        <w:szCs w:val="24"/>
                      </w:rPr>
                      <w:t>OFFICIAL</w:t>
                    </w:r>
                  </w:p>
                </w:txbxContent>
              </v:textbox>
              <w10:wrap anchorx="page" anchory="page"/>
            </v:shape>
          </w:pict>
        </mc:Fallback>
      </mc:AlternateContent>
    </w:r>
    <w:r w:rsidR="00A209C4">
      <w:rPr>
        <w:noProof/>
        <w:sz w:val="18"/>
      </w:rPr>
      <mc:AlternateContent>
        <mc:Choice Requires="wps">
          <w:drawing>
            <wp:anchor distT="0" distB="0" distL="114300" distR="114300" simplePos="0" relativeHeight="251662336" behindDoc="0" locked="1" layoutInCell="1" allowOverlap="1" wp14:anchorId="781848A3" wp14:editId="56A794BE">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0BAA"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48A3" id="WebAddress" o:spid="_x0000_s1029" type="#_x0000_t202" style="position:absolute;margin-left:0;margin-top:0;width:303pt;height:56.7pt;z-index:251662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" filled="f" stroked="f" strokeweight=".5pt">
              <v:textbox inset="15mm">
                <w:txbxContent>
                  <w:p w14:paraId="19790BAA"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sidR="00A209C4">
      <w:rPr>
        <w:noProof/>
        <w:sz w:val="18"/>
      </w:rPr>
      <w:drawing>
        <wp:anchor distT="0" distB="0" distL="114300" distR="114300" simplePos="0" relativeHeight="251660288" behindDoc="1" locked="1" layoutInCell="1" allowOverlap="1" wp14:anchorId="76022B17" wp14:editId="4C3C0B0A">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8EA71" w14:textId="77777777" w:rsidR="003D5D61" w:rsidRPr="00E365EF" w:rsidRDefault="003D5D61" w:rsidP="00E365EF">
      <w:pPr>
        <w:pStyle w:val="FootnoteSeparator"/>
        <w:rPr>
          <w:szCs w:val="12"/>
        </w:rPr>
      </w:pPr>
    </w:p>
  </w:footnote>
  <w:footnote w:type="continuationSeparator" w:id="0">
    <w:p w14:paraId="4C548C14" w14:textId="77777777" w:rsidR="003D5D61" w:rsidRDefault="003D5D61" w:rsidP="008F5280">
      <w:pPr>
        <w:pStyle w:val="FootnoteSeparator"/>
      </w:pPr>
    </w:p>
    <w:p w14:paraId="628EBF5E" w14:textId="77777777" w:rsidR="003D5D61" w:rsidRDefault="003D5D61"/>
    <w:p w14:paraId="19506CC4" w14:textId="77777777" w:rsidR="003D5D61" w:rsidRDefault="003D5D61"/>
  </w:footnote>
  <w:footnote w:type="continuationNotice" w:id="1">
    <w:p w14:paraId="0D8BC8E9" w14:textId="77777777" w:rsidR="003D5D61" w:rsidRDefault="003D5D61" w:rsidP="00D55628"/>
    <w:p w14:paraId="46A7484B" w14:textId="77777777" w:rsidR="003D5D61" w:rsidRDefault="003D5D61"/>
    <w:p w14:paraId="1A8D4130" w14:textId="77777777" w:rsidR="003D5D61" w:rsidRDefault="003D5D61"/>
  </w:footnote>
  <w:footnote w:id="2">
    <w:p w14:paraId="368057E0" w14:textId="77777777" w:rsidR="00E56B2E" w:rsidRPr="00635285" w:rsidRDefault="00E56B2E" w:rsidP="00635285">
      <w:pPr>
        <w:pStyle w:val="Footnotes"/>
      </w:pPr>
      <w:r w:rsidRPr="00AF4C4A">
        <w:rPr>
          <w:rStyle w:val="FootnoteReference"/>
          <w:sz w:val="18"/>
          <w:szCs w:val="18"/>
        </w:rPr>
        <w:footnoteRef/>
      </w:r>
      <w:r w:rsidRPr="00AF4C4A">
        <w:t xml:space="preserve"> </w:t>
      </w:r>
      <w:r w:rsidR="00635285">
        <w:tab/>
      </w:r>
      <w:r>
        <w:t>R</w:t>
      </w:r>
      <w:r w:rsidRPr="00AF4C4A">
        <w:t>iparian land</w:t>
      </w:r>
      <w:r>
        <w:t xml:space="preserve"> is land</w:t>
      </w:r>
      <w:r w:rsidRPr="00AF4C4A">
        <w:t xml:space="preserve"> that </w:t>
      </w:r>
      <w:r>
        <w:t>runs along rivers, creeks and wetlands</w:t>
      </w:r>
      <w:r w:rsidRPr="00AF4C4A">
        <w:t xml:space="preserve">. </w:t>
      </w:r>
    </w:p>
  </w:footnote>
  <w:footnote w:id="3">
    <w:p w14:paraId="74B7ECA9" w14:textId="77777777" w:rsidR="00E56B2E" w:rsidRPr="001F55CA" w:rsidRDefault="00E56B2E" w:rsidP="00635285">
      <w:pPr>
        <w:pStyle w:val="Footnotes"/>
      </w:pPr>
      <w:r w:rsidRPr="001F55CA">
        <w:rPr>
          <w:rStyle w:val="FootnoteReference"/>
          <w:sz w:val="18"/>
          <w:szCs w:val="18"/>
        </w:rPr>
        <w:footnoteRef/>
      </w:r>
      <w:r w:rsidRPr="001F55CA">
        <w:t xml:space="preserve"> </w:t>
      </w:r>
      <w:r w:rsidR="00635285">
        <w:tab/>
      </w:r>
      <w:r w:rsidRPr="001F55CA">
        <w:t>Excluding weeping willow (</w:t>
      </w:r>
      <w:r w:rsidRPr="001F55CA">
        <w:rPr>
          <w:i/>
        </w:rPr>
        <w:t>Salix babylonica</w:t>
      </w:r>
      <w:r w:rsidRPr="001F55CA">
        <w:t>) and two species of hybrid pussy willow (</w:t>
      </w:r>
      <w:r w:rsidRPr="001F55CA">
        <w:rPr>
          <w:i/>
        </w:rPr>
        <w:t xml:space="preserve">Salix x calodendron </w:t>
      </w:r>
      <w:r w:rsidRPr="001F55CA">
        <w:t xml:space="preserve">and </w:t>
      </w:r>
      <w:r w:rsidRPr="001F55CA">
        <w:rPr>
          <w:i/>
        </w:rPr>
        <w:t>Salix x reichardtii</w:t>
      </w:r>
      <w:r>
        <w:t>).</w:t>
      </w:r>
    </w:p>
  </w:footnote>
  <w:footnote w:id="4">
    <w:p w14:paraId="4EFF09C0" w14:textId="77777777" w:rsidR="007B78BA" w:rsidRPr="00C8705B" w:rsidRDefault="007B78BA" w:rsidP="00635285">
      <w:pPr>
        <w:pStyle w:val="Footnotes"/>
      </w:pPr>
      <w:r w:rsidRPr="006C1B8B">
        <w:rPr>
          <w:rStyle w:val="FootnoteReference"/>
          <w:sz w:val="18"/>
          <w:szCs w:val="18"/>
        </w:rPr>
        <w:footnoteRef/>
      </w:r>
      <w:r w:rsidRPr="00C8705B">
        <w:t xml:space="preserve"> </w:t>
      </w:r>
      <w:r w:rsidR="00C8705B">
        <w:tab/>
      </w:r>
      <w:r w:rsidRPr="00C8705B">
        <w:t xml:space="preserve">excluding </w:t>
      </w:r>
      <w:r w:rsidRPr="00635285">
        <w:t>cricket bat</w:t>
      </w:r>
      <w:r w:rsidRPr="00C8705B">
        <w:t xml:space="preserve"> willow (</w:t>
      </w:r>
      <w:r w:rsidRPr="00635285">
        <w:rPr>
          <w:i/>
        </w:rPr>
        <w:t>Salix alba var. caerulea</w:t>
      </w:r>
      <w:r w:rsidRPr="00C8705B">
        <w:t>), New Zealand hybrid willow (</w:t>
      </w:r>
      <w:r w:rsidRPr="00635285">
        <w:rPr>
          <w:i/>
        </w:rPr>
        <w:t>Salix alba x matsudana</w:t>
      </w:r>
      <w:r w:rsidRPr="00C8705B">
        <w:t>), weeping willow (</w:t>
      </w:r>
      <w:r w:rsidRPr="00635285">
        <w:rPr>
          <w:i/>
        </w:rPr>
        <w:t>Salix babylonica</w:t>
      </w:r>
      <w:r w:rsidRPr="00C8705B">
        <w:t>), pussy willow (</w:t>
      </w:r>
      <w:r w:rsidRPr="00635285">
        <w:rPr>
          <w:i/>
        </w:rPr>
        <w:t>Salix x calodendron</w:t>
      </w:r>
      <w:r w:rsidRPr="00C8705B">
        <w:t>), goat willow (</w:t>
      </w:r>
      <w:r w:rsidRPr="00635285">
        <w:rPr>
          <w:i/>
        </w:rPr>
        <w:t>Salix caprea ‘Pendula</w:t>
      </w:r>
      <w:r w:rsidRPr="00C8705B">
        <w:t>)’, Salix matsudana ‘Aurea’, tortured or twisted willow (</w:t>
      </w:r>
      <w:r w:rsidRPr="00635285">
        <w:rPr>
          <w:i/>
        </w:rPr>
        <w:t>Salix matsudana ‘Tortuosa’</w:t>
      </w:r>
      <w:r w:rsidRPr="00C8705B">
        <w:t>), dark-leaved willow</w:t>
      </w:r>
      <w:r w:rsidR="00D200D8" w:rsidRPr="00C8705B">
        <w:t xml:space="preserve"> (</w:t>
      </w:r>
      <w:r w:rsidR="00D200D8" w:rsidRPr="00635285">
        <w:rPr>
          <w:i/>
        </w:rPr>
        <w:t>Salix myrsinifolia</w:t>
      </w:r>
      <w:r w:rsidRPr="00C8705B">
        <w:t>) and pussy willow (</w:t>
      </w:r>
      <w:r w:rsidRPr="00635285">
        <w:rPr>
          <w:i/>
        </w:rPr>
        <w:t>Salix x reichardtii</w:t>
      </w:r>
      <w:r w:rsidRPr="00C8705B">
        <w:t>).</w:t>
      </w:r>
    </w:p>
  </w:footnote>
  <w:footnote w:id="5">
    <w:p w14:paraId="2925FC6B" w14:textId="77777777" w:rsidR="007B78BA" w:rsidRPr="00C8001B" w:rsidRDefault="007B78BA" w:rsidP="00635285">
      <w:pPr>
        <w:pStyle w:val="Footnotes"/>
      </w:pPr>
      <w:r w:rsidRPr="00614F29">
        <w:rPr>
          <w:rStyle w:val="FootnoteReference"/>
          <w:sz w:val="18"/>
          <w:szCs w:val="18"/>
        </w:rPr>
        <w:footnoteRef/>
      </w:r>
      <w:r w:rsidRPr="00614F29">
        <w:t xml:space="preserve"> </w:t>
      </w:r>
      <w:r w:rsidR="00635285">
        <w:tab/>
      </w:r>
      <w:r w:rsidRPr="00614F29">
        <w:t>meaning they cannot be bought or sold within Victoria</w:t>
      </w:r>
      <w:r>
        <w:t xml:space="preserve">. “Restricted’ does </w:t>
      </w:r>
      <w:r>
        <w:rPr>
          <w:u w:val="single"/>
        </w:rPr>
        <w:t>not</w:t>
      </w:r>
      <w:r>
        <w:t xml:space="preserve"> refer to their distribution but is a formal category of noxious weeds.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33891B1D" w14:textId="77777777" w:rsidTr="00920652">
      <w:trPr>
        <w:trHeight w:hRule="exact" w:val="1418"/>
      </w:trPr>
      <w:tc>
        <w:tcPr>
          <w:tcW w:w="7761" w:type="dxa"/>
          <w:vAlign w:val="center"/>
        </w:tcPr>
        <w:p w14:paraId="62856BE5" w14:textId="15837111" w:rsidR="00A209C4" w:rsidRPr="00975ED3" w:rsidRDefault="00BE7E21" w:rsidP="00920652">
          <w:pPr>
            <w:pStyle w:val="Header"/>
          </w:pPr>
          <w:fldSimple w:instr=" STYLEREF  Title  \* MERGEFORMAT ">
            <w:r w:rsidR="001B1812">
              <w:rPr>
                <w:noProof/>
              </w:rPr>
              <w:t>Managing willows in Victoria</w:t>
            </w:r>
          </w:fldSimple>
        </w:p>
      </w:tc>
    </w:tr>
  </w:tbl>
  <w:p w14:paraId="2DE20918"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63360" behindDoc="1" locked="0" layoutInCell="1" allowOverlap="1" wp14:anchorId="241E4AE8" wp14:editId="392C59D5">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6398D"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757F1904" wp14:editId="27EFAA1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C8606" id="TriangleLeft" o:spid="_x0000_s1026"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71c5e8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305CDCBE" wp14:editId="758D3B3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5EC82F" id="Rectangle" o:spid="_x0000_s1026" style="position:absolute;margin-left:22.7pt;margin-top:22.7pt;width:552.7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5383A43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875C" w14:textId="77777777" w:rsidR="005B617F" w:rsidRPr="00E97294" w:rsidRDefault="005B617F" w:rsidP="005B617F">
    <w:pPr>
      <w:pStyle w:val="Header"/>
    </w:pPr>
    <w:r w:rsidRPr="00806AB6">
      <w:rPr>
        <w:noProof/>
      </w:rPr>
      <mc:AlternateContent>
        <mc:Choice Requires="wps">
          <w:drawing>
            <wp:anchor distT="0" distB="0" distL="114300" distR="114300" simplePos="0" relativeHeight="251657216" behindDoc="1" locked="0" layoutInCell="1" allowOverlap="1" wp14:anchorId="46249C4B" wp14:editId="058CCCD4">
              <wp:simplePos x="0" y="0"/>
              <wp:positionH relativeFrom="page">
                <wp:posOffset>720090</wp:posOffset>
              </wp:positionH>
              <wp:positionV relativeFrom="page">
                <wp:posOffset>288290</wp:posOffset>
              </wp:positionV>
              <wp:extent cx="864000" cy="900000"/>
              <wp:effectExtent l="0" t="0" r="0" b="0"/>
              <wp:wrapNone/>
              <wp:docPr id="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F92EA"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59AA3DB" wp14:editId="188CBCF0">
              <wp:simplePos x="0" y="0"/>
              <wp:positionH relativeFrom="page">
                <wp:posOffset>288290</wp:posOffset>
              </wp:positionH>
              <wp:positionV relativeFrom="page">
                <wp:posOffset>288290</wp:posOffset>
              </wp:positionV>
              <wp:extent cx="864000" cy="900000"/>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C347A"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71c5e8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6A38F563" wp14:editId="262ACBA1">
              <wp:simplePos x="0" y="0"/>
              <wp:positionH relativeFrom="page">
                <wp:posOffset>288290</wp:posOffset>
              </wp:positionH>
              <wp:positionV relativeFrom="page">
                <wp:posOffset>288290</wp:posOffset>
              </wp:positionV>
              <wp:extent cx="7020000" cy="900000"/>
              <wp:effectExtent l="0" t="0" r="9525" b="0"/>
              <wp:wrapNone/>
              <wp:docPr id="1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923D4F"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0B1BB528" w14:textId="454E0D7D" w:rsidR="00A34054" w:rsidRDefault="00000000" w:rsidP="005B617F">
    <w:pPr>
      <w:pStyle w:val="Header"/>
      <w:spacing w:before="200"/>
    </w:pPr>
    <w:fldSimple w:instr=" STYLEREF  Title  \* MERGEFORMAT ">
      <w:r w:rsidR="001B1812">
        <w:rPr>
          <w:noProof/>
        </w:rPr>
        <w:t>Managing willows in Victoria</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E46B"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192" behindDoc="1" locked="0" layoutInCell="1" allowOverlap="1" wp14:anchorId="52D2B235" wp14:editId="780B897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95395"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6DA5C836" wp14:editId="0BFEB722">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41BE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" path="m,l669,1415,1339,,,xe" fillcolor="#c6e8f6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45C43C0A" wp14:editId="1440175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59E61" id="TriangleLeft" o:spid="_x0000_s1026"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71c5e8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79CB1D11" wp14:editId="0027208C">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76529E"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A2E9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81956F9"/>
    <w:multiLevelType w:val="hybridMultilevel"/>
    <w:tmpl w:val="EE8272A6"/>
    <w:lvl w:ilvl="0" w:tplc="E244F3CE">
      <w:start w:val="1"/>
      <w:numFmt w:val="bullet"/>
      <w:pStyle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9757B7A"/>
    <w:multiLevelType w:val="hybridMultilevel"/>
    <w:tmpl w:val="7284B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71C5E8"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FB2573F"/>
    <w:multiLevelType w:val="multilevel"/>
    <w:tmpl w:val="D18EE714"/>
    <w:name w:val="TableFootnotes"/>
    <w:lvl w:ilvl="0">
      <w:start w:val="1"/>
      <w:numFmt w:val="lowerLetter"/>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F532246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785032331">
    <w:abstractNumId w:val="20"/>
  </w:num>
  <w:num w:numId="2" w16cid:durableId="1951352079">
    <w:abstractNumId w:val="29"/>
  </w:num>
  <w:num w:numId="3" w16cid:durableId="6756970">
    <w:abstractNumId w:val="26"/>
  </w:num>
  <w:num w:numId="4" w16cid:durableId="1893231245">
    <w:abstractNumId w:val="33"/>
  </w:num>
  <w:num w:numId="5" w16cid:durableId="1720283227">
    <w:abstractNumId w:val="17"/>
  </w:num>
  <w:num w:numId="6" w16cid:durableId="998657125">
    <w:abstractNumId w:val="14"/>
  </w:num>
  <w:num w:numId="7" w16cid:durableId="743458644">
    <w:abstractNumId w:val="13"/>
  </w:num>
  <w:num w:numId="8" w16cid:durableId="1968733326">
    <w:abstractNumId w:val="10"/>
  </w:num>
  <w:num w:numId="9" w16cid:durableId="111285655">
    <w:abstractNumId w:val="30"/>
  </w:num>
  <w:num w:numId="10" w16cid:durableId="517934369">
    <w:abstractNumId w:val="15"/>
  </w:num>
  <w:num w:numId="11" w16cid:durableId="274287487">
    <w:abstractNumId w:val="18"/>
  </w:num>
  <w:num w:numId="12" w16cid:durableId="4951539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8781591">
    <w:abstractNumId w:val="16"/>
  </w:num>
  <w:num w:numId="14" w16cid:durableId="1590430296">
    <w:abstractNumId w:val="25"/>
  </w:num>
  <w:num w:numId="15" w16cid:durableId="1325235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9922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33022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8445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4305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36343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894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43167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35082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42324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09984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71460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5949502">
    <w:abstractNumId w:val="32"/>
  </w:num>
  <w:num w:numId="28" w16cid:durableId="974871720">
    <w:abstractNumId w:val="32"/>
    <w:lvlOverride w:ilvl="0">
      <w:startOverride w:val="1"/>
    </w:lvlOverride>
  </w:num>
  <w:num w:numId="29" w16cid:durableId="707074067">
    <w:abstractNumId w:val="21"/>
  </w:num>
  <w:num w:numId="30" w16cid:durableId="1151214737">
    <w:abstractNumId w:val="31"/>
  </w:num>
  <w:num w:numId="31" w16cid:durableId="508906701">
    <w:abstractNumId w:val="8"/>
  </w:num>
  <w:num w:numId="32" w16cid:durableId="67388371">
    <w:abstractNumId w:val="28"/>
  </w:num>
  <w:num w:numId="33" w16cid:durableId="1067269240">
    <w:abstractNumId w:val="22"/>
  </w:num>
  <w:num w:numId="34" w16cid:durableId="258487308">
    <w:abstractNumId w:val="9"/>
  </w:num>
  <w:num w:numId="35" w16cid:durableId="154498637">
    <w:abstractNumId w:val="7"/>
  </w:num>
  <w:num w:numId="36" w16cid:durableId="759762187">
    <w:abstractNumId w:val="6"/>
  </w:num>
  <w:num w:numId="37" w16cid:durableId="320885819">
    <w:abstractNumId w:val="5"/>
  </w:num>
  <w:num w:numId="38" w16cid:durableId="622078275">
    <w:abstractNumId w:val="4"/>
  </w:num>
  <w:num w:numId="39" w16cid:durableId="1250623603">
    <w:abstractNumId w:val="1"/>
  </w:num>
  <w:num w:numId="40" w16cid:durableId="1095200894">
    <w:abstractNumId w:val="0"/>
  </w:num>
  <w:num w:numId="41" w16cid:durableId="1769689823">
    <w:abstractNumId w:val="3"/>
  </w:num>
  <w:num w:numId="42" w16cid:durableId="1551191562">
    <w:abstractNumId w:val="2"/>
  </w:num>
  <w:num w:numId="43" w16cid:durableId="1619484874">
    <w:abstractNumId w:val="11"/>
  </w:num>
  <w:num w:numId="44" w16cid:durableId="154043619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hideSpellingErrors/>
  <w:activeWritingStyle w:appName="MSWord" w:lang="en-US" w:vendorID="64" w:dllVersion="0" w:nlCheck="1" w:checkStyle="1"/>
  <w:activeWritingStyle w:appName="MSWord" w:lang="en-AU"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WaterAndCatchments"/>
    <w:docVar w:name="TOC" w:val="True"/>
    <w:docVar w:name="TOCNew" w:val="True"/>
    <w:docVar w:name="Version" w:val="1"/>
  </w:docVars>
  <w:rsids>
    <w:rsidRoot w:val="005C7701"/>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A4"/>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0A7"/>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7D9"/>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812"/>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B41"/>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B4A"/>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EDF"/>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D61"/>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BD3"/>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58"/>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028"/>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429"/>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17F"/>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701"/>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285"/>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B8B"/>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6B2"/>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6A55"/>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2E6"/>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1BE"/>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8BA"/>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237F"/>
    <w:rsid w:val="0086305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628"/>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01"/>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620"/>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054"/>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10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EA7"/>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A12"/>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E7E21"/>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2C0"/>
    <w:rsid w:val="00C86505"/>
    <w:rsid w:val="00C86F92"/>
    <w:rsid w:val="00C8705B"/>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B2C"/>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D9"/>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0D8"/>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5EF"/>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B2E"/>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D4B"/>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6CC"/>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7A3"/>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47ABC1B"/>
  <w15:docId w15:val="{AB78F02A-F5AF-4500-9CE1-09FFBC88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B2E"/>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71C5E8"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E365EF"/>
    <w:pPr>
      <w:pBdr>
        <w:top w:val="dotted" w:sz="8" w:space="0" w:color="363534" w:themeColor="text1"/>
      </w:pBdr>
      <w:spacing w:line="120" w:lineRule="exact"/>
    </w:pPr>
    <w:rPr>
      <w:sz w:val="12"/>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635285"/>
    <w:pPr>
      <w:keepLines/>
      <w:spacing w:before="60" w:after="40" w:line="180" w:lineRule="exact"/>
      <w:ind w:left="142" w:hanging="142"/>
    </w:pPr>
    <w:rPr>
      <w:rFonts w:cstheme="minorHAnsi"/>
      <w:sz w:val="14"/>
      <w:szCs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F40D4B"/>
    <w:pPr>
      <w:numPr>
        <w:ilvl w:val="1"/>
      </w:numPr>
      <w:spacing w:before="40"/>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71C5E8"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71C5E8"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71C5E8"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71C5E8"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71C5E8"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71C5E8"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71C5E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71C5E8"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71C5E8"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71C5E8"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71C5E8" w:themeFill="text2"/>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7106B2"/>
    <w:pPr>
      <w:keepNext w:val="0"/>
      <w:spacing w:before="0" w:after="200" w:line="180" w:lineRule="atLeast"/>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71C5E8" w:themeColor="text2"/>
      <w:kern w:val="32"/>
      <w:sz w:val="40"/>
      <w:szCs w:val="32"/>
    </w:rPr>
  </w:style>
  <w:style w:type="character" w:customStyle="1" w:styleId="Heading2Char">
    <w:name w:val="Heading 2 Char"/>
    <w:basedOn w:val="DefaultParagraphFont"/>
    <w:link w:val="Heading2"/>
    <w:rsid w:val="001306D2"/>
    <w:rPr>
      <w:b/>
      <w:bCs/>
      <w:iCs/>
      <w:color w:val="71C5E8"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E56B2E"/>
    <w:pPr>
      <w:spacing w:after="113"/>
    </w:pPr>
    <w:rPr>
      <w:rFonts w:ascii="Calibri" w:hAnsi="Calibri"/>
      <w:color w:val="auto"/>
      <w:sz w:val="22"/>
      <w:szCs w:val="24"/>
      <w:lang w:eastAsia="en-US"/>
    </w:rPr>
  </w:style>
  <w:style w:type="paragraph" w:customStyle="1" w:styleId="HB">
    <w:name w:val="_HB"/>
    <w:next w:val="Body"/>
    <w:uiPriority w:val="2"/>
    <w:qFormat/>
    <w:rsid w:val="00E56B2E"/>
    <w:pPr>
      <w:spacing w:before="180" w:after="113" w:line="300" w:lineRule="atLeast"/>
      <w:outlineLvl w:val="0"/>
    </w:pPr>
    <w:rPr>
      <w:rFonts w:ascii="Calibri" w:hAnsi="Calibri"/>
      <w:b/>
      <w:color w:val="228591"/>
      <w:sz w:val="28"/>
      <w:szCs w:val="24"/>
      <w:lang w:eastAsia="en-US"/>
    </w:rPr>
  </w:style>
  <w:style w:type="paragraph" w:customStyle="1" w:styleId="Pullout">
    <w:name w:val="_Pullout"/>
    <w:qFormat/>
    <w:rsid w:val="00E56B2E"/>
    <w:pPr>
      <w:spacing w:before="85" w:after="170" w:line="300" w:lineRule="atLeast"/>
    </w:pPr>
    <w:rPr>
      <w:rFonts w:ascii="Calibri" w:hAnsi="Calibri"/>
      <w:color w:val="228591"/>
      <w:sz w:val="24"/>
      <w:szCs w:val="24"/>
      <w:lang w:eastAsia="en-US"/>
    </w:rPr>
  </w:style>
  <w:style w:type="paragraph" w:styleId="ListNumber4">
    <w:name w:val="List Number 4"/>
    <w:basedOn w:val="Normal"/>
    <w:semiHidden/>
    <w:rsid w:val="00E56B2E"/>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Bullet">
    <w:name w:val="_Bullet"/>
    <w:link w:val="BulletChar"/>
    <w:qFormat/>
    <w:rsid w:val="00E56B2E"/>
    <w:pPr>
      <w:numPr>
        <w:numId w:val="43"/>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E56B2E"/>
    <w:rPr>
      <w:rFonts w:ascii="Calibri" w:hAnsi="Calibri"/>
      <w:color w:val="auto"/>
      <w:sz w:val="22"/>
      <w:szCs w:val="24"/>
      <w:lang w:eastAsia="en-US"/>
    </w:rPr>
  </w:style>
  <w:style w:type="paragraph" w:customStyle="1" w:styleId="HC">
    <w:name w:val="_HC"/>
    <w:next w:val="Body"/>
    <w:uiPriority w:val="2"/>
    <w:qFormat/>
    <w:rsid w:val="007B78BA"/>
    <w:pPr>
      <w:spacing w:before="140" w:after="57" w:line="220" w:lineRule="atLeast"/>
    </w:pPr>
    <w:rPr>
      <w:rFonts w:ascii="Calibri" w:hAnsi="Calibri"/>
      <w:b/>
      <w:color w:val="auto"/>
      <w:sz w:val="24"/>
      <w:szCs w:val="24"/>
      <w:lang w:eastAsia="en-US"/>
    </w:rPr>
  </w:style>
  <w:style w:type="paragraph" w:customStyle="1" w:styleId="Caption0">
    <w:name w:val="_Caption"/>
    <w:qFormat/>
    <w:rsid w:val="00B87A12"/>
    <w:pPr>
      <w:spacing w:before="120" w:after="120" w:line="170" w:lineRule="atLeast"/>
    </w:pPr>
    <w:rPr>
      <w:rFonts w:ascii="Calibri" w:hAnsi="Calibri"/>
      <w:b/>
      <w:color w:val="404040"/>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583661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2836779">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eeds.ala.org.au/WoNS/willow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16-GG\active\DELWP\Visual%20style\word%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3CCC5-76DB-4579-91ED-B1740324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TotalTime>
  <Pages>4</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willows factsheet - accessible</dc:title>
  <dc:creator>Arion Potts (DEECA)</dc:creator>
  <cp:lastModifiedBy>Arion Potts (DEECA)</cp:lastModifiedBy>
  <cp:revision>2</cp:revision>
  <cp:lastPrinted>2016-11-01T23:57:00Z</cp:lastPrinted>
  <dcterms:created xsi:type="dcterms:W3CDTF">2023-11-02T01:05:00Z</dcterms:created>
  <dcterms:modified xsi:type="dcterms:W3CDTF">2023-11-02T01:05:00Z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lassificationContentMarkingFooterShapeIds">
    <vt:lpwstr>10,11,12</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2023-11-02T01:05:10Z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f73e3f8e-4c94-401c-8cf5-044c2d770131</vt:lpwstr>
  </property>
  <property fmtid="{D5CDD505-2E9C-101B-9397-08002B2CF9AE}" pid="27" name="MSIP_Label_4257e2ab-f512-40e2-9c9a-c64247360765_ContentBits">
    <vt:lpwstr>2</vt:lpwstr>
  </property>
</Properties>
</file>