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103C9" w14:textId="42D913C8" w:rsidR="009164D0" w:rsidRPr="00BB23D5" w:rsidRDefault="008177B0" w:rsidP="008C5335">
      <w:pPr>
        <w:spacing w:line="240" w:lineRule="auto"/>
        <w:rPr>
          <w:rStyle w:val="BodyTextChar"/>
        </w:rPr>
      </w:pPr>
      <w:r>
        <w:rPr>
          <w:noProof/>
        </w:rPr>
        <mc:AlternateContent>
          <mc:Choice Requires="wps">
            <w:drawing>
              <wp:anchor distT="0" distB="0" distL="114300" distR="114300" simplePos="0" relativeHeight="251664391" behindDoc="0" locked="0" layoutInCell="1" allowOverlap="1" wp14:anchorId="013C030D" wp14:editId="1CD8B8D3">
                <wp:simplePos x="0" y="0"/>
                <wp:positionH relativeFrom="column">
                  <wp:posOffset>2809240</wp:posOffset>
                </wp:positionH>
                <wp:positionV relativeFrom="paragraph">
                  <wp:posOffset>5484278</wp:posOffset>
                </wp:positionV>
                <wp:extent cx="2600491" cy="1136394"/>
                <wp:effectExtent l="0" t="0" r="0" b="0"/>
                <wp:wrapNone/>
                <wp:docPr id="13" name="Text Box 13"/>
                <wp:cNvGraphicFramePr/>
                <a:graphic xmlns:a="http://schemas.openxmlformats.org/drawingml/2006/main">
                  <a:graphicData uri="http://schemas.microsoft.com/office/word/2010/wordprocessingShape">
                    <wps:wsp>
                      <wps:cNvSpPr txBox="1"/>
                      <wps:spPr bwMode="auto">
                        <a:xfrm>
                          <a:off x="0" y="0"/>
                          <a:ext cx="2600491" cy="1136394"/>
                        </a:xfrm>
                        <a:prstGeom prst="rect">
                          <a:avLst/>
                        </a:prstGeom>
                        <a:noFill/>
                        <a:ln w="9525">
                          <a:noFill/>
                          <a:miter lim="800000"/>
                          <a:headEnd/>
                          <a:tailEnd/>
                        </a:ln>
                      </wps:spPr>
                      <wps:txbx>
                        <w:txbxContent>
                          <w:p w14:paraId="47FD24F2" w14:textId="41CB692A" w:rsidR="008177B0" w:rsidRDefault="008177B0">
                            <w:r>
                              <w:rPr>
                                <w:noProof/>
                              </w:rPr>
                              <w:drawing>
                                <wp:inline distT="0" distB="0" distL="0" distR="0" wp14:anchorId="338E3EB5" wp14:editId="557AB9AC">
                                  <wp:extent cx="2350135" cy="977900"/>
                                  <wp:effectExtent l="0" t="0" r="0" b="0"/>
                                  <wp:docPr id="225" name="Picture 2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pic:cNvPicPr/>
                                        </pic:nvPicPr>
                                        <pic:blipFill>
                                          <a:blip r:embed="rId12"/>
                                          <a:stretch>
                                            <a:fillRect/>
                                          </a:stretch>
                                        </pic:blipFill>
                                        <pic:spPr>
                                          <a:xfrm>
                                            <a:off x="0" y="0"/>
                                            <a:ext cx="2350135" cy="977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3C030D" id="_x0000_t202" coordsize="21600,21600" o:spt="202" path="m,l,21600r21600,l21600,xe">
                <v:stroke joinstyle="miter"/>
                <v:path gradientshapeok="t" o:connecttype="rect"/>
              </v:shapetype>
              <v:shape id="Text Box 13" o:spid="_x0000_s1026" type="#_x0000_t202" style="position:absolute;left:0;text-align:left;margin-left:221.2pt;margin-top:431.85pt;width:204.75pt;height:89.5pt;z-index:251664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" filled="f" stroked="f">
                <v:textbox>
                  <w:txbxContent>
                    <w:p w14:paraId="47FD24F2" w14:textId="41CB692A" w:rsidR="008177B0" w:rsidRDefault="008177B0">
                      <w:r>
                        <w:rPr>
                          <w:noProof/>
                        </w:rPr>
                        <w:drawing>
                          <wp:inline distT="0" distB="0" distL="0" distR="0" wp14:anchorId="338E3EB5" wp14:editId="557AB9AC">
                            <wp:extent cx="2350135" cy="977900"/>
                            <wp:effectExtent l="0" t="0" r="0" b="0"/>
                            <wp:docPr id="225" name="Picture 2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pic:cNvPicPr/>
                                  </pic:nvPicPr>
                                  <pic:blipFill>
                                    <a:blip r:embed="rId12"/>
                                    <a:stretch>
                                      <a:fillRect/>
                                    </a:stretch>
                                  </pic:blipFill>
                                  <pic:spPr>
                                    <a:xfrm>
                                      <a:off x="0" y="0"/>
                                      <a:ext cx="2350135" cy="977900"/>
                                    </a:xfrm>
                                    <a:prstGeom prst="rect">
                                      <a:avLst/>
                                    </a:prstGeom>
                                  </pic:spPr>
                                </pic:pic>
                              </a:graphicData>
                            </a:graphic>
                          </wp:inline>
                        </w:drawing>
                      </w:r>
                    </w:p>
                  </w:txbxContent>
                </v:textbox>
              </v:shape>
            </w:pict>
          </mc:Fallback>
        </mc:AlternateContent>
      </w:r>
      <w:r w:rsidR="00D22A54">
        <w:rPr>
          <w:noProof/>
        </w:rPr>
        <mc:AlternateContent>
          <mc:Choice Requires="wps">
            <w:drawing>
              <wp:anchor distT="0" distB="0" distL="114300" distR="114300" simplePos="0" relativeHeight="251662343" behindDoc="0" locked="0" layoutInCell="1" allowOverlap="1" wp14:anchorId="575260CB" wp14:editId="1E562D3C">
                <wp:simplePos x="0" y="0"/>
                <wp:positionH relativeFrom="page">
                  <wp:posOffset>6223379</wp:posOffset>
                </wp:positionH>
                <wp:positionV relativeFrom="paragraph">
                  <wp:posOffset>5772273</wp:posOffset>
                </wp:positionV>
                <wp:extent cx="1336969" cy="668741"/>
                <wp:effectExtent l="0" t="0" r="0" b="0"/>
                <wp:wrapNone/>
                <wp:docPr id="224" name="Text Box 224"/>
                <wp:cNvGraphicFramePr/>
                <a:graphic xmlns:a="http://schemas.openxmlformats.org/drawingml/2006/main">
                  <a:graphicData uri="http://schemas.microsoft.com/office/word/2010/wordprocessingShape">
                    <wps:wsp>
                      <wps:cNvSpPr txBox="1"/>
                      <wps:spPr bwMode="auto">
                        <a:xfrm>
                          <a:off x="0" y="0"/>
                          <a:ext cx="1336969" cy="668741"/>
                        </a:xfrm>
                        <a:prstGeom prst="rect">
                          <a:avLst/>
                        </a:prstGeom>
                        <a:noFill/>
                        <a:ln w="9525">
                          <a:noFill/>
                          <a:miter lim="800000"/>
                          <a:headEnd/>
                          <a:tailEnd/>
                        </a:ln>
                      </wps:spPr>
                      <wps:txbx>
                        <w:txbxContent>
                          <w:p w14:paraId="69026201" w14:textId="2CA08811" w:rsidR="00A21C4A" w:rsidRPr="007E5FF9" w:rsidRDefault="00A21C4A">
                            <w:pPr>
                              <w:rPr>
                                <w:color w:val="207BA1" w:themeColor="accent2"/>
                                <w:sz w:val="72"/>
                                <w:szCs w:val="72"/>
                              </w:rPr>
                            </w:pPr>
                            <w:r w:rsidRPr="007E5FF9">
                              <w:rPr>
                                <w:rFonts w:ascii="Britannic Bold" w:hAnsi="Britannic Bold"/>
                                <w:color w:val="207BA1" w:themeColor="accent2"/>
                                <w:sz w:val="72"/>
                                <w:szCs w:val="72"/>
                              </w:rPr>
                              <w:t>TC&amp;A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260CB" id="Text Box 224" o:spid="_x0000_s1027" type="#_x0000_t202" style="position:absolute;left:0;text-align:left;margin-left:490.05pt;margin-top:454.5pt;width:105.25pt;height:52.65pt;z-index:2516623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" filled="f" stroked="f">
                <v:textbox>
                  <w:txbxContent>
                    <w:p w14:paraId="69026201" w14:textId="2CA08811" w:rsidR="00A21C4A" w:rsidRPr="007E5FF9" w:rsidRDefault="00A21C4A">
                      <w:pPr>
                        <w:rPr>
                          <w:color w:val="207BA1" w:themeColor="accent2"/>
                          <w:sz w:val="72"/>
                          <w:szCs w:val="72"/>
                        </w:rPr>
                      </w:pPr>
                      <w:r w:rsidRPr="007E5FF9">
                        <w:rPr>
                          <w:rFonts w:ascii="Britannic Bold" w:hAnsi="Britannic Bold"/>
                          <w:color w:val="207BA1" w:themeColor="accent2"/>
                          <w:sz w:val="72"/>
                          <w:szCs w:val="72"/>
                        </w:rPr>
                        <w:t>TC&amp;A</w:t>
                      </w:r>
                    </w:p>
                  </w:txbxContent>
                </v:textbox>
                <w10:wrap anchorx="page"/>
              </v:shape>
            </w:pict>
          </mc:Fallback>
        </mc:AlternateContent>
      </w:r>
      <w:r w:rsidR="00E910B9" w:rsidRPr="00152A3D">
        <w:rPr>
          <w:noProof/>
        </w:rPr>
        <w:drawing>
          <wp:anchor distT="0" distB="0" distL="114300" distR="114300" simplePos="0" relativeHeight="251658247" behindDoc="0" locked="0" layoutInCell="1" allowOverlap="1" wp14:anchorId="2A65F989" wp14:editId="323FED46">
            <wp:simplePos x="0" y="0"/>
            <wp:positionH relativeFrom="page">
              <wp:posOffset>0</wp:posOffset>
            </wp:positionH>
            <wp:positionV relativeFrom="paragraph">
              <wp:posOffset>1047750</wp:posOffset>
            </wp:positionV>
            <wp:extent cx="7559675" cy="4240530"/>
            <wp:effectExtent l="0" t="0" r="3175" b="7620"/>
            <wp:wrapSquare wrapText="bothSides"/>
            <wp:docPr id="4" name="Picture Placeholder 25">
              <a:extLst xmlns:a="http://schemas.openxmlformats.org/drawingml/2006/main">
                <a:ext uri="{FF2B5EF4-FFF2-40B4-BE49-F238E27FC236}">
                  <a16:creationId xmlns:a16="http://schemas.microsoft.com/office/drawing/2014/main" id="{C554BBBD-86FA-4146-BE32-0931B0316F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laceholder 25">
                      <a:extLst>
                        <a:ext uri="{FF2B5EF4-FFF2-40B4-BE49-F238E27FC236}">
                          <a16:creationId xmlns:a16="http://schemas.microsoft.com/office/drawing/2014/main" id="{C554BBBD-86FA-4146-BE32-0931B0316FFD}"/>
                        </a:ext>
                      </a:extLst>
                    </pic:cNvPr>
                    <pic:cNvPicPr>
                      <a:picLocks noChangeAspect="1"/>
                    </pic:cNvPicPr>
                  </pic:nvPicPr>
                  <pic:blipFill rotWithShape="1">
                    <a:blip r:embed="rId13">
                      <a:extLst>
                        <a:ext uri="{28A0092B-C50C-407E-A947-70E740481C1C}">
                          <a14:useLocalDpi xmlns:a14="http://schemas.microsoft.com/office/drawing/2010/main" val="0"/>
                        </a:ext>
                      </a:extLst>
                    </a:blip>
                    <a:srcRect t="15861"/>
                    <a:stretch/>
                  </pic:blipFill>
                  <pic:spPr bwMode="auto">
                    <a:xfrm>
                      <a:off x="0" y="0"/>
                      <a:ext cx="7559675" cy="4240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10B9">
        <w:rPr>
          <w:rFonts w:cs="Open Sans"/>
          <w:noProof/>
        </w:rPr>
        <w:drawing>
          <wp:anchor distT="0" distB="0" distL="114300" distR="114300" simplePos="0" relativeHeight="251658241" behindDoc="0" locked="0" layoutInCell="1" allowOverlap="1" wp14:anchorId="448D1079" wp14:editId="781638B1">
            <wp:simplePos x="0" y="0"/>
            <wp:positionH relativeFrom="page">
              <wp:align>left</wp:align>
            </wp:positionH>
            <wp:positionV relativeFrom="paragraph">
              <wp:posOffset>1047750</wp:posOffset>
            </wp:positionV>
            <wp:extent cx="7551420" cy="4247515"/>
            <wp:effectExtent l="0" t="0" r="0" b="635"/>
            <wp:wrapThrough wrapText="bothSides">
              <wp:wrapPolygon edited="0">
                <wp:start x="0" y="0"/>
                <wp:lineTo x="0" y="21506"/>
                <wp:lineTo x="21524" y="21506"/>
                <wp:lineTo x="2152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2000" cy="4248000"/>
                    </a:xfrm>
                    <a:prstGeom prst="rect">
                      <a:avLst/>
                    </a:prstGeom>
                  </pic:spPr>
                </pic:pic>
              </a:graphicData>
            </a:graphic>
            <wp14:sizeRelH relativeFrom="page">
              <wp14:pctWidth>0</wp14:pctWidth>
            </wp14:sizeRelH>
            <wp14:sizeRelV relativeFrom="page">
              <wp14:pctHeight>0</wp14:pctHeight>
            </wp14:sizeRelV>
          </wp:anchor>
        </w:drawing>
      </w:r>
      <w:r w:rsidR="00637AFB">
        <w:rPr>
          <w:rFonts w:cs="Open Sans"/>
          <w:noProof/>
        </w:rPr>
        <mc:AlternateContent>
          <mc:Choice Requires="wps">
            <w:drawing>
              <wp:anchor distT="0" distB="0" distL="114300" distR="114300" simplePos="0" relativeHeight="251658240" behindDoc="0" locked="0" layoutInCell="1" allowOverlap="1" wp14:anchorId="76CCFC71" wp14:editId="30FD70C4">
                <wp:simplePos x="0" y="0"/>
                <wp:positionH relativeFrom="page">
                  <wp:align>right</wp:align>
                </wp:positionH>
                <wp:positionV relativeFrom="paragraph">
                  <wp:posOffset>-1188085</wp:posOffset>
                </wp:positionV>
                <wp:extent cx="7553960" cy="10677525"/>
                <wp:effectExtent l="0" t="0" r="8890" b="9525"/>
                <wp:wrapNone/>
                <wp:docPr id="9" name="Rectangle 9"/>
                <wp:cNvGraphicFramePr/>
                <a:graphic xmlns:a="http://schemas.openxmlformats.org/drawingml/2006/main">
                  <a:graphicData uri="http://schemas.microsoft.com/office/word/2010/wordprocessingShape">
                    <wps:wsp>
                      <wps:cNvSpPr/>
                      <wps:spPr>
                        <a:xfrm>
                          <a:off x="0" y="0"/>
                          <a:ext cx="7553960" cy="106775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54000" tIns="54000" rIns="54000" bIns="54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D298D" id="Rectangle 9" o:spid="_x0000_s1026" style="position:absolute;margin-left:543.6pt;margin-top:-93.55pt;width:594.8pt;height:840.7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" fillcolor="#207ba1 [3205]" stroked="f" strokeweight="2pt">
                <v:textbox inset="1.5mm,1.5mm,1.5mm,1.5mm"/>
                <w10:wrap anchorx="page"/>
              </v:rect>
            </w:pict>
          </mc:Fallback>
        </mc:AlternateContent>
      </w:r>
      <w:r w:rsidR="008A79EE">
        <w:rPr>
          <w:noProof/>
          <w:sz w:val="48"/>
          <w:szCs w:val="16"/>
        </w:rPr>
        <mc:AlternateContent>
          <mc:Choice Requires="wps">
            <w:drawing>
              <wp:anchor distT="0" distB="0" distL="114300" distR="114300" simplePos="0" relativeHeight="251658246" behindDoc="0" locked="1" layoutInCell="1" allowOverlap="1" wp14:anchorId="05DBD078" wp14:editId="5CD94716">
                <wp:simplePos x="0" y="0"/>
                <wp:positionH relativeFrom="page">
                  <wp:posOffset>4704715</wp:posOffset>
                </wp:positionH>
                <wp:positionV relativeFrom="page">
                  <wp:posOffset>6772275</wp:posOffset>
                </wp:positionV>
                <wp:extent cx="2600960" cy="1230630"/>
                <wp:effectExtent l="0" t="0" r="8890" b="7620"/>
                <wp:wrapNone/>
                <wp:docPr id="25" name="Text Box 25"/>
                <wp:cNvGraphicFramePr/>
                <a:graphic xmlns:a="http://schemas.openxmlformats.org/drawingml/2006/main">
                  <a:graphicData uri="http://schemas.microsoft.com/office/word/2010/wordprocessingShape">
                    <wps:wsp>
                      <wps:cNvSpPr txBox="1"/>
                      <wps:spPr bwMode="auto">
                        <a:xfrm>
                          <a:off x="0" y="0"/>
                          <a:ext cx="2600960" cy="1230630"/>
                        </a:xfrm>
                        <a:prstGeom prst="rect">
                          <a:avLst/>
                        </a:prstGeom>
                        <a:noFill/>
                        <a:ln w="9525">
                          <a:noFill/>
                          <a:miter lim="800000"/>
                          <a:headEnd/>
                          <a:tailEnd/>
                        </a:ln>
                      </wps:spPr>
                      <wps:txbx>
                        <w:txbxContent>
                          <w:sdt>
                            <w:sdtPr>
                              <w:id w:val="-1704000278"/>
                              <w:lock w:val="sdtLocked"/>
                              <w:picture/>
                            </w:sdtPr>
                            <w:sdtContent>
                              <w:p w14:paraId="5F286B8D" w14:textId="37CEEF0B" w:rsidR="00925B70" w:rsidRDefault="00A21C4A">
                                <w:r>
                                  <w:rPr>
                                    <w:noProof/>
                                  </w:rPr>
                                  <w:drawing>
                                    <wp:inline distT="0" distB="0" distL="0" distR="0" wp14:anchorId="4EB41953" wp14:editId="657160A4">
                                      <wp:extent cx="1219200" cy="1191279"/>
                                      <wp:effectExtent l="0" t="0" r="0" b="889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pic:cNvPicPr>
                                                <a:picLocks noChangeAspect="1" noChangeArrowheads="1"/>
                                              </pic:cNvPicPr>
                                            </pic:nvPicPr>
                                            <pic:blipFill>
                                              <a:blip r:embed="rId15"/>
                                              <a:stretch>
                                                <a:fillRect/>
                                              </a:stretch>
                                            </pic:blipFill>
                                            <pic:spPr bwMode="auto">
                                              <a:xfrm>
                                                <a:off x="0" y="0"/>
                                                <a:ext cx="1219200" cy="1191279"/>
                                              </a:xfrm>
                                              <a:prstGeom prst="rect">
                                                <a:avLst/>
                                              </a:prstGeom>
                                              <a:noFill/>
                                              <a:ln>
                                                <a:noFill/>
                                              </a:ln>
                                            </pic:spPr>
                                          </pic:pic>
                                        </a:graphicData>
                                      </a:graphic>
                                    </wp:inline>
                                  </w:drawing>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BD078" id="Text Box 25" o:spid="_x0000_s1028" type="#_x0000_t202" style="position:absolute;left:0;text-align:left;margin-left:370.45pt;margin-top:533.25pt;width:204.8pt;height:96.9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" filled="f" stroked="f">
                <v:textbox inset="0,0,0,0">
                  <w:txbxContent>
                    <w:sdt>
                      <w:sdtPr>
                        <w:id w:val="-1704000278"/>
                        <w:lock w:val="sdtLocked"/>
                        <w:picture/>
                      </w:sdtPr>
                      <w:sdtContent>
                        <w:p w14:paraId="5F286B8D" w14:textId="37CEEF0B" w:rsidR="00925B70" w:rsidRDefault="00A21C4A">
                          <w:r>
                            <w:rPr>
                              <w:noProof/>
                            </w:rPr>
                            <w:drawing>
                              <wp:inline distT="0" distB="0" distL="0" distR="0" wp14:anchorId="4EB41953" wp14:editId="657160A4">
                                <wp:extent cx="1219200" cy="1191279"/>
                                <wp:effectExtent l="0" t="0" r="0" b="889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pic:cNvPicPr>
                                          <a:picLocks noChangeAspect="1" noChangeArrowheads="1"/>
                                        </pic:cNvPicPr>
                                      </pic:nvPicPr>
                                      <pic:blipFill>
                                        <a:blip r:embed="rId15"/>
                                        <a:stretch>
                                          <a:fillRect/>
                                        </a:stretch>
                                      </pic:blipFill>
                                      <pic:spPr bwMode="auto">
                                        <a:xfrm>
                                          <a:off x="0" y="0"/>
                                          <a:ext cx="1219200" cy="1191279"/>
                                        </a:xfrm>
                                        <a:prstGeom prst="rect">
                                          <a:avLst/>
                                        </a:prstGeom>
                                        <a:noFill/>
                                        <a:ln>
                                          <a:noFill/>
                                        </a:ln>
                                      </pic:spPr>
                                    </pic:pic>
                                  </a:graphicData>
                                </a:graphic>
                              </wp:inline>
                            </w:drawing>
                          </w:r>
                        </w:p>
                      </w:sdtContent>
                    </w:sdt>
                  </w:txbxContent>
                </v:textbox>
                <w10:wrap anchorx="page" anchory="page"/>
                <w10:anchorlock/>
              </v:shape>
            </w:pict>
          </mc:Fallback>
        </mc:AlternateContent>
      </w:r>
      <w:r w:rsidR="008A79EE">
        <w:rPr>
          <w:noProof/>
          <w:sz w:val="48"/>
          <w:szCs w:val="16"/>
        </w:rPr>
        <mc:AlternateContent>
          <mc:Choice Requires="wps">
            <w:drawing>
              <wp:anchor distT="0" distB="0" distL="114300" distR="114300" simplePos="0" relativeHeight="251658245" behindDoc="0" locked="1" layoutInCell="1" allowOverlap="1" wp14:anchorId="1688F960" wp14:editId="3846B1CA">
                <wp:simplePos x="0" y="0"/>
                <wp:positionH relativeFrom="page">
                  <wp:posOffset>541655</wp:posOffset>
                </wp:positionH>
                <wp:positionV relativeFrom="page">
                  <wp:posOffset>7956550</wp:posOffset>
                </wp:positionV>
                <wp:extent cx="6479540" cy="1393825"/>
                <wp:effectExtent l="0" t="0" r="0" b="0"/>
                <wp:wrapNone/>
                <wp:docPr id="7" name="Text Box 7"/>
                <wp:cNvGraphicFramePr/>
                <a:graphic xmlns:a="http://schemas.openxmlformats.org/drawingml/2006/main">
                  <a:graphicData uri="http://schemas.microsoft.com/office/word/2010/wordprocessingShape">
                    <wps:wsp>
                      <wps:cNvSpPr txBox="1"/>
                      <wps:spPr bwMode="auto">
                        <a:xfrm>
                          <a:off x="0" y="0"/>
                          <a:ext cx="6479540" cy="1393825"/>
                        </a:xfrm>
                        <a:prstGeom prst="rect">
                          <a:avLst/>
                        </a:prstGeom>
                        <a:noFill/>
                        <a:ln w="9525">
                          <a:noFill/>
                          <a:miter lim="800000"/>
                          <a:headEnd/>
                          <a:tailEnd/>
                        </a:ln>
                      </wps:spPr>
                      <wps:txbx>
                        <w:txbxContent>
                          <w:sdt>
                            <w:sdtPr>
                              <w:rPr>
                                <w:color w:val="FFFFFF" w:themeColor="background1"/>
                                <w:sz w:val="44"/>
                                <w:szCs w:val="14"/>
                              </w:rPr>
                              <w:alias w:val="Report Title"/>
                              <w:tag w:val="ReportTitle"/>
                              <w:id w:val="405965717"/>
                              <w:lock w:val="sdtLocked"/>
                              <w:dataBinding w:xpath="/root[1]/ReportTitle[1]" w:storeItemID="{8A6671F6-5EF9-4802-9226-F59F66B71F67}"/>
                              <w:text w:multiLine="1"/>
                            </w:sdtPr>
                            <w:sdtContent>
                              <w:p w14:paraId="6977AF07" w14:textId="2DEB12D9" w:rsidR="00B468C6" w:rsidRPr="00B468C6" w:rsidRDefault="00F264AD" w:rsidP="004570C8">
                                <w:pPr>
                                  <w:jc w:val="left"/>
                                  <w:rPr>
                                    <w:color w:val="FFFFFF" w:themeColor="background1"/>
                                    <w:sz w:val="44"/>
                                    <w:szCs w:val="14"/>
                                  </w:rPr>
                                </w:pPr>
                                <w:r>
                                  <w:rPr>
                                    <w:color w:val="FFFFFF" w:themeColor="background1"/>
                                    <w:sz w:val="44"/>
                                    <w:szCs w:val="14"/>
                                  </w:rPr>
                                  <w:t xml:space="preserve">Social and economic impacts of Basin Plan </w:t>
                                </w:r>
                                <w:r w:rsidR="00681876">
                                  <w:rPr>
                                    <w:color w:val="FFFFFF" w:themeColor="background1"/>
                                    <w:sz w:val="44"/>
                                    <w:szCs w:val="14"/>
                                  </w:rPr>
                                  <w:br/>
                                </w:r>
                                <w:r>
                                  <w:rPr>
                                    <w:color w:val="FFFFFF" w:themeColor="background1"/>
                                    <w:sz w:val="44"/>
                                    <w:szCs w:val="14"/>
                                  </w:rPr>
                                  <w:t>water recovery in Victoria</w:t>
                                </w:r>
                              </w:p>
                            </w:sdtContent>
                          </w:sdt>
                          <w:p w14:paraId="2F828A04" w14:textId="77777777" w:rsidR="00B468C6" w:rsidRDefault="00B468C6">
                            <w:r>
                              <w:rPr>
                                <w:noProof/>
                                <w:sz w:val="24"/>
                                <w:szCs w:val="4"/>
                              </w:rPr>
                              <w:drawing>
                                <wp:inline distT="0" distB="0" distL="0" distR="0" wp14:anchorId="245C11D2" wp14:editId="7B24625A">
                                  <wp:extent cx="647113" cy="130080"/>
                                  <wp:effectExtent l="0" t="0" r="635" b="3810"/>
                                  <wp:docPr id="55"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 Powerpoint_graphic_device_1_dots.svg"/>
                                          <pic:cNvPicPr/>
                                        </pic:nvPicPr>
                                        <pic:blipFill>
                                          <a:blip r:embed="rId16">
                                            <a:extLst>
                                              <a:ext uri="{28A0092B-C50C-407E-A947-70E740481C1C}">
                                                <a14:useLocalDpi xmlns:a14="http://schemas.microsoft.com/office/drawing/2010/main" val="0"/>
                                              </a:ext>
                                            </a:extLst>
                                          </a:blip>
                                          <a:stretch>
                                            <a:fillRect/>
                                          </a:stretch>
                                        </pic:blipFill>
                                        <pic:spPr>
                                          <a:xfrm>
                                            <a:off x="0" y="0"/>
                                            <a:ext cx="741972" cy="149148"/>
                                          </a:xfrm>
                                          <a:prstGeom prst="rect">
                                            <a:avLst/>
                                          </a:prstGeom>
                                        </pic:spPr>
                                      </pic:pic>
                                    </a:graphicData>
                                  </a:graphic>
                                </wp:inline>
                              </w:drawing>
                            </w:r>
                          </w:p>
                          <w:p w14:paraId="3DF59990" w14:textId="4301A30D" w:rsidR="00B468C6" w:rsidRPr="00B468C6" w:rsidRDefault="00000000" w:rsidP="00566ED6">
                            <w:pPr>
                              <w:pStyle w:val="TableHeading"/>
                              <w:spacing w:before="120" w:after="120" w:line="280" w:lineRule="atLeast"/>
                            </w:pPr>
                            <w:sdt>
                              <w:sdtPr>
                                <w:alias w:val="Report Subtitle"/>
                                <w:tag w:val="ReportSubtitle"/>
                                <w:id w:val="924618173"/>
                                <w:text w:multiLine="1"/>
                              </w:sdtPr>
                              <w:sdtContent>
                                <w:r w:rsidR="00B7450C">
                                  <w:t>5-year</w:t>
                                </w:r>
                                <w:r w:rsidR="00003380">
                                  <w:t xml:space="preserve"> update</w:t>
                                </w:r>
                                <w:r w:rsidR="004570C8">
                                  <w:t xml:space="preserve"> for Department of Environment, Land, Water and Planning</w:t>
                                </w:r>
                              </w:sdtContent>
                            </w:sdt>
                            <w:r w:rsidR="00B468C6" w:rsidRPr="00B468C6">
                              <w:t xml:space="preserve"> | </w:t>
                            </w:r>
                            <w:sdt>
                              <w:sdtPr>
                                <w:alias w:val="Cover Date"/>
                                <w:tag w:val="Cover Date"/>
                                <w:id w:val="-400527784"/>
                                <w:date w:fullDate="2022-08-31T00:00:00Z">
                                  <w:dateFormat w:val="d MMMM yyyy"/>
                                  <w:lid w:val="en-AU"/>
                                  <w:storeMappedDataAs w:val="dateTime"/>
                                  <w:calendar w:val="gregorian"/>
                                </w:date>
                              </w:sdtPr>
                              <w:sdtContent>
                                <w:r w:rsidR="004433F2">
                                  <w:t>31 August 2022</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8F960" id="Text Box 7" o:spid="_x0000_s1029" type="#_x0000_t202" style="position:absolute;left:0;text-align:left;margin-left:42.65pt;margin-top:626.5pt;width:510.2pt;height:109.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" filled="f" stroked="f">
                <v:textbox inset="0,0,0,0">
                  <w:txbxContent>
                    <w:sdt>
                      <w:sdtPr>
                        <w:rPr>
                          <w:color w:val="FFFFFF" w:themeColor="background1"/>
                          <w:sz w:val="44"/>
                          <w:szCs w:val="14"/>
                        </w:rPr>
                        <w:alias w:val="Report Title"/>
                        <w:tag w:val="ReportTitle"/>
                        <w:id w:val="405965717"/>
                        <w:lock w:val="sdtLocked"/>
                        <w:dataBinding w:xpath="/root[1]/ReportTitle[1]" w:storeItemID="{8A6671F6-5EF9-4802-9226-F59F66B71F67}"/>
                        <w:text w:multiLine="1"/>
                      </w:sdtPr>
                      <w:sdtContent>
                        <w:p w14:paraId="6977AF07" w14:textId="2DEB12D9" w:rsidR="00B468C6" w:rsidRPr="00B468C6" w:rsidRDefault="00F264AD" w:rsidP="004570C8">
                          <w:pPr>
                            <w:jc w:val="left"/>
                            <w:rPr>
                              <w:color w:val="FFFFFF" w:themeColor="background1"/>
                              <w:sz w:val="44"/>
                              <w:szCs w:val="14"/>
                            </w:rPr>
                          </w:pPr>
                          <w:r>
                            <w:rPr>
                              <w:color w:val="FFFFFF" w:themeColor="background1"/>
                              <w:sz w:val="44"/>
                              <w:szCs w:val="14"/>
                            </w:rPr>
                            <w:t xml:space="preserve">Social and economic impacts of Basin Plan </w:t>
                          </w:r>
                          <w:r w:rsidR="00681876">
                            <w:rPr>
                              <w:color w:val="FFFFFF" w:themeColor="background1"/>
                              <w:sz w:val="44"/>
                              <w:szCs w:val="14"/>
                            </w:rPr>
                            <w:br/>
                          </w:r>
                          <w:r>
                            <w:rPr>
                              <w:color w:val="FFFFFF" w:themeColor="background1"/>
                              <w:sz w:val="44"/>
                              <w:szCs w:val="14"/>
                            </w:rPr>
                            <w:t>water recovery in Victoria</w:t>
                          </w:r>
                        </w:p>
                      </w:sdtContent>
                    </w:sdt>
                    <w:p w14:paraId="2F828A04" w14:textId="77777777" w:rsidR="00B468C6" w:rsidRDefault="00B468C6">
                      <w:r>
                        <w:rPr>
                          <w:noProof/>
                          <w:sz w:val="24"/>
                          <w:szCs w:val="4"/>
                        </w:rPr>
                        <w:drawing>
                          <wp:inline distT="0" distB="0" distL="0" distR="0" wp14:anchorId="245C11D2" wp14:editId="7B24625A">
                            <wp:extent cx="647113" cy="130080"/>
                            <wp:effectExtent l="0" t="0" r="635" b="3810"/>
                            <wp:docPr id="55"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 Powerpoint_graphic_device_1_dots.svg"/>
                                    <pic:cNvPicPr/>
                                  </pic:nvPicPr>
                                  <pic:blipFill>
                                    <a:blip r:embed="rId16">
                                      <a:extLst>
                                        <a:ext uri="{28A0092B-C50C-407E-A947-70E740481C1C}">
                                          <a14:useLocalDpi xmlns:a14="http://schemas.microsoft.com/office/drawing/2010/main" val="0"/>
                                        </a:ext>
                                      </a:extLst>
                                    </a:blip>
                                    <a:stretch>
                                      <a:fillRect/>
                                    </a:stretch>
                                  </pic:blipFill>
                                  <pic:spPr>
                                    <a:xfrm>
                                      <a:off x="0" y="0"/>
                                      <a:ext cx="741972" cy="149148"/>
                                    </a:xfrm>
                                    <a:prstGeom prst="rect">
                                      <a:avLst/>
                                    </a:prstGeom>
                                  </pic:spPr>
                                </pic:pic>
                              </a:graphicData>
                            </a:graphic>
                          </wp:inline>
                        </w:drawing>
                      </w:r>
                    </w:p>
                    <w:p w14:paraId="3DF59990" w14:textId="4301A30D" w:rsidR="00B468C6" w:rsidRPr="00B468C6" w:rsidRDefault="00000000" w:rsidP="00566ED6">
                      <w:pPr>
                        <w:pStyle w:val="TableHeading"/>
                        <w:spacing w:before="120" w:after="120" w:line="280" w:lineRule="atLeast"/>
                      </w:pPr>
                      <w:sdt>
                        <w:sdtPr>
                          <w:alias w:val="Report Subtitle"/>
                          <w:tag w:val="ReportSubtitle"/>
                          <w:id w:val="924618173"/>
                          <w:text w:multiLine="1"/>
                        </w:sdtPr>
                        <w:sdtContent>
                          <w:r w:rsidR="00B7450C">
                            <w:t>5-year</w:t>
                          </w:r>
                          <w:r w:rsidR="00003380">
                            <w:t xml:space="preserve"> update</w:t>
                          </w:r>
                          <w:r w:rsidR="004570C8">
                            <w:t xml:space="preserve"> for Department of Environment, Land, Water and Planning</w:t>
                          </w:r>
                        </w:sdtContent>
                      </w:sdt>
                      <w:r w:rsidR="00B468C6" w:rsidRPr="00B468C6">
                        <w:t xml:space="preserve"> | </w:t>
                      </w:r>
                      <w:sdt>
                        <w:sdtPr>
                          <w:alias w:val="Cover Date"/>
                          <w:tag w:val="Cover Date"/>
                          <w:id w:val="-400527784"/>
                          <w:date w:fullDate="2022-08-31T00:00:00Z">
                            <w:dateFormat w:val="d MMMM yyyy"/>
                            <w:lid w:val="en-AU"/>
                            <w:storeMappedDataAs w:val="dateTime"/>
                            <w:calendar w:val="gregorian"/>
                          </w:date>
                        </w:sdtPr>
                        <w:sdtContent>
                          <w:r w:rsidR="004433F2">
                            <w:t>31 August 2022</w:t>
                          </w:r>
                        </w:sdtContent>
                      </w:sdt>
                    </w:p>
                  </w:txbxContent>
                </v:textbox>
                <w10:wrap anchorx="page" anchory="page"/>
                <w10:anchorlock/>
              </v:shape>
            </w:pict>
          </mc:Fallback>
        </mc:AlternateContent>
      </w:r>
      <w:r w:rsidR="005A33F6">
        <w:rPr>
          <w:color w:val="FFFFFF" w:themeColor="background1"/>
          <w:sz w:val="24"/>
          <w:szCs w:val="24"/>
        </w:rPr>
        <w:t>rai</w:t>
      </w:r>
      <w:sdt>
        <w:sdtPr>
          <w:rPr>
            <w:color w:val="FFFFFF" w:themeColor="background1"/>
            <w:sz w:val="24"/>
            <w:szCs w:val="24"/>
          </w:rPr>
          <w:id w:val="-1328739498"/>
          <w:docPartObj>
            <w:docPartGallery w:val="Cover Pages"/>
            <w:docPartUnique/>
          </w:docPartObj>
        </w:sdtPr>
        <w:sdtContent>
          <w:r w:rsidR="009164D0">
            <w:rPr>
              <w:noProof/>
            </w:rPr>
            <mc:AlternateContent>
              <mc:Choice Requires="wps">
                <w:drawing>
                  <wp:anchor distT="45720" distB="45720" distL="114300" distR="114300" simplePos="0" relativeHeight="251658244" behindDoc="0" locked="1" layoutInCell="1" allowOverlap="1" wp14:anchorId="146D0CA7" wp14:editId="368B0EE0">
                    <wp:simplePos x="0" y="0"/>
                    <wp:positionH relativeFrom="page">
                      <wp:align>left</wp:align>
                    </wp:positionH>
                    <wp:positionV relativeFrom="page">
                      <wp:posOffset>6480810</wp:posOffset>
                    </wp:positionV>
                    <wp:extent cx="7560000" cy="2880000"/>
                    <wp:effectExtent l="0" t="0" r="317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2880000"/>
                            </a:xfrm>
                            <a:prstGeom prst="rect">
                              <a:avLst/>
                            </a:prstGeom>
                            <a:solidFill>
                              <a:srgbClr val="0B2536">
                                <a:alpha val="90980"/>
                              </a:srgbClr>
                            </a:solidFill>
                            <a:ln w="9525">
                              <a:noFill/>
                              <a:miter lim="800000"/>
                              <a:headEnd/>
                              <a:tailEnd/>
                            </a:ln>
                          </wps:spPr>
                          <wps:txbx>
                            <w:txbxContent>
                              <w:p w14:paraId="3281B788" w14:textId="26E512EC" w:rsidR="009164D0" w:rsidRDefault="009164D0" w:rsidP="001D4B2A">
                                <w:pPr>
                                  <w:pStyle w:val="BodyText"/>
                                  <w:spacing w:line="140" w:lineRule="exact"/>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D0CA7" id="Text Box 2" o:spid="_x0000_s1030" type="#_x0000_t202" style="position:absolute;left:0;text-align:left;margin-left:0;margin-top:510.3pt;width:595.3pt;height:226.75pt;z-index:251658244;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" fillcolor="#0b2536" stroked="f">
                    <v:fill opacity="59624f"/>
                    <v:textbox inset="0,0,0,0">
                      <w:txbxContent>
                        <w:p w14:paraId="3281B788" w14:textId="26E512EC" w:rsidR="009164D0" w:rsidRDefault="009164D0" w:rsidP="001D4B2A">
                          <w:pPr>
                            <w:pStyle w:val="BodyText"/>
                            <w:spacing w:line="140" w:lineRule="exact"/>
                          </w:pPr>
                        </w:p>
                      </w:txbxContent>
                    </v:textbox>
                    <w10:wrap anchorx="page" anchory="page"/>
                    <w10:anchorlock/>
                  </v:shape>
                </w:pict>
              </mc:Fallback>
            </mc:AlternateContent>
          </w:r>
          <w:r w:rsidR="00BB23D5">
            <w:rPr>
              <w:color w:val="FFFFFF" w:themeColor="background1"/>
              <w:sz w:val="24"/>
              <w:szCs w:val="24"/>
            </w:rPr>
            <w:br w:type="page"/>
          </w:r>
        </w:sdtContent>
      </w:sdt>
    </w:p>
    <w:p w14:paraId="11DB23B8" w14:textId="77777777" w:rsidR="00212D06" w:rsidRPr="00B1786B" w:rsidRDefault="00315226" w:rsidP="00C02423">
      <w:pPr>
        <w:pStyle w:val="BodyText"/>
        <w:sectPr w:rsidR="00212D06" w:rsidRPr="00B1786B" w:rsidSect="00FD0F20">
          <w:headerReference w:type="default" r:id="rId17"/>
          <w:footerReference w:type="default" r:id="rId18"/>
          <w:footerReference w:type="first" r:id="rId19"/>
          <w:type w:val="continuous"/>
          <w:pgSz w:w="11906" w:h="16838" w:code="9"/>
          <w:pgMar w:top="1871" w:right="1418" w:bottom="1134" w:left="1418" w:header="567" w:footer="567" w:gutter="0"/>
          <w:cols w:space="708"/>
          <w:titlePg/>
          <w:docGrid w:linePitch="360"/>
        </w:sectPr>
      </w:pPr>
      <w:r w:rsidRPr="0020053F">
        <w:rPr>
          <w:noProof/>
        </w:rPr>
        <w:lastRenderedPageBreak/>
        <mc:AlternateContent>
          <mc:Choice Requires="wps">
            <w:drawing>
              <wp:anchor distT="45720" distB="45720" distL="114300" distR="114300" simplePos="0" relativeHeight="251658242" behindDoc="0" locked="1" layoutInCell="1" allowOverlap="1" wp14:anchorId="0FC687A9" wp14:editId="1A53411D">
                <wp:simplePos x="0" y="0"/>
                <wp:positionH relativeFrom="margin">
                  <wp:align>left</wp:align>
                </wp:positionH>
                <wp:positionV relativeFrom="page">
                  <wp:posOffset>6172200</wp:posOffset>
                </wp:positionV>
                <wp:extent cx="5759450" cy="369316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693160"/>
                        </a:xfrm>
                        <a:prstGeom prst="rect">
                          <a:avLst/>
                        </a:prstGeom>
                        <a:solidFill>
                          <a:srgbClr val="FFFFFF"/>
                        </a:solidFill>
                        <a:ln w="9525">
                          <a:noFill/>
                          <a:miter lim="800000"/>
                          <a:headEnd/>
                          <a:tailEnd/>
                        </a:ln>
                      </wps:spPr>
                      <wps:txbx>
                        <w:txbxContent>
                          <w:p w14:paraId="1BAC0F62" w14:textId="7CB3DDD2" w:rsidR="00681876" w:rsidRDefault="00681876" w:rsidP="00C02423">
                            <w:pPr>
                              <w:pStyle w:val="BodyText"/>
                            </w:pPr>
                            <w:r>
                              <w:t xml:space="preserve">Frontier Economics and Tim Cummins &amp; Associates 2022, </w:t>
                            </w:r>
                            <w:r w:rsidRPr="00681876">
                              <w:t>Social and economic impacts of Basin Plan water recovery in Victoria</w:t>
                            </w:r>
                            <w:r>
                              <w:t xml:space="preserve">: </w:t>
                            </w:r>
                            <w:r w:rsidRPr="00681876">
                              <w:t>5-year update</w:t>
                            </w:r>
                            <w:r>
                              <w:t>, report</w:t>
                            </w:r>
                            <w:r w:rsidRPr="00681876">
                              <w:t xml:space="preserve"> for Department of Environment, Land, Water and Planning</w:t>
                            </w:r>
                            <w:r>
                              <w:t>, August.</w:t>
                            </w:r>
                          </w:p>
                          <w:p w14:paraId="774CCA05" w14:textId="77777777" w:rsidR="00681876" w:rsidRDefault="00681876" w:rsidP="00C02423">
                            <w:pPr>
                              <w:pStyle w:val="BodyText"/>
                            </w:pPr>
                          </w:p>
                          <w:p w14:paraId="559451F6" w14:textId="32D6D8ED" w:rsidR="00713452" w:rsidRPr="0049590D" w:rsidRDefault="0049590D" w:rsidP="00C02423">
                            <w:pPr>
                              <w:pStyle w:val="BodyText"/>
                            </w:pPr>
                            <w:r w:rsidRPr="0049590D">
                              <w:t>Frontier Economics Pty Ltd is a member of the Frontier Economics network, and is headquartered in Australia with a subsidiary company, Frontier Economics Pte Ltd in Singapore. Our fellow network member, Frontier Economics Ltd, is headquartered in the United Kingdom. The companies are independently owned, and legal commitments entered into by any one company do not impose any obligations on other companies in the network. All views expressed in this document are the views of Frontier Economics Pty Ltd.</w:t>
                            </w:r>
                          </w:p>
                          <w:p w14:paraId="3619251B" w14:textId="77777777" w:rsidR="00713452" w:rsidRPr="0049590D" w:rsidRDefault="00713452" w:rsidP="00C02423">
                            <w:pPr>
                              <w:pStyle w:val="BodyText"/>
                            </w:pPr>
                          </w:p>
                          <w:p w14:paraId="7DB1555F" w14:textId="77777777" w:rsidR="00713452" w:rsidRPr="00BB23D5" w:rsidRDefault="00713452" w:rsidP="00C02423">
                            <w:pPr>
                              <w:pStyle w:val="BodyText"/>
                              <w:rPr>
                                <w:rFonts w:ascii="Open Sans SemiBold" w:hAnsi="Open Sans SemiBold" w:cs="Open Sans SemiBold"/>
                              </w:rPr>
                            </w:pPr>
                            <w:r w:rsidRPr="00BB23D5">
                              <w:rPr>
                                <w:rFonts w:ascii="Open Sans SemiBold" w:hAnsi="Open Sans SemiBold" w:cs="Open Sans SemiBold"/>
                              </w:rPr>
                              <w:t>Disclaimer</w:t>
                            </w:r>
                          </w:p>
                          <w:p w14:paraId="1725122E" w14:textId="77777777" w:rsidR="00713452" w:rsidRPr="0049590D" w:rsidRDefault="0049590D" w:rsidP="00C02423">
                            <w:pPr>
                              <w:pStyle w:val="BodyText"/>
                            </w:pPr>
                            <w:r w:rsidRPr="0049590D">
                              <w:t>None of Frontier Economics Pty Ltd (including the directors and employees) make any representation or warranty as to the accuracy or completeness of this report. Nor shall they have any liability (whether arising from negligence or otherwise) for any representations (express or implied) or information contained in, or for any omissions from, the report or any written or oral communications transmitted in the course of the project.</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0FC687A9" id="_x0000_s1031" type="#_x0000_t202" style="position:absolute;margin-left:0;margin-top:486pt;width:453.5pt;height:290.8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" stroked="f">
                <v:textbox inset="0,0,0,0">
                  <w:txbxContent>
                    <w:p w14:paraId="1BAC0F62" w14:textId="7CB3DDD2" w:rsidR="00681876" w:rsidRDefault="00681876" w:rsidP="00C02423">
                      <w:pPr>
                        <w:pStyle w:val="BodyText"/>
                      </w:pPr>
                      <w:r>
                        <w:t xml:space="preserve">Frontier Economics and Tim Cummins &amp; Associates 2022, </w:t>
                      </w:r>
                      <w:r w:rsidRPr="00681876">
                        <w:t>Social and economic impacts of Basin Plan water recovery in Victoria</w:t>
                      </w:r>
                      <w:r>
                        <w:t xml:space="preserve">: </w:t>
                      </w:r>
                      <w:r w:rsidRPr="00681876">
                        <w:t>5-year update</w:t>
                      </w:r>
                      <w:r>
                        <w:t>, report</w:t>
                      </w:r>
                      <w:r w:rsidRPr="00681876">
                        <w:t xml:space="preserve"> for Department of Environment, Land, Water and Planning</w:t>
                      </w:r>
                      <w:r>
                        <w:t>, August.</w:t>
                      </w:r>
                    </w:p>
                    <w:p w14:paraId="774CCA05" w14:textId="77777777" w:rsidR="00681876" w:rsidRDefault="00681876" w:rsidP="00C02423">
                      <w:pPr>
                        <w:pStyle w:val="BodyText"/>
                      </w:pPr>
                    </w:p>
                    <w:p w14:paraId="559451F6" w14:textId="32D6D8ED" w:rsidR="00713452" w:rsidRPr="0049590D" w:rsidRDefault="0049590D" w:rsidP="00C02423">
                      <w:pPr>
                        <w:pStyle w:val="BodyText"/>
                      </w:pPr>
                      <w:r w:rsidRPr="0049590D">
                        <w:t>Frontier Economics Pty Ltd is a member of the Frontier Economics network, and is headquartered in Australia with a subsidiary company, Frontier Economics Pte Ltd in Singapore. Our fellow network member, Frontier Economics Ltd, is headquartered in the United Kingdom. The companies are independently owned, and legal commitments entered into by any one company do not impose any obligations on other companies in the network. All views expressed in this document are the views of Frontier Economics Pty Ltd.</w:t>
                      </w:r>
                    </w:p>
                    <w:p w14:paraId="3619251B" w14:textId="77777777" w:rsidR="00713452" w:rsidRPr="0049590D" w:rsidRDefault="00713452" w:rsidP="00C02423">
                      <w:pPr>
                        <w:pStyle w:val="BodyText"/>
                      </w:pPr>
                    </w:p>
                    <w:p w14:paraId="7DB1555F" w14:textId="77777777" w:rsidR="00713452" w:rsidRPr="00BB23D5" w:rsidRDefault="00713452" w:rsidP="00C02423">
                      <w:pPr>
                        <w:pStyle w:val="BodyText"/>
                        <w:rPr>
                          <w:rFonts w:ascii="Open Sans SemiBold" w:hAnsi="Open Sans SemiBold" w:cs="Open Sans SemiBold"/>
                        </w:rPr>
                      </w:pPr>
                      <w:r w:rsidRPr="00BB23D5">
                        <w:rPr>
                          <w:rFonts w:ascii="Open Sans SemiBold" w:hAnsi="Open Sans SemiBold" w:cs="Open Sans SemiBold"/>
                        </w:rPr>
                        <w:t>Disclaimer</w:t>
                      </w:r>
                    </w:p>
                    <w:p w14:paraId="1725122E" w14:textId="77777777" w:rsidR="00713452" w:rsidRPr="0049590D" w:rsidRDefault="0049590D" w:rsidP="00C02423">
                      <w:pPr>
                        <w:pStyle w:val="BodyText"/>
                      </w:pPr>
                      <w:r w:rsidRPr="0049590D">
                        <w:t>None of Frontier Economics Pty Ltd (including the directors and employees) make any representation or warranty as to the accuracy or completeness of this report. Nor shall they have any liability (whether arising from negligence or otherwise) for any representations (express or implied) or information contained in, or for any omissions from, the report or any written or oral communications transmitted in the course of the project.</w:t>
                      </w:r>
                    </w:p>
                  </w:txbxContent>
                </v:textbox>
                <w10:wrap type="square" anchorx="margin" anchory="page"/>
                <w10:anchorlock/>
              </v:shape>
            </w:pict>
          </mc:Fallback>
        </mc:AlternateContent>
      </w:r>
    </w:p>
    <w:p w14:paraId="1EF5FA53" w14:textId="39E1D41C" w:rsidR="00533848" w:rsidRPr="00942A46" w:rsidRDefault="00866906" w:rsidP="00D26312">
      <w:pPr>
        <w:pStyle w:val="TOCHeading"/>
        <w:rPr>
          <w:b w:val="0"/>
          <w:bCs/>
          <w:color w:val="207BA1" w:themeColor="accent2"/>
        </w:rPr>
      </w:pPr>
      <w:bookmarkStart w:id="0" w:name="_Toc46764207"/>
      <w:bookmarkStart w:id="1" w:name="BMTOC"/>
      <w:r w:rsidRPr="00942A46">
        <w:rPr>
          <w:b w:val="0"/>
          <w:bCs/>
          <w:color w:val="207BA1" w:themeColor="accent2"/>
        </w:rPr>
        <w:lastRenderedPageBreak/>
        <w:t>C</w:t>
      </w:r>
      <w:bookmarkEnd w:id="0"/>
      <w:r w:rsidR="001150E7" w:rsidRPr="00942A46">
        <w:rPr>
          <w:b w:val="0"/>
          <w:bCs/>
          <w:color w:val="207BA1" w:themeColor="accent2"/>
        </w:rPr>
        <w:t>ontents</w:t>
      </w:r>
    </w:p>
    <w:bookmarkStart w:id="2" w:name="BMTOT"/>
    <w:bookmarkEnd w:id="1"/>
    <w:p w14:paraId="44665470" w14:textId="4AABC256" w:rsidR="006632E3" w:rsidRDefault="00B70B0D">
      <w:pPr>
        <w:pStyle w:val="TOC1"/>
        <w:rPr>
          <w:rFonts w:asciiTheme="minorHAnsi" w:eastAsiaTheme="minorEastAsia" w:hAnsiTheme="minorHAnsi"/>
          <w:color w:val="auto"/>
          <w:sz w:val="22"/>
          <w:szCs w:val="22"/>
          <w:lang w:eastAsia="en-AU"/>
        </w:rPr>
      </w:pPr>
      <w:r>
        <w:fldChar w:fldCharType="begin"/>
      </w:r>
      <w:r>
        <w:instrText xml:space="preserve"> TOC \o "2-2" \h \z \t "Heading 1,1,Appendix 1,1,Heading 1 (numbered),1,Heading 2 (numbered),2,CV Heading,1,CV Subhead 2,2,Executive Summary Heading,1,AppendixHead,1" </w:instrText>
      </w:r>
      <w:r>
        <w:fldChar w:fldCharType="separate"/>
      </w:r>
      <w:hyperlink w:anchor="_Toc113621639" w:history="1">
        <w:r w:rsidR="006632E3" w:rsidRPr="006E79C6">
          <w:rPr>
            <w:rStyle w:val="Hyperlink"/>
          </w:rPr>
          <w:t>Executive Summary</w:t>
        </w:r>
        <w:r w:rsidR="006632E3">
          <w:rPr>
            <w:webHidden/>
          </w:rPr>
          <w:tab/>
        </w:r>
        <w:r w:rsidR="006632E3">
          <w:rPr>
            <w:webHidden/>
          </w:rPr>
          <w:fldChar w:fldCharType="begin"/>
        </w:r>
        <w:r w:rsidR="006632E3">
          <w:rPr>
            <w:webHidden/>
          </w:rPr>
          <w:instrText xml:space="preserve"> PAGEREF _Toc113621639 \h </w:instrText>
        </w:r>
        <w:r w:rsidR="006632E3">
          <w:rPr>
            <w:webHidden/>
          </w:rPr>
        </w:r>
        <w:r w:rsidR="006632E3">
          <w:rPr>
            <w:webHidden/>
          </w:rPr>
          <w:fldChar w:fldCharType="separate"/>
        </w:r>
        <w:r w:rsidR="00D4298A">
          <w:rPr>
            <w:webHidden/>
          </w:rPr>
          <w:t>7</w:t>
        </w:r>
        <w:r w:rsidR="006632E3">
          <w:rPr>
            <w:webHidden/>
          </w:rPr>
          <w:fldChar w:fldCharType="end"/>
        </w:r>
      </w:hyperlink>
    </w:p>
    <w:p w14:paraId="24C2130C" w14:textId="44BAD6C9" w:rsidR="006632E3" w:rsidRDefault="00000000">
      <w:pPr>
        <w:pStyle w:val="TOC1"/>
        <w:rPr>
          <w:rFonts w:asciiTheme="minorHAnsi" w:eastAsiaTheme="minorEastAsia" w:hAnsiTheme="minorHAnsi"/>
          <w:color w:val="auto"/>
          <w:sz w:val="22"/>
          <w:szCs w:val="22"/>
          <w:lang w:eastAsia="en-AU"/>
        </w:rPr>
      </w:pPr>
      <w:hyperlink w:anchor="_Toc113621640" w:history="1">
        <w:r w:rsidR="006632E3" w:rsidRPr="006E79C6">
          <w:rPr>
            <w:rStyle w:val="Hyperlink"/>
          </w:rPr>
          <w:t>1</w:t>
        </w:r>
        <w:r w:rsidR="006632E3">
          <w:rPr>
            <w:rFonts w:asciiTheme="minorHAnsi" w:eastAsiaTheme="minorEastAsia" w:hAnsiTheme="minorHAnsi"/>
            <w:color w:val="auto"/>
            <w:sz w:val="22"/>
            <w:szCs w:val="22"/>
            <w:lang w:eastAsia="en-AU"/>
          </w:rPr>
          <w:tab/>
        </w:r>
        <w:r w:rsidR="006632E3" w:rsidRPr="006E79C6">
          <w:rPr>
            <w:rStyle w:val="Hyperlink"/>
          </w:rPr>
          <w:t>Introduction</w:t>
        </w:r>
        <w:r w:rsidR="006632E3">
          <w:rPr>
            <w:webHidden/>
          </w:rPr>
          <w:tab/>
        </w:r>
        <w:r w:rsidR="006632E3">
          <w:rPr>
            <w:webHidden/>
          </w:rPr>
          <w:fldChar w:fldCharType="begin"/>
        </w:r>
        <w:r w:rsidR="006632E3">
          <w:rPr>
            <w:webHidden/>
          </w:rPr>
          <w:instrText xml:space="preserve"> PAGEREF _Toc113621640 \h </w:instrText>
        </w:r>
        <w:r w:rsidR="006632E3">
          <w:rPr>
            <w:webHidden/>
          </w:rPr>
        </w:r>
        <w:r w:rsidR="006632E3">
          <w:rPr>
            <w:webHidden/>
          </w:rPr>
          <w:fldChar w:fldCharType="separate"/>
        </w:r>
        <w:r w:rsidR="00D4298A">
          <w:rPr>
            <w:webHidden/>
          </w:rPr>
          <w:t>15</w:t>
        </w:r>
        <w:r w:rsidR="006632E3">
          <w:rPr>
            <w:webHidden/>
          </w:rPr>
          <w:fldChar w:fldCharType="end"/>
        </w:r>
      </w:hyperlink>
    </w:p>
    <w:p w14:paraId="44617C57" w14:textId="6B134A0C" w:rsidR="006632E3" w:rsidRDefault="00000000">
      <w:pPr>
        <w:pStyle w:val="TOC2"/>
        <w:rPr>
          <w:rFonts w:asciiTheme="minorHAnsi" w:eastAsiaTheme="minorEastAsia" w:hAnsiTheme="minorHAnsi"/>
          <w:color w:val="auto"/>
          <w:sz w:val="22"/>
          <w:szCs w:val="22"/>
          <w:lang w:eastAsia="en-AU"/>
        </w:rPr>
      </w:pPr>
      <w:hyperlink w:anchor="_Toc113621641" w:history="1">
        <w:r w:rsidR="006632E3" w:rsidRPr="006E79C6">
          <w:rPr>
            <w:rStyle w:val="Hyperlink"/>
          </w:rPr>
          <w:t>1.1</w:t>
        </w:r>
        <w:r w:rsidR="006632E3">
          <w:rPr>
            <w:rFonts w:asciiTheme="minorHAnsi" w:eastAsiaTheme="minorEastAsia" w:hAnsiTheme="minorHAnsi"/>
            <w:color w:val="auto"/>
            <w:sz w:val="22"/>
            <w:szCs w:val="22"/>
            <w:lang w:eastAsia="en-AU"/>
          </w:rPr>
          <w:tab/>
        </w:r>
        <w:r w:rsidR="006632E3" w:rsidRPr="006E79C6">
          <w:rPr>
            <w:rStyle w:val="Hyperlink"/>
          </w:rPr>
          <w:t>Background and context</w:t>
        </w:r>
        <w:r w:rsidR="006632E3">
          <w:rPr>
            <w:webHidden/>
          </w:rPr>
          <w:tab/>
        </w:r>
        <w:r w:rsidR="006632E3">
          <w:rPr>
            <w:webHidden/>
          </w:rPr>
          <w:fldChar w:fldCharType="begin"/>
        </w:r>
        <w:r w:rsidR="006632E3">
          <w:rPr>
            <w:webHidden/>
          </w:rPr>
          <w:instrText xml:space="preserve"> PAGEREF _Toc113621641 \h </w:instrText>
        </w:r>
        <w:r w:rsidR="006632E3">
          <w:rPr>
            <w:webHidden/>
          </w:rPr>
        </w:r>
        <w:r w:rsidR="006632E3">
          <w:rPr>
            <w:webHidden/>
          </w:rPr>
          <w:fldChar w:fldCharType="separate"/>
        </w:r>
        <w:r w:rsidR="00D4298A">
          <w:rPr>
            <w:webHidden/>
          </w:rPr>
          <w:t>15</w:t>
        </w:r>
        <w:r w:rsidR="006632E3">
          <w:rPr>
            <w:webHidden/>
          </w:rPr>
          <w:fldChar w:fldCharType="end"/>
        </w:r>
      </w:hyperlink>
    </w:p>
    <w:p w14:paraId="6AEBEC4C" w14:textId="27BCBA32" w:rsidR="006632E3" w:rsidRDefault="00000000">
      <w:pPr>
        <w:pStyle w:val="TOC2"/>
        <w:rPr>
          <w:rFonts w:asciiTheme="minorHAnsi" w:eastAsiaTheme="minorEastAsia" w:hAnsiTheme="minorHAnsi"/>
          <w:color w:val="auto"/>
          <w:sz w:val="22"/>
          <w:szCs w:val="22"/>
          <w:lang w:eastAsia="en-AU"/>
        </w:rPr>
      </w:pPr>
      <w:hyperlink w:anchor="_Toc113621642" w:history="1">
        <w:r w:rsidR="006632E3" w:rsidRPr="006E79C6">
          <w:rPr>
            <w:rStyle w:val="Hyperlink"/>
          </w:rPr>
          <w:t>1.2</w:t>
        </w:r>
        <w:r w:rsidR="006632E3">
          <w:rPr>
            <w:rFonts w:asciiTheme="minorHAnsi" w:eastAsiaTheme="minorEastAsia" w:hAnsiTheme="minorHAnsi"/>
            <w:color w:val="auto"/>
            <w:sz w:val="22"/>
            <w:szCs w:val="22"/>
            <w:lang w:eastAsia="en-AU"/>
          </w:rPr>
          <w:tab/>
        </w:r>
        <w:r w:rsidR="006632E3" w:rsidRPr="006E79C6">
          <w:rPr>
            <w:rStyle w:val="Hyperlink"/>
          </w:rPr>
          <w:t>Purpose and structure of this report</w:t>
        </w:r>
        <w:r w:rsidR="006632E3">
          <w:rPr>
            <w:webHidden/>
          </w:rPr>
          <w:tab/>
        </w:r>
        <w:r w:rsidR="006632E3">
          <w:rPr>
            <w:webHidden/>
          </w:rPr>
          <w:fldChar w:fldCharType="begin"/>
        </w:r>
        <w:r w:rsidR="006632E3">
          <w:rPr>
            <w:webHidden/>
          </w:rPr>
          <w:instrText xml:space="preserve"> PAGEREF _Toc113621642 \h </w:instrText>
        </w:r>
        <w:r w:rsidR="006632E3">
          <w:rPr>
            <w:webHidden/>
          </w:rPr>
        </w:r>
        <w:r w:rsidR="006632E3">
          <w:rPr>
            <w:webHidden/>
          </w:rPr>
          <w:fldChar w:fldCharType="separate"/>
        </w:r>
        <w:r w:rsidR="00D4298A">
          <w:rPr>
            <w:webHidden/>
          </w:rPr>
          <w:t>16</w:t>
        </w:r>
        <w:r w:rsidR="006632E3">
          <w:rPr>
            <w:webHidden/>
          </w:rPr>
          <w:fldChar w:fldCharType="end"/>
        </w:r>
      </w:hyperlink>
    </w:p>
    <w:p w14:paraId="77D4FF84" w14:textId="4382AB3C" w:rsidR="006632E3" w:rsidRDefault="00000000">
      <w:pPr>
        <w:pStyle w:val="TOC1"/>
        <w:rPr>
          <w:rFonts w:asciiTheme="minorHAnsi" w:eastAsiaTheme="minorEastAsia" w:hAnsiTheme="minorHAnsi"/>
          <w:color w:val="auto"/>
          <w:sz w:val="22"/>
          <w:szCs w:val="22"/>
          <w:lang w:eastAsia="en-AU"/>
        </w:rPr>
      </w:pPr>
      <w:hyperlink w:anchor="_Toc113621643" w:history="1">
        <w:r w:rsidR="006632E3" w:rsidRPr="006E79C6">
          <w:rPr>
            <w:rStyle w:val="Hyperlink"/>
          </w:rPr>
          <w:t>2</w:t>
        </w:r>
        <w:r w:rsidR="006632E3">
          <w:rPr>
            <w:rFonts w:asciiTheme="minorHAnsi" w:eastAsiaTheme="minorEastAsia" w:hAnsiTheme="minorHAnsi"/>
            <w:color w:val="auto"/>
            <w:sz w:val="22"/>
            <w:szCs w:val="22"/>
            <w:lang w:eastAsia="en-AU"/>
          </w:rPr>
          <w:tab/>
        </w:r>
        <w:r w:rsidR="006632E3" w:rsidRPr="006E79C6">
          <w:rPr>
            <w:rStyle w:val="Hyperlink"/>
          </w:rPr>
          <w:t>An overview of the key changes since 2017</w:t>
        </w:r>
        <w:r w:rsidR="006632E3">
          <w:rPr>
            <w:webHidden/>
          </w:rPr>
          <w:tab/>
        </w:r>
        <w:r w:rsidR="006632E3">
          <w:rPr>
            <w:webHidden/>
          </w:rPr>
          <w:fldChar w:fldCharType="begin"/>
        </w:r>
        <w:r w:rsidR="006632E3">
          <w:rPr>
            <w:webHidden/>
          </w:rPr>
          <w:instrText xml:space="preserve"> PAGEREF _Toc113621643 \h </w:instrText>
        </w:r>
        <w:r w:rsidR="006632E3">
          <w:rPr>
            <w:webHidden/>
          </w:rPr>
        </w:r>
        <w:r w:rsidR="006632E3">
          <w:rPr>
            <w:webHidden/>
          </w:rPr>
          <w:fldChar w:fldCharType="separate"/>
        </w:r>
        <w:r w:rsidR="00D4298A">
          <w:rPr>
            <w:webHidden/>
          </w:rPr>
          <w:t>17</w:t>
        </w:r>
        <w:r w:rsidR="006632E3">
          <w:rPr>
            <w:webHidden/>
          </w:rPr>
          <w:fldChar w:fldCharType="end"/>
        </w:r>
      </w:hyperlink>
    </w:p>
    <w:p w14:paraId="415B57F9" w14:textId="406AEAA7" w:rsidR="006632E3" w:rsidRDefault="00000000">
      <w:pPr>
        <w:pStyle w:val="TOC1"/>
        <w:rPr>
          <w:rFonts w:asciiTheme="minorHAnsi" w:eastAsiaTheme="minorEastAsia" w:hAnsiTheme="minorHAnsi"/>
          <w:color w:val="auto"/>
          <w:sz w:val="22"/>
          <w:szCs w:val="22"/>
          <w:lang w:eastAsia="en-AU"/>
        </w:rPr>
      </w:pPr>
      <w:hyperlink w:anchor="_Toc113621644" w:history="1">
        <w:r w:rsidR="006632E3" w:rsidRPr="006E79C6">
          <w:rPr>
            <w:rStyle w:val="Hyperlink"/>
          </w:rPr>
          <w:t>3</w:t>
        </w:r>
        <w:r w:rsidR="006632E3">
          <w:rPr>
            <w:rFonts w:asciiTheme="minorHAnsi" w:eastAsiaTheme="minorEastAsia" w:hAnsiTheme="minorHAnsi"/>
            <w:color w:val="auto"/>
            <w:sz w:val="22"/>
            <w:szCs w:val="22"/>
            <w:lang w:eastAsia="en-AU"/>
          </w:rPr>
          <w:tab/>
        </w:r>
        <w:r w:rsidR="006632E3" w:rsidRPr="006E79C6">
          <w:rPr>
            <w:rStyle w:val="Hyperlink"/>
          </w:rPr>
          <w:t>Relevant socio-economic assessments since 2017</w:t>
        </w:r>
        <w:r w:rsidR="006632E3">
          <w:rPr>
            <w:webHidden/>
          </w:rPr>
          <w:tab/>
        </w:r>
        <w:r w:rsidR="006632E3">
          <w:rPr>
            <w:webHidden/>
          </w:rPr>
          <w:fldChar w:fldCharType="begin"/>
        </w:r>
        <w:r w:rsidR="006632E3">
          <w:rPr>
            <w:webHidden/>
          </w:rPr>
          <w:instrText xml:space="preserve"> PAGEREF _Toc113621644 \h </w:instrText>
        </w:r>
        <w:r w:rsidR="006632E3">
          <w:rPr>
            <w:webHidden/>
          </w:rPr>
        </w:r>
        <w:r w:rsidR="006632E3">
          <w:rPr>
            <w:webHidden/>
          </w:rPr>
          <w:fldChar w:fldCharType="separate"/>
        </w:r>
        <w:r w:rsidR="00D4298A">
          <w:rPr>
            <w:webHidden/>
          </w:rPr>
          <w:t>20</w:t>
        </w:r>
        <w:r w:rsidR="006632E3">
          <w:rPr>
            <w:webHidden/>
          </w:rPr>
          <w:fldChar w:fldCharType="end"/>
        </w:r>
      </w:hyperlink>
    </w:p>
    <w:p w14:paraId="684AD062" w14:textId="2EED9160" w:rsidR="006632E3" w:rsidRDefault="00000000">
      <w:pPr>
        <w:pStyle w:val="TOC2"/>
        <w:rPr>
          <w:rFonts w:asciiTheme="minorHAnsi" w:eastAsiaTheme="minorEastAsia" w:hAnsiTheme="minorHAnsi"/>
          <w:color w:val="auto"/>
          <w:sz w:val="22"/>
          <w:szCs w:val="22"/>
          <w:lang w:eastAsia="en-AU"/>
        </w:rPr>
      </w:pPr>
      <w:hyperlink w:anchor="_Toc113621645" w:history="1">
        <w:r w:rsidR="006632E3" w:rsidRPr="006E79C6">
          <w:rPr>
            <w:rStyle w:val="Hyperlink"/>
          </w:rPr>
          <w:t>3.1</w:t>
        </w:r>
        <w:r w:rsidR="006632E3">
          <w:rPr>
            <w:rFonts w:asciiTheme="minorHAnsi" w:eastAsiaTheme="minorEastAsia" w:hAnsiTheme="minorHAnsi"/>
            <w:color w:val="auto"/>
            <w:sz w:val="22"/>
            <w:szCs w:val="22"/>
            <w:lang w:eastAsia="en-AU"/>
          </w:rPr>
          <w:tab/>
        </w:r>
        <w:r w:rsidR="006632E3" w:rsidRPr="006E79C6">
          <w:rPr>
            <w:rStyle w:val="Hyperlink"/>
          </w:rPr>
          <w:t>Socio-economic and water recovery assessments</w:t>
        </w:r>
        <w:r w:rsidR="006632E3">
          <w:rPr>
            <w:webHidden/>
          </w:rPr>
          <w:tab/>
        </w:r>
        <w:r w:rsidR="006632E3">
          <w:rPr>
            <w:webHidden/>
          </w:rPr>
          <w:fldChar w:fldCharType="begin"/>
        </w:r>
        <w:r w:rsidR="006632E3">
          <w:rPr>
            <w:webHidden/>
          </w:rPr>
          <w:instrText xml:space="preserve"> PAGEREF _Toc113621645 \h </w:instrText>
        </w:r>
        <w:r w:rsidR="006632E3">
          <w:rPr>
            <w:webHidden/>
          </w:rPr>
        </w:r>
        <w:r w:rsidR="006632E3">
          <w:rPr>
            <w:webHidden/>
          </w:rPr>
          <w:fldChar w:fldCharType="separate"/>
        </w:r>
        <w:r w:rsidR="00D4298A">
          <w:rPr>
            <w:webHidden/>
          </w:rPr>
          <w:t>20</w:t>
        </w:r>
        <w:r w:rsidR="006632E3">
          <w:rPr>
            <w:webHidden/>
          </w:rPr>
          <w:fldChar w:fldCharType="end"/>
        </w:r>
      </w:hyperlink>
    </w:p>
    <w:p w14:paraId="19293325" w14:textId="68BFD7B7" w:rsidR="006632E3" w:rsidRDefault="00000000">
      <w:pPr>
        <w:pStyle w:val="TOC2"/>
        <w:rPr>
          <w:rFonts w:asciiTheme="minorHAnsi" w:eastAsiaTheme="minorEastAsia" w:hAnsiTheme="minorHAnsi"/>
          <w:color w:val="auto"/>
          <w:sz w:val="22"/>
          <w:szCs w:val="22"/>
          <w:lang w:eastAsia="en-AU"/>
        </w:rPr>
      </w:pPr>
      <w:hyperlink w:anchor="_Toc113621646" w:history="1">
        <w:r w:rsidR="006632E3" w:rsidRPr="006E79C6">
          <w:rPr>
            <w:rStyle w:val="Hyperlink"/>
          </w:rPr>
          <w:t>3.2</w:t>
        </w:r>
        <w:r w:rsidR="006632E3">
          <w:rPr>
            <w:rFonts w:asciiTheme="minorHAnsi" w:eastAsiaTheme="minorEastAsia" w:hAnsiTheme="minorHAnsi"/>
            <w:color w:val="auto"/>
            <w:sz w:val="22"/>
            <w:szCs w:val="22"/>
            <w:lang w:eastAsia="en-AU"/>
          </w:rPr>
          <w:tab/>
        </w:r>
        <w:r w:rsidR="006632E3" w:rsidRPr="006E79C6">
          <w:rPr>
            <w:rStyle w:val="Hyperlink"/>
          </w:rPr>
          <w:t>Impacts of off-farm efficiency projects</w:t>
        </w:r>
        <w:r w:rsidR="006632E3">
          <w:rPr>
            <w:webHidden/>
          </w:rPr>
          <w:tab/>
        </w:r>
        <w:r w:rsidR="006632E3">
          <w:rPr>
            <w:webHidden/>
          </w:rPr>
          <w:fldChar w:fldCharType="begin"/>
        </w:r>
        <w:r w:rsidR="006632E3">
          <w:rPr>
            <w:webHidden/>
          </w:rPr>
          <w:instrText xml:space="preserve"> PAGEREF _Toc113621646 \h </w:instrText>
        </w:r>
        <w:r w:rsidR="006632E3">
          <w:rPr>
            <w:webHidden/>
          </w:rPr>
        </w:r>
        <w:r w:rsidR="006632E3">
          <w:rPr>
            <w:webHidden/>
          </w:rPr>
          <w:fldChar w:fldCharType="separate"/>
        </w:r>
        <w:r w:rsidR="00D4298A">
          <w:rPr>
            <w:webHidden/>
          </w:rPr>
          <w:t>20</w:t>
        </w:r>
        <w:r w:rsidR="006632E3">
          <w:rPr>
            <w:webHidden/>
          </w:rPr>
          <w:fldChar w:fldCharType="end"/>
        </w:r>
      </w:hyperlink>
    </w:p>
    <w:p w14:paraId="5C9BC95D" w14:textId="3CE0D3CE" w:rsidR="006632E3" w:rsidRDefault="00000000">
      <w:pPr>
        <w:pStyle w:val="TOC2"/>
        <w:rPr>
          <w:rFonts w:asciiTheme="minorHAnsi" w:eastAsiaTheme="minorEastAsia" w:hAnsiTheme="minorHAnsi"/>
          <w:color w:val="auto"/>
          <w:sz w:val="22"/>
          <w:szCs w:val="22"/>
          <w:lang w:eastAsia="en-AU"/>
        </w:rPr>
      </w:pPr>
      <w:hyperlink w:anchor="_Toc113621647" w:history="1">
        <w:r w:rsidR="006632E3" w:rsidRPr="006E79C6">
          <w:rPr>
            <w:rStyle w:val="Hyperlink"/>
          </w:rPr>
          <w:t>3.3</w:t>
        </w:r>
        <w:r w:rsidR="006632E3">
          <w:rPr>
            <w:rFonts w:asciiTheme="minorHAnsi" w:eastAsiaTheme="minorEastAsia" w:hAnsiTheme="minorHAnsi"/>
            <w:color w:val="auto"/>
            <w:sz w:val="22"/>
            <w:szCs w:val="22"/>
            <w:lang w:eastAsia="en-AU"/>
          </w:rPr>
          <w:tab/>
        </w:r>
        <w:r w:rsidR="006632E3" w:rsidRPr="006E79C6">
          <w:rPr>
            <w:rStyle w:val="Hyperlink"/>
          </w:rPr>
          <w:t>Impacts of on-farm efficiency projects</w:t>
        </w:r>
        <w:r w:rsidR="006632E3">
          <w:rPr>
            <w:webHidden/>
          </w:rPr>
          <w:tab/>
        </w:r>
        <w:r w:rsidR="006632E3">
          <w:rPr>
            <w:webHidden/>
          </w:rPr>
          <w:fldChar w:fldCharType="begin"/>
        </w:r>
        <w:r w:rsidR="006632E3">
          <w:rPr>
            <w:webHidden/>
          </w:rPr>
          <w:instrText xml:space="preserve"> PAGEREF _Toc113621647 \h </w:instrText>
        </w:r>
        <w:r w:rsidR="006632E3">
          <w:rPr>
            <w:webHidden/>
          </w:rPr>
        </w:r>
        <w:r w:rsidR="006632E3">
          <w:rPr>
            <w:webHidden/>
          </w:rPr>
          <w:fldChar w:fldCharType="separate"/>
        </w:r>
        <w:r w:rsidR="00D4298A">
          <w:rPr>
            <w:webHidden/>
          </w:rPr>
          <w:t>21</w:t>
        </w:r>
        <w:r w:rsidR="006632E3">
          <w:rPr>
            <w:webHidden/>
          </w:rPr>
          <w:fldChar w:fldCharType="end"/>
        </w:r>
      </w:hyperlink>
    </w:p>
    <w:p w14:paraId="5F88D418" w14:textId="2D577981" w:rsidR="006632E3" w:rsidRDefault="00000000">
      <w:pPr>
        <w:pStyle w:val="TOC1"/>
        <w:rPr>
          <w:rFonts w:asciiTheme="minorHAnsi" w:eastAsiaTheme="minorEastAsia" w:hAnsiTheme="minorHAnsi"/>
          <w:color w:val="auto"/>
          <w:sz w:val="22"/>
          <w:szCs w:val="22"/>
          <w:lang w:eastAsia="en-AU"/>
        </w:rPr>
      </w:pPr>
      <w:hyperlink w:anchor="_Toc113621648" w:history="1">
        <w:r w:rsidR="006632E3" w:rsidRPr="006E79C6">
          <w:rPr>
            <w:rStyle w:val="Hyperlink"/>
          </w:rPr>
          <w:t>4</w:t>
        </w:r>
        <w:r w:rsidR="006632E3">
          <w:rPr>
            <w:rFonts w:asciiTheme="minorHAnsi" w:eastAsiaTheme="minorEastAsia" w:hAnsiTheme="minorHAnsi"/>
            <w:color w:val="auto"/>
            <w:sz w:val="22"/>
            <w:szCs w:val="22"/>
            <w:lang w:eastAsia="en-AU"/>
          </w:rPr>
          <w:tab/>
        </w:r>
        <w:r w:rsidR="006632E3" w:rsidRPr="006E79C6">
          <w:rPr>
            <w:rStyle w:val="Hyperlink"/>
          </w:rPr>
          <w:t>An overview of irrigation in the southern-connected MDB</w:t>
        </w:r>
        <w:r w:rsidR="006632E3">
          <w:rPr>
            <w:webHidden/>
          </w:rPr>
          <w:tab/>
        </w:r>
        <w:r w:rsidR="006632E3">
          <w:rPr>
            <w:webHidden/>
          </w:rPr>
          <w:fldChar w:fldCharType="begin"/>
        </w:r>
        <w:r w:rsidR="006632E3">
          <w:rPr>
            <w:webHidden/>
          </w:rPr>
          <w:instrText xml:space="preserve"> PAGEREF _Toc113621648 \h </w:instrText>
        </w:r>
        <w:r w:rsidR="006632E3">
          <w:rPr>
            <w:webHidden/>
          </w:rPr>
        </w:r>
        <w:r w:rsidR="006632E3">
          <w:rPr>
            <w:webHidden/>
          </w:rPr>
          <w:fldChar w:fldCharType="separate"/>
        </w:r>
        <w:r w:rsidR="00D4298A">
          <w:rPr>
            <w:webHidden/>
          </w:rPr>
          <w:t>23</w:t>
        </w:r>
        <w:r w:rsidR="006632E3">
          <w:rPr>
            <w:webHidden/>
          </w:rPr>
          <w:fldChar w:fldCharType="end"/>
        </w:r>
      </w:hyperlink>
    </w:p>
    <w:p w14:paraId="1F3D785C" w14:textId="2DD2AE8D" w:rsidR="006632E3" w:rsidRDefault="00000000">
      <w:pPr>
        <w:pStyle w:val="TOC2"/>
        <w:rPr>
          <w:rFonts w:asciiTheme="minorHAnsi" w:eastAsiaTheme="minorEastAsia" w:hAnsiTheme="minorHAnsi"/>
          <w:color w:val="auto"/>
          <w:sz w:val="22"/>
          <w:szCs w:val="22"/>
          <w:lang w:eastAsia="en-AU"/>
        </w:rPr>
      </w:pPr>
      <w:hyperlink w:anchor="_Toc113621649" w:history="1">
        <w:r w:rsidR="006632E3" w:rsidRPr="006E79C6">
          <w:rPr>
            <w:rStyle w:val="Hyperlink"/>
          </w:rPr>
          <w:t>4.1</w:t>
        </w:r>
        <w:r w:rsidR="006632E3">
          <w:rPr>
            <w:rFonts w:asciiTheme="minorHAnsi" w:eastAsiaTheme="minorEastAsia" w:hAnsiTheme="minorHAnsi"/>
            <w:color w:val="auto"/>
            <w:sz w:val="22"/>
            <w:szCs w:val="22"/>
            <w:lang w:eastAsia="en-AU"/>
          </w:rPr>
          <w:tab/>
        </w:r>
        <w:r w:rsidR="006632E3" w:rsidRPr="006E79C6">
          <w:rPr>
            <w:rStyle w:val="Hyperlink"/>
          </w:rPr>
          <w:t>Understanding the southern-connected Basin as a system</w:t>
        </w:r>
        <w:r w:rsidR="006632E3">
          <w:rPr>
            <w:webHidden/>
          </w:rPr>
          <w:tab/>
        </w:r>
        <w:r w:rsidR="006632E3">
          <w:rPr>
            <w:webHidden/>
          </w:rPr>
          <w:fldChar w:fldCharType="begin"/>
        </w:r>
        <w:r w:rsidR="006632E3">
          <w:rPr>
            <w:webHidden/>
          </w:rPr>
          <w:instrText xml:space="preserve"> PAGEREF _Toc113621649 \h </w:instrText>
        </w:r>
        <w:r w:rsidR="006632E3">
          <w:rPr>
            <w:webHidden/>
          </w:rPr>
        </w:r>
        <w:r w:rsidR="006632E3">
          <w:rPr>
            <w:webHidden/>
          </w:rPr>
          <w:fldChar w:fldCharType="separate"/>
        </w:r>
        <w:r w:rsidR="00D4298A">
          <w:rPr>
            <w:webHidden/>
          </w:rPr>
          <w:t>23</w:t>
        </w:r>
        <w:r w:rsidR="006632E3">
          <w:rPr>
            <w:webHidden/>
          </w:rPr>
          <w:fldChar w:fldCharType="end"/>
        </w:r>
      </w:hyperlink>
    </w:p>
    <w:p w14:paraId="143F1A85" w14:textId="5833C85D" w:rsidR="006632E3" w:rsidRDefault="00000000">
      <w:pPr>
        <w:pStyle w:val="TOC2"/>
        <w:rPr>
          <w:rFonts w:asciiTheme="minorHAnsi" w:eastAsiaTheme="minorEastAsia" w:hAnsiTheme="minorHAnsi"/>
          <w:color w:val="auto"/>
          <w:sz w:val="22"/>
          <w:szCs w:val="22"/>
          <w:lang w:eastAsia="en-AU"/>
        </w:rPr>
      </w:pPr>
      <w:hyperlink w:anchor="_Toc113621650" w:history="1">
        <w:r w:rsidR="006632E3" w:rsidRPr="006E79C6">
          <w:rPr>
            <w:rStyle w:val="Hyperlink"/>
          </w:rPr>
          <w:t>4.2</w:t>
        </w:r>
        <w:r w:rsidR="006632E3">
          <w:rPr>
            <w:rFonts w:asciiTheme="minorHAnsi" w:eastAsiaTheme="minorEastAsia" w:hAnsiTheme="minorHAnsi"/>
            <w:color w:val="auto"/>
            <w:sz w:val="22"/>
            <w:szCs w:val="22"/>
            <w:lang w:eastAsia="en-AU"/>
          </w:rPr>
          <w:tab/>
        </w:r>
        <w:r w:rsidR="006632E3" w:rsidRPr="006E79C6">
          <w:rPr>
            <w:rStyle w:val="Hyperlink"/>
          </w:rPr>
          <w:t>Understanding the differences between each State’s main water entitlements</w:t>
        </w:r>
        <w:r w:rsidR="006632E3">
          <w:rPr>
            <w:webHidden/>
          </w:rPr>
          <w:tab/>
        </w:r>
        <w:r w:rsidR="006632E3">
          <w:rPr>
            <w:webHidden/>
          </w:rPr>
          <w:fldChar w:fldCharType="begin"/>
        </w:r>
        <w:r w:rsidR="006632E3">
          <w:rPr>
            <w:webHidden/>
          </w:rPr>
          <w:instrText xml:space="preserve"> PAGEREF _Toc113621650 \h </w:instrText>
        </w:r>
        <w:r w:rsidR="006632E3">
          <w:rPr>
            <w:webHidden/>
          </w:rPr>
        </w:r>
        <w:r w:rsidR="006632E3">
          <w:rPr>
            <w:webHidden/>
          </w:rPr>
          <w:fldChar w:fldCharType="separate"/>
        </w:r>
        <w:r w:rsidR="00D4298A">
          <w:rPr>
            <w:webHidden/>
          </w:rPr>
          <w:t>24</w:t>
        </w:r>
        <w:r w:rsidR="006632E3">
          <w:rPr>
            <w:webHidden/>
          </w:rPr>
          <w:fldChar w:fldCharType="end"/>
        </w:r>
      </w:hyperlink>
    </w:p>
    <w:p w14:paraId="53E92387" w14:textId="223C4AD5" w:rsidR="006632E3" w:rsidRDefault="00000000">
      <w:pPr>
        <w:pStyle w:val="TOC2"/>
        <w:rPr>
          <w:rFonts w:asciiTheme="minorHAnsi" w:eastAsiaTheme="minorEastAsia" w:hAnsiTheme="minorHAnsi"/>
          <w:color w:val="auto"/>
          <w:sz w:val="22"/>
          <w:szCs w:val="22"/>
          <w:lang w:eastAsia="en-AU"/>
        </w:rPr>
      </w:pPr>
      <w:hyperlink w:anchor="_Toc113621651" w:history="1">
        <w:r w:rsidR="006632E3" w:rsidRPr="006E79C6">
          <w:rPr>
            <w:rStyle w:val="Hyperlink"/>
          </w:rPr>
          <w:t>4.3</w:t>
        </w:r>
        <w:r w:rsidR="006632E3">
          <w:rPr>
            <w:rFonts w:asciiTheme="minorHAnsi" w:eastAsiaTheme="minorEastAsia" w:hAnsiTheme="minorHAnsi"/>
            <w:color w:val="auto"/>
            <w:sz w:val="22"/>
            <w:szCs w:val="22"/>
            <w:lang w:eastAsia="en-AU"/>
          </w:rPr>
          <w:tab/>
        </w:r>
        <w:r w:rsidR="006632E3" w:rsidRPr="006E79C6">
          <w:rPr>
            <w:rStyle w:val="Hyperlink"/>
          </w:rPr>
          <w:t>One large water market</w:t>
        </w:r>
        <w:r w:rsidR="006632E3">
          <w:rPr>
            <w:webHidden/>
          </w:rPr>
          <w:tab/>
        </w:r>
        <w:r w:rsidR="006632E3">
          <w:rPr>
            <w:webHidden/>
          </w:rPr>
          <w:fldChar w:fldCharType="begin"/>
        </w:r>
        <w:r w:rsidR="006632E3">
          <w:rPr>
            <w:webHidden/>
          </w:rPr>
          <w:instrText xml:space="preserve"> PAGEREF _Toc113621651 \h </w:instrText>
        </w:r>
        <w:r w:rsidR="006632E3">
          <w:rPr>
            <w:webHidden/>
          </w:rPr>
        </w:r>
        <w:r w:rsidR="006632E3">
          <w:rPr>
            <w:webHidden/>
          </w:rPr>
          <w:fldChar w:fldCharType="separate"/>
        </w:r>
        <w:r w:rsidR="00D4298A">
          <w:rPr>
            <w:webHidden/>
          </w:rPr>
          <w:t>26</w:t>
        </w:r>
        <w:r w:rsidR="006632E3">
          <w:rPr>
            <w:webHidden/>
          </w:rPr>
          <w:fldChar w:fldCharType="end"/>
        </w:r>
      </w:hyperlink>
    </w:p>
    <w:p w14:paraId="3204C943" w14:textId="360849A0" w:rsidR="006632E3" w:rsidRDefault="00000000">
      <w:pPr>
        <w:pStyle w:val="TOC2"/>
        <w:rPr>
          <w:rFonts w:asciiTheme="minorHAnsi" w:eastAsiaTheme="minorEastAsia" w:hAnsiTheme="minorHAnsi"/>
          <w:color w:val="auto"/>
          <w:sz w:val="22"/>
          <w:szCs w:val="22"/>
          <w:lang w:eastAsia="en-AU"/>
        </w:rPr>
      </w:pPr>
      <w:hyperlink w:anchor="_Toc113621652" w:history="1">
        <w:r w:rsidR="006632E3" w:rsidRPr="006E79C6">
          <w:rPr>
            <w:rStyle w:val="Hyperlink"/>
          </w:rPr>
          <w:t>4.4</w:t>
        </w:r>
        <w:r w:rsidR="006632E3">
          <w:rPr>
            <w:rFonts w:asciiTheme="minorHAnsi" w:eastAsiaTheme="minorEastAsia" w:hAnsiTheme="minorHAnsi"/>
            <w:color w:val="auto"/>
            <w:sz w:val="22"/>
            <w:szCs w:val="22"/>
            <w:lang w:eastAsia="en-AU"/>
          </w:rPr>
          <w:tab/>
        </w:r>
        <w:r w:rsidR="006632E3" w:rsidRPr="006E79C6">
          <w:rPr>
            <w:rStyle w:val="Hyperlink"/>
          </w:rPr>
          <w:t>Physical constraints to water trade and policies for dealing with them</w:t>
        </w:r>
        <w:r w:rsidR="006632E3">
          <w:rPr>
            <w:webHidden/>
          </w:rPr>
          <w:tab/>
        </w:r>
        <w:r w:rsidR="006632E3">
          <w:rPr>
            <w:webHidden/>
          </w:rPr>
          <w:fldChar w:fldCharType="begin"/>
        </w:r>
        <w:r w:rsidR="006632E3">
          <w:rPr>
            <w:webHidden/>
          </w:rPr>
          <w:instrText xml:space="preserve"> PAGEREF _Toc113621652 \h </w:instrText>
        </w:r>
        <w:r w:rsidR="006632E3">
          <w:rPr>
            <w:webHidden/>
          </w:rPr>
        </w:r>
        <w:r w:rsidR="006632E3">
          <w:rPr>
            <w:webHidden/>
          </w:rPr>
          <w:fldChar w:fldCharType="separate"/>
        </w:r>
        <w:r w:rsidR="00D4298A">
          <w:rPr>
            <w:webHidden/>
          </w:rPr>
          <w:t>28</w:t>
        </w:r>
        <w:r w:rsidR="006632E3">
          <w:rPr>
            <w:webHidden/>
          </w:rPr>
          <w:fldChar w:fldCharType="end"/>
        </w:r>
      </w:hyperlink>
    </w:p>
    <w:p w14:paraId="7CA9D34C" w14:textId="6EACE006" w:rsidR="006632E3" w:rsidRDefault="00000000">
      <w:pPr>
        <w:pStyle w:val="TOC2"/>
        <w:rPr>
          <w:rFonts w:asciiTheme="minorHAnsi" w:eastAsiaTheme="minorEastAsia" w:hAnsiTheme="minorHAnsi"/>
          <w:color w:val="auto"/>
          <w:sz w:val="22"/>
          <w:szCs w:val="22"/>
          <w:lang w:eastAsia="en-AU"/>
        </w:rPr>
      </w:pPr>
      <w:hyperlink w:anchor="_Toc113621653" w:history="1">
        <w:r w:rsidR="006632E3" w:rsidRPr="006E79C6">
          <w:rPr>
            <w:rStyle w:val="Hyperlink"/>
          </w:rPr>
          <w:t>4.5</w:t>
        </w:r>
        <w:r w:rsidR="006632E3">
          <w:rPr>
            <w:rFonts w:asciiTheme="minorHAnsi" w:eastAsiaTheme="minorEastAsia" w:hAnsiTheme="minorHAnsi"/>
            <w:color w:val="auto"/>
            <w:sz w:val="22"/>
            <w:szCs w:val="22"/>
            <w:lang w:eastAsia="en-AU"/>
          </w:rPr>
          <w:tab/>
        </w:r>
        <w:r w:rsidR="006632E3" w:rsidRPr="006E79C6">
          <w:rPr>
            <w:rStyle w:val="Hyperlink"/>
          </w:rPr>
          <w:t>The main irrigated industries and their geographic centres</w:t>
        </w:r>
        <w:r w:rsidR="006632E3">
          <w:rPr>
            <w:webHidden/>
          </w:rPr>
          <w:tab/>
        </w:r>
        <w:r w:rsidR="006632E3">
          <w:rPr>
            <w:webHidden/>
          </w:rPr>
          <w:fldChar w:fldCharType="begin"/>
        </w:r>
        <w:r w:rsidR="006632E3">
          <w:rPr>
            <w:webHidden/>
          </w:rPr>
          <w:instrText xml:space="preserve"> PAGEREF _Toc113621653 \h </w:instrText>
        </w:r>
        <w:r w:rsidR="006632E3">
          <w:rPr>
            <w:webHidden/>
          </w:rPr>
        </w:r>
        <w:r w:rsidR="006632E3">
          <w:rPr>
            <w:webHidden/>
          </w:rPr>
          <w:fldChar w:fldCharType="separate"/>
        </w:r>
        <w:r w:rsidR="00D4298A">
          <w:rPr>
            <w:webHidden/>
          </w:rPr>
          <w:t>30</w:t>
        </w:r>
        <w:r w:rsidR="006632E3">
          <w:rPr>
            <w:webHidden/>
          </w:rPr>
          <w:fldChar w:fldCharType="end"/>
        </w:r>
      </w:hyperlink>
    </w:p>
    <w:p w14:paraId="1A1C0126" w14:textId="234E930B" w:rsidR="006632E3" w:rsidRDefault="00000000">
      <w:pPr>
        <w:pStyle w:val="TOC2"/>
        <w:rPr>
          <w:rFonts w:asciiTheme="minorHAnsi" w:eastAsiaTheme="minorEastAsia" w:hAnsiTheme="minorHAnsi"/>
          <w:color w:val="auto"/>
          <w:sz w:val="22"/>
          <w:szCs w:val="22"/>
          <w:lang w:eastAsia="en-AU"/>
        </w:rPr>
      </w:pPr>
      <w:hyperlink w:anchor="_Toc113621654" w:history="1">
        <w:r w:rsidR="006632E3" w:rsidRPr="006E79C6">
          <w:rPr>
            <w:rStyle w:val="Hyperlink"/>
          </w:rPr>
          <w:t>4.6</w:t>
        </w:r>
        <w:r w:rsidR="006632E3">
          <w:rPr>
            <w:rFonts w:asciiTheme="minorHAnsi" w:eastAsiaTheme="minorEastAsia" w:hAnsiTheme="minorHAnsi"/>
            <w:color w:val="auto"/>
            <w:sz w:val="22"/>
            <w:szCs w:val="22"/>
            <w:lang w:eastAsia="en-AU"/>
          </w:rPr>
          <w:tab/>
        </w:r>
        <w:r w:rsidR="006632E3" w:rsidRPr="006E79C6">
          <w:rPr>
            <w:rStyle w:val="Hyperlink"/>
          </w:rPr>
          <w:t>System dynamics</w:t>
        </w:r>
        <w:r w:rsidR="006632E3">
          <w:rPr>
            <w:webHidden/>
          </w:rPr>
          <w:tab/>
        </w:r>
        <w:r w:rsidR="006632E3">
          <w:rPr>
            <w:webHidden/>
          </w:rPr>
          <w:fldChar w:fldCharType="begin"/>
        </w:r>
        <w:r w:rsidR="006632E3">
          <w:rPr>
            <w:webHidden/>
          </w:rPr>
          <w:instrText xml:space="preserve"> PAGEREF _Toc113621654 \h </w:instrText>
        </w:r>
        <w:r w:rsidR="006632E3">
          <w:rPr>
            <w:webHidden/>
          </w:rPr>
        </w:r>
        <w:r w:rsidR="006632E3">
          <w:rPr>
            <w:webHidden/>
          </w:rPr>
          <w:fldChar w:fldCharType="separate"/>
        </w:r>
        <w:r w:rsidR="00D4298A">
          <w:rPr>
            <w:webHidden/>
          </w:rPr>
          <w:t>32</w:t>
        </w:r>
        <w:r w:rsidR="006632E3">
          <w:rPr>
            <w:webHidden/>
          </w:rPr>
          <w:fldChar w:fldCharType="end"/>
        </w:r>
      </w:hyperlink>
    </w:p>
    <w:p w14:paraId="3F64D011" w14:textId="7D7AFD4F" w:rsidR="006632E3" w:rsidRDefault="00000000">
      <w:pPr>
        <w:pStyle w:val="TOC2"/>
        <w:rPr>
          <w:rFonts w:asciiTheme="minorHAnsi" w:eastAsiaTheme="minorEastAsia" w:hAnsiTheme="minorHAnsi"/>
          <w:color w:val="auto"/>
          <w:sz w:val="22"/>
          <w:szCs w:val="22"/>
          <w:lang w:eastAsia="en-AU"/>
        </w:rPr>
      </w:pPr>
      <w:hyperlink w:anchor="_Toc113621655" w:history="1">
        <w:r w:rsidR="006632E3" w:rsidRPr="006E79C6">
          <w:rPr>
            <w:rStyle w:val="Hyperlink"/>
          </w:rPr>
          <w:t>4.7</w:t>
        </w:r>
        <w:r w:rsidR="006632E3">
          <w:rPr>
            <w:rFonts w:asciiTheme="minorHAnsi" w:eastAsiaTheme="minorEastAsia" w:hAnsiTheme="minorHAnsi"/>
            <w:color w:val="auto"/>
            <w:sz w:val="22"/>
            <w:szCs w:val="22"/>
            <w:lang w:eastAsia="en-AU"/>
          </w:rPr>
          <w:tab/>
        </w:r>
        <w:r w:rsidR="006632E3" w:rsidRPr="006E79C6">
          <w:rPr>
            <w:rStyle w:val="Hyperlink"/>
          </w:rPr>
          <w:t>Summing up</w:t>
        </w:r>
        <w:r w:rsidR="006632E3">
          <w:rPr>
            <w:webHidden/>
          </w:rPr>
          <w:tab/>
        </w:r>
        <w:r w:rsidR="006632E3">
          <w:rPr>
            <w:webHidden/>
          </w:rPr>
          <w:fldChar w:fldCharType="begin"/>
        </w:r>
        <w:r w:rsidR="006632E3">
          <w:rPr>
            <w:webHidden/>
          </w:rPr>
          <w:instrText xml:space="preserve"> PAGEREF _Toc113621655 \h </w:instrText>
        </w:r>
        <w:r w:rsidR="006632E3">
          <w:rPr>
            <w:webHidden/>
          </w:rPr>
        </w:r>
        <w:r w:rsidR="006632E3">
          <w:rPr>
            <w:webHidden/>
          </w:rPr>
          <w:fldChar w:fldCharType="separate"/>
        </w:r>
        <w:r w:rsidR="00D4298A">
          <w:rPr>
            <w:webHidden/>
          </w:rPr>
          <w:t>32</w:t>
        </w:r>
        <w:r w:rsidR="006632E3">
          <w:rPr>
            <w:webHidden/>
          </w:rPr>
          <w:fldChar w:fldCharType="end"/>
        </w:r>
      </w:hyperlink>
    </w:p>
    <w:p w14:paraId="198EFE09" w14:textId="37951B33" w:rsidR="006632E3" w:rsidRDefault="00000000">
      <w:pPr>
        <w:pStyle w:val="TOC1"/>
        <w:rPr>
          <w:rFonts w:asciiTheme="minorHAnsi" w:eastAsiaTheme="minorEastAsia" w:hAnsiTheme="minorHAnsi"/>
          <w:color w:val="auto"/>
          <w:sz w:val="22"/>
          <w:szCs w:val="22"/>
          <w:lang w:eastAsia="en-AU"/>
        </w:rPr>
      </w:pPr>
      <w:hyperlink w:anchor="_Toc113621656" w:history="1">
        <w:r w:rsidR="006632E3" w:rsidRPr="006E79C6">
          <w:rPr>
            <w:rStyle w:val="Hyperlink"/>
          </w:rPr>
          <w:t>5</w:t>
        </w:r>
        <w:r w:rsidR="006632E3">
          <w:rPr>
            <w:rFonts w:asciiTheme="minorHAnsi" w:eastAsiaTheme="minorEastAsia" w:hAnsiTheme="minorHAnsi"/>
            <w:color w:val="auto"/>
            <w:sz w:val="22"/>
            <w:szCs w:val="22"/>
            <w:lang w:eastAsia="en-AU"/>
          </w:rPr>
          <w:tab/>
        </w:r>
        <w:r w:rsidR="006632E3" w:rsidRPr="006E79C6">
          <w:rPr>
            <w:rStyle w:val="Hyperlink"/>
          </w:rPr>
          <w:t>An analysis of the water recovered so far under the Basin Plan</w:t>
        </w:r>
        <w:r w:rsidR="006632E3">
          <w:rPr>
            <w:webHidden/>
          </w:rPr>
          <w:tab/>
        </w:r>
        <w:r w:rsidR="006632E3">
          <w:rPr>
            <w:webHidden/>
          </w:rPr>
          <w:fldChar w:fldCharType="begin"/>
        </w:r>
        <w:r w:rsidR="006632E3">
          <w:rPr>
            <w:webHidden/>
          </w:rPr>
          <w:instrText xml:space="preserve"> PAGEREF _Toc113621656 \h </w:instrText>
        </w:r>
        <w:r w:rsidR="006632E3">
          <w:rPr>
            <w:webHidden/>
          </w:rPr>
        </w:r>
        <w:r w:rsidR="006632E3">
          <w:rPr>
            <w:webHidden/>
          </w:rPr>
          <w:fldChar w:fldCharType="separate"/>
        </w:r>
        <w:r w:rsidR="00D4298A">
          <w:rPr>
            <w:webHidden/>
          </w:rPr>
          <w:t>33</w:t>
        </w:r>
        <w:r w:rsidR="006632E3">
          <w:rPr>
            <w:webHidden/>
          </w:rPr>
          <w:fldChar w:fldCharType="end"/>
        </w:r>
      </w:hyperlink>
    </w:p>
    <w:p w14:paraId="1DB45B4A" w14:textId="5BC30F7D" w:rsidR="006632E3" w:rsidRDefault="00000000">
      <w:pPr>
        <w:pStyle w:val="TOC2"/>
        <w:rPr>
          <w:rFonts w:asciiTheme="minorHAnsi" w:eastAsiaTheme="minorEastAsia" w:hAnsiTheme="minorHAnsi"/>
          <w:color w:val="auto"/>
          <w:sz w:val="22"/>
          <w:szCs w:val="22"/>
          <w:lang w:eastAsia="en-AU"/>
        </w:rPr>
      </w:pPr>
      <w:hyperlink w:anchor="_Toc113621657" w:history="1">
        <w:r w:rsidR="006632E3" w:rsidRPr="006E79C6">
          <w:rPr>
            <w:rStyle w:val="Hyperlink"/>
          </w:rPr>
          <w:t>5.1</w:t>
        </w:r>
        <w:r w:rsidR="006632E3">
          <w:rPr>
            <w:rFonts w:asciiTheme="minorHAnsi" w:eastAsiaTheme="minorEastAsia" w:hAnsiTheme="minorHAnsi"/>
            <w:color w:val="auto"/>
            <w:sz w:val="22"/>
            <w:szCs w:val="22"/>
            <w:lang w:eastAsia="en-AU"/>
          </w:rPr>
          <w:tab/>
        </w:r>
        <w:r w:rsidR="006632E3" w:rsidRPr="006E79C6">
          <w:rPr>
            <w:rStyle w:val="Hyperlink"/>
          </w:rPr>
          <w:t>Water recovery</w:t>
        </w:r>
        <w:r w:rsidR="006632E3">
          <w:rPr>
            <w:webHidden/>
          </w:rPr>
          <w:tab/>
        </w:r>
        <w:r w:rsidR="006632E3">
          <w:rPr>
            <w:webHidden/>
          </w:rPr>
          <w:fldChar w:fldCharType="begin"/>
        </w:r>
        <w:r w:rsidR="006632E3">
          <w:rPr>
            <w:webHidden/>
          </w:rPr>
          <w:instrText xml:space="preserve"> PAGEREF _Toc113621657 \h </w:instrText>
        </w:r>
        <w:r w:rsidR="006632E3">
          <w:rPr>
            <w:webHidden/>
          </w:rPr>
        </w:r>
        <w:r w:rsidR="006632E3">
          <w:rPr>
            <w:webHidden/>
          </w:rPr>
          <w:fldChar w:fldCharType="separate"/>
        </w:r>
        <w:r w:rsidR="00D4298A">
          <w:rPr>
            <w:webHidden/>
          </w:rPr>
          <w:t>33</w:t>
        </w:r>
        <w:r w:rsidR="006632E3">
          <w:rPr>
            <w:webHidden/>
          </w:rPr>
          <w:fldChar w:fldCharType="end"/>
        </w:r>
      </w:hyperlink>
    </w:p>
    <w:p w14:paraId="2B1EEC51" w14:textId="6851299B" w:rsidR="006632E3" w:rsidRDefault="00000000">
      <w:pPr>
        <w:pStyle w:val="TOC2"/>
        <w:rPr>
          <w:rFonts w:asciiTheme="minorHAnsi" w:eastAsiaTheme="minorEastAsia" w:hAnsiTheme="minorHAnsi"/>
          <w:color w:val="auto"/>
          <w:sz w:val="22"/>
          <w:szCs w:val="22"/>
          <w:lang w:eastAsia="en-AU"/>
        </w:rPr>
      </w:pPr>
      <w:hyperlink w:anchor="_Toc113621658" w:history="1">
        <w:r w:rsidR="006632E3" w:rsidRPr="006E79C6">
          <w:rPr>
            <w:rStyle w:val="Hyperlink"/>
          </w:rPr>
          <w:t>5.2</w:t>
        </w:r>
        <w:r w:rsidR="006632E3">
          <w:rPr>
            <w:rFonts w:asciiTheme="minorHAnsi" w:eastAsiaTheme="minorEastAsia" w:hAnsiTheme="minorHAnsi"/>
            <w:color w:val="auto"/>
            <w:sz w:val="22"/>
            <w:szCs w:val="22"/>
            <w:lang w:eastAsia="en-AU"/>
          </w:rPr>
          <w:tab/>
        </w:r>
        <w:r w:rsidR="006632E3" w:rsidRPr="006E79C6">
          <w:rPr>
            <w:rStyle w:val="Hyperlink"/>
          </w:rPr>
          <w:t>Water recovery approaches</w:t>
        </w:r>
        <w:r w:rsidR="006632E3">
          <w:rPr>
            <w:webHidden/>
          </w:rPr>
          <w:tab/>
        </w:r>
        <w:r w:rsidR="006632E3">
          <w:rPr>
            <w:webHidden/>
          </w:rPr>
          <w:fldChar w:fldCharType="begin"/>
        </w:r>
        <w:r w:rsidR="006632E3">
          <w:rPr>
            <w:webHidden/>
          </w:rPr>
          <w:instrText xml:space="preserve"> PAGEREF _Toc113621658 \h </w:instrText>
        </w:r>
        <w:r w:rsidR="006632E3">
          <w:rPr>
            <w:webHidden/>
          </w:rPr>
        </w:r>
        <w:r w:rsidR="006632E3">
          <w:rPr>
            <w:webHidden/>
          </w:rPr>
          <w:fldChar w:fldCharType="separate"/>
        </w:r>
        <w:r w:rsidR="00D4298A">
          <w:rPr>
            <w:webHidden/>
          </w:rPr>
          <w:t>34</w:t>
        </w:r>
        <w:r w:rsidR="006632E3">
          <w:rPr>
            <w:webHidden/>
          </w:rPr>
          <w:fldChar w:fldCharType="end"/>
        </w:r>
      </w:hyperlink>
    </w:p>
    <w:p w14:paraId="5C5CAF5F" w14:textId="3E0CA27E" w:rsidR="006632E3" w:rsidRDefault="00000000">
      <w:pPr>
        <w:pStyle w:val="TOC2"/>
        <w:rPr>
          <w:rFonts w:asciiTheme="minorHAnsi" w:eastAsiaTheme="minorEastAsia" w:hAnsiTheme="minorHAnsi"/>
          <w:color w:val="auto"/>
          <w:sz w:val="22"/>
          <w:szCs w:val="22"/>
          <w:lang w:eastAsia="en-AU"/>
        </w:rPr>
      </w:pPr>
      <w:hyperlink w:anchor="_Toc113621659" w:history="1">
        <w:r w:rsidR="006632E3" w:rsidRPr="006E79C6">
          <w:rPr>
            <w:rStyle w:val="Hyperlink"/>
          </w:rPr>
          <w:t>5.3</w:t>
        </w:r>
        <w:r w:rsidR="006632E3">
          <w:rPr>
            <w:rFonts w:asciiTheme="minorHAnsi" w:eastAsiaTheme="minorEastAsia" w:hAnsiTheme="minorHAnsi"/>
            <w:color w:val="auto"/>
            <w:sz w:val="22"/>
            <w:szCs w:val="22"/>
            <w:lang w:eastAsia="en-AU"/>
          </w:rPr>
          <w:tab/>
        </w:r>
        <w:r w:rsidR="006632E3" w:rsidRPr="006E79C6">
          <w:rPr>
            <w:rStyle w:val="Hyperlink"/>
          </w:rPr>
          <w:t>The CEWH portfolio</w:t>
        </w:r>
        <w:r w:rsidR="006632E3">
          <w:rPr>
            <w:webHidden/>
          </w:rPr>
          <w:tab/>
        </w:r>
        <w:r w:rsidR="006632E3">
          <w:rPr>
            <w:webHidden/>
          </w:rPr>
          <w:fldChar w:fldCharType="begin"/>
        </w:r>
        <w:r w:rsidR="006632E3">
          <w:rPr>
            <w:webHidden/>
          </w:rPr>
          <w:instrText xml:space="preserve"> PAGEREF _Toc113621659 \h </w:instrText>
        </w:r>
        <w:r w:rsidR="006632E3">
          <w:rPr>
            <w:webHidden/>
          </w:rPr>
        </w:r>
        <w:r w:rsidR="006632E3">
          <w:rPr>
            <w:webHidden/>
          </w:rPr>
          <w:fldChar w:fldCharType="separate"/>
        </w:r>
        <w:r w:rsidR="00D4298A">
          <w:rPr>
            <w:webHidden/>
          </w:rPr>
          <w:t>41</w:t>
        </w:r>
        <w:r w:rsidR="006632E3">
          <w:rPr>
            <w:webHidden/>
          </w:rPr>
          <w:fldChar w:fldCharType="end"/>
        </w:r>
      </w:hyperlink>
    </w:p>
    <w:p w14:paraId="6AC0C872" w14:textId="13600BD1" w:rsidR="006632E3" w:rsidRDefault="00000000">
      <w:pPr>
        <w:pStyle w:val="TOC2"/>
        <w:rPr>
          <w:rFonts w:asciiTheme="minorHAnsi" w:eastAsiaTheme="minorEastAsia" w:hAnsiTheme="minorHAnsi"/>
          <w:color w:val="auto"/>
          <w:sz w:val="22"/>
          <w:szCs w:val="22"/>
          <w:lang w:eastAsia="en-AU"/>
        </w:rPr>
      </w:pPr>
      <w:hyperlink w:anchor="_Toc113621660" w:history="1">
        <w:r w:rsidR="006632E3" w:rsidRPr="006E79C6">
          <w:rPr>
            <w:rStyle w:val="Hyperlink"/>
          </w:rPr>
          <w:t>5.4</w:t>
        </w:r>
        <w:r w:rsidR="006632E3">
          <w:rPr>
            <w:rFonts w:asciiTheme="minorHAnsi" w:eastAsiaTheme="minorEastAsia" w:hAnsiTheme="minorHAnsi"/>
            <w:color w:val="auto"/>
            <w:sz w:val="22"/>
            <w:szCs w:val="22"/>
            <w:lang w:eastAsia="en-AU"/>
          </w:rPr>
          <w:tab/>
        </w:r>
        <w:r w:rsidR="006632E3" w:rsidRPr="006E79C6">
          <w:rPr>
            <w:rStyle w:val="Hyperlink"/>
          </w:rPr>
          <w:t>Water allocations available due to water recovery</w:t>
        </w:r>
        <w:r w:rsidR="006632E3">
          <w:rPr>
            <w:webHidden/>
          </w:rPr>
          <w:tab/>
        </w:r>
        <w:r w:rsidR="006632E3">
          <w:rPr>
            <w:webHidden/>
          </w:rPr>
          <w:fldChar w:fldCharType="begin"/>
        </w:r>
        <w:r w:rsidR="006632E3">
          <w:rPr>
            <w:webHidden/>
          </w:rPr>
          <w:instrText xml:space="preserve"> PAGEREF _Toc113621660 \h </w:instrText>
        </w:r>
        <w:r w:rsidR="006632E3">
          <w:rPr>
            <w:webHidden/>
          </w:rPr>
        </w:r>
        <w:r w:rsidR="006632E3">
          <w:rPr>
            <w:webHidden/>
          </w:rPr>
          <w:fldChar w:fldCharType="separate"/>
        </w:r>
        <w:r w:rsidR="00D4298A">
          <w:rPr>
            <w:webHidden/>
          </w:rPr>
          <w:t>47</w:t>
        </w:r>
        <w:r w:rsidR="006632E3">
          <w:rPr>
            <w:webHidden/>
          </w:rPr>
          <w:fldChar w:fldCharType="end"/>
        </w:r>
      </w:hyperlink>
    </w:p>
    <w:p w14:paraId="00D69DB3" w14:textId="5687F347" w:rsidR="006632E3" w:rsidRDefault="00000000">
      <w:pPr>
        <w:pStyle w:val="TOC1"/>
        <w:rPr>
          <w:rFonts w:asciiTheme="minorHAnsi" w:eastAsiaTheme="minorEastAsia" w:hAnsiTheme="minorHAnsi"/>
          <w:color w:val="auto"/>
          <w:sz w:val="22"/>
          <w:szCs w:val="22"/>
          <w:lang w:eastAsia="en-AU"/>
        </w:rPr>
      </w:pPr>
      <w:hyperlink w:anchor="_Toc113621661" w:history="1">
        <w:r w:rsidR="006632E3" w:rsidRPr="006E79C6">
          <w:rPr>
            <w:rStyle w:val="Hyperlink"/>
          </w:rPr>
          <w:t>6</w:t>
        </w:r>
        <w:r w:rsidR="006632E3">
          <w:rPr>
            <w:rFonts w:asciiTheme="minorHAnsi" w:eastAsiaTheme="minorEastAsia" w:hAnsiTheme="minorHAnsi"/>
            <w:color w:val="auto"/>
            <w:sz w:val="22"/>
            <w:szCs w:val="22"/>
            <w:lang w:eastAsia="en-AU"/>
          </w:rPr>
          <w:tab/>
        </w:r>
        <w:r w:rsidR="006632E3" w:rsidRPr="006E79C6">
          <w:rPr>
            <w:rStyle w:val="Hyperlink"/>
          </w:rPr>
          <w:t>Water use in Victoria since water recovery commenced</w:t>
        </w:r>
        <w:r w:rsidR="006632E3">
          <w:rPr>
            <w:webHidden/>
          </w:rPr>
          <w:tab/>
        </w:r>
        <w:r w:rsidR="006632E3">
          <w:rPr>
            <w:webHidden/>
          </w:rPr>
          <w:fldChar w:fldCharType="begin"/>
        </w:r>
        <w:r w:rsidR="006632E3">
          <w:rPr>
            <w:webHidden/>
          </w:rPr>
          <w:instrText xml:space="preserve"> PAGEREF _Toc113621661 \h </w:instrText>
        </w:r>
        <w:r w:rsidR="006632E3">
          <w:rPr>
            <w:webHidden/>
          </w:rPr>
        </w:r>
        <w:r w:rsidR="006632E3">
          <w:rPr>
            <w:webHidden/>
          </w:rPr>
          <w:fldChar w:fldCharType="separate"/>
        </w:r>
        <w:r w:rsidR="00D4298A">
          <w:rPr>
            <w:webHidden/>
          </w:rPr>
          <w:t>51</w:t>
        </w:r>
        <w:r w:rsidR="006632E3">
          <w:rPr>
            <w:webHidden/>
          </w:rPr>
          <w:fldChar w:fldCharType="end"/>
        </w:r>
      </w:hyperlink>
    </w:p>
    <w:p w14:paraId="446C9F2A" w14:textId="0E292C74" w:rsidR="006632E3" w:rsidRDefault="00000000">
      <w:pPr>
        <w:pStyle w:val="TOC2"/>
        <w:rPr>
          <w:rFonts w:asciiTheme="minorHAnsi" w:eastAsiaTheme="minorEastAsia" w:hAnsiTheme="minorHAnsi"/>
          <w:color w:val="auto"/>
          <w:sz w:val="22"/>
          <w:szCs w:val="22"/>
          <w:lang w:eastAsia="en-AU"/>
        </w:rPr>
      </w:pPr>
      <w:hyperlink w:anchor="_Toc113621662" w:history="1">
        <w:r w:rsidR="006632E3" w:rsidRPr="006E79C6">
          <w:rPr>
            <w:rStyle w:val="Hyperlink"/>
          </w:rPr>
          <w:t>6.1</w:t>
        </w:r>
        <w:r w:rsidR="006632E3">
          <w:rPr>
            <w:rFonts w:asciiTheme="minorHAnsi" w:eastAsiaTheme="minorEastAsia" w:hAnsiTheme="minorHAnsi"/>
            <w:color w:val="auto"/>
            <w:sz w:val="22"/>
            <w:szCs w:val="22"/>
            <w:lang w:eastAsia="en-AU"/>
          </w:rPr>
          <w:tab/>
        </w:r>
        <w:r w:rsidR="006632E3" w:rsidRPr="006E79C6">
          <w:rPr>
            <w:rStyle w:val="Hyperlink"/>
          </w:rPr>
          <w:t>Observed water use in Victoria since water recovery commenced</w:t>
        </w:r>
        <w:r w:rsidR="006632E3">
          <w:rPr>
            <w:webHidden/>
          </w:rPr>
          <w:tab/>
        </w:r>
        <w:r w:rsidR="006632E3">
          <w:rPr>
            <w:webHidden/>
          </w:rPr>
          <w:fldChar w:fldCharType="begin"/>
        </w:r>
        <w:r w:rsidR="006632E3">
          <w:rPr>
            <w:webHidden/>
          </w:rPr>
          <w:instrText xml:space="preserve"> PAGEREF _Toc113621662 \h </w:instrText>
        </w:r>
        <w:r w:rsidR="006632E3">
          <w:rPr>
            <w:webHidden/>
          </w:rPr>
        </w:r>
        <w:r w:rsidR="006632E3">
          <w:rPr>
            <w:webHidden/>
          </w:rPr>
          <w:fldChar w:fldCharType="separate"/>
        </w:r>
        <w:r w:rsidR="00D4298A">
          <w:rPr>
            <w:webHidden/>
          </w:rPr>
          <w:t>51</w:t>
        </w:r>
        <w:r w:rsidR="006632E3">
          <w:rPr>
            <w:webHidden/>
          </w:rPr>
          <w:fldChar w:fldCharType="end"/>
        </w:r>
      </w:hyperlink>
    </w:p>
    <w:p w14:paraId="1622DE83" w14:textId="45FF550D" w:rsidR="006632E3" w:rsidRDefault="00000000">
      <w:pPr>
        <w:pStyle w:val="TOC2"/>
        <w:rPr>
          <w:rFonts w:asciiTheme="minorHAnsi" w:eastAsiaTheme="minorEastAsia" w:hAnsiTheme="minorHAnsi"/>
          <w:color w:val="auto"/>
          <w:sz w:val="22"/>
          <w:szCs w:val="22"/>
          <w:lang w:eastAsia="en-AU"/>
        </w:rPr>
      </w:pPr>
      <w:hyperlink w:anchor="_Toc113621663" w:history="1">
        <w:r w:rsidR="006632E3" w:rsidRPr="006E79C6">
          <w:rPr>
            <w:rStyle w:val="Hyperlink"/>
          </w:rPr>
          <w:t>6.2</w:t>
        </w:r>
        <w:r w:rsidR="006632E3">
          <w:rPr>
            <w:rFonts w:asciiTheme="minorHAnsi" w:eastAsiaTheme="minorEastAsia" w:hAnsiTheme="minorHAnsi"/>
            <w:color w:val="auto"/>
            <w:sz w:val="22"/>
            <w:szCs w:val="22"/>
            <w:lang w:eastAsia="en-AU"/>
          </w:rPr>
          <w:tab/>
        </w:r>
        <w:r w:rsidR="006632E3" w:rsidRPr="006E79C6">
          <w:rPr>
            <w:rStyle w:val="Hyperlink"/>
          </w:rPr>
          <w:t>The counterfactual — water use in the absence of the Basin Plan</w:t>
        </w:r>
        <w:r w:rsidR="006632E3">
          <w:rPr>
            <w:webHidden/>
          </w:rPr>
          <w:tab/>
        </w:r>
        <w:r w:rsidR="006632E3">
          <w:rPr>
            <w:webHidden/>
          </w:rPr>
          <w:fldChar w:fldCharType="begin"/>
        </w:r>
        <w:r w:rsidR="006632E3">
          <w:rPr>
            <w:webHidden/>
          </w:rPr>
          <w:instrText xml:space="preserve"> PAGEREF _Toc113621663 \h </w:instrText>
        </w:r>
        <w:r w:rsidR="006632E3">
          <w:rPr>
            <w:webHidden/>
          </w:rPr>
        </w:r>
        <w:r w:rsidR="006632E3">
          <w:rPr>
            <w:webHidden/>
          </w:rPr>
          <w:fldChar w:fldCharType="separate"/>
        </w:r>
        <w:r w:rsidR="00D4298A">
          <w:rPr>
            <w:webHidden/>
          </w:rPr>
          <w:t>54</w:t>
        </w:r>
        <w:r w:rsidR="006632E3">
          <w:rPr>
            <w:webHidden/>
          </w:rPr>
          <w:fldChar w:fldCharType="end"/>
        </w:r>
      </w:hyperlink>
    </w:p>
    <w:p w14:paraId="52BEF4C5" w14:textId="0341C7C8" w:rsidR="006632E3" w:rsidRDefault="00000000">
      <w:pPr>
        <w:pStyle w:val="TOC2"/>
        <w:rPr>
          <w:rFonts w:asciiTheme="minorHAnsi" w:eastAsiaTheme="minorEastAsia" w:hAnsiTheme="minorHAnsi"/>
          <w:color w:val="auto"/>
          <w:sz w:val="22"/>
          <w:szCs w:val="22"/>
          <w:lang w:eastAsia="en-AU"/>
        </w:rPr>
      </w:pPr>
      <w:hyperlink w:anchor="_Toc113621664" w:history="1">
        <w:r w:rsidR="006632E3" w:rsidRPr="006E79C6">
          <w:rPr>
            <w:rStyle w:val="Hyperlink"/>
          </w:rPr>
          <w:t>6.3</w:t>
        </w:r>
        <w:r w:rsidR="006632E3">
          <w:rPr>
            <w:rFonts w:asciiTheme="minorHAnsi" w:eastAsiaTheme="minorEastAsia" w:hAnsiTheme="minorHAnsi"/>
            <w:color w:val="auto"/>
            <w:sz w:val="22"/>
            <w:szCs w:val="22"/>
            <w:lang w:eastAsia="en-AU"/>
          </w:rPr>
          <w:tab/>
        </w:r>
        <w:r w:rsidR="006632E3" w:rsidRPr="006E79C6">
          <w:rPr>
            <w:rStyle w:val="Hyperlink"/>
          </w:rPr>
          <w:t>Summing up</w:t>
        </w:r>
        <w:r w:rsidR="006632E3">
          <w:rPr>
            <w:webHidden/>
          </w:rPr>
          <w:tab/>
        </w:r>
        <w:r w:rsidR="006632E3">
          <w:rPr>
            <w:webHidden/>
          </w:rPr>
          <w:fldChar w:fldCharType="begin"/>
        </w:r>
        <w:r w:rsidR="006632E3">
          <w:rPr>
            <w:webHidden/>
          </w:rPr>
          <w:instrText xml:space="preserve"> PAGEREF _Toc113621664 \h </w:instrText>
        </w:r>
        <w:r w:rsidR="006632E3">
          <w:rPr>
            <w:webHidden/>
          </w:rPr>
        </w:r>
        <w:r w:rsidR="006632E3">
          <w:rPr>
            <w:webHidden/>
          </w:rPr>
          <w:fldChar w:fldCharType="separate"/>
        </w:r>
        <w:r w:rsidR="00D4298A">
          <w:rPr>
            <w:webHidden/>
          </w:rPr>
          <w:t>57</w:t>
        </w:r>
        <w:r w:rsidR="006632E3">
          <w:rPr>
            <w:webHidden/>
          </w:rPr>
          <w:fldChar w:fldCharType="end"/>
        </w:r>
      </w:hyperlink>
    </w:p>
    <w:p w14:paraId="02C117B7" w14:textId="685F915E" w:rsidR="006632E3" w:rsidRDefault="00000000">
      <w:pPr>
        <w:pStyle w:val="TOC1"/>
        <w:rPr>
          <w:rFonts w:asciiTheme="minorHAnsi" w:eastAsiaTheme="minorEastAsia" w:hAnsiTheme="minorHAnsi"/>
          <w:color w:val="auto"/>
          <w:sz w:val="22"/>
          <w:szCs w:val="22"/>
          <w:lang w:eastAsia="en-AU"/>
        </w:rPr>
      </w:pPr>
      <w:hyperlink w:anchor="_Toc113621665" w:history="1">
        <w:r w:rsidR="006632E3" w:rsidRPr="006E79C6">
          <w:rPr>
            <w:rStyle w:val="Hyperlink"/>
          </w:rPr>
          <w:t>7</w:t>
        </w:r>
        <w:r w:rsidR="006632E3">
          <w:rPr>
            <w:rFonts w:asciiTheme="minorHAnsi" w:eastAsiaTheme="minorEastAsia" w:hAnsiTheme="minorHAnsi"/>
            <w:color w:val="auto"/>
            <w:sz w:val="22"/>
            <w:szCs w:val="22"/>
            <w:lang w:eastAsia="en-AU"/>
          </w:rPr>
          <w:tab/>
        </w:r>
        <w:r w:rsidR="006632E3" w:rsidRPr="006E79C6">
          <w:rPr>
            <w:rStyle w:val="Hyperlink"/>
          </w:rPr>
          <w:t>The impacts of the Basin Plan on horticultural industries</w:t>
        </w:r>
        <w:r w:rsidR="006632E3">
          <w:rPr>
            <w:webHidden/>
          </w:rPr>
          <w:tab/>
        </w:r>
        <w:r w:rsidR="006632E3">
          <w:rPr>
            <w:webHidden/>
          </w:rPr>
          <w:fldChar w:fldCharType="begin"/>
        </w:r>
        <w:r w:rsidR="006632E3">
          <w:rPr>
            <w:webHidden/>
          </w:rPr>
          <w:instrText xml:space="preserve"> PAGEREF _Toc113621665 \h </w:instrText>
        </w:r>
        <w:r w:rsidR="006632E3">
          <w:rPr>
            <w:webHidden/>
          </w:rPr>
        </w:r>
        <w:r w:rsidR="006632E3">
          <w:rPr>
            <w:webHidden/>
          </w:rPr>
          <w:fldChar w:fldCharType="separate"/>
        </w:r>
        <w:r w:rsidR="00D4298A">
          <w:rPr>
            <w:webHidden/>
          </w:rPr>
          <w:t>58</w:t>
        </w:r>
        <w:r w:rsidR="006632E3">
          <w:rPr>
            <w:webHidden/>
          </w:rPr>
          <w:fldChar w:fldCharType="end"/>
        </w:r>
      </w:hyperlink>
    </w:p>
    <w:p w14:paraId="44B77B68" w14:textId="2509B662" w:rsidR="006632E3" w:rsidRDefault="00000000">
      <w:pPr>
        <w:pStyle w:val="TOC1"/>
        <w:rPr>
          <w:rFonts w:asciiTheme="minorHAnsi" w:eastAsiaTheme="minorEastAsia" w:hAnsiTheme="minorHAnsi"/>
          <w:color w:val="auto"/>
          <w:sz w:val="22"/>
          <w:szCs w:val="22"/>
          <w:lang w:eastAsia="en-AU"/>
        </w:rPr>
      </w:pPr>
      <w:hyperlink w:anchor="_Toc113621666" w:history="1">
        <w:r w:rsidR="006632E3" w:rsidRPr="006E79C6">
          <w:rPr>
            <w:rStyle w:val="Hyperlink"/>
          </w:rPr>
          <w:t>8</w:t>
        </w:r>
        <w:r w:rsidR="006632E3">
          <w:rPr>
            <w:rFonts w:asciiTheme="minorHAnsi" w:eastAsiaTheme="minorEastAsia" w:hAnsiTheme="minorHAnsi"/>
            <w:color w:val="auto"/>
            <w:sz w:val="22"/>
            <w:szCs w:val="22"/>
            <w:lang w:eastAsia="en-AU"/>
          </w:rPr>
          <w:tab/>
        </w:r>
        <w:r w:rsidR="006632E3" w:rsidRPr="006E79C6">
          <w:rPr>
            <w:rStyle w:val="Hyperlink"/>
          </w:rPr>
          <w:t>Impacts on the dairy industry</w:t>
        </w:r>
        <w:r w:rsidR="006632E3">
          <w:rPr>
            <w:webHidden/>
          </w:rPr>
          <w:tab/>
        </w:r>
        <w:r w:rsidR="006632E3">
          <w:rPr>
            <w:webHidden/>
          </w:rPr>
          <w:fldChar w:fldCharType="begin"/>
        </w:r>
        <w:r w:rsidR="006632E3">
          <w:rPr>
            <w:webHidden/>
          </w:rPr>
          <w:instrText xml:space="preserve"> PAGEREF _Toc113621666 \h </w:instrText>
        </w:r>
        <w:r w:rsidR="006632E3">
          <w:rPr>
            <w:webHidden/>
          </w:rPr>
        </w:r>
        <w:r w:rsidR="006632E3">
          <w:rPr>
            <w:webHidden/>
          </w:rPr>
          <w:fldChar w:fldCharType="separate"/>
        </w:r>
        <w:r w:rsidR="00D4298A">
          <w:rPr>
            <w:webHidden/>
          </w:rPr>
          <w:t>62</w:t>
        </w:r>
        <w:r w:rsidR="006632E3">
          <w:rPr>
            <w:webHidden/>
          </w:rPr>
          <w:fldChar w:fldCharType="end"/>
        </w:r>
      </w:hyperlink>
    </w:p>
    <w:p w14:paraId="4E0619E7" w14:textId="12BA9F83" w:rsidR="006632E3" w:rsidRDefault="00000000">
      <w:pPr>
        <w:pStyle w:val="TOC2"/>
        <w:rPr>
          <w:rFonts w:asciiTheme="minorHAnsi" w:eastAsiaTheme="minorEastAsia" w:hAnsiTheme="minorHAnsi"/>
          <w:color w:val="auto"/>
          <w:sz w:val="22"/>
          <w:szCs w:val="22"/>
          <w:lang w:eastAsia="en-AU"/>
        </w:rPr>
      </w:pPr>
      <w:hyperlink w:anchor="_Toc113621667" w:history="1">
        <w:r w:rsidR="006632E3" w:rsidRPr="006E79C6">
          <w:rPr>
            <w:rStyle w:val="Hyperlink"/>
          </w:rPr>
          <w:t>8.1</w:t>
        </w:r>
        <w:r w:rsidR="006632E3">
          <w:rPr>
            <w:rFonts w:asciiTheme="minorHAnsi" w:eastAsiaTheme="minorEastAsia" w:hAnsiTheme="minorHAnsi"/>
            <w:color w:val="auto"/>
            <w:sz w:val="22"/>
            <w:szCs w:val="22"/>
            <w:lang w:eastAsia="en-AU"/>
          </w:rPr>
          <w:tab/>
        </w:r>
        <w:r w:rsidR="006632E3" w:rsidRPr="006E79C6">
          <w:rPr>
            <w:rStyle w:val="Hyperlink"/>
          </w:rPr>
          <w:t>Impacts on dairy farming</w:t>
        </w:r>
        <w:r w:rsidR="006632E3">
          <w:rPr>
            <w:webHidden/>
          </w:rPr>
          <w:tab/>
        </w:r>
        <w:r w:rsidR="006632E3">
          <w:rPr>
            <w:webHidden/>
          </w:rPr>
          <w:fldChar w:fldCharType="begin"/>
        </w:r>
        <w:r w:rsidR="006632E3">
          <w:rPr>
            <w:webHidden/>
          </w:rPr>
          <w:instrText xml:space="preserve"> PAGEREF _Toc113621667 \h </w:instrText>
        </w:r>
        <w:r w:rsidR="006632E3">
          <w:rPr>
            <w:webHidden/>
          </w:rPr>
        </w:r>
        <w:r w:rsidR="006632E3">
          <w:rPr>
            <w:webHidden/>
          </w:rPr>
          <w:fldChar w:fldCharType="separate"/>
        </w:r>
        <w:r w:rsidR="00D4298A">
          <w:rPr>
            <w:webHidden/>
          </w:rPr>
          <w:t>62</w:t>
        </w:r>
        <w:r w:rsidR="006632E3">
          <w:rPr>
            <w:webHidden/>
          </w:rPr>
          <w:fldChar w:fldCharType="end"/>
        </w:r>
      </w:hyperlink>
    </w:p>
    <w:p w14:paraId="5B1C8A95" w14:textId="61C5E549" w:rsidR="006632E3" w:rsidRDefault="00000000">
      <w:pPr>
        <w:pStyle w:val="TOC2"/>
        <w:rPr>
          <w:rFonts w:asciiTheme="minorHAnsi" w:eastAsiaTheme="minorEastAsia" w:hAnsiTheme="minorHAnsi"/>
          <w:color w:val="auto"/>
          <w:sz w:val="22"/>
          <w:szCs w:val="22"/>
          <w:lang w:eastAsia="en-AU"/>
        </w:rPr>
      </w:pPr>
      <w:hyperlink w:anchor="_Toc113621668" w:history="1">
        <w:r w:rsidR="006632E3" w:rsidRPr="006E79C6">
          <w:rPr>
            <w:rStyle w:val="Hyperlink"/>
          </w:rPr>
          <w:t>8.2</w:t>
        </w:r>
        <w:r w:rsidR="006632E3">
          <w:rPr>
            <w:rFonts w:asciiTheme="minorHAnsi" w:eastAsiaTheme="minorEastAsia" w:hAnsiTheme="minorHAnsi"/>
            <w:color w:val="auto"/>
            <w:sz w:val="22"/>
            <w:szCs w:val="22"/>
            <w:lang w:eastAsia="en-AU"/>
          </w:rPr>
          <w:tab/>
        </w:r>
        <w:r w:rsidR="006632E3" w:rsidRPr="006E79C6">
          <w:rPr>
            <w:rStyle w:val="Hyperlink"/>
          </w:rPr>
          <w:t>Impacts on milk production</w:t>
        </w:r>
        <w:r w:rsidR="006632E3">
          <w:rPr>
            <w:webHidden/>
          </w:rPr>
          <w:tab/>
        </w:r>
        <w:r w:rsidR="006632E3">
          <w:rPr>
            <w:webHidden/>
          </w:rPr>
          <w:fldChar w:fldCharType="begin"/>
        </w:r>
        <w:r w:rsidR="006632E3">
          <w:rPr>
            <w:webHidden/>
          </w:rPr>
          <w:instrText xml:space="preserve"> PAGEREF _Toc113621668 \h </w:instrText>
        </w:r>
        <w:r w:rsidR="006632E3">
          <w:rPr>
            <w:webHidden/>
          </w:rPr>
        </w:r>
        <w:r w:rsidR="006632E3">
          <w:rPr>
            <w:webHidden/>
          </w:rPr>
          <w:fldChar w:fldCharType="separate"/>
        </w:r>
        <w:r w:rsidR="00D4298A">
          <w:rPr>
            <w:webHidden/>
          </w:rPr>
          <w:t>63</w:t>
        </w:r>
        <w:r w:rsidR="006632E3">
          <w:rPr>
            <w:webHidden/>
          </w:rPr>
          <w:fldChar w:fldCharType="end"/>
        </w:r>
      </w:hyperlink>
    </w:p>
    <w:p w14:paraId="70FD63E5" w14:textId="3484761D" w:rsidR="006632E3" w:rsidRDefault="00000000">
      <w:pPr>
        <w:pStyle w:val="TOC1"/>
        <w:rPr>
          <w:rFonts w:asciiTheme="minorHAnsi" w:eastAsiaTheme="minorEastAsia" w:hAnsiTheme="minorHAnsi"/>
          <w:color w:val="auto"/>
          <w:sz w:val="22"/>
          <w:szCs w:val="22"/>
          <w:lang w:eastAsia="en-AU"/>
        </w:rPr>
      </w:pPr>
      <w:hyperlink w:anchor="_Toc113621669" w:history="1">
        <w:r w:rsidR="006632E3" w:rsidRPr="006E79C6">
          <w:rPr>
            <w:rStyle w:val="Hyperlink"/>
          </w:rPr>
          <w:t>9</w:t>
        </w:r>
        <w:r w:rsidR="006632E3">
          <w:rPr>
            <w:rFonts w:asciiTheme="minorHAnsi" w:eastAsiaTheme="minorEastAsia" w:hAnsiTheme="minorHAnsi"/>
            <w:color w:val="auto"/>
            <w:sz w:val="22"/>
            <w:szCs w:val="22"/>
            <w:lang w:eastAsia="en-AU"/>
          </w:rPr>
          <w:tab/>
        </w:r>
        <w:r w:rsidR="006632E3" w:rsidRPr="006E79C6">
          <w:rPr>
            <w:rStyle w:val="Hyperlink"/>
          </w:rPr>
          <w:t>Impacts in NSW and SA – and their implications for Victoria</w:t>
        </w:r>
        <w:r w:rsidR="006632E3">
          <w:rPr>
            <w:webHidden/>
          </w:rPr>
          <w:tab/>
        </w:r>
        <w:r w:rsidR="006632E3">
          <w:rPr>
            <w:webHidden/>
          </w:rPr>
          <w:fldChar w:fldCharType="begin"/>
        </w:r>
        <w:r w:rsidR="006632E3">
          <w:rPr>
            <w:webHidden/>
          </w:rPr>
          <w:instrText xml:space="preserve"> PAGEREF _Toc113621669 \h </w:instrText>
        </w:r>
        <w:r w:rsidR="006632E3">
          <w:rPr>
            <w:webHidden/>
          </w:rPr>
        </w:r>
        <w:r w:rsidR="006632E3">
          <w:rPr>
            <w:webHidden/>
          </w:rPr>
          <w:fldChar w:fldCharType="separate"/>
        </w:r>
        <w:r w:rsidR="00D4298A">
          <w:rPr>
            <w:webHidden/>
          </w:rPr>
          <w:t>66</w:t>
        </w:r>
        <w:r w:rsidR="006632E3">
          <w:rPr>
            <w:webHidden/>
          </w:rPr>
          <w:fldChar w:fldCharType="end"/>
        </w:r>
      </w:hyperlink>
    </w:p>
    <w:p w14:paraId="43EE4C5D" w14:textId="0CBD1D62" w:rsidR="006632E3" w:rsidRDefault="00000000">
      <w:pPr>
        <w:pStyle w:val="TOC1"/>
        <w:rPr>
          <w:rFonts w:asciiTheme="minorHAnsi" w:eastAsiaTheme="minorEastAsia" w:hAnsiTheme="minorHAnsi"/>
          <w:color w:val="auto"/>
          <w:sz w:val="22"/>
          <w:szCs w:val="22"/>
          <w:lang w:eastAsia="en-AU"/>
        </w:rPr>
      </w:pPr>
      <w:hyperlink w:anchor="_Toc113621670" w:history="1">
        <w:r w:rsidR="006632E3" w:rsidRPr="006E79C6">
          <w:rPr>
            <w:rStyle w:val="Hyperlink"/>
          </w:rPr>
          <w:t>10</w:t>
        </w:r>
        <w:r w:rsidR="006632E3">
          <w:rPr>
            <w:rFonts w:asciiTheme="minorHAnsi" w:eastAsiaTheme="minorEastAsia" w:hAnsiTheme="minorHAnsi"/>
            <w:color w:val="auto"/>
            <w:sz w:val="22"/>
            <w:szCs w:val="22"/>
            <w:lang w:eastAsia="en-AU"/>
          </w:rPr>
          <w:tab/>
        </w:r>
        <w:r w:rsidR="006632E3" w:rsidRPr="006E79C6">
          <w:rPr>
            <w:rStyle w:val="Hyperlink"/>
          </w:rPr>
          <w:t>The environmental outcomes and benefits of the Basin Plan</w:t>
        </w:r>
        <w:r w:rsidR="006632E3">
          <w:rPr>
            <w:webHidden/>
          </w:rPr>
          <w:tab/>
        </w:r>
        <w:r w:rsidR="006632E3">
          <w:rPr>
            <w:webHidden/>
          </w:rPr>
          <w:fldChar w:fldCharType="begin"/>
        </w:r>
        <w:r w:rsidR="006632E3">
          <w:rPr>
            <w:webHidden/>
          </w:rPr>
          <w:instrText xml:space="preserve"> PAGEREF _Toc113621670 \h </w:instrText>
        </w:r>
        <w:r w:rsidR="006632E3">
          <w:rPr>
            <w:webHidden/>
          </w:rPr>
        </w:r>
        <w:r w:rsidR="006632E3">
          <w:rPr>
            <w:webHidden/>
          </w:rPr>
          <w:fldChar w:fldCharType="separate"/>
        </w:r>
        <w:r w:rsidR="00D4298A">
          <w:rPr>
            <w:webHidden/>
          </w:rPr>
          <w:t>68</w:t>
        </w:r>
        <w:r w:rsidR="006632E3">
          <w:rPr>
            <w:webHidden/>
          </w:rPr>
          <w:fldChar w:fldCharType="end"/>
        </w:r>
      </w:hyperlink>
    </w:p>
    <w:p w14:paraId="27F47583" w14:textId="4460668B" w:rsidR="006632E3" w:rsidRDefault="00000000">
      <w:pPr>
        <w:pStyle w:val="TOC1"/>
        <w:rPr>
          <w:rFonts w:asciiTheme="minorHAnsi" w:eastAsiaTheme="minorEastAsia" w:hAnsiTheme="minorHAnsi"/>
          <w:color w:val="auto"/>
          <w:sz w:val="22"/>
          <w:szCs w:val="22"/>
          <w:lang w:eastAsia="en-AU"/>
        </w:rPr>
      </w:pPr>
      <w:hyperlink w:anchor="_Toc113621671" w:history="1">
        <w:r w:rsidR="006632E3" w:rsidRPr="006E79C6">
          <w:rPr>
            <w:rStyle w:val="Hyperlink"/>
          </w:rPr>
          <w:t>11</w:t>
        </w:r>
        <w:r w:rsidR="006632E3">
          <w:rPr>
            <w:rFonts w:asciiTheme="minorHAnsi" w:eastAsiaTheme="minorEastAsia" w:hAnsiTheme="minorHAnsi"/>
            <w:color w:val="auto"/>
            <w:sz w:val="22"/>
            <w:szCs w:val="22"/>
            <w:lang w:eastAsia="en-AU"/>
          </w:rPr>
          <w:tab/>
        </w:r>
        <w:r w:rsidR="006632E3" w:rsidRPr="006E79C6">
          <w:rPr>
            <w:rStyle w:val="Hyperlink"/>
          </w:rPr>
          <w:t>Socio-economic impacts of the Basin Plan in Victoria to date</w:t>
        </w:r>
        <w:r w:rsidR="006632E3">
          <w:rPr>
            <w:webHidden/>
          </w:rPr>
          <w:tab/>
        </w:r>
        <w:r w:rsidR="006632E3">
          <w:rPr>
            <w:webHidden/>
          </w:rPr>
          <w:fldChar w:fldCharType="begin"/>
        </w:r>
        <w:r w:rsidR="006632E3">
          <w:rPr>
            <w:webHidden/>
          </w:rPr>
          <w:instrText xml:space="preserve"> PAGEREF _Toc113621671 \h </w:instrText>
        </w:r>
        <w:r w:rsidR="006632E3">
          <w:rPr>
            <w:webHidden/>
          </w:rPr>
        </w:r>
        <w:r w:rsidR="006632E3">
          <w:rPr>
            <w:webHidden/>
          </w:rPr>
          <w:fldChar w:fldCharType="separate"/>
        </w:r>
        <w:r w:rsidR="00D4298A">
          <w:rPr>
            <w:webHidden/>
          </w:rPr>
          <w:t>69</w:t>
        </w:r>
        <w:r w:rsidR="006632E3">
          <w:rPr>
            <w:webHidden/>
          </w:rPr>
          <w:fldChar w:fldCharType="end"/>
        </w:r>
      </w:hyperlink>
    </w:p>
    <w:p w14:paraId="684CE161" w14:textId="6CA36FD7" w:rsidR="006632E3" w:rsidRDefault="00000000">
      <w:pPr>
        <w:pStyle w:val="TOC2"/>
        <w:rPr>
          <w:rFonts w:asciiTheme="minorHAnsi" w:eastAsiaTheme="minorEastAsia" w:hAnsiTheme="minorHAnsi"/>
          <w:color w:val="auto"/>
          <w:sz w:val="22"/>
          <w:szCs w:val="22"/>
          <w:lang w:eastAsia="en-AU"/>
        </w:rPr>
      </w:pPr>
      <w:hyperlink w:anchor="_Toc113621672" w:history="1">
        <w:r w:rsidR="006632E3" w:rsidRPr="006E79C6">
          <w:rPr>
            <w:rStyle w:val="Hyperlink"/>
          </w:rPr>
          <w:t>11.1</w:t>
        </w:r>
        <w:r w:rsidR="006632E3">
          <w:rPr>
            <w:rFonts w:asciiTheme="minorHAnsi" w:eastAsiaTheme="minorEastAsia" w:hAnsiTheme="minorHAnsi"/>
            <w:color w:val="auto"/>
            <w:sz w:val="22"/>
            <w:szCs w:val="22"/>
            <w:lang w:eastAsia="en-AU"/>
          </w:rPr>
          <w:tab/>
        </w:r>
        <w:r w:rsidR="006632E3" w:rsidRPr="006E79C6">
          <w:rPr>
            <w:rStyle w:val="Hyperlink"/>
          </w:rPr>
          <w:t>Previous findings on socio-economic impacts of the Basin Plan</w:t>
        </w:r>
        <w:r w:rsidR="006632E3">
          <w:rPr>
            <w:webHidden/>
          </w:rPr>
          <w:tab/>
        </w:r>
        <w:r w:rsidR="006632E3">
          <w:rPr>
            <w:webHidden/>
          </w:rPr>
          <w:fldChar w:fldCharType="begin"/>
        </w:r>
        <w:r w:rsidR="006632E3">
          <w:rPr>
            <w:webHidden/>
          </w:rPr>
          <w:instrText xml:space="preserve"> PAGEREF _Toc113621672 \h </w:instrText>
        </w:r>
        <w:r w:rsidR="006632E3">
          <w:rPr>
            <w:webHidden/>
          </w:rPr>
        </w:r>
        <w:r w:rsidR="006632E3">
          <w:rPr>
            <w:webHidden/>
          </w:rPr>
          <w:fldChar w:fldCharType="separate"/>
        </w:r>
        <w:r w:rsidR="00D4298A">
          <w:rPr>
            <w:webHidden/>
          </w:rPr>
          <w:t>69</w:t>
        </w:r>
        <w:r w:rsidR="006632E3">
          <w:rPr>
            <w:webHidden/>
          </w:rPr>
          <w:fldChar w:fldCharType="end"/>
        </w:r>
      </w:hyperlink>
    </w:p>
    <w:p w14:paraId="686F2851" w14:textId="7601741E" w:rsidR="006632E3" w:rsidRDefault="00000000">
      <w:pPr>
        <w:pStyle w:val="TOC2"/>
        <w:rPr>
          <w:rFonts w:asciiTheme="minorHAnsi" w:eastAsiaTheme="minorEastAsia" w:hAnsiTheme="minorHAnsi"/>
          <w:color w:val="auto"/>
          <w:sz w:val="22"/>
          <w:szCs w:val="22"/>
          <w:lang w:eastAsia="en-AU"/>
        </w:rPr>
      </w:pPr>
      <w:hyperlink w:anchor="_Toc113621673" w:history="1">
        <w:r w:rsidR="006632E3" w:rsidRPr="006E79C6">
          <w:rPr>
            <w:rStyle w:val="Hyperlink"/>
          </w:rPr>
          <w:t>11.2</w:t>
        </w:r>
        <w:r w:rsidR="006632E3">
          <w:rPr>
            <w:rFonts w:asciiTheme="minorHAnsi" w:eastAsiaTheme="minorEastAsia" w:hAnsiTheme="minorHAnsi"/>
            <w:color w:val="auto"/>
            <w:sz w:val="22"/>
            <w:szCs w:val="22"/>
            <w:lang w:eastAsia="en-AU"/>
          </w:rPr>
          <w:tab/>
        </w:r>
        <w:r w:rsidR="006632E3" w:rsidRPr="006E79C6">
          <w:rPr>
            <w:rStyle w:val="Hyperlink"/>
          </w:rPr>
          <w:t>The likely impacts of water recovery offsets: SDLAM Projects</w:t>
        </w:r>
        <w:r w:rsidR="006632E3">
          <w:rPr>
            <w:webHidden/>
          </w:rPr>
          <w:tab/>
        </w:r>
        <w:r w:rsidR="006632E3">
          <w:rPr>
            <w:webHidden/>
          </w:rPr>
          <w:fldChar w:fldCharType="begin"/>
        </w:r>
        <w:r w:rsidR="006632E3">
          <w:rPr>
            <w:webHidden/>
          </w:rPr>
          <w:instrText xml:space="preserve"> PAGEREF _Toc113621673 \h </w:instrText>
        </w:r>
        <w:r w:rsidR="006632E3">
          <w:rPr>
            <w:webHidden/>
          </w:rPr>
        </w:r>
        <w:r w:rsidR="006632E3">
          <w:rPr>
            <w:webHidden/>
          </w:rPr>
          <w:fldChar w:fldCharType="separate"/>
        </w:r>
        <w:r w:rsidR="00D4298A">
          <w:rPr>
            <w:webHidden/>
          </w:rPr>
          <w:t>70</w:t>
        </w:r>
        <w:r w:rsidR="006632E3">
          <w:rPr>
            <w:webHidden/>
          </w:rPr>
          <w:fldChar w:fldCharType="end"/>
        </w:r>
      </w:hyperlink>
    </w:p>
    <w:p w14:paraId="0B6AA2B7" w14:textId="4D50622A" w:rsidR="006632E3" w:rsidRDefault="00000000">
      <w:pPr>
        <w:pStyle w:val="TOC2"/>
        <w:rPr>
          <w:rFonts w:asciiTheme="minorHAnsi" w:eastAsiaTheme="minorEastAsia" w:hAnsiTheme="minorHAnsi"/>
          <w:color w:val="auto"/>
          <w:sz w:val="22"/>
          <w:szCs w:val="22"/>
          <w:lang w:eastAsia="en-AU"/>
        </w:rPr>
      </w:pPr>
      <w:hyperlink w:anchor="_Toc113621674" w:history="1">
        <w:r w:rsidR="006632E3" w:rsidRPr="006E79C6">
          <w:rPr>
            <w:rStyle w:val="Hyperlink"/>
          </w:rPr>
          <w:t>11.3</w:t>
        </w:r>
        <w:r w:rsidR="006632E3">
          <w:rPr>
            <w:rFonts w:asciiTheme="minorHAnsi" w:eastAsiaTheme="minorEastAsia" w:hAnsiTheme="minorHAnsi"/>
            <w:color w:val="auto"/>
            <w:sz w:val="22"/>
            <w:szCs w:val="22"/>
            <w:lang w:eastAsia="en-AU"/>
          </w:rPr>
          <w:tab/>
        </w:r>
        <w:r w:rsidR="006632E3" w:rsidRPr="006E79C6">
          <w:rPr>
            <w:rStyle w:val="Hyperlink"/>
          </w:rPr>
          <w:t>The likely impacts of additional water recovery through efficiency measures</w:t>
        </w:r>
        <w:r w:rsidR="006632E3">
          <w:rPr>
            <w:webHidden/>
          </w:rPr>
          <w:tab/>
        </w:r>
        <w:r w:rsidR="006632E3">
          <w:rPr>
            <w:webHidden/>
          </w:rPr>
          <w:fldChar w:fldCharType="begin"/>
        </w:r>
        <w:r w:rsidR="006632E3">
          <w:rPr>
            <w:webHidden/>
          </w:rPr>
          <w:instrText xml:space="preserve"> PAGEREF _Toc113621674 \h </w:instrText>
        </w:r>
        <w:r w:rsidR="006632E3">
          <w:rPr>
            <w:webHidden/>
          </w:rPr>
        </w:r>
        <w:r w:rsidR="006632E3">
          <w:rPr>
            <w:webHidden/>
          </w:rPr>
          <w:fldChar w:fldCharType="separate"/>
        </w:r>
        <w:r w:rsidR="00D4298A">
          <w:rPr>
            <w:webHidden/>
          </w:rPr>
          <w:t>73</w:t>
        </w:r>
        <w:r w:rsidR="006632E3">
          <w:rPr>
            <w:webHidden/>
          </w:rPr>
          <w:fldChar w:fldCharType="end"/>
        </w:r>
      </w:hyperlink>
    </w:p>
    <w:p w14:paraId="14F1008E" w14:textId="70E62BAD" w:rsidR="006632E3" w:rsidRDefault="00000000">
      <w:pPr>
        <w:pStyle w:val="TOC1"/>
        <w:rPr>
          <w:rFonts w:asciiTheme="minorHAnsi" w:eastAsiaTheme="minorEastAsia" w:hAnsiTheme="minorHAnsi"/>
          <w:color w:val="auto"/>
          <w:sz w:val="22"/>
          <w:szCs w:val="22"/>
          <w:lang w:eastAsia="en-AU"/>
        </w:rPr>
      </w:pPr>
      <w:hyperlink w:anchor="_Toc113621675" w:history="1">
        <w:r w:rsidR="006632E3" w:rsidRPr="006E79C6">
          <w:rPr>
            <w:rStyle w:val="Hyperlink"/>
          </w:rPr>
          <w:t>12</w:t>
        </w:r>
        <w:r w:rsidR="006632E3">
          <w:rPr>
            <w:rFonts w:asciiTheme="minorHAnsi" w:eastAsiaTheme="minorEastAsia" w:hAnsiTheme="minorHAnsi"/>
            <w:color w:val="auto"/>
            <w:sz w:val="22"/>
            <w:szCs w:val="22"/>
            <w:lang w:eastAsia="en-AU"/>
          </w:rPr>
          <w:tab/>
        </w:r>
        <w:r w:rsidR="006632E3" w:rsidRPr="006E79C6">
          <w:rPr>
            <w:rStyle w:val="Hyperlink"/>
          </w:rPr>
          <w:t>The potential impacts of the Basin Plan into the future</w:t>
        </w:r>
        <w:r w:rsidR="006632E3">
          <w:rPr>
            <w:webHidden/>
          </w:rPr>
          <w:tab/>
        </w:r>
        <w:r w:rsidR="006632E3">
          <w:rPr>
            <w:webHidden/>
          </w:rPr>
          <w:fldChar w:fldCharType="begin"/>
        </w:r>
        <w:r w:rsidR="006632E3">
          <w:rPr>
            <w:webHidden/>
          </w:rPr>
          <w:instrText xml:space="preserve"> PAGEREF _Toc113621675 \h </w:instrText>
        </w:r>
        <w:r w:rsidR="006632E3">
          <w:rPr>
            <w:webHidden/>
          </w:rPr>
        </w:r>
        <w:r w:rsidR="006632E3">
          <w:rPr>
            <w:webHidden/>
          </w:rPr>
          <w:fldChar w:fldCharType="separate"/>
        </w:r>
        <w:r w:rsidR="00D4298A">
          <w:rPr>
            <w:webHidden/>
          </w:rPr>
          <w:t>76</w:t>
        </w:r>
        <w:r w:rsidR="006632E3">
          <w:rPr>
            <w:webHidden/>
          </w:rPr>
          <w:fldChar w:fldCharType="end"/>
        </w:r>
      </w:hyperlink>
    </w:p>
    <w:p w14:paraId="7CAEF24B" w14:textId="660B8993" w:rsidR="006632E3" w:rsidRDefault="00000000">
      <w:pPr>
        <w:pStyle w:val="TOC2"/>
        <w:rPr>
          <w:rFonts w:asciiTheme="minorHAnsi" w:eastAsiaTheme="minorEastAsia" w:hAnsiTheme="minorHAnsi"/>
          <w:color w:val="auto"/>
          <w:sz w:val="22"/>
          <w:szCs w:val="22"/>
          <w:lang w:eastAsia="en-AU"/>
        </w:rPr>
      </w:pPr>
      <w:hyperlink w:anchor="_Toc113621676" w:history="1">
        <w:r w:rsidR="006632E3" w:rsidRPr="006E79C6">
          <w:rPr>
            <w:rStyle w:val="Hyperlink"/>
          </w:rPr>
          <w:t>12.1</w:t>
        </w:r>
        <w:r w:rsidR="006632E3">
          <w:rPr>
            <w:rFonts w:asciiTheme="minorHAnsi" w:eastAsiaTheme="minorEastAsia" w:hAnsiTheme="minorHAnsi"/>
            <w:color w:val="auto"/>
            <w:sz w:val="22"/>
            <w:szCs w:val="22"/>
            <w:lang w:eastAsia="en-AU"/>
          </w:rPr>
          <w:tab/>
        </w:r>
        <w:r w:rsidR="006632E3" w:rsidRPr="006E79C6">
          <w:rPr>
            <w:rStyle w:val="Hyperlink"/>
          </w:rPr>
          <w:t>The impact of a 450 GL buyback</w:t>
        </w:r>
        <w:r w:rsidR="006632E3">
          <w:rPr>
            <w:webHidden/>
          </w:rPr>
          <w:tab/>
        </w:r>
        <w:r w:rsidR="006632E3">
          <w:rPr>
            <w:webHidden/>
          </w:rPr>
          <w:fldChar w:fldCharType="begin"/>
        </w:r>
        <w:r w:rsidR="006632E3">
          <w:rPr>
            <w:webHidden/>
          </w:rPr>
          <w:instrText xml:space="preserve"> PAGEREF _Toc113621676 \h </w:instrText>
        </w:r>
        <w:r w:rsidR="006632E3">
          <w:rPr>
            <w:webHidden/>
          </w:rPr>
        </w:r>
        <w:r w:rsidR="006632E3">
          <w:rPr>
            <w:webHidden/>
          </w:rPr>
          <w:fldChar w:fldCharType="separate"/>
        </w:r>
        <w:r w:rsidR="00D4298A">
          <w:rPr>
            <w:webHidden/>
          </w:rPr>
          <w:t>76</w:t>
        </w:r>
        <w:r w:rsidR="006632E3">
          <w:rPr>
            <w:webHidden/>
          </w:rPr>
          <w:fldChar w:fldCharType="end"/>
        </w:r>
      </w:hyperlink>
    </w:p>
    <w:p w14:paraId="5E92159D" w14:textId="01E4E176" w:rsidR="006632E3" w:rsidRDefault="00000000">
      <w:pPr>
        <w:pStyle w:val="TOC2"/>
        <w:rPr>
          <w:rFonts w:asciiTheme="minorHAnsi" w:eastAsiaTheme="minorEastAsia" w:hAnsiTheme="minorHAnsi"/>
          <w:color w:val="auto"/>
          <w:sz w:val="22"/>
          <w:szCs w:val="22"/>
          <w:lang w:eastAsia="en-AU"/>
        </w:rPr>
      </w:pPr>
      <w:hyperlink w:anchor="_Toc113621677" w:history="1">
        <w:r w:rsidR="006632E3" w:rsidRPr="006E79C6">
          <w:rPr>
            <w:rStyle w:val="Hyperlink"/>
          </w:rPr>
          <w:t>12.2</w:t>
        </w:r>
        <w:r w:rsidR="006632E3">
          <w:rPr>
            <w:rFonts w:asciiTheme="minorHAnsi" w:eastAsiaTheme="minorEastAsia" w:hAnsiTheme="minorHAnsi"/>
            <w:color w:val="auto"/>
            <w:sz w:val="22"/>
            <w:szCs w:val="22"/>
            <w:lang w:eastAsia="en-AU"/>
          </w:rPr>
          <w:tab/>
        </w:r>
        <w:r w:rsidR="006632E3" w:rsidRPr="006E79C6">
          <w:rPr>
            <w:rStyle w:val="Hyperlink"/>
          </w:rPr>
          <w:t>The impacts of the Basin Plan for possible future SDL scenarios</w:t>
        </w:r>
        <w:r w:rsidR="006632E3">
          <w:rPr>
            <w:webHidden/>
          </w:rPr>
          <w:tab/>
        </w:r>
        <w:r w:rsidR="006632E3">
          <w:rPr>
            <w:webHidden/>
          </w:rPr>
          <w:fldChar w:fldCharType="begin"/>
        </w:r>
        <w:r w:rsidR="006632E3">
          <w:rPr>
            <w:webHidden/>
          </w:rPr>
          <w:instrText xml:space="preserve"> PAGEREF _Toc113621677 \h </w:instrText>
        </w:r>
        <w:r w:rsidR="006632E3">
          <w:rPr>
            <w:webHidden/>
          </w:rPr>
        </w:r>
        <w:r w:rsidR="006632E3">
          <w:rPr>
            <w:webHidden/>
          </w:rPr>
          <w:fldChar w:fldCharType="separate"/>
        </w:r>
        <w:r w:rsidR="00D4298A">
          <w:rPr>
            <w:webHidden/>
          </w:rPr>
          <w:t>84</w:t>
        </w:r>
        <w:r w:rsidR="006632E3">
          <w:rPr>
            <w:webHidden/>
          </w:rPr>
          <w:fldChar w:fldCharType="end"/>
        </w:r>
      </w:hyperlink>
    </w:p>
    <w:p w14:paraId="2554174E" w14:textId="4E5E9AAF" w:rsidR="006632E3" w:rsidRDefault="00000000">
      <w:pPr>
        <w:pStyle w:val="TOC2"/>
        <w:rPr>
          <w:rFonts w:asciiTheme="minorHAnsi" w:eastAsiaTheme="minorEastAsia" w:hAnsiTheme="minorHAnsi"/>
          <w:color w:val="auto"/>
          <w:sz w:val="22"/>
          <w:szCs w:val="22"/>
          <w:lang w:eastAsia="en-AU"/>
        </w:rPr>
      </w:pPr>
      <w:hyperlink w:anchor="_Toc113621678" w:history="1">
        <w:r w:rsidR="006632E3" w:rsidRPr="006E79C6">
          <w:rPr>
            <w:rStyle w:val="Hyperlink"/>
          </w:rPr>
          <w:t>12.3</w:t>
        </w:r>
        <w:r w:rsidR="006632E3">
          <w:rPr>
            <w:rFonts w:asciiTheme="minorHAnsi" w:eastAsiaTheme="minorEastAsia" w:hAnsiTheme="minorHAnsi"/>
            <w:color w:val="auto"/>
            <w:sz w:val="22"/>
            <w:szCs w:val="22"/>
            <w:lang w:eastAsia="en-AU"/>
          </w:rPr>
          <w:tab/>
        </w:r>
        <w:r w:rsidR="006632E3" w:rsidRPr="006E79C6">
          <w:rPr>
            <w:rStyle w:val="Hyperlink"/>
          </w:rPr>
          <w:t>Scenario 1: Completion by June 2024</w:t>
        </w:r>
        <w:r w:rsidR="006632E3">
          <w:rPr>
            <w:webHidden/>
          </w:rPr>
          <w:tab/>
        </w:r>
        <w:r w:rsidR="006632E3">
          <w:rPr>
            <w:webHidden/>
          </w:rPr>
          <w:fldChar w:fldCharType="begin"/>
        </w:r>
        <w:r w:rsidR="006632E3">
          <w:rPr>
            <w:webHidden/>
          </w:rPr>
          <w:instrText xml:space="preserve"> PAGEREF _Toc113621678 \h </w:instrText>
        </w:r>
        <w:r w:rsidR="006632E3">
          <w:rPr>
            <w:webHidden/>
          </w:rPr>
        </w:r>
        <w:r w:rsidR="006632E3">
          <w:rPr>
            <w:webHidden/>
          </w:rPr>
          <w:fldChar w:fldCharType="separate"/>
        </w:r>
        <w:r w:rsidR="00D4298A">
          <w:rPr>
            <w:webHidden/>
          </w:rPr>
          <w:t>87</w:t>
        </w:r>
        <w:r w:rsidR="006632E3">
          <w:rPr>
            <w:webHidden/>
          </w:rPr>
          <w:fldChar w:fldCharType="end"/>
        </w:r>
      </w:hyperlink>
    </w:p>
    <w:p w14:paraId="260EDB10" w14:textId="0CEB303B" w:rsidR="006632E3" w:rsidRDefault="00000000">
      <w:pPr>
        <w:pStyle w:val="TOC2"/>
        <w:rPr>
          <w:rFonts w:asciiTheme="minorHAnsi" w:eastAsiaTheme="minorEastAsia" w:hAnsiTheme="minorHAnsi"/>
          <w:color w:val="auto"/>
          <w:sz w:val="22"/>
          <w:szCs w:val="22"/>
          <w:lang w:eastAsia="en-AU"/>
        </w:rPr>
      </w:pPr>
      <w:hyperlink w:anchor="_Toc113621679" w:history="1">
        <w:r w:rsidR="006632E3" w:rsidRPr="006E79C6">
          <w:rPr>
            <w:rStyle w:val="Hyperlink"/>
          </w:rPr>
          <w:t>12.4</w:t>
        </w:r>
        <w:r w:rsidR="006632E3">
          <w:rPr>
            <w:rFonts w:asciiTheme="minorHAnsi" w:eastAsiaTheme="minorEastAsia" w:hAnsiTheme="minorHAnsi"/>
            <w:color w:val="auto"/>
            <w:sz w:val="22"/>
            <w:szCs w:val="22"/>
            <w:lang w:eastAsia="en-AU"/>
          </w:rPr>
          <w:tab/>
        </w:r>
        <w:r w:rsidR="006632E3" w:rsidRPr="006E79C6">
          <w:rPr>
            <w:rStyle w:val="Hyperlink"/>
          </w:rPr>
          <w:t>Scenario 2: Timeline extension</w:t>
        </w:r>
        <w:r w:rsidR="006632E3">
          <w:rPr>
            <w:webHidden/>
          </w:rPr>
          <w:tab/>
        </w:r>
        <w:r w:rsidR="006632E3">
          <w:rPr>
            <w:webHidden/>
          </w:rPr>
          <w:fldChar w:fldCharType="begin"/>
        </w:r>
        <w:r w:rsidR="006632E3">
          <w:rPr>
            <w:webHidden/>
          </w:rPr>
          <w:instrText xml:space="preserve"> PAGEREF _Toc113621679 \h </w:instrText>
        </w:r>
        <w:r w:rsidR="006632E3">
          <w:rPr>
            <w:webHidden/>
          </w:rPr>
        </w:r>
        <w:r w:rsidR="006632E3">
          <w:rPr>
            <w:webHidden/>
          </w:rPr>
          <w:fldChar w:fldCharType="separate"/>
        </w:r>
        <w:r w:rsidR="00D4298A">
          <w:rPr>
            <w:webHidden/>
          </w:rPr>
          <w:t>88</w:t>
        </w:r>
        <w:r w:rsidR="006632E3">
          <w:rPr>
            <w:webHidden/>
          </w:rPr>
          <w:fldChar w:fldCharType="end"/>
        </w:r>
      </w:hyperlink>
    </w:p>
    <w:p w14:paraId="22F6B27B" w14:textId="3EF5E785" w:rsidR="006632E3" w:rsidRDefault="00000000">
      <w:pPr>
        <w:pStyle w:val="TOC2"/>
        <w:rPr>
          <w:rFonts w:asciiTheme="minorHAnsi" w:eastAsiaTheme="minorEastAsia" w:hAnsiTheme="minorHAnsi"/>
          <w:color w:val="auto"/>
          <w:sz w:val="22"/>
          <w:szCs w:val="22"/>
          <w:lang w:eastAsia="en-AU"/>
        </w:rPr>
      </w:pPr>
      <w:hyperlink w:anchor="_Toc113621680" w:history="1">
        <w:r w:rsidR="006632E3" w:rsidRPr="006E79C6">
          <w:rPr>
            <w:rStyle w:val="Hyperlink"/>
          </w:rPr>
          <w:t>12.5</w:t>
        </w:r>
        <w:r w:rsidR="006632E3">
          <w:rPr>
            <w:rFonts w:asciiTheme="minorHAnsi" w:eastAsiaTheme="minorEastAsia" w:hAnsiTheme="minorHAnsi"/>
            <w:color w:val="auto"/>
            <w:sz w:val="22"/>
            <w:szCs w:val="22"/>
            <w:lang w:eastAsia="en-AU"/>
          </w:rPr>
          <w:tab/>
        </w:r>
        <w:r w:rsidR="006632E3" w:rsidRPr="006E79C6">
          <w:rPr>
            <w:rStyle w:val="Hyperlink"/>
          </w:rPr>
          <w:t>Scenario 3: Buyback used to bridge the gap in 2024</w:t>
        </w:r>
        <w:r w:rsidR="006632E3">
          <w:rPr>
            <w:webHidden/>
          </w:rPr>
          <w:tab/>
        </w:r>
        <w:r w:rsidR="006632E3">
          <w:rPr>
            <w:webHidden/>
          </w:rPr>
          <w:fldChar w:fldCharType="begin"/>
        </w:r>
        <w:r w:rsidR="006632E3">
          <w:rPr>
            <w:webHidden/>
          </w:rPr>
          <w:instrText xml:space="preserve"> PAGEREF _Toc113621680 \h </w:instrText>
        </w:r>
        <w:r w:rsidR="006632E3">
          <w:rPr>
            <w:webHidden/>
          </w:rPr>
        </w:r>
        <w:r w:rsidR="006632E3">
          <w:rPr>
            <w:webHidden/>
          </w:rPr>
          <w:fldChar w:fldCharType="separate"/>
        </w:r>
        <w:r w:rsidR="00D4298A">
          <w:rPr>
            <w:webHidden/>
          </w:rPr>
          <w:t>89</w:t>
        </w:r>
        <w:r w:rsidR="006632E3">
          <w:rPr>
            <w:webHidden/>
          </w:rPr>
          <w:fldChar w:fldCharType="end"/>
        </w:r>
      </w:hyperlink>
    </w:p>
    <w:p w14:paraId="6D29DEF7" w14:textId="25EA26FC" w:rsidR="006632E3" w:rsidRDefault="00000000">
      <w:pPr>
        <w:pStyle w:val="TOC2"/>
        <w:rPr>
          <w:rFonts w:asciiTheme="minorHAnsi" w:eastAsiaTheme="minorEastAsia" w:hAnsiTheme="minorHAnsi"/>
          <w:color w:val="auto"/>
          <w:sz w:val="22"/>
          <w:szCs w:val="22"/>
          <w:lang w:eastAsia="en-AU"/>
        </w:rPr>
      </w:pPr>
      <w:hyperlink w:anchor="_Toc113621681" w:history="1">
        <w:r w:rsidR="006632E3" w:rsidRPr="006E79C6">
          <w:rPr>
            <w:rStyle w:val="Hyperlink"/>
          </w:rPr>
          <w:t>12.6</w:t>
        </w:r>
        <w:r w:rsidR="006632E3">
          <w:rPr>
            <w:rFonts w:asciiTheme="minorHAnsi" w:eastAsiaTheme="minorEastAsia" w:hAnsiTheme="minorHAnsi"/>
            <w:color w:val="auto"/>
            <w:sz w:val="22"/>
            <w:szCs w:val="22"/>
            <w:lang w:eastAsia="en-AU"/>
          </w:rPr>
          <w:tab/>
        </w:r>
        <w:r w:rsidR="006632E3" w:rsidRPr="006E79C6">
          <w:rPr>
            <w:rStyle w:val="Hyperlink"/>
          </w:rPr>
          <w:t>Scenario 4: Buyback used to bridge the gap and 450GL</w:t>
        </w:r>
        <w:r w:rsidR="006632E3">
          <w:rPr>
            <w:webHidden/>
          </w:rPr>
          <w:tab/>
        </w:r>
        <w:r w:rsidR="006632E3">
          <w:rPr>
            <w:webHidden/>
          </w:rPr>
          <w:fldChar w:fldCharType="begin"/>
        </w:r>
        <w:r w:rsidR="006632E3">
          <w:rPr>
            <w:webHidden/>
          </w:rPr>
          <w:instrText xml:space="preserve"> PAGEREF _Toc113621681 \h </w:instrText>
        </w:r>
        <w:r w:rsidR="006632E3">
          <w:rPr>
            <w:webHidden/>
          </w:rPr>
        </w:r>
        <w:r w:rsidR="006632E3">
          <w:rPr>
            <w:webHidden/>
          </w:rPr>
          <w:fldChar w:fldCharType="separate"/>
        </w:r>
        <w:r w:rsidR="00D4298A">
          <w:rPr>
            <w:webHidden/>
          </w:rPr>
          <w:t>91</w:t>
        </w:r>
        <w:r w:rsidR="006632E3">
          <w:rPr>
            <w:webHidden/>
          </w:rPr>
          <w:fldChar w:fldCharType="end"/>
        </w:r>
      </w:hyperlink>
    </w:p>
    <w:p w14:paraId="7A5B921A" w14:textId="777CC2A4" w:rsidR="006632E3" w:rsidRDefault="00000000">
      <w:pPr>
        <w:pStyle w:val="TOC1"/>
        <w:rPr>
          <w:rFonts w:asciiTheme="minorHAnsi" w:eastAsiaTheme="minorEastAsia" w:hAnsiTheme="minorHAnsi"/>
          <w:color w:val="auto"/>
          <w:sz w:val="22"/>
          <w:szCs w:val="22"/>
          <w:lang w:eastAsia="en-AU"/>
        </w:rPr>
      </w:pPr>
      <w:hyperlink w:anchor="_Toc113621682" w:history="1">
        <w:r w:rsidR="006632E3" w:rsidRPr="006E79C6">
          <w:rPr>
            <w:rStyle w:val="Hyperlink"/>
          </w:rPr>
          <w:t>13</w:t>
        </w:r>
        <w:r w:rsidR="006632E3">
          <w:rPr>
            <w:rFonts w:asciiTheme="minorHAnsi" w:eastAsiaTheme="minorEastAsia" w:hAnsiTheme="minorHAnsi"/>
            <w:color w:val="auto"/>
            <w:sz w:val="22"/>
            <w:szCs w:val="22"/>
            <w:lang w:eastAsia="en-AU"/>
          </w:rPr>
          <w:tab/>
        </w:r>
        <w:r w:rsidR="006632E3" w:rsidRPr="006E79C6">
          <w:rPr>
            <w:rStyle w:val="Hyperlink"/>
          </w:rPr>
          <w:t>Findings and concluding comments</w:t>
        </w:r>
        <w:r w:rsidR="006632E3">
          <w:rPr>
            <w:webHidden/>
          </w:rPr>
          <w:tab/>
        </w:r>
        <w:r w:rsidR="006632E3">
          <w:rPr>
            <w:webHidden/>
          </w:rPr>
          <w:fldChar w:fldCharType="begin"/>
        </w:r>
        <w:r w:rsidR="006632E3">
          <w:rPr>
            <w:webHidden/>
          </w:rPr>
          <w:instrText xml:space="preserve"> PAGEREF _Toc113621682 \h </w:instrText>
        </w:r>
        <w:r w:rsidR="006632E3">
          <w:rPr>
            <w:webHidden/>
          </w:rPr>
        </w:r>
        <w:r w:rsidR="006632E3">
          <w:rPr>
            <w:webHidden/>
          </w:rPr>
          <w:fldChar w:fldCharType="separate"/>
        </w:r>
        <w:r w:rsidR="00D4298A">
          <w:rPr>
            <w:webHidden/>
          </w:rPr>
          <w:t>93</w:t>
        </w:r>
        <w:r w:rsidR="006632E3">
          <w:rPr>
            <w:webHidden/>
          </w:rPr>
          <w:fldChar w:fldCharType="end"/>
        </w:r>
      </w:hyperlink>
    </w:p>
    <w:p w14:paraId="2600F0B3" w14:textId="34DA4E87" w:rsidR="006632E3" w:rsidRDefault="00000000">
      <w:pPr>
        <w:pStyle w:val="TOC2"/>
        <w:rPr>
          <w:rFonts w:asciiTheme="minorHAnsi" w:eastAsiaTheme="minorEastAsia" w:hAnsiTheme="minorHAnsi"/>
          <w:color w:val="auto"/>
          <w:sz w:val="22"/>
          <w:szCs w:val="22"/>
          <w:lang w:eastAsia="en-AU"/>
        </w:rPr>
      </w:pPr>
      <w:hyperlink w:anchor="_Toc113621683" w:history="1">
        <w:r w:rsidR="006632E3" w:rsidRPr="006E79C6">
          <w:rPr>
            <w:rStyle w:val="Hyperlink"/>
          </w:rPr>
          <w:t>13.1</w:t>
        </w:r>
        <w:r w:rsidR="006632E3">
          <w:rPr>
            <w:rFonts w:asciiTheme="minorHAnsi" w:eastAsiaTheme="minorEastAsia" w:hAnsiTheme="minorHAnsi"/>
            <w:color w:val="auto"/>
            <w:sz w:val="22"/>
            <w:szCs w:val="22"/>
            <w:lang w:eastAsia="en-AU"/>
          </w:rPr>
          <w:tab/>
        </w:r>
        <w:r w:rsidR="006632E3" w:rsidRPr="006E79C6">
          <w:rPr>
            <w:rStyle w:val="Hyperlink"/>
          </w:rPr>
          <w:t>Findings</w:t>
        </w:r>
        <w:r w:rsidR="006632E3">
          <w:rPr>
            <w:webHidden/>
          </w:rPr>
          <w:tab/>
        </w:r>
        <w:r w:rsidR="006632E3">
          <w:rPr>
            <w:webHidden/>
          </w:rPr>
          <w:fldChar w:fldCharType="begin"/>
        </w:r>
        <w:r w:rsidR="006632E3">
          <w:rPr>
            <w:webHidden/>
          </w:rPr>
          <w:instrText xml:space="preserve"> PAGEREF _Toc113621683 \h </w:instrText>
        </w:r>
        <w:r w:rsidR="006632E3">
          <w:rPr>
            <w:webHidden/>
          </w:rPr>
        </w:r>
        <w:r w:rsidR="006632E3">
          <w:rPr>
            <w:webHidden/>
          </w:rPr>
          <w:fldChar w:fldCharType="separate"/>
        </w:r>
        <w:r w:rsidR="00D4298A">
          <w:rPr>
            <w:webHidden/>
          </w:rPr>
          <w:t>93</w:t>
        </w:r>
        <w:r w:rsidR="006632E3">
          <w:rPr>
            <w:webHidden/>
          </w:rPr>
          <w:fldChar w:fldCharType="end"/>
        </w:r>
      </w:hyperlink>
    </w:p>
    <w:p w14:paraId="0D1EC33F" w14:textId="38C138F6" w:rsidR="006632E3" w:rsidRDefault="00000000">
      <w:pPr>
        <w:pStyle w:val="TOC2"/>
        <w:rPr>
          <w:rFonts w:asciiTheme="minorHAnsi" w:eastAsiaTheme="minorEastAsia" w:hAnsiTheme="minorHAnsi"/>
          <w:color w:val="auto"/>
          <w:sz w:val="22"/>
          <w:szCs w:val="22"/>
          <w:lang w:eastAsia="en-AU"/>
        </w:rPr>
      </w:pPr>
      <w:hyperlink w:anchor="_Toc113621684" w:history="1">
        <w:r w:rsidR="006632E3" w:rsidRPr="006E79C6">
          <w:rPr>
            <w:rStyle w:val="Hyperlink"/>
          </w:rPr>
          <w:t>13.2</w:t>
        </w:r>
        <w:r w:rsidR="006632E3">
          <w:rPr>
            <w:rFonts w:asciiTheme="minorHAnsi" w:eastAsiaTheme="minorEastAsia" w:hAnsiTheme="minorHAnsi"/>
            <w:color w:val="auto"/>
            <w:sz w:val="22"/>
            <w:szCs w:val="22"/>
            <w:lang w:eastAsia="en-AU"/>
          </w:rPr>
          <w:tab/>
        </w:r>
        <w:r w:rsidR="006632E3" w:rsidRPr="006E79C6">
          <w:rPr>
            <w:rStyle w:val="Hyperlink"/>
          </w:rPr>
          <w:t>Concluding comments</w:t>
        </w:r>
        <w:r w:rsidR="006632E3">
          <w:rPr>
            <w:webHidden/>
          </w:rPr>
          <w:tab/>
        </w:r>
        <w:r w:rsidR="006632E3">
          <w:rPr>
            <w:webHidden/>
          </w:rPr>
          <w:fldChar w:fldCharType="begin"/>
        </w:r>
        <w:r w:rsidR="006632E3">
          <w:rPr>
            <w:webHidden/>
          </w:rPr>
          <w:instrText xml:space="preserve"> PAGEREF _Toc113621684 \h </w:instrText>
        </w:r>
        <w:r w:rsidR="006632E3">
          <w:rPr>
            <w:webHidden/>
          </w:rPr>
        </w:r>
        <w:r w:rsidR="006632E3">
          <w:rPr>
            <w:webHidden/>
          </w:rPr>
          <w:fldChar w:fldCharType="separate"/>
        </w:r>
        <w:r w:rsidR="00D4298A">
          <w:rPr>
            <w:webHidden/>
          </w:rPr>
          <w:t>95</w:t>
        </w:r>
        <w:r w:rsidR="006632E3">
          <w:rPr>
            <w:webHidden/>
          </w:rPr>
          <w:fldChar w:fldCharType="end"/>
        </w:r>
      </w:hyperlink>
    </w:p>
    <w:p w14:paraId="7034EE8C" w14:textId="58B1F493" w:rsidR="006632E3" w:rsidRDefault="00000000">
      <w:pPr>
        <w:pStyle w:val="TOC1"/>
        <w:rPr>
          <w:rFonts w:asciiTheme="minorHAnsi" w:eastAsiaTheme="minorEastAsia" w:hAnsiTheme="minorHAnsi"/>
          <w:color w:val="auto"/>
          <w:sz w:val="22"/>
          <w:szCs w:val="22"/>
          <w:lang w:eastAsia="en-AU"/>
        </w:rPr>
      </w:pPr>
      <w:hyperlink w:anchor="_Toc113621685" w:history="1">
        <w:r w:rsidR="006632E3" w:rsidRPr="006E79C6">
          <w:rPr>
            <w:rStyle w:val="Hyperlink"/>
          </w:rPr>
          <w:t>Key references</w:t>
        </w:r>
        <w:r w:rsidR="006632E3">
          <w:rPr>
            <w:webHidden/>
          </w:rPr>
          <w:tab/>
        </w:r>
        <w:r w:rsidR="006632E3">
          <w:rPr>
            <w:webHidden/>
          </w:rPr>
          <w:fldChar w:fldCharType="begin"/>
        </w:r>
        <w:r w:rsidR="006632E3">
          <w:rPr>
            <w:webHidden/>
          </w:rPr>
          <w:instrText xml:space="preserve"> PAGEREF _Toc113621685 \h </w:instrText>
        </w:r>
        <w:r w:rsidR="006632E3">
          <w:rPr>
            <w:webHidden/>
          </w:rPr>
        </w:r>
        <w:r w:rsidR="006632E3">
          <w:rPr>
            <w:webHidden/>
          </w:rPr>
          <w:fldChar w:fldCharType="separate"/>
        </w:r>
        <w:r w:rsidR="00D4298A">
          <w:rPr>
            <w:webHidden/>
          </w:rPr>
          <w:t>96</w:t>
        </w:r>
        <w:r w:rsidR="006632E3">
          <w:rPr>
            <w:webHidden/>
          </w:rPr>
          <w:fldChar w:fldCharType="end"/>
        </w:r>
      </w:hyperlink>
    </w:p>
    <w:p w14:paraId="39B06693" w14:textId="3796AF95" w:rsidR="006632E3" w:rsidRDefault="00000000">
      <w:pPr>
        <w:pStyle w:val="TOC1"/>
        <w:rPr>
          <w:rFonts w:asciiTheme="minorHAnsi" w:eastAsiaTheme="minorEastAsia" w:hAnsiTheme="minorHAnsi"/>
          <w:color w:val="auto"/>
          <w:sz w:val="22"/>
          <w:szCs w:val="22"/>
          <w:lang w:eastAsia="en-AU"/>
        </w:rPr>
      </w:pPr>
      <w:hyperlink w:anchor="_Toc113621686" w:history="1">
        <w:r w:rsidR="006632E3" w:rsidRPr="006E79C6">
          <w:rPr>
            <w:rStyle w:val="Hyperlink"/>
          </w:rPr>
          <w:t>Appendix 1: Agreed Socio-Economic Criteria for 450 GL Efficiency Measures</w:t>
        </w:r>
        <w:r w:rsidR="006632E3">
          <w:rPr>
            <w:webHidden/>
          </w:rPr>
          <w:tab/>
        </w:r>
        <w:r w:rsidR="006632E3">
          <w:rPr>
            <w:webHidden/>
          </w:rPr>
          <w:fldChar w:fldCharType="begin"/>
        </w:r>
        <w:r w:rsidR="006632E3">
          <w:rPr>
            <w:webHidden/>
          </w:rPr>
          <w:instrText xml:space="preserve"> PAGEREF _Toc113621686 \h </w:instrText>
        </w:r>
        <w:r w:rsidR="006632E3">
          <w:rPr>
            <w:webHidden/>
          </w:rPr>
        </w:r>
        <w:r w:rsidR="006632E3">
          <w:rPr>
            <w:webHidden/>
          </w:rPr>
          <w:fldChar w:fldCharType="separate"/>
        </w:r>
        <w:r w:rsidR="00D4298A">
          <w:rPr>
            <w:webHidden/>
          </w:rPr>
          <w:t>98</w:t>
        </w:r>
        <w:r w:rsidR="006632E3">
          <w:rPr>
            <w:webHidden/>
          </w:rPr>
          <w:fldChar w:fldCharType="end"/>
        </w:r>
      </w:hyperlink>
    </w:p>
    <w:p w14:paraId="3F5BD6AA" w14:textId="21A6043F" w:rsidR="006632E3" w:rsidRDefault="00000000">
      <w:pPr>
        <w:pStyle w:val="TOC1"/>
        <w:rPr>
          <w:rFonts w:asciiTheme="minorHAnsi" w:eastAsiaTheme="minorEastAsia" w:hAnsiTheme="minorHAnsi"/>
          <w:color w:val="auto"/>
          <w:sz w:val="22"/>
          <w:szCs w:val="22"/>
          <w:lang w:eastAsia="en-AU"/>
        </w:rPr>
      </w:pPr>
      <w:hyperlink w:anchor="_Toc113621687" w:history="1">
        <w:r w:rsidR="006632E3" w:rsidRPr="006E79C6">
          <w:rPr>
            <w:rStyle w:val="Hyperlink"/>
          </w:rPr>
          <w:t>Appendix 2: Socio-economic and water recovery assessments</w:t>
        </w:r>
        <w:r w:rsidR="006632E3">
          <w:rPr>
            <w:webHidden/>
          </w:rPr>
          <w:tab/>
        </w:r>
        <w:r w:rsidR="006632E3">
          <w:rPr>
            <w:webHidden/>
          </w:rPr>
          <w:fldChar w:fldCharType="begin"/>
        </w:r>
        <w:r w:rsidR="006632E3">
          <w:rPr>
            <w:webHidden/>
          </w:rPr>
          <w:instrText xml:space="preserve"> PAGEREF _Toc113621687 \h </w:instrText>
        </w:r>
        <w:r w:rsidR="006632E3">
          <w:rPr>
            <w:webHidden/>
          </w:rPr>
        </w:r>
        <w:r w:rsidR="006632E3">
          <w:rPr>
            <w:webHidden/>
          </w:rPr>
          <w:fldChar w:fldCharType="separate"/>
        </w:r>
        <w:r w:rsidR="00D4298A">
          <w:rPr>
            <w:webHidden/>
          </w:rPr>
          <w:t>102</w:t>
        </w:r>
        <w:r w:rsidR="006632E3">
          <w:rPr>
            <w:webHidden/>
          </w:rPr>
          <w:fldChar w:fldCharType="end"/>
        </w:r>
      </w:hyperlink>
    </w:p>
    <w:p w14:paraId="0A851257" w14:textId="0C96D0FC" w:rsidR="00071C27" w:rsidRPr="00071C27" w:rsidRDefault="00B70B0D" w:rsidP="006632E3">
      <w:pPr>
        <w:pStyle w:val="TOC3"/>
      </w:pPr>
      <w:r>
        <w:rPr>
          <w:rFonts w:ascii="Open Sans SemiBold" w:hAnsi="Open Sans SemiBold"/>
          <w:b w:val="0"/>
          <w:noProof/>
          <w:color w:val="207BA1" w:themeColor="accent2"/>
        </w:rPr>
        <w:lastRenderedPageBreak/>
        <w:fldChar w:fldCharType="end"/>
      </w:r>
    </w:p>
    <w:p w14:paraId="3D8CB617" w14:textId="7D395C1A" w:rsidR="00C178BF" w:rsidRDefault="00C178BF" w:rsidP="009B268F">
      <w:pPr>
        <w:pStyle w:val="TOC3"/>
      </w:pPr>
      <w:r>
        <w:t>Tables</w:t>
      </w:r>
    </w:p>
    <w:p w14:paraId="5C681046" w14:textId="50906D05" w:rsidR="006632E3" w:rsidRDefault="00CB7AEF">
      <w:pPr>
        <w:pStyle w:val="TableofFigures"/>
        <w:rPr>
          <w:rFonts w:asciiTheme="minorHAnsi" w:eastAsiaTheme="minorEastAsia" w:hAnsiTheme="minorHAnsi"/>
          <w:color w:val="auto"/>
          <w:sz w:val="22"/>
          <w:szCs w:val="22"/>
          <w:lang w:eastAsia="en-AU"/>
        </w:rPr>
      </w:pPr>
      <w:r w:rsidRPr="00E57B03">
        <w:rPr>
          <w:sz w:val="24"/>
          <w:szCs w:val="24"/>
        </w:rPr>
        <w:fldChar w:fldCharType="begin"/>
      </w:r>
      <w:r w:rsidR="00C178BF" w:rsidRPr="00E57B03">
        <w:rPr>
          <w:sz w:val="24"/>
          <w:szCs w:val="24"/>
        </w:rPr>
        <w:instrText xml:space="preserve"> TOC \c "Table" </w:instrText>
      </w:r>
      <w:r w:rsidRPr="00E57B03">
        <w:rPr>
          <w:sz w:val="24"/>
          <w:szCs w:val="24"/>
        </w:rPr>
        <w:fldChar w:fldCharType="separate"/>
      </w:r>
      <w:r w:rsidR="006632E3" w:rsidRPr="00D85382">
        <w:rPr>
          <w:b/>
        </w:rPr>
        <w:t>Table 1:</w:t>
      </w:r>
      <w:r w:rsidR="006632E3">
        <w:t xml:space="preserve"> Net water trade into Victoria (non-environmental), and selected zones</w:t>
      </w:r>
      <w:r w:rsidR="006632E3">
        <w:tab/>
      </w:r>
      <w:r w:rsidR="006632E3">
        <w:fldChar w:fldCharType="begin"/>
      </w:r>
      <w:r w:rsidR="006632E3">
        <w:instrText xml:space="preserve"> PAGEREF _Toc113621688 \h </w:instrText>
      </w:r>
      <w:r w:rsidR="006632E3">
        <w:fldChar w:fldCharType="separate"/>
      </w:r>
      <w:r w:rsidR="00D4298A">
        <w:t>30</w:t>
      </w:r>
      <w:r w:rsidR="006632E3">
        <w:fldChar w:fldCharType="end"/>
      </w:r>
    </w:p>
    <w:p w14:paraId="1F45423F" w14:textId="2AD30FE0" w:rsidR="006632E3" w:rsidRDefault="006632E3">
      <w:pPr>
        <w:pStyle w:val="TableofFigures"/>
        <w:rPr>
          <w:rFonts w:asciiTheme="minorHAnsi" w:eastAsiaTheme="minorEastAsia" w:hAnsiTheme="minorHAnsi"/>
          <w:color w:val="auto"/>
          <w:sz w:val="22"/>
          <w:szCs w:val="22"/>
          <w:lang w:eastAsia="en-AU"/>
        </w:rPr>
      </w:pPr>
      <w:r w:rsidRPr="00D85382">
        <w:rPr>
          <w:b/>
        </w:rPr>
        <w:t>Table 2:</w:t>
      </w:r>
      <w:r>
        <w:t xml:space="preserve"> ‘Bridging the Gap’ water recovery (Commonwealth and State), GL LTAAY</w:t>
      </w:r>
      <w:r>
        <w:tab/>
      </w:r>
      <w:r>
        <w:fldChar w:fldCharType="begin"/>
      </w:r>
      <w:r>
        <w:instrText xml:space="preserve"> PAGEREF _Toc113621689 \h </w:instrText>
      </w:r>
      <w:r>
        <w:fldChar w:fldCharType="separate"/>
      </w:r>
      <w:r w:rsidR="00D4298A">
        <w:t>34</w:t>
      </w:r>
      <w:r>
        <w:fldChar w:fldCharType="end"/>
      </w:r>
    </w:p>
    <w:p w14:paraId="3F0B252E" w14:textId="7DF49FCF" w:rsidR="006632E3" w:rsidRDefault="006632E3">
      <w:pPr>
        <w:pStyle w:val="TableofFigures"/>
        <w:rPr>
          <w:rFonts w:asciiTheme="minorHAnsi" w:eastAsiaTheme="minorEastAsia" w:hAnsiTheme="minorHAnsi"/>
          <w:color w:val="auto"/>
          <w:sz w:val="22"/>
          <w:szCs w:val="22"/>
          <w:lang w:eastAsia="en-AU"/>
        </w:rPr>
      </w:pPr>
      <w:r w:rsidRPr="00D85382">
        <w:rPr>
          <w:b/>
        </w:rPr>
        <w:t>Table 3:</w:t>
      </w:r>
      <w:r>
        <w:t xml:space="preserve"> Commonwealth water recovery methods, total MDB from 2007-08 to 2021-22</w:t>
      </w:r>
      <w:r>
        <w:tab/>
      </w:r>
      <w:r>
        <w:fldChar w:fldCharType="begin"/>
      </w:r>
      <w:r>
        <w:instrText xml:space="preserve"> PAGEREF _Toc113621690 \h </w:instrText>
      </w:r>
      <w:r>
        <w:fldChar w:fldCharType="separate"/>
      </w:r>
      <w:r w:rsidR="00D4298A">
        <w:t>35</w:t>
      </w:r>
      <w:r>
        <w:fldChar w:fldCharType="end"/>
      </w:r>
    </w:p>
    <w:p w14:paraId="299E3BB1" w14:textId="225768A6" w:rsidR="006632E3" w:rsidRDefault="006632E3">
      <w:pPr>
        <w:pStyle w:val="TableofFigures"/>
        <w:rPr>
          <w:rFonts w:asciiTheme="minorHAnsi" w:eastAsiaTheme="minorEastAsia" w:hAnsiTheme="minorHAnsi"/>
          <w:color w:val="auto"/>
          <w:sz w:val="22"/>
          <w:szCs w:val="22"/>
          <w:lang w:eastAsia="en-AU"/>
        </w:rPr>
      </w:pPr>
      <w:r w:rsidRPr="00D85382">
        <w:rPr>
          <w:b/>
        </w:rPr>
        <w:t>Table 4:</w:t>
      </w:r>
      <w:r>
        <w:t xml:space="preserve"> Commonwealth southern MDB surface water recovery methods, by State (GL LTAAY)</w:t>
      </w:r>
      <w:r>
        <w:tab/>
      </w:r>
      <w:r>
        <w:fldChar w:fldCharType="begin"/>
      </w:r>
      <w:r>
        <w:instrText xml:space="preserve"> PAGEREF _Toc113621691 \h </w:instrText>
      </w:r>
      <w:r>
        <w:fldChar w:fldCharType="separate"/>
      </w:r>
      <w:r w:rsidR="00D4298A">
        <w:t>36</w:t>
      </w:r>
      <w:r>
        <w:fldChar w:fldCharType="end"/>
      </w:r>
    </w:p>
    <w:p w14:paraId="3664B0F2" w14:textId="264D4851" w:rsidR="006632E3" w:rsidRDefault="006632E3">
      <w:pPr>
        <w:pStyle w:val="TableofFigures"/>
        <w:rPr>
          <w:rFonts w:asciiTheme="minorHAnsi" w:eastAsiaTheme="minorEastAsia" w:hAnsiTheme="minorHAnsi"/>
          <w:color w:val="auto"/>
          <w:sz w:val="22"/>
          <w:szCs w:val="22"/>
          <w:lang w:eastAsia="en-AU"/>
        </w:rPr>
      </w:pPr>
      <w:r w:rsidRPr="00D85382">
        <w:rPr>
          <w:b/>
        </w:rPr>
        <w:t>Table 5:</w:t>
      </w:r>
      <w:r>
        <w:t xml:space="preserve"> Commonwealth southern MDB surface water recovery methods, proportion of State LTAAY</w:t>
      </w:r>
      <w:r>
        <w:tab/>
      </w:r>
      <w:r>
        <w:fldChar w:fldCharType="begin"/>
      </w:r>
      <w:r>
        <w:instrText xml:space="preserve"> PAGEREF _Toc113621692 \h </w:instrText>
      </w:r>
      <w:r>
        <w:fldChar w:fldCharType="separate"/>
      </w:r>
      <w:r w:rsidR="00D4298A">
        <w:t>36</w:t>
      </w:r>
      <w:r>
        <w:fldChar w:fldCharType="end"/>
      </w:r>
    </w:p>
    <w:p w14:paraId="4FE4FDDE" w14:textId="7D64035A" w:rsidR="006632E3" w:rsidRDefault="006632E3">
      <w:pPr>
        <w:pStyle w:val="TableofFigures"/>
        <w:rPr>
          <w:rFonts w:asciiTheme="minorHAnsi" w:eastAsiaTheme="minorEastAsia" w:hAnsiTheme="minorHAnsi"/>
          <w:color w:val="auto"/>
          <w:sz w:val="22"/>
          <w:szCs w:val="22"/>
          <w:lang w:eastAsia="en-AU"/>
        </w:rPr>
      </w:pPr>
      <w:r w:rsidRPr="00D85382">
        <w:rPr>
          <w:b/>
        </w:rPr>
        <w:t>Table 6:</w:t>
      </w:r>
      <w:r>
        <w:t xml:space="preserve"> Commonwealth southern MDB surface water recovery methods, disaggregating by reliability (GL LTAAY)</w:t>
      </w:r>
      <w:r>
        <w:tab/>
      </w:r>
      <w:r>
        <w:fldChar w:fldCharType="begin"/>
      </w:r>
      <w:r>
        <w:instrText xml:space="preserve"> PAGEREF _Toc113621693 \h </w:instrText>
      </w:r>
      <w:r>
        <w:fldChar w:fldCharType="separate"/>
      </w:r>
      <w:r w:rsidR="00D4298A">
        <w:t>37</w:t>
      </w:r>
      <w:r>
        <w:fldChar w:fldCharType="end"/>
      </w:r>
    </w:p>
    <w:p w14:paraId="1EEC1234" w14:textId="680DBAA5" w:rsidR="006632E3" w:rsidRDefault="006632E3">
      <w:pPr>
        <w:pStyle w:val="TableofFigures"/>
        <w:rPr>
          <w:rFonts w:asciiTheme="minorHAnsi" w:eastAsiaTheme="minorEastAsia" w:hAnsiTheme="minorHAnsi"/>
          <w:color w:val="auto"/>
          <w:sz w:val="22"/>
          <w:szCs w:val="22"/>
          <w:lang w:eastAsia="en-AU"/>
        </w:rPr>
      </w:pPr>
      <w:r w:rsidRPr="00D85382">
        <w:rPr>
          <w:b/>
        </w:rPr>
        <w:t>Table 7:</w:t>
      </w:r>
      <w:r>
        <w:t xml:space="preserve"> ‘Bridging the Gap’ remaining recovery task</w:t>
      </w:r>
      <w:r>
        <w:tab/>
      </w:r>
      <w:r>
        <w:fldChar w:fldCharType="begin"/>
      </w:r>
      <w:r>
        <w:instrText xml:space="preserve"> PAGEREF _Toc113621694 \h </w:instrText>
      </w:r>
      <w:r>
        <w:fldChar w:fldCharType="separate"/>
      </w:r>
      <w:r w:rsidR="00D4298A">
        <w:t>37</w:t>
      </w:r>
      <w:r>
        <w:fldChar w:fldCharType="end"/>
      </w:r>
    </w:p>
    <w:p w14:paraId="61832596" w14:textId="2B20343A" w:rsidR="006632E3" w:rsidRDefault="006632E3">
      <w:pPr>
        <w:pStyle w:val="TableofFigures"/>
        <w:rPr>
          <w:rFonts w:asciiTheme="minorHAnsi" w:eastAsiaTheme="minorEastAsia" w:hAnsiTheme="minorHAnsi"/>
          <w:color w:val="auto"/>
          <w:sz w:val="22"/>
          <w:szCs w:val="22"/>
          <w:lang w:eastAsia="en-AU"/>
        </w:rPr>
      </w:pPr>
      <w:r w:rsidRPr="00D85382">
        <w:rPr>
          <w:b/>
        </w:rPr>
        <w:t>Table 8:</w:t>
      </w:r>
      <w:r>
        <w:t xml:space="preserve"> Southern MDB surface water recovery, by project type (GL LTAAY)</w:t>
      </w:r>
      <w:r>
        <w:tab/>
      </w:r>
      <w:r>
        <w:fldChar w:fldCharType="begin"/>
      </w:r>
      <w:r>
        <w:instrText xml:space="preserve"> PAGEREF _Toc113621695 \h </w:instrText>
      </w:r>
      <w:r>
        <w:fldChar w:fldCharType="separate"/>
      </w:r>
      <w:r w:rsidR="00D4298A">
        <w:t>39</w:t>
      </w:r>
      <w:r>
        <w:fldChar w:fldCharType="end"/>
      </w:r>
    </w:p>
    <w:p w14:paraId="7F45DD61" w14:textId="11E9C0CE" w:rsidR="006632E3" w:rsidRDefault="006632E3">
      <w:pPr>
        <w:pStyle w:val="TableofFigures"/>
        <w:rPr>
          <w:rFonts w:asciiTheme="minorHAnsi" w:eastAsiaTheme="minorEastAsia" w:hAnsiTheme="minorHAnsi"/>
          <w:color w:val="auto"/>
          <w:sz w:val="22"/>
          <w:szCs w:val="22"/>
          <w:lang w:eastAsia="en-AU"/>
        </w:rPr>
      </w:pPr>
      <w:r w:rsidRPr="00D85382">
        <w:rPr>
          <w:b/>
        </w:rPr>
        <w:t>Table 9:</w:t>
      </w:r>
      <w:r>
        <w:t xml:space="preserve"> Southern MDB Commonwealth water recovery from the consumptive pool, GL LTAAY</w:t>
      </w:r>
      <w:r>
        <w:tab/>
      </w:r>
      <w:r>
        <w:fldChar w:fldCharType="begin"/>
      </w:r>
      <w:r>
        <w:instrText xml:space="preserve"> PAGEREF _Toc113621696 \h </w:instrText>
      </w:r>
      <w:r>
        <w:fldChar w:fldCharType="separate"/>
      </w:r>
      <w:r w:rsidR="00D4298A">
        <w:t>41</w:t>
      </w:r>
      <w:r>
        <w:fldChar w:fldCharType="end"/>
      </w:r>
    </w:p>
    <w:p w14:paraId="364AD60A" w14:textId="54FD5771" w:rsidR="006632E3" w:rsidRDefault="006632E3">
      <w:pPr>
        <w:pStyle w:val="TableofFigures"/>
        <w:rPr>
          <w:rFonts w:asciiTheme="minorHAnsi" w:eastAsiaTheme="minorEastAsia" w:hAnsiTheme="minorHAnsi"/>
          <w:color w:val="auto"/>
          <w:sz w:val="22"/>
          <w:szCs w:val="22"/>
          <w:lang w:eastAsia="en-AU"/>
        </w:rPr>
      </w:pPr>
      <w:r w:rsidRPr="00D85382">
        <w:rPr>
          <w:b/>
        </w:rPr>
        <w:t>Table 10:</w:t>
      </w:r>
      <w:r>
        <w:t xml:space="preserve"> Water allocations to State and Commonwealth water recovery (CEWH) (GL)</w:t>
      </w:r>
      <w:r>
        <w:tab/>
      </w:r>
      <w:r>
        <w:fldChar w:fldCharType="begin"/>
      </w:r>
      <w:r>
        <w:instrText xml:space="preserve"> PAGEREF _Toc113621697 \h </w:instrText>
      </w:r>
      <w:r>
        <w:fldChar w:fldCharType="separate"/>
      </w:r>
      <w:r w:rsidR="00D4298A">
        <w:t>48</w:t>
      </w:r>
      <w:r>
        <w:fldChar w:fldCharType="end"/>
      </w:r>
    </w:p>
    <w:p w14:paraId="70020496" w14:textId="0D567932" w:rsidR="006632E3" w:rsidRDefault="006632E3">
      <w:pPr>
        <w:pStyle w:val="TableofFigures"/>
        <w:rPr>
          <w:rFonts w:asciiTheme="minorHAnsi" w:eastAsiaTheme="minorEastAsia" w:hAnsiTheme="minorHAnsi"/>
          <w:color w:val="auto"/>
          <w:sz w:val="22"/>
          <w:szCs w:val="22"/>
          <w:lang w:eastAsia="en-AU"/>
        </w:rPr>
      </w:pPr>
      <w:r w:rsidRPr="00D85382">
        <w:rPr>
          <w:b/>
        </w:rPr>
        <w:t>Table 11:</w:t>
      </w:r>
      <w:r>
        <w:t xml:space="preserve"> Observed and counterfactual water use, 2004-05 to 2014-15 (Victoria)</w:t>
      </w:r>
      <w:r>
        <w:tab/>
      </w:r>
      <w:r>
        <w:fldChar w:fldCharType="begin"/>
      </w:r>
      <w:r>
        <w:instrText xml:space="preserve"> PAGEREF _Toc113621698 \h </w:instrText>
      </w:r>
      <w:r>
        <w:fldChar w:fldCharType="separate"/>
      </w:r>
      <w:r w:rsidR="00D4298A">
        <w:t>55</w:t>
      </w:r>
      <w:r>
        <w:fldChar w:fldCharType="end"/>
      </w:r>
    </w:p>
    <w:p w14:paraId="1876EF39" w14:textId="06578623" w:rsidR="006632E3" w:rsidRDefault="006632E3">
      <w:pPr>
        <w:pStyle w:val="TableofFigures"/>
        <w:rPr>
          <w:rFonts w:asciiTheme="minorHAnsi" w:eastAsiaTheme="minorEastAsia" w:hAnsiTheme="minorHAnsi"/>
          <w:color w:val="auto"/>
          <w:sz w:val="22"/>
          <w:szCs w:val="22"/>
          <w:lang w:eastAsia="en-AU"/>
        </w:rPr>
      </w:pPr>
      <w:r w:rsidRPr="00D85382">
        <w:rPr>
          <w:b/>
        </w:rPr>
        <w:t>Table 12:</w:t>
      </w:r>
      <w:r>
        <w:t xml:space="preserve"> Observed and counterfactual water use, 2015-16 to 2021-22 (Victoria)</w:t>
      </w:r>
      <w:r>
        <w:tab/>
      </w:r>
      <w:r>
        <w:fldChar w:fldCharType="begin"/>
      </w:r>
      <w:r>
        <w:instrText xml:space="preserve"> PAGEREF _Toc113621699 \h </w:instrText>
      </w:r>
      <w:r>
        <w:fldChar w:fldCharType="separate"/>
      </w:r>
      <w:r w:rsidR="00D4298A">
        <w:t>55</w:t>
      </w:r>
      <w:r>
        <w:fldChar w:fldCharType="end"/>
      </w:r>
    </w:p>
    <w:p w14:paraId="25C41395" w14:textId="2B485F33" w:rsidR="006632E3" w:rsidRDefault="006632E3">
      <w:pPr>
        <w:pStyle w:val="TableofFigures"/>
        <w:rPr>
          <w:rFonts w:asciiTheme="minorHAnsi" w:eastAsiaTheme="minorEastAsia" w:hAnsiTheme="minorHAnsi"/>
          <w:color w:val="auto"/>
          <w:sz w:val="22"/>
          <w:szCs w:val="22"/>
          <w:lang w:eastAsia="en-AU"/>
        </w:rPr>
      </w:pPr>
      <w:r w:rsidRPr="00D85382">
        <w:rPr>
          <w:b/>
        </w:rPr>
        <w:t>Table 13:</w:t>
      </w:r>
      <w:r>
        <w:t xml:space="preserve"> Change of permanent plantings areas in the Lower Murray Darling, by State</w:t>
      </w:r>
      <w:r>
        <w:tab/>
      </w:r>
      <w:r>
        <w:fldChar w:fldCharType="begin"/>
      </w:r>
      <w:r>
        <w:instrText xml:space="preserve"> PAGEREF _Toc113621700 \h </w:instrText>
      </w:r>
      <w:r>
        <w:fldChar w:fldCharType="separate"/>
      </w:r>
      <w:r w:rsidR="00D4298A">
        <w:t>59</w:t>
      </w:r>
      <w:r>
        <w:fldChar w:fldCharType="end"/>
      </w:r>
    </w:p>
    <w:p w14:paraId="6E30059B" w14:textId="476A027E" w:rsidR="006632E3" w:rsidRDefault="006632E3">
      <w:pPr>
        <w:pStyle w:val="TableofFigures"/>
        <w:rPr>
          <w:rFonts w:asciiTheme="minorHAnsi" w:eastAsiaTheme="minorEastAsia" w:hAnsiTheme="minorHAnsi"/>
          <w:color w:val="auto"/>
          <w:sz w:val="22"/>
          <w:szCs w:val="22"/>
          <w:lang w:eastAsia="en-AU"/>
        </w:rPr>
      </w:pPr>
      <w:r w:rsidRPr="00D85382">
        <w:rPr>
          <w:b/>
        </w:rPr>
        <w:t>Table 14:</w:t>
      </w:r>
      <w:r>
        <w:t xml:space="preserve"> Indec assessment of SDLAM projects and associated risk (GL SDL offset)</w:t>
      </w:r>
      <w:r>
        <w:tab/>
      </w:r>
      <w:r>
        <w:fldChar w:fldCharType="begin"/>
      </w:r>
      <w:r>
        <w:instrText xml:space="preserve"> PAGEREF _Toc113621701 \h </w:instrText>
      </w:r>
      <w:r>
        <w:fldChar w:fldCharType="separate"/>
      </w:r>
      <w:r w:rsidR="00D4298A">
        <w:t>73</w:t>
      </w:r>
      <w:r>
        <w:fldChar w:fldCharType="end"/>
      </w:r>
    </w:p>
    <w:p w14:paraId="4353FA47" w14:textId="7F735615" w:rsidR="006632E3" w:rsidRDefault="006632E3">
      <w:pPr>
        <w:pStyle w:val="TableofFigures"/>
        <w:rPr>
          <w:rFonts w:asciiTheme="minorHAnsi" w:eastAsiaTheme="minorEastAsia" w:hAnsiTheme="minorHAnsi"/>
          <w:color w:val="auto"/>
          <w:sz w:val="22"/>
          <w:szCs w:val="22"/>
          <w:lang w:eastAsia="en-AU"/>
        </w:rPr>
      </w:pPr>
      <w:r w:rsidRPr="00D85382">
        <w:rPr>
          <w:b/>
        </w:rPr>
        <w:t>Table 15:</w:t>
      </w:r>
      <w:r>
        <w:t xml:space="preserve"> Example 450GL buyback in line with the current CEWH portfolio</w:t>
      </w:r>
      <w:r>
        <w:tab/>
      </w:r>
      <w:r>
        <w:fldChar w:fldCharType="begin"/>
      </w:r>
      <w:r>
        <w:instrText xml:space="preserve"> PAGEREF _Toc113621702 \h </w:instrText>
      </w:r>
      <w:r>
        <w:fldChar w:fldCharType="separate"/>
      </w:r>
      <w:r w:rsidR="00D4298A">
        <w:t>77</w:t>
      </w:r>
      <w:r>
        <w:fldChar w:fldCharType="end"/>
      </w:r>
    </w:p>
    <w:p w14:paraId="07B55016" w14:textId="3777F56B" w:rsidR="006632E3" w:rsidRDefault="006632E3">
      <w:pPr>
        <w:pStyle w:val="TableofFigures"/>
        <w:rPr>
          <w:rFonts w:asciiTheme="minorHAnsi" w:eastAsiaTheme="minorEastAsia" w:hAnsiTheme="minorHAnsi"/>
          <w:color w:val="auto"/>
          <w:sz w:val="22"/>
          <w:szCs w:val="22"/>
          <w:lang w:eastAsia="en-AU"/>
        </w:rPr>
      </w:pPr>
      <w:r w:rsidRPr="00D85382">
        <w:rPr>
          <w:b/>
        </w:rPr>
        <w:t>Table 16:</w:t>
      </w:r>
      <w:r>
        <w:t xml:space="preserve"> Expected reduction in volumes of annual water use due to a 450 GL buyback</w:t>
      </w:r>
      <w:r>
        <w:tab/>
      </w:r>
      <w:r>
        <w:fldChar w:fldCharType="begin"/>
      </w:r>
      <w:r>
        <w:instrText xml:space="preserve"> PAGEREF _Toc113621703 \h </w:instrText>
      </w:r>
      <w:r>
        <w:fldChar w:fldCharType="separate"/>
      </w:r>
      <w:r w:rsidR="00D4298A">
        <w:t>78</w:t>
      </w:r>
      <w:r>
        <w:fldChar w:fldCharType="end"/>
      </w:r>
    </w:p>
    <w:p w14:paraId="51CE0ABF" w14:textId="27A9DEA0" w:rsidR="006632E3" w:rsidRDefault="006632E3">
      <w:pPr>
        <w:pStyle w:val="TableofFigures"/>
        <w:rPr>
          <w:rFonts w:asciiTheme="minorHAnsi" w:eastAsiaTheme="minorEastAsia" w:hAnsiTheme="minorHAnsi"/>
          <w:color w:val="auto"/>
          <w:sz w:val="22"/>
          <w:szCs w:val="22"/>
          <w:lang w:eastAsia="en-AU"/>
        </w:rPr>
      </w:pPr>
      <w:r w:rsidRPr="00D85382">
        <w:rPr>
          <w:b/>
        </w:rPr>
        <w:t>Table 17:</w:t>
      </w:r>
      <w:r>
        <w:t xml:space="preserve"> Estimated areas associated with reduced irrigation from a 450 GL buyback (ha)</w:t>
      </w:r>
      <w:r>
        <w:tab/>
      </w:r>
      <w:r>
        <w:fldChar w:fldCharType="begin"/>
      </w:r>
      <w:r>
        <w:instrText xml:space="preserve"> PAGEREF _Toc113621704 \h </w:instrText>
      </w:r>
      <w:r>
        <w:fldChar w:fldCharType="separate"/>
      </w:r>
      <w:r w:rsidR="00D4298A">
        <w:t>78</w:t>
      </w:r>
      <w:r>
        <w:fldChar w:fldCharType="end"/>
      </w:r>
    </w:p>
    <w:p w14:paraId="687F2869" w14:textId="1BA30781" w:rsidR="006632E3" w:rsidRDefault="006632E3">
      <w:pPr>
        <w:pStyle w:val="TableofFigures"/>
        <w:rPr>
          <w:rFonts w:asciiTheme="minorHAnsi" w:eastAsiaTheme="minorEastAsia" w:hAnsiTheme="minorHAnsi"/>
          <w:color w:val="auto"/>
          <w:sz w:val="22"/>
          <w:szCs w:val="22"/>
          <w:lang w:eastAsia="en-AU"/>
        </w:rPr>
      </w:pPr>
      <w:r w:rsidRPr="00D85382">
        <w:rPr>
          <w:b/>
        </w:rPr>
        <w:t>Table 18:</w:t>
      </w:r>
      <w:r>
        <w:t xml:space="preserve"> Estimated GVIAP reduction associated with less irrigation from a 450 GL buyback</w:t>
      </w:r>
      <w:r>
        <w:tab/>
      </w:r>
      <w:r>
        <w:fldChar w:fldCharType="begin"/>
      </w:r>
      <w:r>
        <w:instrText xml:space="preserve"> PAGEREF _Toc113621705 \h </w:instrText>
      </w:r>
      <w:r>
        <w:fldChar w:fldCharType="separate"/>
      </w:r>
      <w:r w:rsidR="00D4298A">
        <w:t>79</w:t>
      </w:r>
      <w:r>
        <w:fldChar w:fldCharType="end"/>
      </w:r>
    </w:p>
    <w:p w14:paraId="713E3AFA" w14:textId="000117CE" w:rsidR="006632E3" w:rsidRDefault="006632E3">
      <w:pPr>
        <w:pStyle w:val="TableofFigures"/>
        <w:rPr>
          <w:rFonts w:asciiTheme="minorHAnsi" w:eastAsiaTheme="minorEastAsia" w:hAnsiTheme="minorHAnsi"/>
          <w:color w:val="auto"/>
          <w:sz w:val="22"/>
          <w:szCs w:val="22"/>
          <w:lang w:eastAsia="en-AU"/>
        </w:rPr>
      </w:pPr>
      <w:r w:rsidRPr="00D85382">
        <w:rPr>
          <w:b/>
        </w:rPr>
        <w:t>Table 19:</w:t>
      </w:r>
      <w:r>
        <w:t xml:space="preserve"> 450GL buyback of only higher reliability entitlements, or only lower reliability.</w:t>
      </w:r>
      <w:r>
        <w:tab/>
      </w:r>
      <w:r>
        <w:fldChar w:fldCharType="begin"/>
      </w:r>
      <w:r>
        <w:instrText xml:space="preserve"> PAGEREF _Toc113621706 \h </w:instrText>
      </w:r>
      <w:r>
        <w:fldChar w:fldCharType="separate"/>
      </w:r>
      <w:r w:rsidR="00D4298A">
        <w:t>82</w:t>
      </w:r>
      <w:r>
        <w:fldChar w:fldCharType="end"/>
      </w:r>
    </w:p>
    <w:p w14:paraId="7B698C2B" w14:textId="6B1574B9" w:rsidR="006632E3" w:rsidRDefault="006632E3">
      <w:pPr>
        <w:pStyle w:val="TableofFigures"/>
        <w:rPr>
          <w:rFonts w:asciiTheme="minorHAnsi" w:eastAsiaTheme="minorEastAsia" w:hAnsiTheme="minorHAnsi"/>
          <w:color w:val="auto"/>
          <w:sz w:val="22"/>
          <w:szCs w:val="22"/>
          <w:lang w:eastAsia="en-AU"/>
        </w:rPr>
      </w:pPr>
      <w:r w:rsidRPr="00D85382">
        <w:rPr>
          <w:b/>
        </w:rPr>
        <w:t>Table 20:</w:t>
      </w:r>
      <w:r>
        <w:t xml:space="preserve"> Four future SDL scenarios</w:t>
      </w:r>
      <w:r>
        <w:tab/>
      </w:r>
      <w:r>
        <w:fldChar w:fldCharType="begin"/>
      </w:r>
      <w:r>
        <w:instrText xml:space="preserve"> PAGEREF _Toc113621707 \h </w:instrText>
      </w:r>
      <w:r>
        <w:fldChar w:fldCharType="separate"/>
      </w:r>
      <w:r w:rsidR="00D4298A">
        <w:t>85</w:t>
      </w:r>
      <w:r>
        <w:fldChar w:fldCharType="end"/>
      </w:r>
    </w:p>
    <w:p w14:paraId="1B33377F" w14:textId="7850341E" w:rsidR="006632E3" w:rsidRDefault="006632E3">
      <w:pPr>
        <w:pStyle w:val="TableofFigures"/>
        <w:rPr>
          <w:rFonts w:asciiTheme="minorHAnsi" w:eastAsiaTheme="minorEastAsia" w:hAnsiTheme="minorHAnsi"/>
          <w:color w:val="auto"/>
          <w:sz w:val="22"/>
          <w:szCs w:val="22"/>
          <w:lang w:eastAsia="en-AU"/>
        </w:rPr>
      </w:pPr>
      <w:r w:rsidRPr="00D85382">
        <w:rPr>
          <w:b/>
        </w:rPr>
        <w:t>Table 21:</w:t>
      </w:r>
      <w:r>
        <w:t xml:space="preserve"> Scenario volumes (towards Bridging the gap’ and the 450GL) (GL)</w:t>
      </w:r>
      <w:r>
        <w:tab/>
      </w:r>
      <w:r>
        <w:fldChar w:fldCharType="begin"/>
      </w:r>
      <w:r>
        <w:instrText xml:space="preserve"> PAGEREF _Toc113621708 \h </w:instrText>
      </w:r>
      <w:r>
        <w:fldChar w:fldCharType="separate"/>
      </w:r>
      <w:r w:rsidR="00D4298A">
        <w:t>86</w:t>
      </w:r>
      <w:r>
        <w:fldChar w:fldCharType="end"/>
      </w:r>
    </w:p>
    <w:p w14:paraId="16E4CFF1" w14:textId="7F7532B6" w:rsidR="006632E3" w:rsidRDefault="006632E3">
      <w:pPr>
        <w:pStyle w:val="TableofFigures"/>
        <w:rPr>
          <w:rFonts w:asciiTheme="minorHAnsi" w:eastAsiaTheme="minorEastAsia" w:hAnsiTheme="minorHAnsi"/>
          <w:color w:val="auto"/>
          <w:sz w:val="22"/>
          <w:szCs w:val="22"/>
          <w:lang w:eastAsia="en-AU"/>
        </w:rPr>
      </w:pPr>
      <w:r w:rsidRPr="00D85382">
        <w:rPr>
          <w:b/>
        </w:rPr>
        <w:t>Table 22:</w:t>
      </w:r>
      <w:r>
        <w:t xml:space="preserve"> Scenario 1 summary</w:t>
      </w:r>
      <w:r>
        <w:tab/>
      </w:r>
      <w:r>
        <w:fldChar w:fldCharType="begin"/>
      </w:r>
      <w:r>
        <w:instrText xml:space="preserve"> PAGEREF _Toc113621709 \h </w:instrText>
      </w:r>
      <w:r>
        <w:fldChar w:fldCharType="separate"/>
      </w:r>
      <w:r w:rsidR="00D4298A">
        <w:t>87</w:t>
      </w:r>
      <w:r>
        <w:fldChar w:fldCharType="end"/>
      </w:r>
    </w:p>
    <w:p w14:paraId="630A0AFE" w14:textId="5C48D1E0" w:rsidR="006632E3" w:rsidRDefault="006632E3">
      <w:pPr>
        <w:pStyle w:val="TableofFigures"/>
        <w:rPr>
          <w:rFonts w:asciiTheme="minorHAnsi" w:eastAsiaTheme="minorEastAsia" w:hAnsiTheme="minorHAnsi"/>
          <w:color w:val="auto"/>
          <w:sz w:val="22"/>
          <w:szCs w:val="22"/>
          <w:lang w:eastAsia="en-AU"/>
        </w:rPr>
      </w:pPr>
      <w:r w:rsidRPr="00D85382">
        <w:rPr>
          <w:b/>
        </w:rPr>
        <w:t>Table 23:</w:t>
      </w:r>
      <w:r>
        <w:t xml:space="preserve"> Scenario 2 summary</w:t>
      </w:r>
      <w:r>
        <w:tab/>
      </w:r>
      <w:r>
        <w:fldChar w:fldCharType="begin"/>
      </w:r>
      <w:r>
        <w:instrText xml:space="preserve"> PAGEREF _Toc113621710 \h </w:instrText>
      </w:r>
      <w:r>
        <w:fldChar w:fldCharType="separate"/>
      </w:r>
      <w:r w:rsidR="00D4298A">
        <w:t>88</w:t>
      </w:r>
      <w:r>
        <w:fldChar w:fldCharType="end"/>
      </w:r>
    </w:p>
    <w:p w14:paraId="1354A631" w14:textId="0527A956" w:rsidR="006632E3" w:rsidRDefault="006632E3">
      <w:pPr>
        <w:pStyle w:val="TableofFigures"/>
        <w:rPr>
          <w:rFonts w:asciiTheme="minorHAnsi" w:eastAsiaTheme="minorEastAsia" w:hAnsiTheme="minorHAnsi"/>
          <w:color w:val="auto"/>
          <w:sz w:val="22"/>
          <w:szCs w:val="22"/>
          <w:lang w:eastAsia="en-AU"/>
        </w:rPr>
      </w:pPr>
      <w:r w:rsidRPr="00D85382">
        <w:rPr>
          <w:b/>
        </w:rPr>
        <w:t>Table 24:</w:t>
      </w:r>
      <w:r>
        <w:t xml:space="preserve"> Scenario 3 summary</w:t>
      </w:r>
      <w:r>
        <w:tab/>
      </w:r>
      <w:r>
        <w:fldChar w:fldCharType="begin"/>
      </w:r>
      <w:r>
        <w:instrText xml:space="preserve"> PAGEREF _Toc113621711 \h </w:instrText>
      </w:r>
      <w:r>
        <w:fldChar w:fldCharType="separate"/>
      </w:r>
      <w:r w:rsidR="00D4298A">
        <w:t>89</w:t>
      </w:r>
      <w:r>
        <w:fldChar w:fldCharType="end"/>
      </w:r>
    </w:p>
    <w:p w14:paraId="31785934" w14:textId="2CD9B9E9" w:rsidR="006632E3" w:rsidRDefault="006632E3">
      <w:pPr>
        <w:pStyle w:val="TableofFigures"/>
        <w:rPr>
          <w:rFonts w:asciiTheme="minorHAnsi" w:eastAsiaTheme="minorEastAsia" w:hAnsiTheme="minorHAnsi"/>
          <w:color w:val="auto"/>
          <w:sz w:val="22"/>
          <w:szCs w:val="22"/>
          <w:lang w:eastAsia="en-AU"/>
        </w:rPr>
      </w:pPr>
      <w:r w:rsidRPr="00D85382">
        <w:rPr>
          <w:b/>
        </w:rPr>
        <w:t>Table 25:</w:t>
      </w:r>
      <w:r>
        <w:t xml:space="preserve"> Scenario 4 summary</w:t>
      </w:r>
      <w:r>
        <w:tab/>
      </w:r>
      <w:r>
        <w:fldChar w:fldCharType="begin"/>
      </w:r>
      <w:r>
        <w:instrText xml:space="preserve"> PAGEREF _Toc113621712 \h </w:instrText>
      </w:r>
      <w:r>
        <w:fldChar w:fldCharType="separate"/>
      </w:r>
      <w:r w:rsidR="00D4298A">
        <w:t>91</w:t>
      </w:r>
      <w:r>
        <w:fldChar w:fldCharType="end"/>
      </w:r>
    </w:p>
    <w:p w14:paraId="5A3275E2" w14:textId="7102EA97" w:rsidR="006628AF" w:rsidRPr="00E57B03" w:rsidRDefault="00CB7AEF" w:rsidP="005C44D8">
      <w:pPr>
        <w:rPr>
          <w:sz w:val="24"/>
          <w:szCs w:val="24"/>
        </w:rPr>
      </w:pPr>
      <w:r w:rsidRPr="00E57B03">
        <w:rPr>
          <w:sz w:val="24"/>
          <w:szCs w:val="24"/>
        </w:rPr>
        <w:fldChar w:fldCharType="end"/>
      </w:r>
      <w:bookmarkStart w:id="3" w:name="BMTOF"/>
      <w:bookmarkEnd w:id="2"/>
    </w:p>
    <w:p w14:paraId="5CE13DA9" w14:textId="77777777" w:rsidR="006628AF" w:rsidRDefault="006628AF" w:rsidP="006628AF">
      <w:pPr>
        <w:pStyle w:val="TOC3"/>
      </w:pPr>
      <w:r>
        <w:t>Figures</w:t>
      </w:r>
    </w:p>
    <w:p w14:paraId="12EE154B" w14:textId="0C7AEE58" w:rsidR="006632E3" w:rsidRDefault="007C673D">
      <w:pPr>
        <w:pStyle w:val="TableofFigures"/>
        <w:rPr>
          <w:rFonts w:asciiTheme="minorHAnsi" w:eastAsiaTheme="minorEastAsia" w:hAnsiTheme="minorHAnsi"/>
          <w:color w:val="auto"/>
          <w:sz w:val="22"/>
          <w:szCs w:val="22"/>
          <w:lang w:eastAsia="en-AU"/>
        </w:rPr>
      </w:pPr>
      <w:r w:rsidRPr="00E57B03">
        <w:rPr>
          <w:noProof w:val="0"/>
          <w:sz w:val="24"/>
          <w:szCs w:val="24"/>
        </w:rPr>
        <w:fldChar w:fldCharType="begin"/>
      </w:r>
      <w:r w:rsidRPr="00E57B03">
        <w:rPr>
          <w:sz w:val="24"/>
          <w:szCs w:val="24"/>
        </w:rPr>
        <w:instrText xml:space="preserve"> TOC \t "Body Text 2" \c "Figure" </w:instrText>
      </w:r>
      <w:r w:rsidRPr="00E57B03">
        <w:rPr>
          <w:noProof w:val="0"/>
          <w:sz w:val="24"/>
          <w:szCs w:val="24"/>
        </w:rPr>
        <w:fldChar w:fldCharType="separate"/>
      </w:r>
      <w:r w:rsidR="006632E3" w:rsidRPr="001612CC">
        <w:rPr>
          <w:b/>
        </w:rPr>
        <w:t>Figure 1</w:t>
      </w:r>
      <w:r w:rsidR="006632E3">
        <w:t xml:space="preserve">: Changes to the </w:t>
      </w:r>
      <w:r w:rsidR="006632E3" w:rsidRPr="001612CC">
        <w:rPr>
          <w:rFonts w:cs="Open Sans"/>
          <w:color w:val="000000"/>
          <w:shd w:val="clear" w:color="auto" w:fill="FFFFFF"/>
        </w:rPr>
        <w:t>‘Bridging the Gap’ water recovery target</w:t>
      </w:r>
      <w:r w:rsidR="006632E3">
        <w:tab/>
      </w:r>
      <w:r w:rsidR="006632E3">
        <w:fldChar w:fldCharType="begin"/>
      </w:r>
      <w:r w:rsidR="006632E3">
        <w:instrText xml:space="preserve"> PAGEREF _Toc113621713 \h </w:instrText>
      </w:r>
      <w:r w:rsidR="006632E3">
        <w:fldChar w:fldCharType="separate"/>
      </w:r>
      <w:r w:rsidR="00D4298A">
        <w:t>17</w:t>
      </w:r>
      <w:r w:rsidR="006632E3">
        <w:fldChar w:fldCharType="end"/>
      </w:r>
    </w:p>
    <w:p w14:paraId="52B3A3EE" w14:textId="6E12DDD2" w:rsidR="006632E3" w:rsidRDefault="006632E3">
      <w:pPr>
        <w:pStyle w:val="TableofFigures"/>
        <w:rPr>
          <w:rFonts w:asciiTheme="minorHAnsi" w:eastAsiaTheme="minorEastAsia" w:hAnsiTheme="minorHAnsi"/>
          <w:color w:val="auto"/>
          <w:sz w:val="22"/>
          <w:szCs w:val="22"/>
          <w:lang w:eastAsia="en-AU"/>
        </w:rPr>
      </w:pPr>
      <w:r w:rsidRPr="001612CC">
        <w:rPr>
          <w:b/>
        </w:rPr>
        <w:t>Figure 2</w:t>
      </w:r>
      <w:r>
        <w:t>: Allocations to selected southern MDB water products</w:t>
      </w:r>
      <w:r>
        <w:tab/>
      </w:r>
      <w:r>
        <w:fldChar w:fldCharType="begin"/>
      </w:r>
      <w:r>
        <w:instrText xml:space="preserve"> PAGEREF _Toc113621714 \h </w:instrText>
      </w:r>
      <w:r>
        <w:fldChar w:fldCharType="separate"/>
      </w:r>
      <w:r w:rsidR="00D4298A">
        <w:t>25</w:t>
      </w:r>
      <w:r>
        <w:fldChar w:fldCharType="end"/>
      </w:r>
    </w:p>
    <w:p w14:paraId="50A4B874" w14:textId="50355A59" w:rsidR="006632E3" w:rsidRDefault="006632E3">
      <w:pPr>
        <w:pStyle w:val="TableofFigures"/>
        <w:rPr>
          <w:rFonts w:asciiTheme="minorHAnsi" w:eastAsiaTheme="minorEastAsia" w:hAnsiTheme="minorHAnsi"/>
          <w:color w:val="auto"/>
          <w:sz w:val="22"/>
          <w:szCs w:val="22"/>
          <w:lang w:eastAsia="en-AU"/>
        </w:rPr>
      </w:pPr>
      <w:r w:rsidRPr="001612CC">
        <w:rPr>
          <w:b/>
        </w:rPr>
        <w:t>Figure 3</w:t>
      </w:r>
      <w:r>
        <w:t>: Water allocation volumes in the southern Murray–Darling Basin, 2007-08 to 2020-21</w:t>
      </w:r>
      <w:r>
        <w:tab/>
      </w:r>
      <w:r>
        <w:fldChar w:fldCharType="begin"/>
      </w:r>
      <w:r>
        <w:instrText xml:space="preserve"> PAGEREF _Toc113621715 \h </w:instrText>
      </w:r>
      <w:r>
        <w:fldChar w:fldCharType="separate"/>
      </w:r>
      <w:r w:rsidR="00D4298A">
        <w:t>26</w:t>
      </w:r>
      <w:r>
        <w:fldChar w:fldCharType="end"/>
      </w:r>
    </w:p>
    <w:p w14:paraId="5A450F8F" w14:textId="5BF80D8A" w:rsidR="006632E3" w:rsidRDefault="006632E3">
      <w:pPr>
        <w:pStyle w:val="TableofFigures"/>
        <w:rPr>
          <w:rFonts w:asciiTheme="minorHAnsi" w:eastAsiaTheme="minorEastAsia" w:hAnsiTheme="minorHAnsi"/>
          <w:color w:val="auto"/>
          <w:sz w:val="22"/>
          <w:szCs w:val="22"/>
          <w:lang w:eastAsia="en-AU"/>
        </w:rPr>
      </w:pPr>
      <w:r w:rsidRPr="001612CC">
        <w:rPr>
          <w:b/>
        </w:rPr>
        <w:t>Figure 4</w:t>
      </w:r>
      <w:r>
        <w:t>: Map of southern MDB water trading zones</w:t>
      </w:r>
      <w:r>
        <w:tab/>
      </w:r>
      <w:r>
        <w:fldChar w:fldCharType="begin"/>
      </w:r>
      <w:r>
        <w:instrText xml:space="preserve"> PAGEREF _Toc113621716 \h </w:instrText>
      </w:r>
      <w:r>
        <w:fldChar w:fldCharType="separate"/>
      </w:r>
      <w:r w:rsidR="00D4298A">
        <w:t>28</w:t>
      </w:r>
      <w:r>
        <w:fldChar w:fldCharType="end"/>
      </w:r>
    </w:p>
    <w:p w14:paraId="2672BD7D" w14:textId="7E549921" w:rsidR="006632E3" w:rsidRDefault="006632E3">
      <w:pPr>
        <w:pStyle w:val="TableofFigures"/>
        <w:rPr>
          <w:rFonts w:asciiTheme="minorHAnsi" w:eastAsiaTheme="minorEastAsia" w:hAnsiTheme="minorHAnsi"/>
          <w:color w:val="auto"/>
          <w:sz w:val="22"/>
          <w:szCs w:val="22"/>
          <w:lang w:eastAsia="en-AU"/>
        </w:rPr>
      </w:pPr>
      <w:r w:rsidRPr="001612CC">
        <w:rPr>
          <w:b/>
        </w:rPr>
        <w:lastRenderedPageBreak/>
        <w:t>Figure 5</w:t>
      </w:r>
      <w:r>
        <w:t>: Annual net allocation trade into and out of Victoria, 2007-08 to 2021-22</w:t>
      </w:r>
      <w:r>
        <w:tab/>
      </w:r>
      <w:r>
        <w:fldChar w:fldCharType="begin"/>
      </w:r>
      <w:r>
        <w:instrText xml:space="preserve"> PAGEREF _Toc113621717 \h </w:instrText>
      </w:r>
      <w:r>
        <w:fldChar w:fldCharType="separate"/>
      </w:r>
      <w:r w:rsidR="00D4298A">
        <w:t>29</w:t>
      </w:r>
      <w:r>
        <w:fldChar w:fldCharType="end"/>
      </w:r>
    </w:p>
    <w:p w14:paraId="1ADC2467" w14:textId="668758E3" w:rsidR="006632E3" w:rsidRDefault="006632E3">
      <w:pPr>
        <w:pStyle w:val="TableofFigures"/>
        <w:rPr>
          <w:rFonts w:asciiTheme="minorHAnsi" w:eastAsiaTheme="minorEastAsia" w:hAnsiTheme="minorHAnsi"/>
          <w:color w:val="auto"/>
          <w:sz w:val="22"/>
          <w:szCs w:val="22"/>
          <w:lang w:eastAsia="en-AU"/>
        </w:rPr>
      </w:pPr>
      <w:r w:rsidRPr="001612CC">
        <w:rPr>
          <w:b/>
        </w:rPr>
        <w:t>Figure 6</w:t>
      </w:r>
      <w:r>
        <w:t>: Commonwealth water recovery methods, 2007-08 to 2021-22</w:t>
      </w:r>
      <w:r>
        <w:tab/>
      </w:r>
      <w:r>
        <w:fldChar w:fldCharType="begin"/>
      </w:r>
      <w:r>
        <w:instrText xml:space="preserve"> PAGEREF _Toc113621718 \h </w:instrText>
      </w:r>
      <w:r>
        <w:fldChar w:fldCharType="separate"/>
      </w:r>
      <w:r w:rsidR="00D4298A">
        <w:t>34</w:t>
      </w:r>
      <w:r>
        <w:fldChar w:fldCharType="end"/>
      </w:r>
    </w:p>
    <w:p w14:paraId="0A6D3B8B" w14:textId="0976A4A7" w:rsidR="006632E3" w:rsidRDefault="006632E3">
      <w:pPr>
        <w:pStyle w:val="TableofFigures"/>
        <w:rPr>
          <w:rFonts w:asciiTheme="minorHAnsi" w:eastAsiaTheme="minorEastAsia" w:hAnsiTheme="minorHAnsi"/>
          <w:color w:val="auto"/>
          <w:sz w:val="22"/>
          <w:szCs w:val="22"/>
          <w:lang w:eastAsia="en-AU"/>
        </w:rPr>
      </w:pPr>
      <w:r w:rsidRPr="001612CC">
        <w:rPr>
          <w:b/>
        </w:rPr>
        <w:t>Figure 7</w:t>
      </w:r>
      <w:r>
        <w:t>: Surface water recovery under the Basin Plan (%) – as at 30 June 2022 (LTAAY)</w:t>
      </w:r>
      <w:r>
        <w:tab/>
      </w:r>
      <w:r>
        <w:fldChar w:fldCharType="begin"/>
      </w:r>
      <w:r>
        <w:instrText xml:space="preserve"> PAGEREF _Toc113621719 \h </w:instrText>
      </w:r>
      <w:r>
        <w:fldChar w:fldCharType="separate"/>
      </w:r>
      <w:r w:rsidR="00D4298A">
        <w:t>38</w:t>
      </w:r>
      <w:r>
        <w:fldChar w:fldCharType="end"/>
      </w:r>
    </w:p>
    <w:p w14:paraId="1B91F8D9" w14:textId="70CC0810" w:rsidR="006632E3" w:rsidRDefault="006632E3">
      <w:pPr>
        <w:pStyle w:val="TableofFigures"/>
        <w:rPr>
          <w:rFonts w:asciiTheme="minorHAnsi" w:eastAsiaTheme="minorEastAsia" w:hAnsiTheme="minorHAnsi"/>
          <w:color w:val="auto"/>
          <w:sz w:val="22"/>
          <w:szCs w:val="22"/>
          <w:lang w:eastAsia="en-AU"/>
        </w:rPr>
      </w:pPr>
      <w:r w:rsidRPr="001612CC">
        <w:rPr>
          <w:b/>
        </w:rPr>
        <w:t>Figure 8</w:t>
      </w:r>
      <w:r>
        <w:t>: Buyback of entitlements (GL LTAAY)</w:t>
      </w:r>
      <w:r>
        <w:tab/>
      </w:r>
      <w:r>
        <w:fldChar w:fldCharType="begin"/>
      </w:r>
      <w:r>
        <w:instrText xml:space="preserve"> PAGEREF _Toc113621720 \h </w:instrText>
      </w:r>
      <w:r>
        <w:fldChar w:fldCharType="separate"/>
      </w:r>
      <w:r w:rsidR="00D4298A">
        <w:t>40</w:t>
      </w:r>
      <w:r>
        <w:fldChar w:fldCharType="end"/>
      </w:r>
    </w:p>
    <w:p w14:paraId="4A045CE5" w14:textId="5F62E98C" w:rsidR="006632E3" w:rsidRDefault="006632E3">
      <w:pPr>
        <w:pStyle w:val="TableofFigures"/>
        <w:rPr>
          <w:rFonts w:asciiTheme="minorHAnsi" w:eastAsiaTheme="minorEastAsia" w:hAnsiTheme="minorHAnsi"/>
          <w:color w:val="auto"/>
          <w:sz w:val="22"/>
          <w:szCs w:val="22"/>
          <w:lang w:eastAsia="en-AU"/>
        </w:rPr>
      </w:pPr>
      <w:r w:rsidRPr="001612CC">
        <w:rPr>
          <w:b/>
        </w:rPr>
        <w:t>Figure 9</w:t>
      </w:r>
      <w:r>
        <w:t>: Composition of the CEWH portfolio (LTAAY)</w:t>
      </w:r>
      <w:r>
        <w:tab/>
      </w:r>
      <w:r>
        <w:fldChar w:fldCharType="begin"/>
      </w:r>
      <w:r>
        <w:instrText xml:space="preserve"> PAGEREF _Toc113621721 \h </w:instrText>
      </w:r>
      <w:r>
        <w:fldChar w:fldCharType="separate"/>
      </w:r>
      <w:r w:rsidR="00D4298A">
        <w:t>42</w:t>
      </w:r>
      <w:r>
        <w:fldChar w:fldCharType="end"/>
      </w:r>
    </w:p>
    <w:p w14:paraId="246CA2A5" w14:textId="41888C4E" w:rsidR="006632E3" w:rsidRDefault="006632E3">
      <w:pPr>
        <w:pStyle w:val="TableofFigures"/>
        <w:rPr>
          <w:rFonts w:asciiTheme="minorHAnsi" w:eastAsiaTheme="minorEastAsia" w:hAnsiTheme="minorHAnsi"/>
          <w:color w:val="auto"/>
          <w:sz w:val="22"/>
          <w:szCs w:val="22"/>
          <w:lang w:eastAsia="en-AU"/>
        </w:rPr>
      </w:pPr>
      <w:r w:rsidRPr="001612CC">
        <w:rPr>
          <w:b/>
        </w:rPr>
        <w:t>Figure 10:</w:t>
      </w:r>
      <w:r>
        <w:t xml:space="preserve"> Composition of the CEWH portfolio</w:t>
      </w:r>
      <w:r>
        <w:tab/>
      </w:r>
      <w:r>
        <w:fldChar w:fldCharType="begin"/>
      </w:r>
      <w:r>
        <w:instrText xml:space="preserve"> PAGEREF _Toc113621722 \h </w:instrText>
      </w:r>
      <w:r>
        <w:fldChar w:fldCharType="separate"/>
      </w:r>
      <w:r w:rsidR="00D4298A">
        <w:t>43</w:t>
      </w:r>
      <w:r>
        <w:fldChar w:fldCharType="end"/>
      </w:r>
    </w:p>
    <w:p w14:paraId="76A86B88" w14:textId="50AF4B23" w:rsidR="006632E3" w:rsidRDefault="006632E3">
      <w:pPr>
        <w:pStyle w:val="TableofFigures"/>
        <w:rPr>
          <w:rFonts w:asciiTheme="minorHAnsi" w:eastAsiaTheme="minorEastAsia" w:hAnsiTheme="minorHAnsi"/>
          <w:color w:val="auto"/>
          <w:sz w:val="22"/>
          <w:szCs w:val="22"/>
          <w:lang w:eastAsia="en-AU"/>
        </w:rPr>
      </w:pPr>
      <w:r w:rsidRPr="001612CC">
        <w:rPr>
          <w:b/>
        </w:rPr>
        <w:t>Figure 11:</w:t>
      </w:r>
      <w:r>
        <w:t xml:space="preserve"> Differences in state carryover arrangements</w:t>
      </w:r>
      <w:r>
        <w:tab/>
      </w:r>
      <w:r>
        <w:fldChar w:fldCharType="begin"/>
      </w:r>
      <w:r>
        <w:instrText xml:space="preserve"> PAGEREF _Toc113621723 \h </w:instrText>
      </w:r>
      <w:r>
        <w:fldChar w:fldCharType="separate"/>
      </w:r>
      <w:r w:rsidR="00D4298A">
        <w:t>44</w:t>
      </w:r>
      <w:r>
        <w:fldChar w:fldCharType="end"/>
      </w:r>
    </w:p>
    <w:p w14:paraId="36322735" w14:textId="5B062015" w:rsidR="006632E3" w:rsidRDefault="006632E3">
      <w:pPr>
        <w:pStyle w:val="TableofFigures"/>
        <w:rPr>
          <w:rFonts w:asciiTheme="minorHAnsi" w:eastAsiaTheme="minorEastAsia" w:hAnsiTheme="minorHAnsi"/>
          <w:color w:val="auto"/>
          <w:sz w:val="22"/>
          <w:szCs w:val="22"/>
          <w:lang w:eastAsia="en-AU"/>
        </w:rPr>
      </w:pPr>
      <w:r w:rsidRPr="001612CC">
        <w:rPr>
          <w:b/>
        </w:rPr>
        <w:t>Figure 12</w:t>
      </w:r>
      <w:r>
        <w:t>: Water allocations to the CEWH portfolio</w:t>
      </w:r>
      <w:r>
        <w:tab/>
      </w:r>
      <w:r>
        <w:fldChar w:fldCharType="begin"/>
      </w:r>
      <w:r>
        <w:instrText xml:space="preserve"> PAGEREF _Toc113621724 \h </w:instrText>
      </w:r>
      <w:r>
        <w:fldChar w:fldCharType="separate"/>
      </w:r>
      <w:r w:rsidR="00D4298A">
        <w:t>47</w:t>
      </w:r>
      <w:r>
        <w:fldChar w:fldCharType="end"/>
      </w:r>
    </w:p>
    <w:p w14:paraId="3D16FE30" w14:textId="2E9080BF" w:rsidR="006632E3" w:rsidRDefault="006632E3">
      <w:pPr>
        <w:pStyle w:val="TableofFigures"/>
        <w:rPr>
          <w:rFonts w:asciiTheme="minorHAnsi" w:eastAsiaTheme="minorEastAsia" w:hAnsiTheme="minorHAnsi"/>
          <w:color w:val="auto"/>
          <w:sz w:val="22"/>
          <w:szCs w:val="22"/>
          <w:lang w:eastAsia="en-AU"/>
        </w:rPr>
      </w:pPr>
      <w:r w:rsidRPr="001612CC">
        <w:rPr>
          <w:b/>
        </w:rPr>
        <w:t>Figure 13</w:t>
      </w:r>
      <w:r>
        <w:t>: Water allocations to the CEWH portfolio and State water recovery, by State</w:t>
      </w:r>
      <w:r>
        <w:tab/>
      </w:r>
      <w:r>
        <w:fldChar w:fldCharType="begin"/>
      </w:r>
      <w:r>
        <w:instrText xml:space="preserve"> PAGEREF _Toc113621725 \h </w:instrText>
      </w:r>
      <w:r>
        <w:fldChar w:fldCharType="separate"/>
      </w:r>
      <w:r w:rsidR="00D4298A">
        <w:t>48</w:t>
      </w:r>
      <w:r>
        <w:fldChar w:fldCharType="end"/>
      </w:r>
    </w:p>
    <w:p w14:paraId="36223A6D" w14:textId="5FA0B146" w:rsidR="006632E3" w:rsidRDefault="006632E3">
      <w:pPr>
        <w:pStyle w:val="TableofFigures"/>
        <w:rPr>
          <w:rFonts w:asciiTheme="minorHAnsi" w:eastAsiaTheme="minorEastAsia" w:hAnsiTheme="minorHAnsi"/>
          <w:color w:val="auto"/>
          <w:sz w:val="22"/>
          <w:szCs w:val="22"/>
          <w:lang w:eastAsia="en-AU"/>
        </w:rPr>
      </w:pPr>
      <w:r w:rsidRPr="001612CC">
        <w:rPr>
          <w:b/>
        </w:rPr>
        <w:t>Figure 14</w:t>
      </w:r>
      <w:r>
        <w:t>: Victorian share of CEWH allocations</w:t>
      </w:r>
      <w:r>
        <w:tab/>
      </w:r>
      <w:r>
        <w:fldChar w:fldCharType="begin"/>
      </w:r>
      <w:r>
        <w:instrText xml:space="preserve"> PAGEREF _Toc113621726 \h </w:instrText>
      </w:r>
      <w:r>
        <w:fldChar w:fldCharType="separate"/>
      </w:r>
      <w:r w:rsidR="00D4298A">
        <w:t>49</w:t>
      </w:r>
      <w:r>
        <w:fldChar w:fldCharType="end"/>
      </w:r>
    </w:p>
    <w:p w14:paraId="5A2829E8" w14:textId="33E013DF" w:rsidR="006632E3" w:rsidRDefault="006632E3">
      <w:pPr>
        <w:pStyle w:val="TableofFigures"/>
        <w:rPr>
          <w:rFonts w:asciiTheme="minorHAnsi" w:eastAsiaTheme="minorEastAsia" w:hAnsiTheme="minorHAnsi"/>
          <w:color w:val="auto"/>
          <w:sz w:val="22"/>
          <w:szCs w:val="22"/>
          <w:lang w:eastAsia="en-AU"/>
        </w:rPr>
      </w:pPr>
      <w:r w:rsidRPr="001612CC">
        <w:rPr>
          <w:b/>
        </w:rPr>
        <w:t>Figure 15</w:t>
      </w:r>
      <w:r>
        <w:t>: Victorian share of CEWH carryover</w:t>
      </w:r>
      <w:r>
        <w:tab/>
      </w:r>
      <w:r>
        <w:fldChar w:fldCharType="begin"/>
      </w:r>
      <w:r>
        <w:instrText xml:space="preserve"> PAGEREF _Toc113621727 \h </w:instrText>
      </w:r>
      <w:r>
        <w:fldChar w:fldCharType="separate"/>
      </w:r>
      <w:r w:rsidR="00D4298A">
        <w:t>50</w:t>
      </w:r>
      <w:r>
        <w:fldChar w:fldCharType="end"/>
      </w:r>
    </w:p>
    <w:p w14:paraId="51DC9FF8" w14:textId="2F495906" w:rsidR="006632E3" w:rsidRDefault="006632E3">
      <w:pPr>
        <w:pStyle w:val="TableofFigures"/>
        <w:rPr>
          <w:rFonts w:asciiTheme="minorHAnsi" w:eastAsiaTheme="minorEastAsia" w:hAnsiTheme="minorHAnsi"/>
          <w:color w:val="auto"/>
          <w:sz w:val="22"/>
          <w:szCs w:val="22"/>
          <w:lang w:eastAsia="en-AU"/>
        </w:rPr>
      </w:pPr>
      <w:r w:rsidRPr="001612CC">
        <w:rPr>
          <w:b/>
        </w:rPr>
        <w:t>Figure 16</w:t>
      </w:r>
      <w:r>
        <w:t>: Water use by Victorian irrigators</w:t>
      </w:r>
      <w:r>
        <w:tab/>
      </w:r>
      <w:r>
        <w:fldChar w:fldCharType="begin"/>
      </w:r>
      <w:r>
        <w:instrText xml:space="preserve"> PAGEREF _Toc113621728 \h </w:instrText>
      </w:r>
      <w:r>
        <w:fldChar w:fldCharType="separate"/>
      </w:r>
      <w:r w:rsidR="00D4298A">
        <w:t>51</w:t>
      </w:r>
      <w:r>
        <w:fldChar w:fldCharType="end"/>
      </w:r>
    </w:p>
    <w:p w14:paraId="17F1BC25" w14:textId="25B04B52" w:rsidR="006632E3" w:rsidRDefault="006632E3">
      <w:pPr>
        <w:pStyle w:val="TableofFigures"/>
        <w:rPr>
          <w:rFonts w:asciiTheme="minorHAnsi" w:eastAsiaTheme="minorEastAsia" w:hAnsiTheme="minorHAnsi"/>
          <w:color w:val="auto"/>
          <w:sz w:val="22"/>
          <w:szCs w:val="22"/>
          <w:lang w:eastAsia="en-AU"/>
        </w:rPr>
      </w:pPr>
      <w:r w:rsidRPr="001612CC">
        <w:rPr>
          <w:b/>
        </w:rPr>
        <w:t>Figure 17</w:t>
      </w:r>
      <w:r>
        <w:t>: Water use by Victorian irrigation districts and diverters</w:t>
      </w:r>
      <w:r>
        <w:tab/>
      </w:r>
      <w:r>
        <w:fldChar w:fldCharType="begin"/>
      </w:r>
      <w:r>
        <w:instrText xml:space="preserve"> PAGEREF _Toc113621729 \h </w:instrText>
      </w:r>
      <w:r>
        <w:fldChar w:fldCharType="separate"/>
      </w:r>
      <w:r w:rsidR="00D4298A">
        <w:t>53</w:t>
      </w:r>
      <w:r>
        <w:fldChar w:fldCharType="end"/>
      </w:r>
    </w:p>
    <w:p w14:paraId="2FCBA31F" w14:textId="600965C4" w:rsidR="006632E3" w:rsidRDefault="006632E3">
      <w:pPr>
        <w:pStyle w:val="TableofFigures"/>
        <w:rPr>
          <w:rFonts w:asciiTheme="minorHAnsi" w:eastAsiaTheme="minorEastAsia" w:hAnsiTheme="minorHAnsi"/>
          <w:color w:val="auto"/>
          <w:sz w:val="22"/>
          <w:szCs w:val="22"/>
          <w:lang w:eastAsia="en-AU"/>
        </w:rPr>
      </w:pPr>
      <w:r w:rsidRPr="001612CC">
        <w:rPr>
          <w:b/>
        </w:rPr>
        <w:t>Figure 18</w:t>
      </w:r>
      <w:r>
        <w:t>: Water use within GMW districts</w:t>
      </w:r>
      <w:r>
        <w:tab/>
      </w:r>
      <w:r>
        <w:fldChar w:fldCharType="begin"/>
      </w:r>
      <w:r>
        <w:instrText xml:space="preserve"> PAGEREF _Toc113621730 \h </w:instrText>
      </w:r>
      <w:r>
        <w:fldChar w:fldCharType="separate"/>
      </w:r>
      <w:r w:rsidR="00D4298A">
        <w:t>53</w:t>
      </w:r>
      <w:r>
        <w:fldChar w:fldCharType="end"/>
      </w:r>
    </w:p>
    <w:p w14:paraId="323DA146" w14:textId="7147E898" w:rsidR="006632E3" w:rsidRDefault="006632E3">
      <w:pPr>
        <w:pStyle w:val="TableofFigures"/>
        <w:rPr>
          <w:rFonts w:asciiTheme="minorHAnsi" w:eastAsiaTheme="minorEastAsia" w:hAnsiTheme="minorHAnsi"/>
          <w:color w:val="auto"/>
          <w:sz w:val="22"/>
          <w:szCs w:val="22"/>
          <w:lang w:eastAsia="en-AU"/>
        </w:rPr>
      </w:pPr>
      <w:r w:rsidRPr="001612CC">
        <w:rPr>
          <w:b/>
        </w:rPr>
        <w:t>Figure 19</w:t>
      </w:r>
      <w:r>
        <w:t>: Observed and counterfactual water use (Victoria)</w:t>
      </w:r>
      <w:r>
        <w:tab/>
      </w:r>
      <w:r>
        <w:fldChar w:fldCharType="begin"/>
      </w:r>
      <w:r>
        <w:instrText xml:space="preserve"> PAGEREF _Toc113621731 \h </w:instrText>
      </w:r>
      <w:r>
        <w:fldChar w:fldCharType="separate"/>
      </w:r>
      <w:r w:rsidR="00D4298A">
        <w:t>56</w:t>
      </w:r>
      <w:r>
        <w:fldChar w:fldCharType="end"/>
      </w:r>
    </w:p>
    <w:p w14:paraId="0160B913" w14:textId="6549C0A7" w:rsidR="006632E3" w:rsidRDefault="006632E3">
      <w:pPr>
        <w:pStyle w:val="TableofFigures"/>
        <w:rPr>
          <w:rFonts w:asciiTheme="minorHAnsi" w:eastAsiaTheme="minorEastAsia" w:hAnsiTheme="minorHAnsi"/>
          <w:color w:val="auto"/>
          <w:sz w:val="22"/>
          <w:szCs w:val="22"/>
          <w:lang w:eastAsia="en-AU"/>
        </w:rPr>
      </w:pPr>
      <w:r w:rsidRPr="001612CC">
        <w:rPr>
          <w:b/>
        </w:rPr>
        <w:t>Figure 20</w:t>
      </w:r>
      <w:r>
        <w:t>: Observed and counterfactual water use (GMW districts)</w:t>
      </w:r>
      <w:r>
        <w:tab/>
      </w:r>
      <w:r>
        <w:fldChar w:fldCharType="begin"/>
      </w:r>
      <w:r>
        <w:instrText xml:space="preserve"> PAGEREF _Toc113621732 \h </w:instrText>
      </w:r>
      <w:r>
        <w:fldChar w:fldCharType="separate"/>
      </w:r>
      <w:r w:rsidR="00D4298A">
        <w:t>56</w:t>
      </w:r>
      <w:r>
        <w:fldChar w:fldCharType="end"/>
      </w:r>
    </w:p>
    <w:p w14:paraId="76A8BBAE" w14:textId="54CF7E99" w:rsidR="006632E3" w:rsidRDefault="006632E3">
      <w:pPr>
        <w:pStyle w:val="TableofFigures"/>
        <w:rPr>
          <w:rFonts w:asciiTheme="minorHAnsi" w:eastAsiaTheme="minorEastAsia" w:hAnsiTheme="minorHAnsi"/>
          <w:color w:val="auto"/>
          <w:sz w:val="22"/>
          <w:szCs w:val="22"/>
          <w:lang w:eastAsia="en-AU"/>
        </w:rPr>
      </w:pPr>
      <w:r w:rsidRPr="001612CC">
        <w:rPr>
          <w:b/>
          <w:bCs/>
        </w:rPr>
        <w:t>Figure 21</w:t>
      </w:r>
      <w:r>
        <w:t>: GMID milk production (observed and counterfactual)</w:t>
      </w:r>
      <w:r>
        <w:tab/>
      </w:r>
      <w:r>
        <w:fldChar w:fldCharType="begin"/>
      </w:r>
      <w:r>
        <w:instrText xml:space="preserve"> PAGEREF _Toc113621733 \h </w:instrText>
      </w:r>
      <w:r>
        <w:fldChar w:fldCharType="separate"/>
      </w:r>
      <w:r w:rsidR="00D4298A">
        <w:t>64</w:t>
      </w:r>
      <w:r>
        <w:fldChar w:fldCharType="end"/>
      </w:r>
    </w:p>
    <w:p w14:paraId="423501BE" w14:textId="12A416BC" w:rsidR="006632E3" w:rsidRDefault="006632E3">
      <w:pPr>
        <w:pStyle w:val="TableofFigures"/>
        <w:rPr>
          <w:rFonts w:asciiTheme="minorHAnsi" w:eastAsiaTheme="minorEastAsia" w:hAnsiTheme="minorHAnsi"/>
          <w:color w:val="auto"/>
          <w:sz w:val="22"/>
          <w:szCs w:val="22"/>
          <w:lang w:eastAsia="en-AU"/>
        </w:rPr>
      </w:pPr>
      <w:r w:rsidRPr="001612CC">
        <w:rPr>
          <w:b/>
        </w:rPr>
        <w:t>Figure 22</w:t>
      </w:r>
      <w:r>
        <w:t>: Impact of 450GL buyback approaches, based on announced allocations</w:t>
      </w:r>
      <w:r>
        <w:tab/>
      </w:r>
      <w:r>
        <w:fldChar w:fldCharType="begin"/>
      </w:r>
      <w:r>
        <w:instrText xml:space="preserve"> PAGEREF _Toc113621734 \h </w:instrText>
      </w:r>
      <w:r>
        <w:fldChar w:fldCharType="separate"/>
      </w:r>
      <w:r w:rsidR="00D4298A">
        <w:t>83</w:t>
      </w:r>
      <w:r>
        <w:fldChar w:fldCharType="end"/>
      </w:r>
    </w:p>
    <w:p w14:paraId="06909AE3" w14:textId="39DD95DD" w:rsidR="006632E3" w:rsidRDefault="006632E3">
      <w:pPr>
        <w:pStyle w:val="TableofFigures"/>
        <w:rPr>
          <w:rFonts w:asciiTheme="minorHAnsi" w:eastAsiaTheme="minorEastAsia" w:hAnsiTheme="minorHAnsi"/>
          <w:color w:val="auto"/>
          <w:sz w:val="22"/>
          <w:szCs w:val="22"/>
          <w:lang w:eastAsia="en-AU"/>
        </w:rPr>
      </w:pPr>
      <w:r w:rsidRPr="001612CC">
        <w:rPr>
          <w:b/>
        </w:rPr>
        <w:t>Figure 23</w:t>
      </w:r>
      <w:r>
        <w:t>: Impact of 450GL buyback approaches, based on allocations experienced by CEWH</w:t>
      </w:r>
      <w:r>
        <w:tab/>
      </w:r>
      <w:r>
        <w:fldChar w:fldCharType="begin"/>
      </w:r>
      <w:r>
        <w:instrText xml:space="preserve"> PAGEREF _Toc113621735 \h </w:instrText>
      </w:r>
      <w:r>
        <w:fldChar w:fldCharType="separate"/>
      </w:r>
      <w:r w:rsidR="00D4298A">
        <w:t>84</w:t>
      </w:r>
      <w:r>
        <w:fldChar w:fldCharType="end"/>
      </w:r>
    </w:p>
    <w:p w14:paraId="7492A72A" w14:textId="7CA1488A" w:rsidR="006632E3" w:rsidRDefault="006632E3">
      <w:pPr>
        <w:pStyle w:val="TableofFigures"/>
        <w:rPr>
          <w:rFonts w:asciiTheme="minorHAnsi" w:eastAsiaTheme="minorEastAsia" w:hAnsiTheme="minorHAnsi"/>
          <w:color w:val="auto"/>
          <w:sz w:val="22"/>
          <w:szCs w:val="22"/>
          <w:lang w:eastAsia="en-AU"/>
        </w:rPr>
      </w:pPr>
      <w:r w:rsidRPr="001612CC">
        <w:rPr>
          <w:b/>
        </w:rPr>
        <w:t>Figure 24</w:t>
      </w:r>
      <w:r>
        <w:t>: Impacts of water recovery on water prices</w:t>
      </w:r>
      <w:r>
        <w:tab/>
      </w:r>
      <w:r>
        <w:fldChar w:fldCharType="begin"/>
      </w:r>
      <w:r>
        <w:instrText xml:space="preserve"> PAGEREF _Toc113621736 \h </w:instrText>
      </w:r>
      <w:r>
        <w:fldChar w:fldCharType="separate"/>
      </w:r>
      <w:r w:rsidR="00D4298A">
        <w:t>104</w:t>
      </w:r>
      <w:r>
        <w:fldChar w:fldCharType="end"/>
      </w:r>
    </w:p>
    <w:p w14:paraId="48075F13" w14:textId="3923F902" w:rsidR="006628AF" w:rsidRPr="00E57B03" w:rsidRDefault="007C673D" w:rsidP="006628AF">
      <w:pPr>
        <w:rPr>
          <w:sz w:val="24"/>
          <w:szCs w:val="24"/>
        </w:rPr>
      </w:pPr>
      <w:r w:rsidRPr="00E57B03">
        <w:rPr>
          <w:noProof/>
          <w:sz w:val="24"/>
          <w:szCs w:val="24"/>
          <w:lang w:val="en-US"/>
        </w:rPr>
        <w:fldChar w:fldCharType="end"/>
      </w:r>
      <w:bookmarkEnd w:id="3"/>
    </w:p>
    <w:p w14:paraId="7BBE4DD4" w14:textId="77777777" w:rsidR="003F1F15" w:rsidRDefault="003F1F15">
      <w:pPr>
        <w:spacing w:before="0" w:after="0" w:line="240" w:lineRule="auto"/>
      </w:pPr>
    </w:p>
    <w:p w14:paraId="6251C2B2" w14:textId="09D2EC42" w:rsidR="006D2F6F" w:rsidRDefault="006D2F6F">
      <w:pPr>
        <w:spacing w:before="0" w:after="0" w:line="240" w:lineRule="auto"/>
        <w:sectPr w:rsidR="006D2F6F" w:rsidSect="009C6F71">
          <w:type w:val="continuous"/>
          <w:pgSz w:w="11906" w:h="16838" w:code="9"/>
          <w:pgMar w:top="1871" w:right="1418" w:bottom="1134" w:left="1418" w:header="567" w:footer="567" w:gutter="0"/>
          <w:cols w:space="708"/>
          <w:formProt w:val="0"/>
          <w:docGrid w:linePitch="360"/>
        </w:sectPr>
      </w:pPr>
    </w:p>
    <w:p w14:paraId="26E571DB" w14:textId="3FF88506" w:rsidR="00A374D9" w:rsidRDefault="00180BF0" w:rsidP="00A374D9">
      <w:pPr>
        <w:pStyle w:val="Heading1"/>
      </w:pPr>
      <w:bookmarkStart w:id="4" w:name="_Toc113621639"/>
      <w:bookmarkStart w:id="5" w:name="_Hlk110006181"/>
      <w:bookmarkStart w:id="6" w:name="_Toc46242987"/>
      <w:r>
        <w:lastRenderedPageBreak/>
        <w:t>Executive Summary</w:t>
      </w:r>
      <w:bookmarkEnd w:id="4"/>
    </w:p>
    <w:bookmarkEnd w:id="5"/>
    <w:bookmarkEnd w:id="6"/>
    <w:p w14:paraId="7FD6C93C" w14:textId="46A16138" w:rsidR="00A2153D" w:rsidRDefault="00A2153D" w:rsidP="00A2153D">
      <w:pPr>
        <w:pStyle w:val="BodyText"/>
      </w:pPr>
      <w:r>
        <w:t>The past twenty years in the Murray-Darling Basin have been characterised by</w:t>
      </w:r>
      <w:r w:rsidR="00B438F3">
        <w:t xml:space="preserve"> substantial policy reforms, large and rapid changes to irrigation water availability, and transformations in irrigation industries</w:t>
      </w:r>
      <w:r w:rsidR="00771E49">
        <w:t xml:space="preserve"> —</w:t>
      </w:r>
      <w:r>
        <w:t xml:space="preserve"> which have </w:t>
      </w:r>
      <w:r w:rsidR="00785812">
        <w:t xml:space="preserve">had significant </w:t>
      </w:r>
      <w:r>
        <w:t xml:space="preserve">flow-on socio-economic implications for the people </w:t>
      </w:r>
      <w:r w:rsidR="00DF0132">
        <w:t>who</w:t>
      </w:r>
      <w:r>
        <w:t xml:space="preserve"> depend on </w:t>
      </w:r>
      <w:r w:rsidR="009274B8">
        <w:t xml:space="preserve">water use in </w:t>
      </w:r>
      <w:r>
        <w:t xml:space="preserve">the </w:t>
      </w:r>
      <w:r w:rsidR="009274B8">
        <w:t>Basin</w:t>
      </w:r>
      <w:r w:rsidR="00DF0132">
        <w:t xml:space="preserve"> </w:t>
      </w:r>
      <w:r w:rsidR="00DF0132" w:rsidRPr="00DF0132">
        <w:t>as well as those who live and work in the Basin</w:t>
      </w:r>
      <w:r w:rsidR="00DF0132">
        <w:t xml:space="preserve"> </w:t>
      </w:r>
      <w:r>
        <w:t>.</w:t>
      </w:r>
    </w:p>
    <w:p w14:paraId="6DF3107C" w14:textId="77777777" w:rsidR="00A2153D" w:rsidRDefault="00A2153D" w:rsidP="00A2153D">
      <w:pPr>
        <w:pStyle w:val="BodyText"/>
      </w:pPr>
      <w:r>
        <w:t>In 2017, recognising the need for a comprehensive understanding of socio-economic impacts of water recovery for the Basin Plan, the Victorian Government commissioned Frontier Economics and Tim Cummins &amp; Associates to analyse the socio-economic impacts of the Basin Plan in Victoria. That report, and other analyses by state and Federal agencies, has informed Victoria’s policies on water recovery and Basin Plan implementation.</w:t>
      </w:r>
    </w:p>
    <w:p w14:paraId="49BC2161" w14:textId="6B534BB6" w:rsidR="004F77F0" w:rsidRDefault="00A2153D" w:rsidP="00A2153D">
      <w:pPr>
        <w:pStyle w:val="BodyText"/>
      </w:pPr>
      <w:r>
        <w:t xml:space="preserve">This 2022 report </w:t>
      </w:r>
      <w:r w:rsidR="00785812">
        <w:t xml:space="preserve">updates </w:t>
      </w:r>
      <w:r>
        <w:t xml:space="preserve">the analysis </w:t>
      </w:r>
      <w:r w:rsidR="00785812">
        <w:t xml:space="preserve">undertaken </w:t>
      </w:r>
      <w:r>
        <w:t>in 2017 to consider how things have changed since that time. Our key findings are outlined below.</w:t>
      </w:r>
    </w:p>
    <w:p w14:paraId="5C012E20" w14:textId="46D9EDD7" w:rsidR="008067F1" w:rsidRDefault="008067F1" w:rsidP="00597401">
      <w:pPr>
        <w:pStyle w:val="ListNumber1"/>
        <w:numPr>
          <w:ilvl w:val="0"/>
          <w:numId w:val="18"/>
        </w:numPr>
        <w:tabs>
          <w:tab w:val="clear" w:pos="284"/>
          <w:tab w:val="num" w:pos="426"/>
        </w:tabs>
        <w:ind w:left="426" w:hanging="426"/>
      </w:pPr>
      <w:r>
        <w:t>The Murray-Darling Basin Plan sets out two distinct and important components of water recovery for the environment</w:t>
      </w:r>
      <w:r w:rsidR="00771E49">
        <w:t>:</w:t>
      </w:r>
      <w:r>
        <w:t xml:space="preserve"> </w:t>
      </w:r>
    </w:p>
    <w:p w14:paraId="34536548" w14:textId="77777777" w:rsidR="008067F1" w:rsidRDefault="008067F1" w:rsidP="00DC193A">
      <w:pPr>
        <w:pStyle w:val="ListNumber2"/>
        <w:tabs>
          <w:tab w:val="clear" w:pos="568"/>
          <w:tab w:val="num" w:pos="709"/>
        </w:tabs>
        <w:ind w:left="709" w:hanging="283"/>
      </w:pPr>
      <w:r>
        <w:t>w</w:t>
      </w:r>
      <w:r w:rsidRPr="00F368F0">
        <w:t xml:space="preserve">ater </w:t>
      </w:r>
      <w:r>
        <w:t xml:space="preserve">that </w:t>
      </w:r>
      <w:r w:rsidRPr="006A107E">
        <w:rPr>
          <w:i/>
          <w:iCs/>
        </w:rPr>
        <w:t>must</w:t>
      </w:r>
      <w:r>
        <w:t xml:space="preserve"> be </w:t>
      </w:r>
      <w:r w:rsidRPr="00F368F0">
        <w:t>recovered to</w:t>
      </w:r>
      <w:r>
        <w:t xml:space="preserve"> meet the requirements for</w:t>
      </w:r>
      <w:r w:rsidRPr="00F368F0">
        <w:t xml:space="preserve"> ‘Bridging the Gap’ </w:t>
      </w:r>
      <w:r>
        <w:t>— that is, recovering the equivalent of the 2,750 GL of water for the environment necessary to move from the original Baseline Diversion Limits (BDLs) to the Sustainable Diversion Limits (SDLs) designated in the Basin Plan.</w:t>
      </w:r>
    </w:p>
    <w:p w14:paraId="2913EA1D" w14:textId="2DD94BF7" w:rsidR="004F77F0" w:rsidRDefault="008067F1" w:rsidP="00DC193A">
      <w:pPr>
        <w:pStyle w:val="ListNumber2"/>
        <w:tabs>
          <w:tab w:val="clear" w:pos="568"/>
          <w:tab w:val="num" w:pos="709"/>
        </w:tabs>
        <w:ind w:left="709" w:hanging="283"/>
      </w:pPr>
      <w:r>
        <w:t>additional w</w:t>
      </w:r>
      <w:r w:rsidRPr="00F368F0">
        <w:t>ater</w:t>
      </w:r>
      <w:r>
        <w:t>, up to 450 GL,</w:t>
      </w:r>
      <w:r w:rsidRPr="00F368F0">
        <w:t xml:space="preserve"> </w:t>
      </w:r>
      <w:r>
        <w:t xml:space="preserve">that </w:t>
      </w:r>
      <w:r w:rsidRPr="006A107E">
        <w:rPr>
          <w:i/>
          <w:iCs/>
        </w:rPr>
        <w:t>may</w:t>
      </w:r>
      <w:r>
        <w:t xml:space="preserve"> be </w:t>
      </w:r>
      <w:r w:rsidRPr="00F368F0">
        <w:t>recovered for enhanced environmental outcomes</w:t>
      </w:r>
      <w:r>
        <w:t>.</w:t>
      </w:r>
    </w:p>
    <w:p w14:paraId="06ACC9C0" w14:textId="7E580004" w:rsidR="004F77F0" w:rsidRDefault="00F368F0" w:rsidP="00F368F0">
      <w:pPr>
        <w:pStyle w:val="BodyText"/>
      </w:pPr>
      <w:r>
        <w:t xml:space="preserve">Bridging the 2,750 GL </w:t>
      </w:r>
      <w:r w:rsidR="002B1AE4">
        <w:t>difference</w:t>
      </w:r>
      <w:r>
        <w:t xml:space="preserve"> between Baseline Diversion Limits and Sustainable Diversion Limits</w:t>
      </w:r>
      <w:r w:rsidR="004F77F0">
        <w:t xml:space="preserve"> </w:t>
      </w:r>
      <w:r w:rsidR="00C70AC0">
        <w:t xml:space="preserve">(SDLs) </w:t>
      </w:r>
      <w:r w:rsidR="004F77F0">
        <w:t xml:space="preserve">is </w:t>
      </w:r>
      <w:r w:rsidR="00013EEE">
        <w:t>the</w:t>
      </w:r>
      <w:r w:rsidR="004F77F0">
        <w:t xml:space="preserve"> essential</w:t>
      </w:r>
      <w:r w:rsidR="00013EEE">
        <w:t xml:space="preserve"> legal</w:t>
      </w:r>
      <w:r w:rsidR="004F77F0">
        <w:t xml:space="preserve"> requirement of the Basin Plan. </w:t>
      </w:r>
      <w:r w:rsidR="009F20AC">
        <w:t>Community expectations around the delivery of the Basin Plan centre on this target</w:t>
      </w:r>
      <w:r w:rsidR="00662E4B">
        <w:t xml:space="preserve"> being achieved by 30 June 2024.</w:t>
      </w:r>
      <w:r w:rsidR="00997A2B">
        <w:t xml:space="preserve"> </w:t>
      </w:r>
      <w:r w:rsidR="00662E4B">
        <w:t xml:space="preserve">If </w:t>
      </w:r>
      <w:r w:rsidR="00997A2B">
        <w:t>necessary</w:t>
      </w:r>
      <w:r w:rsidR="00662E4B">
        <w:t>, however,</w:t>
      </w:r>
      <w:r w:rsidR="009F20AC">
        <w:t xml:space="preserve"> </w:t>
      </w:r>
      <w:r w:rsidR="00F31355">
        <w:t xml:space="preserve">consumptive water use can continue to exceed SDLs if </w:t>
      </w:r>
      <w:r w:rsidR="00FB17E3">
        <w:t xml:space="preserve">the </w:t>
      </w:r>
      <w:r w:rsidR="004F77F0">
        <w:t>States have a reasonable excuse for excess take due to incomplete water recovery (Basin Plan s6.12(4)(b))</w:t>
      </w:r>
      <w:r w:rsidR="00F31355">
        <w:t>.</w:t>
      </w:r>
      <w:r w:rsidR="004F77F0">
        <w:t xml:space="preserve"> </w:t>
      </w:r>
    </w:p>
    <w:p w14:paraId="2DC488DE" w14:textId="45308E91" w:rsidR="004F77F0" w:rsidRDefault="004F77F0" w:rsidP="00F368F0">
      <w:pPr>
        <w:pStyle w:val="ListBullet1"/>
      </w:pPr>
      <w:r>
        <w:t xml:space="preserve">2,750 GL was originally described as the ‘Bridging the Gap’ target. Following amendments to the Basin plan in 2018, </w:t>
      </w:r>
      <w:r w:rsidR="00991D79">
        <w:t>the total volume that needs to be directly recovered has been offset by two changes</w:t>
      </w:r>
      <w:r>
        <w:t xml:space="preserve">: </w:t>
      </w:r>
    </w:p>
    <w:p w14:paraId="67C37660" w14:textId="1D41E085" w:rsidR="004F77F0" w:rsidRDefault="004F77F0" w:rsidP="00597401">
      <w:pPr>
        <w:pStyle w:val="ListParagraph"/>
      </w:pPr>
      <w:r>
        <w:t xml:space="preserve">70 GL — </w:t>
      </w:r>
      <w:r w:rsidR="009D1F7E">
        <w:t xml:space="preserve">an </w:t>
      </w:r>
      <w:r>
        <w:t>SDL increase in the northern Basin arising from the Northern Basin Review, reduc</w:t>
      </w:r>
      <w:r w:rsidR="009D1F7E">
        <w:t>ed</w:t>
      </w:r>
      <w:r>
        <w:t xml:space="preserve"> the </w:t>
      </w:r>
      <w:r w:rsidR="009D1F7E">
        <w:t xml:space="preserve">recovery </w:t>
      </w:r>
      <w:r>
        <w:t xml:space="preserve">target </w:t>
      </w:r>
      <w:r w:rsidR="009D1F7E">
        <w:t xml:space="preserve">by 70 GL </w:t>
      </w:r>
      <w:r>
        <w:t>to 2,680 GL</w:t>
      </w:r>
    </w:p>
    <w:p w14:paraId="50A136E3" w14:textId="685C8843" w:rsidR="004F77F0" w:rsidRDefault="004F77F0" w:rsidP="00597401">
      <w:pPr>
        <w:pStyle w:val="ListParagraph"/>
      </w:pPr>
      <w:r>
        <w:t>605 GL —</w:t>
      </w:r>
      <w:r w:rsidR="009D1F7E">
        <w:t xml:space="preserve"> </w:t>
      </w:r>
      <w:r>
        <w:t xml:space="preserve">Sustainable Diversion Limit Adjustment Mechanism (SDLAM) projects </w:t>
      </w:r>
      <w:r w:rsidR="00E00434">
        <w:t xml:space="preserve">in the southern MDB </w:t>
      </w:r>
      <w:r>
        <w:t xml:space="preserve">reduce the need for water recovery because they allow equivalent environmental outcomes to be achieved with </w:t>
      </w:r>
      <w:r w:rsidR="009D1F7E">
        <w:t xml:space="preserve">605 GL </w:t>
      </w:r>
      <w:r>
        <w:t xml:space="preserve">less water. This </w:t>
      </w:r>
      <w:r w:rsidR="00032CAC">
        <w:t xml:space="preserve">offset </w:t>
      </w:r>
      <w:r>
        <w:t xml:space="preserve">further reduced the Bridging the Gap </w:t>
      </w:r>
      <w:r w:rsidR="00A47921">
        <w:t xml:space="preserve">water recovery </w:t>
      </w:r>
      <w:r>
        <w:t>requirement</w:t>
      </w:r>
      <w:r w:rsidR="001C4FD2">
        <w:t xml:space="preserve"> </w:t>
      </w:r>
      <w:r w:rsidR="0053309B">
        <w:t xml:space="preserve">from 2,680 GL </w:t>
      </w:r>
      <w:r w:rsidR="001C4FD2">
        <w:t>to 2,075 GL</w:t>
      </w:r>
      <w:r>
        <w:t xml:space="preserve">. </w:t>
      </w:r>
    </w:p>
    <w:p w14:paraId="53C37F86" w14:textId="57559BC7" w:rsidR="004F77F0" w:rsidRDefault="004F77F0" w:rsidP="001970DC">
      <w:pPr>
        <w:pStyle w:val="ParaBullet1"/>
      </w:pPr>
      <w:r>
        <w:t xml:space="preserve">2,075 GL </w:t>
      </w:r>
      <w:r w:rsidR="00D05FE5">
        <w:t xml:space="preserve">is </w:t>
      </w:r>
      <w:r>
        <w:t xml:space="preserve">the new </w:t>
      </w:r>
      <w:r w:rsidR="009308D7">
        <w:t xml:space="preserve">target for direct water recovery </w:t>
      </w:r>
      <w:r w:rsidR="00B475FF">
        <w:t>under the</w:t>
      </w:r>
      <w:r>
        <w:t xml:space="preserve"> ‘Bridging the Gap’ </w:t>
      </w:r>
      <w:r w:rsidR="00B475FF">
        <w:t>requirements</w:t>
      </w:r>
      <w:r w:rsidR="00D05FE5">
        <w:t xml:space="preserve">, provided the SDLAM projects deliver the full </w:t>
      </w:r>
      <w:r w:rsidR="00032CAC">
        <w:t>the 605 GL offsets</w:t>
      </w:r>
      <w:r w:rsidR="0053309B">
        <w:t xml:space="preserve">. If </w:t>
      </w:r>
      <w:r w:rsidR="00032CAC">
        <w:t>at reconciliation in 2024</w:t>
      </w:r>
      <w:r w:rsidR="0053309B">
        <w:t>, the SDLAM projects fall short of that volume</w:t>
      </w:r>
      <w:r w:rsidR="00032CAC">
        <w:t xml:space="preserve">, </w:t>
      </w:r>
      <w:r w:rsidR="0053309B">
        <w:t xml:space="preserve">the ‘Bridging the </w:t>
      </w:r>
      <w:r w:rsidR="006C54F2">
        <w:t xml:space="preserve">Gap’ </w:t>
      </w:r>
      <w:r w:rsidR="00B475FF">
        <w:t xml:space="preserve">water recovery </w:t>
      </w:r>
      <w:r w:rsidR="006C54F2">
        <w:t>target would</w:t>
      </w:r>
      <w:r w:rsidR="00032CAC">
        <w:t xml:space="preserve"> increase </w:t>
      </w:r>
      <w:r w:rsidR="006C54F2">
        <w:t>from</w:t>
      </w:r>
      <w:r w:rsidR="00032CAC">
        <w:t xml:space="preserve"> 2,075 GL by the corresponding volume</w:t>
      </w:r>
      <w:r w:rsidR="006C54F2">
        <w:t>.</w:t>
      </w:r>
    </w:p>
    <w:p w14:paraId="47B4593F" w14:textId="0FCBED7E" w:rsidR="004F77F0" w:rsidRDefault="004F77F0" w:rsidP="004F77F0">
      <w:pPr>
        <w:pStyle w:val="BodyText"/>
      </w:pPr>
      <w:r>
        <w:t xml:space="preserve">The Basin Plan </w:t>
      </w:r>
      <w:r w:rsidR="006C54F2">
        <w:t xml:space="preserve">also </w:t>
      </w:r>
      <w:r>
        <w:t xml:space="preserve">includes up to 450 GL </w:t>
      </w:r>
      <w:r w:rsidR="006C54F2">
        <w:t xml:space="preserve">of </w:t>
      </w:r>
      <w:r>
        <w:t xml:space="preserve">additional water recovery </w:t>
      </w:r>
      <w:r w:rsidR="004A26CD">
        <w:t>beyond</w:t>
      </w:r>
      <w:r>
        <w:t xml:space="preserve"> the </w:t>
      </w:r>
      <w:r w:rsidR="004A26CD">
        <w:t xml:space="preserve">‘Bridging the Gap’ </w:t>
      </w:r>
      <w:r w:rsidR="008F004D">
        <w:t>requirement</w:t>
      </w:r>
      <w:r>
        <w:t xml:space="preserve">. </w:t>
      </w:r>
      <w:r w:rsidR="004A26CD">
        <w:t>Under the Basin Plan, this additional volume must come from</w:t>
      </w:r>
      <w:r>
        <w:t xml:space="preserve"> efficiency </w:t>
      </w:r>
      <w:r>
        <w:lastRenderedPageBreak/>
        <w:t>projects that provide neutral or positive socio-economic impacts</w:t>
      </w:r>
      <w:r w:rsidR="001F125E">
        <w:t>.</w:t>
      </w:r>
      <w:r>
        <w:t xml:space="preserve"> There are two </w:t>
      </w:r>
      <w:r w:rsidR="001F125E">
        <w:t>components of this target</w:t>
      </w:r>
      <w:r>
        <w:t xml:space="preserve">: </w:t>
      </w:r>
    </w:p>
    <w:p w14:paraId="6CD08E31" w14:textId="3145227B" w:rsidR="004F77F0" w:rsidRDefault="004F77F0" w:rsidP="00AE31C7">
      <w:pPr>
        <w:pStyle w:val="ListParagraph"/>
      </w:pPr>
      <w:r>
        <w:t>The first 62 GL of efficiency contribution must be recovered for the full 605 GL supply contribution from SDLAM projects to be realised</w:t>
      </w:r>
      <w:r w:rsidR="00AE31C7">
        <w:t>. (</w:t>
      </w:r>
      <w:r w:rsidR="00FA3E95">
        <w:t xml:space="preserve">This </w:t>
      </w:r>
      <w:r w:rsidR="00AE31C7">
        <w:t xml:space="preserve">also means that a 62 GL target for efficiency contribution </w:t>
      </w:r>
      <w:r w:rsidR="00FA3E95">
        <w:t>is contingent on the 605GL from SDLAM projects, and a</w:t>
      </w:r>
      <w:r>
        <w:t xml:space="preserve"> reduction to the 605 GL would reduce or remove this target.</w:t>
      </w:r>
      <w:r w:rsidR="00AE31C7">
        <w:t>)</w:t>
      </w:r>
      <w:r>
        <w:t xml:space="preserve"> </w:t>
      </w:r>
    </w:p>
    <w:p w14:paraId="17EBD282" w14:textId="7A854CCC" w:rsidR="004F77F0" w:rsidRDefault="004F77F0" w:rsidP="00AE31C7">
      <w:pPr>
        <w:pStyle w:val="ListParagraph"/>
      </w:pPr>
      <w:r>
        <w:t xml:space="preserve">The remaining 388 GL </w:t>
      </w:r>
      <w:r w:rsidR="00537D64">
        <w:t xml:space="preserve">(450 GL minus 62 GL) </w:t>
      </w:r>
      <w:r>
        <w:t>is an additional target which can be achieved in part or in full</w:t>
      </w:r>
      <w:r w:rsidR="00015554">
        <w:t xml:space="preserve">. </w:t>
      </w:r>
      <w:r>
        <w:t>There are no SDL compliance or other legislative consequences if it is not achieved in full</w:t>
      </w:r>
      <w:r w:rsidR="00350B8D">
        <w:t>;</w:t>
      </w:r>
      <w:r>
        <w:t xml:space="preserve"> it is an </w:t>
      </w:r>
      <w:r w:rsidR="00350B8D">
        <w:t>‘</w:t>
      </w:r>
      <w:r>
        <w:t>up to</w:t>
      </w:r>
      <w:r w:rsidR="00350B8D">
        <w:t>’</w:t>
      </w:r>
      <w:r>
        <w:t xml:space="preserve"> target</w:t>
      </w:r>
      <w:r w:rsidR="00015554">
        <w:t xml:space="preserve">, and </w:t>
      </w:r>
      <w:r w:rsidR="00D87DC0">
        <w:t>the recovery</w:t>
      </w:r>
      <w:r w:rsidR="00015554">
        <w:t xml:space="preserve"> must </w:t>
      </w:r>
      <w:r w:rsidR="0042292C">
        <w:t xml:space="preserve">lead to </w:t>
      </w:r>
      <w:r w:rsidR="00015554">
        <w:t>neutral or positive socio-economic impacts</w:t>
      </w:r>
      <w:r>
        <w:t>.</w:t>
      </w:r>
    </w:p>
    <w:p w14:paraId="6936D5DC" w14:textId="7524E68A" w:rsidR="000675D6" w:rsidRDefault="000675D6" w:rsidP="00597401">
      <w:pPr>
        <w:pStyle w:val="ListNumber1"/>
        <w:numPr>
          <w:ilvl w:val="0"/>
          <w:numId w:val="18"/>
        </w:numPr>
        <w:tabs>
          <w:tab w:val="clear" w:pos="284"/>
          <w:tab w:val="num" w:pos="426"/>
        </w:tabs>
        <w:ind w:left="426" w:hanging="426"/>
      </w:pPr>
      <w:r w:rsidRPr="00E00434">
        <w:t xml:space="preserve">There are reasons to be optimistic about </w:t>
      </w:r>
      <w:r>
        <w:t xml:space="preserve">meeting most of the ‘Bridging the Gap’ requirements of the Basin Plan by 30 June 2024 — at best, on current estimates, up to 94% of the </w:t>
      </w:r>
      <w:r w:rsidR="00E12CB9" w:rsidRPr="00E12CB9">
        <w:t xml:space="preserve">2,750 GL </w:t>
      </w:r>
      <w:r>
        <w:t>requirement could be achieved (leaving a shortfall of 160.3GL).</w:t>
      </w:r>
    </w:p>
    <w:p w14:paraId="0F35F8DD" w14:textId="6C7BDC44" w:rsidR="00A2153D" w:rsidRDefault="00A2153D" w:rsidP="00A2153D">
      <w:pPr>
        <w:pStyle w:val="BodyText"/>
      </w:pPr>
      <w:r>
        <w:t>As of 30 April 2022, a total of 2,106.4 GL (long</w:t>
      </w:r>
      <w:r w:rsidR="0042292C">
        <w:t>-</w:t>
      </w:r>
      <w:r>
        <w:t>term equivalent) had been recovered across the Murray-Darling Basin. This is higher than the target of 2,075 GL</w:t>
      </w:r>
      <w:r w:rsidR="00AE31C7">
        <w:t xml:space="preserve"> and, i</w:t>
      </w:r>
      <w:r>
        <w:t>n 2018, the Productivity Commission identified the need for a plan to address over</w:t>
      </w:r>
      <w:r w:rsidR="0042292C">
        <w:t>-</w:t>
      </w:r>
      <w:r>
        <w:t xml:space="preserve">recovery. </w:t>
      </w:r>
      <w:r w:rsidR="005F457D">
        <w:t>How</w:t>
      </w:r>
      <w:r w:rsidR="00E96E7A">
        <w:t>e</w:t>
      </w:r>
      <w:r w:rsidR="005F457D">
        <w:t>ver</w:t>
      </w:r>
      <w:r>
        <w:t>, there are some local and shared water recovery targets that have not yet been met</w:t>
      </w:r>
      <w:r w:rsidR="00D90549">
        <w:t xml:space="preserve"> </w:t>
      </w:r>
      <w:r w:rsidR="00D90549" w:rsidRPr="00D90549">
        <w:t>(in NSW, ACT and QLD)</w:t>
      </w:r>
      <w:r>
        <w:t xml:space="preserve">. </w:t>
      </w:r>
    </w:p>
    <w:p w14:paraId="480DDE81" w14:textId="66CC13BE" w:rsidR="007A43A2" w:rsidRDefault="007A43A2" w:rsidP="00A2153D">
      <w:pPr>
        <w:pStyle w:val="BodyText"/>
      </w:pPr>
      <w:r>
        <w:t xml:space="preserve">If </w:t>
      </w:r>
      <w:r w:rsidR="00550F06">
        <w:t>the</w:t>
      </w:r>
      <w:r w:rsidRPr="007A43A2">
        <w:t xml:space="preserve"> ‘Bridging the Gap’ water recovery</w:t>
      </w:r>
      <w:r>
        <w:t xml:space="preserve"> of 2</w:t>
      </w:r>
      <w:r w:rsidR="00674552">
        <w:t>,</w:t>
      </w:r>
      <w:r>
        <w:t>075GL</w:t>
      </w:r>
      <w:r w:rsidRPr="007A43A2">
        <w:t>, 70GL of Northern Basin ‘Toolkit measures’ and 444.7GL of SDLAM projects</w:t>
      </w:r>
      <w:r w:rsidR="00E00434">
        <w:t xml:space="preserve"> (as </w:t>
      </w:r>
      <w:r w:rsidR="00DF04EA">
        <w:t>forecast by Indec</w:t>
      </w:r>
      <w:r w:rsidR="0093643E">
        <w:t xml:space="preserve"> in </w:t>
      </w:r>
      <w:r w:rsidR="009D13FC">
        <w:t xml:space="preserve">April </w:t>
      </w:r>
      <w:r w:rsidR="0093643E">
        <w:t>2021</w:t>
      </w:r>
      <w:r w:rsidR="00DF04EA">
        <w:t>)</w:t>
      </w:r>
      <w:r>
        <w:t xml:space="preserve"> can be achieved, this represents </w:t>
      </w:r>
      <w:r w:rsidRPr="007A43A2">
        <w:t>94%</w:t>
      </w:r>
      <w:r>
        <w:t xml:space="preserve"> of </w:t>
      </w:r>
      <w:r w:rsidRPr="007A43A2">
        <w:t>the ‘Bridging the Gap’ requirement</w:t>
      </w:r>
      <w:r w:rsidR="00550F06">
        <w:t xml:space="preserve"> (a 160.3GL shortfall)</w:t>
      </w:r>
      <w:r w:rsidR="00DF04EA">
        <w:t>.</w:t>
      </w:r>
    </w:p>
    <w:p w14:paraId="2498EA36" w14:textId="35D846B0" w:rsidR="00A2153D" w:rsidRDefault="00A2153D" w:rsidP="00A2153D">
      <w:pPr>
        <w:pStyle w:val="BodyText"/>
      </w:pPr>
      <w:r>
        <w:t xml:space="preserve">Of the total </w:t>
      </w:r>
      <w:r w:rsidR="0042292C">
        <w:t xml:space="preserve">water volume </w:t>
      </w:r>
      <w:r>
        <w:t>recovered, the vast majority (over 80%) was recovered in the southern Basin. Proportionately, recovery from Victoria and NSW is roughly equal (4</w:t>
      </w:r>
      <w:r w:rsidR="00F264AD">
        <w:t>5</w:t>
      </w:r>
      <w:r>
        <w:t>% and 4</w:t>
      </w:r>
      <w:r w:rsidR="00F264AD">
        <w:t>6</w:t>
      </w:r>
      <w:r>
        <w:t xml:space="preserve">%, respectively </w:t>
      </w:r>
      <w:r w:rsidR="00FA3E95">
        <w:t>—</w:t>
      </w:r>
      <w:r>
        <w:t xml:space="preserve"> as measured in long</w:t>
      </w:r>
      <w:r w:rsidR="0042292C">
        <w:t>-</w:t>
      </w:r>
      <w:r>
        <w:t xml:space="preserve">term equivalent volumes). South Australia accounts for </w:t>
      </w:r>
      <w:r w:rsidR="00F264AD">
        <w:t>9</w:t>
      </w:r>
      <w:r>
        <w:t xml:space="preserve">%. </w:t>
      </w:r>
    </w:p>
    <w:p w14:paraId="4AB5CDEA" w14:textId="0452D0E7" w:rsidR="000675D6" w:rsidRPr="00EA68CB" w:rsidRDefault="0041268E" w:rsidP="00597401">
      <w:pPr>
        <w:pStyle w:val="ListNumber1"/>
        <w:numPr>
          <w:ilvl w:val="0"/>
          <w:numId w:val="18"/>
        </w:numPr>
        <w:tabs>
          <w:tab w:val="clear" w:pos="284"/>
          <w:tab w:val="num" w:pos="426"/>
        </w:tabs>
        <w:ind w:left="426" w:hanging="426"/>
      </w:pPr>
      <w:r>
        <w:t>I</w:t>
      </w:r>
      <w:r w:rsidR="000675D6" w:rsidRPr="000675D6">
        <w:t>f various identified risks cannot be managed, the shortfall in</w:t>
      </w:r>
      <w:r w:rsidR="00E12CB9">
        <w:t xml:space="preserve"> the</w:t>
      </w:r>
      <w:r w:rsidR="000675D6" w:rsidRPr="000675D6">
        <w:t xml:space="preserve"> </w:t>
      </w:r>
      <w:r w:rsidR="009B6C7B">
        <w:t>2,750 GL</w:t>
      </w:r>
      <w:r w:rsidR="000675D6" w:rsidRPr="000675D6">
        <w:t xml:space="preserve"> </w:t>
      </w:r>
      <w:r w:rsidR="00E12CB9">
        <w:t xml:space="preserve">requirement </w:t>
      </w:r>
      <w:r w:rsidR="000675D6" w:rsidRPr="000675D6">
        <w:t>at 30 June 2024 may b</w:t>
      </w:r>
      <w:r w:rsidR="005B62BC">
        <w:t>e</w:t>
      </w:r>
      <w:r w:rsidR="000675D6" w:rsidRPr="000675D6">
        <w:t xml:space="preserve"> significantly larger — up to 372.3GL</w:t>
      </w:r>
      <w:r w:rsidR="000675D6" w:rsidRPr="00EA68CB">
        <w:t>.</w:t>
      </w:r>
    </w:p>
    <w:p w14:paraId="30BD4435" w14:textId="00441CD3" w:rsidR="00DF04EA" w:rsidRDefault="00DF04EA" w:rsidP="00A2153D">
      <w:pPr>
        <w:pStyle w:val="BodyText"/>
      </w:pPr>
      <w:r>
        <w:t xml:space="preserve">There is currently a 46GL shortfall in the </w:t>
      </w:r>
      <w:r w:rsidR="000912CD">
        <w:t xml:space="preserve">local and shared water recovery targets for </w:t>
      </w:r>
      <w:r w:rsidR="000912CD" w:rsidRPr="000912CD">
        <w:t>‘Bridging the Gap’</w:t>
      </w:r>
      <w:r w:rsidR="000912CD">
        <w:t xml:space="preserve"> — 27.1GL in New South Wales, 4.9GL in the ACT and 14GL in Queensland.</w:t>
      </w:r>
      <w:r w:rsidR="00B57539">
        <w:t xml:space="preserve"> Targets have been met in Victoria and South Australia.</w:t>
      </w:r>
    </w:p>
    <w:p w14:paraId="6C291264" w14:textId="160E0E60" w:rsidR="00E2317D" w:rsidRDefault="00D15B34" w:rsidP="00A2153D">
      <w:pPr>
        <w:pStyle w:val="BodyText"/>
      </w:pPr>
      <w:r>
        <w:t xml:space="preserve">Only 278.7GL of </w:t>
      </w:r>
      <w:r w:rsidR="007A43A2" w:rsidRPr="007A43A2">
        <w:t xml:space="preserve">SDLAM </w:t>
      </w:r>
      <w:r w:rsidR="00DF04EA">
        <w:t xml:space="preserve">projects </w:t>
      </w:r>
      <w:r>
        <w:t xml:space="preserve">are in operation. </w:t>
      </w:r>
      <w:r w:rsidR="00E2317D" w:rsidRPr="00E2317D">
        <w:t>Based on the current 46GL shortfall in water recovery and 326.3GL of shortfall in operational SDLAM projects, the current effective shortfall in achieving the 2,750 GL requirement is 372.3GL.</w:t>
      </w:r>
    </w:p>
    <w:p w14:paraId="64581195" w14:textId="0D8392E2" w:rsidR="00032CAC" w:rsidRDefault="00F97EA2" w:rsidP="00A2153D">
      <w:pPr>
        <w:pStyle w:val="BodyText"/>
      </w:pPr>
      <w:r w:rsidRPr="00F97EA2">
        <w:t xml:space="preserve">This shortfall will reduce as more SDLAM projects become operational. However, Indec forecast that </w:t>
      </w:r>
      <w:r w:rsidR="00F87949">
        <w:t>t</w:t>
      </w:r>
      <w:r w:rsidR="00D15B34">
        <w:t xml:space="preserve">he remaining SDLAM projects that </w:t>
      </w:r>
      <w:r w:rsidR="0042292C">
        <w:t>are</w:t>
      </w:r>
      <w:r w:rsidR="00550F06">
        <w:t xml:space="preserve"> </w:t>
      </w:r>
      <w:r w:rsidR="00D15B34">
        <w:t xml:space="preserve">able to contribute to offsetting water recovery </w:t>
      </w:r>
      <w:r w:rsidR="00DF04EA">
        <w:t>are</w:t>
      </w:r>
      <w:r w:rsidR="007A43A2" w:rsidRPr="007A43A2">
        <w:t xml:space="preserve"> under risk</w:t>
      </w:r>
      <w:r w:rsidR="00D15B34">
        <w:t xml:space="preserve"> </w:t>
      </w:r>
      <w:r w:rsidR="00DA51ED" w:rsidRPr="00DA51ED">
        <w:t xml:space="preserve">of not being completed </w:t>
      </w:r>
      <w:r w:rsidR="00D15B34">
        <w:t>— ranging from low</w:t>
      </w:r>
      <w:r w:rsidR="00424D56">
        <w:t xml:space="preserve"> risk</w:t>
      </w:r>
      <w:r w:rsidR="00D15B34">
        <w:t xml:space="preserve"> (20GL), medium</w:t>
      </w:r>
      <w:r w:rsidR="00424D56">
        <w:t xml:space="preserve"> risk</w:t>
      </w:r>
      <w:r w:rsidR="00D15B34">
        <w:t xml:space="preserve"> (93.1GL), to significant</w:t>
      </w:r>
      <w:r w:rsidR="00424D56">
        <w:t xml:space="preserve"> risk</w:t>
      </w:r>
      <w:r w:rsidR="00D15B34">
        <w:t xml:space="preserve"> (53.1GL).</w:t>
      </w:r>
    </w:p>
    <w:p w14:paraId="135AFA99" w14:textId="60C95AE5" w:rsidR="000F3D1E" w:rsidRDefault="000F3D1E" w:rsidP="00A2153D">
      <w:pPr>
        <w:pStyle w:val="BodyText"/>
      </w:pPr>
      <w:r>
        <w:t xml:space="preserve">Progress on efficiency measures has also been slow — with only </w:t>
      </w:r>
      <w:r w:rsidR="00F21703">
        <w:t>2</w:t>
      </w:r>
      <w:r>
        <w:t>GL of the 62GL required to fully utilise SDLAM offsets currently achieved</w:t>
      </w:r>
      <w:r w:rsidR="00F21703">
        <w:t>, and a total of 2</w:t>
      </w:r>
      <w:r w:rsidR="003963E3">
        <w:t>6</w:t>
      </w:r>
      <w:r w:rsidR="00F21703">
        <w:t xml:space="preserve">GL </w:t>
      </w:r>
      <w:r w:rsidR="00F21703" w:rsidRPr="00F21703">
        <w:t>planned and co</w:t>
      </w:r>
      <w:r w:rsidR="00751E80">
        <w:t>ntracted</w:t>
      </w:r>
      <w:r>
        <w:t>. The most recent review found that 6</w:t>
      </w:r>
      <w:r w:rsidR="00F21703">
        <w:t>2</w:t>
      </w:r>
      <w:r>
        <w:t>GL could be achieved by 30 June 2024. The review also found that it was not technical</w:t>
      </w:r>
      <w:r w:rsidR="00762198">
        <w:t>ly</w:t>
      </w:r>
      <w:r>
        <w:t xml:space="preserve"> possible to achieve the full 450GL </w:t>
      </w:r>
      <w:r w:rsidR="001A2FCA" w:rsidRPr="001A2FCA">
        <w:t>volume with the legislated</w:t>
      </w:r>
      <w:r w:rsidR="00763D16">
        <w:t xml:space="preserve"> </w:t>
      </w:r>
      <w:r>
        <w:t xml:space="preserve">socio-economic neutrality requirement, </w:t>
      </w:r>
      <w:r w:rsidRPr="000F3D1E">
        <w:t>even if time and budget limits were removed</w:t>
      </w:r>
      <w:r>
        <w:t>.</w:t>
      </w:r>
    </w:p>
    <w:p w14:paraId="5A37947A" w14:textId="7A07EDF6" w:rsidR="000675D6" w:rsidRDefault="000675D6" w:rsidP="00597401">
      <w:pPr>
        <w:pStyle w:val="ListNumber1"/>
        <w:numPr>
          <w:ilvl w:val="0"/>
          <w:numId w:val="18"/>
        </w:numPr>
        <w:tabs>
          <w:tab w:val="clear" w:pos="284"/>
          <w:tab w:val="num" w:pos="426"/>
        </w:tabs>
        <w:ind w:left="426" w:hanging="426"/>
      </w:pPr>
      <w:r>
        <w:t xml:space="preserve">‘Constraints projects’ constitute most of the projects </w:t>
      </w:r>
      <w:r w:rsidR="009B6C7B">
        <w:t>at risk of missing the deadline for the 2,750 GL requirement</w:t>
      </w:r>
      <w:r>
        <w:t>. Re</w:t>
      </w:r>
      <w:r w:rsidR="00627473">
        <w:t>moving or easing</w:t>
      </w:r>
      <w:r>
        <w:t xml:space="preserve"> these constraints </w:t>
      </w:r>
      <w:r w:rsidR="00E12CB9" w:rsidRPr="00E12CB9">
        <w:t xml:space="preserve">(such as channel capacity limitations) </w:t>
      </w:r>
      <w:r>
        <w:t>will allow environmental watering on higher parts of the floodplain than is currently possible</w:t>
      </w:r>
      <w:r w:rsidR="00E12CB9">
        <w:t xml:space="preserve"> —</w:t>
      </w:r>
      <w:r>
        <w:t xml:space="preserve"> </w:t>
      </w:r>
      <w:r w:rsidR="003726CA">
        <w:t>enabling</w:t>
      </w:r>
      <w:r>
        <w:t xml:space="preserve"> optimal use of the CEWH’s existing </w:t>
      </w:r>
      <w:r>
        <w:lastRenderedPageBreak/>
        <w:t xml:space="preserve">water portfolio. Consequently, extending the ‘Bridging the Gap’ deadline beyond 30 June 2024 would achieve better environmental outcomes than making up the shortfall through further buybacks. </w:t>
      </w:r>
    </w:p>
    <w:p w14:paraId="050C0978" w14:textId="6A852CEC" w:rsidR="00051340" w:rsidRDefault="000E65DD" w:rsidP="000E65DD">
      <w:pPr>
        <w:pStyle w:val="ListNumber1"/>
        <w:numPr>
          <w:ilvl w:val="0"/>
          <w:numId w:val="0"/>
        </w:numPr>
        <w:rPr>
          <w:b w:val="0"/>
          <w:bCs w:val="0"/>
        </w:rPr>
      </w:pPr>
      <w:r w:rsidRPr="000E65DD">
        <w:rPr>
          <w:b w:val="0"/>
          <w:bCs w:val="0"/>
        </w:rPr>
        <w:t xml:space="preserve">The </w:t>
      </w:r>
      <w:r>
        <w:rPr>
          <w:b w:val="0"/>
          <w:bCs w:val="0"/>
        </w:rPr>
        <w:t>Productivity Commission (2018</w:t>
      </w:r>
      <w:r w:rsidR="00AB5A9C">
        <w:rPr>
          <w:b w:val="0"/>
          <w:bCs w:val="0"/>
        </w:rPr>
        <w:t xml:space="preserve">) </w:t>
      </w:r>
      <w:r w:rsidR="0009075E">
        <w:rPr>
          <w:b w:val="0"/>
          <w:bCs w:val="0"/>
        </w:rPr>
        <w:t xml:space="preserve">has noted that </w:t>
      </w:r>
      <w:r w:rsidR="0009075E" w:rsidRPr="0009075E">
        <w:rPr>
          <w:b w:val="0"/>
          <w:bCs w:val="0"/>
        </w:rPr>
        <w:t>“The package of agreed supply measures is potentially more cost effective than recovering 605 GL of water entitlements to achieve the environmental outcomes.”</w:t>
      </w:r>
    </w:p>
    <w:p w14:paraId="1219384C" w14:textId="106F70D4" w:rsidR="009B6C7B" w:rsidRPr="000E65DD" w:rsidRDefault="009B6C7B" w:rsidP="000E65DD">
      <w:pPr>
        <w:pStyle w:val="ListNumber1"/>
        <w:numPr>
          <w:ilvl w:val="0"/>
          <w:numId w:val="0"/>
        </w:numPr>
        <w:rPr>
          <w:b w:val="0"/>
          <w:bCs w:val="0"/>
        </w:rPr>
      </w:pPr>
      <w:r w:rsidRPr="009B6C7B">
        <w:rPr>
          <w:b w:val="0"/>
          <w:bCs w:val="0"/>
        </w:rPr>
        <w:t>While an extension of timelines would increase the likelihood of constraints projects being completed, some may not be possible to complete even with more time. Nevertheless, extending the deadline beyond 30 June 2024 increases the likelihood of a greater proportion of the environmental outcomes of constraints removal to be achieved</w:t>
      </w:r>
      <w:r w:rsidR="001435E4">
        <w:rPr>
          <w:b w:val="0"/>
          <w:bCs w:val="0"/>
        </w:rPr>
        <w:t>.</w:t>
      </w:r>
    </w:p>
    <w:p w14:paraId="7798E621" w14:textId="5E116EE9" w:rsidR="00A7119F" w:rsidRDefault="00A7119F" w:rsidP="00597401">
      <w:pPr>
        <w:pStyle w:val="ListNumber1"/>
        <w:numPr>
          <w:ilvl w:val="0"/>
          <w:numId w:val="18"/>
        </w:numPr>
        <w:tabs>
          <w:tab w:val="clear" w:pos="284"/>
          <w:tab w:val="num" w:pos="426"/>
        </w:tabs>
        <w:ind w:left="426" w:hanging="426"/>
      </w:pPr>
      <w:r>
        <w:t>Buying back an additional 372.3 GL of water entitlements, instead of extending the deadline, would involve significant socio-economic impacts. Assuming a portfolio mix similar to what the CEWH currently holds, the average annual cost</w:t>
      </w:r>
      <w:r w:rsidR="00E12CB9">
        <w:t>s</w:t>
      </w:r>
      <w:r>
        <w:t xml:space="preserve"> in lost production would be </w:t>
      </w:r>
      <w:r w:rsidR="00542EF6">
        <w:t>greater than</w:t>
      </w:r>
      <w:r>
        <w:t xml:space="preserve"> $</w:t>
      </w:r>
      <w:r w:rsidR="00542EF6">
        <w:t>4</w:t>
      </w:r>
      <w:r>
        <w:t>00 million per year</w:t>
      </w:r>
      <w:r w:rsidR="00542EF6" w:rsidRPr="00542EF6">
        <w:t xml:space="preserve"> in the southern MDB</w:t>
      </w:r>
      <w:r>
        <w:t>. Th</w:t>
      </w:r>
      <w:r w:rsidR="00E12CB9">
        <w:t>e</w:t>
      </w:r>
      <w:r>
        <w:t>s</w:t>
      </w:r>
      <w:r w:rsidR="00E12CB9">
        <w:t>e</w:t>
      </w:r>
      <w:r>
        <w:t xml:space="preserve"> </w:t>
      </w:r>
      <w:r w:rsidR="003726CA">
        <w:t>cost</w:t>
      </w:r>
      <w:r w:rsidR="00E12CB9">
        <w:t>s</w:t>
      </w:r>
      <w:r w:rsidR="003726CA">
        <w:t xml:space="preserve"> </w:t>
      </w:r>
      <w:r>
        <w:t>would close to double if buyback targeted high</w:t>
      </w:r>
      <w:r w:rsidR="00C35217">
        <w:t>er</w:t>
      </w:r>
      <w:r>
        <w:t xml:space="preserve"> reliability entitlements and approximately halve if </w:t>
      </w:r>
      <w:r w:rsidR="0002654C">
        <w:t>low/</w:t>
      </w:r>
      <w:r>
        <w:t>general security entitlements were targeted.</w:t>
      </w:r>
    </w:p>
    <w:p w14:paraId="62986E52" w14:textId="685C4D05" w:rsidR="00C32352" w:rsidRDefault="00D73F1D" w:rsidP="00C32352">
      <w:pPr>
        <w:pStyle w:val="ListNumber1"/>
        <w:numPr>
          <w:ilvl w:val="0"/>
          <w:numId w:val="0"/>
        </w:numPr>
        <w:rPr>
          <w:b w:val="0"/>
          <w:bCs w:val="0"/>
        </w:rPr>
      </w:pPr>
      <w:r>
        <w:rPr>
          <w:b w:val="0"/>
          <w:bCs w:val="0"/>
        </w:rPr>
        <w:t>The highest value crops grown in the Murray-Darling Basin depend on allocations from high</w:t>
      </w:r>
      <w:r w:rsidR="00C35217">
        <w:rPr>
          <w:b w:val="0"/>
          <w:bCs w:val="0"/>
        </w:rPr>
        <w:t>er</w:t>
      </w:r>
      <w:r>
        <w:rPr>
          <w:b w:val="0"/>
          <w:bCs w:val="0"/>
        </w:rPr>
        <w:t xml:space="preserve"> reliability water entitlements</w:t>
      </w:r>
      <w:r w:rsidR="003F1419" w:rsidRPr="003F1419">
        <w:t xml:space="preserve"> </w:t>
      </w:r>
      <w:r w:rsidR="003F1419" w:rsidRPr="003F1419">
        <w:rPr>
          <w:b w:val="0"/>
          <w:bCs w:val="0"/>
        </w:rPr>
        <w:t>in each state</w:t>
      </w:r>
      <w:r>
        <w:rPr>
          <w:b w:val="0"/>
          <w:bCs w:val="0"/>
        </w:rPr>
        <w:t xml:space="preserve"> </w:t>
      </w:r>
      <w:r w:rsidR="004C30EA">
        <w:rPr>
          <w:b w:val="0"/>
          <w:bCs w:val="0"/>
        </w:rPr>
        <w:t xml:space="preserve">(and carryover) </w:t>
      </w:r>
      <w:r>
        <w:rPr>
          <w:b w:val="0"/>
          <w:bCs w:val="0"/>
        </w:rPr>
        <w:t xml:space="preserve">to ensure relatively constant annual average yields. </w:t>
      </w:r>
      <w:r w:rsidR="00987921">
        <w:rPr>
          <w:b w:val="0"/>
          <w:bCs w:val="0"/>
        </w:rPr>
        <w:t xml:space="preserve">Allocations from the less reliable general security entitlements are better suited to </w:t>
      </w:r>
      <w:r w:rsidR="00627473">
        <w:rPr>
          <w:b w:val="0"/>
          <w:bCs w:val="0"/>
        </w:rPr>
        <w:t xml:space="preserve">crops able to </w:t>
      </w:r>
      <w:r w:rsidR="00987921">
        <w:rPr>
          <w:b w:val="0"/>
          <w:bCs w:val="0"/>
        </w:rPr>
        <w:t xml:space="preserve">ramp up their production in wet years when allocation prices are low. </w:t>
      </w:r>
    </w:p>
    <w:p w14:paraId="1FEFC45F" w14:textId="316BD552" w:rsidR="00987921" w:rsidRDefault="00987921" w:rsidP="00C32352">
      <w:pPr>
        <w:pStyle w:val="ListNumber1"/>
        <w:numPr>
          <w:ilvl w:val="0"/>
          <w:numId w:val="0"/>
        </w:numPr>
        <w:rPr>
          <w:b w:val="0"/>
          <w:bCs w:val="0"/>
        </w:rPr>
      </w:pPr>
      <w:r>
        <w:rPr>
          <w:b w:val="0"/>
          <w:bCs w:val="0"/>
        </w:rPr>
        <w:t xml:space="preserve">It follows that the more the </w:t>
      </w:r>
      <w:r w:rsidR="009054E9">
        <w:rPr>
          <w:b w:val="0"/>
          <w:bCs w:val="0"/>
        </w:rPr>
        <w:t xml:space="preserve">proposed increase in the </w:t>
      </w:r>
      <w:r>
        <w:rPr>
          <w:b w:val="0"/>
          <w:bCs w:val="0"/>
        </w:rPr>
        <w:t>CEWH</w:t>
      </w:r>
      <w:r w:rsidR="009054E9">
        <w:rPr>
          <w:b w:val="0"/>
          <w:bCs w:val="0"/>
        </w:rPr>
        <w:t xml:space="preserve">’s holding is weighted towards high reliability entitlements, the higher the </w:t>
      </w:r>
      <w:r w:rsidR="003C4F17">
        <w:rPr>
          <w:b w:val="0"/>
          <w:bCs w:val="0"/>
        </w:rPr>
        <w:t xml:space="preserve">average annual </w:t>
      </w:r>
      <w:r w:rsidR="009054E9">
        <w:rPr>
          <w:b w:val="0"/>
          <w:bCs w:val="0"/>
        </w:rPr>
        <w:t xml:space="preserve">economic costs </w:t>
      </w:r>
      <w:r w:rsidR="0040080E">
        <w:rPr>
          <w:b w:val="0"/>
          <w:bCs w:val="0"/>
        </w:rPr>
        <w:t>will be incurred</w:t>
      </w:r>
      <w:r w:rsidR="00627473">
        <w:rPr>
          <w:b w:val="0"/>
          <w:bCs w:val="0"/>
        </w:rPr>
        <w:t xml:space="preserve"> </w:t>
      </w:r>
      <w:r w:rsidR="009054E9">
        <w:rPr>
          <w:b w:val="0"/>
          <w:bCs w:val="0"/>
        </w:rPr>
        <w:t>in terms of foregone agricultural production.</w:t>
      </w:r>
    </w:p>
    <w:p w14:paraId="3FC16A03" w14:textId="34EEBC46" w:rsidR="00A7119F" w:rsidRDefault="00A7119F" w:rsidP="00597401">
      <w:pPr>
        <w:pStyle w:val="ListNumber1"/>
        <w:numPr>
          <w:ilvl w:val="0"/>
          <w:numId w:val="18"/>
        </w:numPr>
        <w:tabs>
          <w:tab w:val="clear" w:pos="284"/>
          <w:tab w:val="num" w:pos="426"/>
        </w:tabs>
        <w:ind w:left="426" w:hanging="426"/>
      </w:pPr>
      <w:r>
        <w:t xml:space="preserve">Buying back an additional 372.3 GL </w:t>
      </w:r>
      <w:r w:rsidR="00057998">
        <w:t>to meet the 2,750 GL requirement would</w:t>
      </w:r>
      <w:r>
        <w:t>, based on the CEWH’s existing portfolio, necessitate reducing the consumptive pool of high</w:t>
      </w:r>
      <w:r w:rsidR="00742018">
        <w:t>er</w:t>
      </w:r>
      <w:r>
        <w:t xml:space="preserve"> reliability entitlements by 209 GL. In a repeat of the Millennium Drought, that would necessitate an additional 8,700 hectares of high-value horticulture being dried off.</w:t>
      </w:r>
    </w:p>
    <w:p w14:paraId="207046EB" w14:textId="192D3770" w:rsidR="009054E9" w:rsidRDefault="003C4F17" w:rsidP="009054E9">
      <w:pPr>
        <w:pStyle w:val="ListNumber1"/>
        <w:numPr>
          <w:ilvl w:val="0"/>
          <w:numId w:val="0"/>
        </w:numPr>
        <w:rPr>
          <w:b w:val="0"/>
          <w:bCs w:val="0"/>
        </w:rPr>
      </w:pPr>
      <w:r>
        <w:rPr>
          <w:b w:val="0"/>
          <w:bCs w:val="0"/>
        </w:rPr>
        <w:t xml:space="preserve">There is a natural limit to the total area of perennial horticultural crops </w:t>
      </w:r>
      <w:r w:rsidR="0040080E">
        <w:rPr>
          <w:b w:val="0"/>
          <w:bCs w:val="0"/>
        </w:rPr>
        <w:t xml:space="preserve">that </w:t>
      </w:r>
      <w:r>
        <w:rPr>
          <w:b w:val="0"/>
          <w:bCs w:val="0"/>
        </w:rPr>
        <w:t xml:space="preserve">can be sustained in the Basin. The total volume of water available </w:t>
      </w:r>
      <w:r w:rsidR="00345D68">
        <w:rPr>
          <w:b w:val="0"/>
          <w:bCs w:val="0"/>
        </w:rPr>
        <w:t xml:space="preserve">in the worst drought year determines the area of permanent plantings that will survive the drought. During the Millennium Drought allocations from high reliability entitlements were in the order of 50%. </w:t>
      </w:r>
    </w:p>
    <w:p w14:paraId="70DF1D70" w14:textId="57CE1E38" w:rsidR="00345D68" w:rsidRPr="0071123C" w:rsidRDefault="00345D68" w:rsidP="009054E9">
      <w:pPr>
        <w:pStyle w:val="ListNumber1"/>
        <w:numPr>
          <w:ilvl w:val="0"/>
          <w:numId w:val="0"/>
        </w:numPr>
        <w:rPr>
          <w:b w:val="0"/>
          <w:bCs w:val="0"/>
        </w:rPr>
      </w:pPr>
      <w:r>
        <w:rPr>
          <w:b w:val="0"/>
          <w:bCs w:val="0"/>
        </w:rPr>
        <w:t xml:space="preserve">Reducing the </w:t>
      </w:r>
      <w:r w:rsidR="002F661A">
        <w:rPr>
          <w:b w:val="0"/>
          <w:bCs w:val="0"/>
        </w:rPr>
        <w:t xml:space="preserve">volume of the </w:t>
      </w:r>
      <w:r>
        <w:rPr>
          <w:b w:val="0"/>
          <w:bCs w:val="0"/>
        </w:rPr>
        <w:t xml:space="preserve">consumptive pool of water available </w:t>
      </w:r>
      <w:r w:rsidR="002F661A">
        <w:rPr>
          <w:b w:val="0"/>
          <w:bCs w:val="0"/>
        </w:rPr>
        <w:t xml:space="preserve">for irrigation also reduces this natural limit. Assuming average annual irrigation applications of 12 ML ha per year it is possible to calculate </w:t>
      </w:r>
      <w:r w:rsidR="0040080E">
        <w:rPr>
          <w:b w:val="0"/>
          <w:bCs w:val="0"/>
        </w:rPr>
        <w:t xml:space="preserve">how much </w:t>
      </w:r>
      <w:r w:rsidR="002F661A">
        <w:rPr>
          <w:b w:val="0"/>
          <w:bCs w:val="0"/>
        </w:rPr>
        <w:t xml:space="preserve">extra land will be dried off in </w:t>
      </w:r>
      <w:r w:rsidR="0071123C">
        <w:rPr>
          <w:b w:val="0"/>
          <w:bCs w:val="0"/>
        </w:rPr>
        <w:t xml:space="preserve">extreme drought </w:t>
      </w:r>
      <w:r w:rsidR="002F661A">
        <w:rPr>
          <w:b w:val="0"/>
          <w:bCs w:val="0"/>
        </w:rPr>
        <w:t>circumstances</w:t>
      </w:r>
      <w:r w:rsidR="00627473">
        <w:rPr>
          <w:b w:val="0"/>
          <w:bCs w:val="0"/>
        </w:rPr>
        <w:t xml:space="preserve"> (with 50% allocations)</w:t>
      </w:r>
      <w:r w:rsidR="0071123C">
        <w:rPr>
          <w:b w:val="0"/>
          <w:bCs w:val="0"/>
        </w:rPr>
        <w:t xml:space="preserve"> for each extra GL</w:t>
      </w:r>
      <w:r w:rsidR="00627473">
        <w:rPr>
          <w:b w:val="0"/>
          <w:bCs w:val="0"/>
        </w:rPr>
        <w:t xml:space="preserve"> of high reliability entitlement</w:t>
      </w:r>
      <w:r w:rsidR="0071123C">
        <w:rPr>
          <w:b w:val="0"/>
          <w:bCs w:val="0"/>
        </w:rPr>
        <w:t xml:space="preserve"> taken out of the consumptive </w:t>
      </w:r>
      <w:r w:rsidR="0071123C" w:rsidRPr="0071123C">
        <w:rPr>
          <w:b w:val="0"/>
          <w:bCs w:val="0"/>
        </w:rPr>
        <w:t xml:space="preserve">pool — </w:t>
      </w:r>
      <w:r w:rsidR="00627473">
        <w:rPr>
          <w:b w:val="0"/>
          <w:bCs w:val="0"/>
        </w:rPr>
        <w:t>50%</w:t>
      </w:r>
      <w:r w:rsidR="0071123C" w:rsidRPr="0071123C">
        <w:rPr>
          <w:b w:val="0"/>
          <w:bCs w:val="0"/>
        </w:rPr>
        <w:t xml:space="preserve"> X</w:t>
      </w:r>
      <w:r w:rsidR="0071123C">
        <w:rPr>
          <w:b w:val="0"/>
          <w:bCs w:val="0"/>
        </w:rPr>
        <w:t xml:space="preserve"> 1</w:t>
      </w:r>
      <w:r w:rsidR="00B65D21">
        <w:rPr>
          <w:b w:val="0"/>
          <w:bCs w:val="0"/>
        </w:rPr>
        <w:t xml:space="preserve">,000 ML </w:t>
      </w:r>
      <w:r w:rsidR="00B65D21">
        <w:rPr>
          <w:b w:val="0"/>
          <w:bCs w:val="0"/>
        </w:rPr>
        <w:sym w:font="Symbol" w:char="F0B8"/>
      </w:r>
      <w:r w:rsidR="00B65D21">
        <w:rPr>
          <w:b w:val="0"/>
          <w:bCs w:val="0"/>
        </w:rPr>
        <w:t xml:space="preserve"> 12</w:t>
      </w:r>
      <w:r w:rsidR="00D140EE">
        <w:rPr>
          <w:b w:val="0"/>
          <w:bCs w:val="0"/>
        </w:rPr>
        <w:t xml:space="preserve"> </w:t>
      </w:r>
      <w:r w:rsidR="00B65D21">
        <w:rPr>
          <w:b w:val="0"/>
          <w:bCs w:val="0"/>
        </w:rPr>
        <w:t>ML/ha</w:t>
      </w:r>
      <w:r w:rsidR="004C3D24">
        <w:rPr>
          <w:b w:val="0"/>
          <w:bCs w:val="0"/>
        </w:rPr>
        <w:t xml:space="preserve"> </w:t>
      </w:r>
      <w:r w:rsidR="00D140EE">
        <w:rPr>
          <w:b w:val="0"/>
          <w:bCs w:val="0"/>
        </w:rPr>
        <w:sym w:font="Symbol" w:char="F040"/>
      </w:r>
      <w:r w:rsidR="00D140EE">
        <w:rPr>
          <w:b w:val="0"/>
          <w:bCs w:val="0"/>
        </w:rPr>
        <w:t xml:space="preserve"> 42 ha.</w:t>
      </w:r>
    </w:p>
    <w:p w14:paraId="7A0CCFD3" w14:textId="3A6533D1" w:rsidR="00A7119F" w:rsidRDefault="00A7119F" w:rsidP="00597401">
      <w:pPr>
        <w:pStyle w:val="ListNumber1"/>
        <w:numPr>
          <w:ilvl w:val="0"/>
          <w:numId w:val="18"/>
        </w:numPr>
        <w:tabs>
          <w:tab w:val="clear" w:pos="284"/>
          <w:tab w:val="num" w:pos="426"/>
        </w:tabs>
        <w:ind w:left="426" w:hanging="426"/>
      </w:pPr>
      <w:r>
        <w:t xml:space="preserve">The completed </w:t>
      </w:r>
      <w:r w:rsidR="00E12CB9" w:rsidRPr="00E12CB9">
        <w:t xml:space="preserve">Sustainable Diversion Limit Adjustment Mechanism (SDLAM) </w:t>
      </w:r>
      <w:r>
        <w:t xml:space="preserve">projects have </w:t>
      </w:r>
      <w:r w:rsidR="00E855AB">
        <w:t xml:space="preserve">somewhat </w:t>
      </w:r>
      <w:r>
        <w:t>offset the need for water recovery</w:t>
      </w:r>
      <w:r w:rsidR="0040080E">
        <w:t xml:space="preserve"> and </w:t>
      </w:r>
      <w:r>
        <w:t xml:space="preserve">have therefore reduced the Basin Plan’s socio-economic impacts. </w:t>
      </w:r>
      <w:r w:rsidR="00AE4FB6" w:rsidRPr="00AE4FB6">
        <w:t>The Basin Plan outlines that up to 450 GL of additional water recovery could be achieved for enhanced environmental outcomes via efficiency measures on the condition that there are neutral or positive socio-economic impacts from recovering this water.</w:t>
      </w:r>
    </w:p>
    <w:p w14:paraId="2CD413B1" w14:textId="46FA59C8" w:rsidR="00202FB2" w:rsidRPr="00202FB2" w:rsidRDefault="00202FB2" w:rsidP="00202FB2">
      <w:pPr>
        <w:pStyle w:val="ListNumber1"/>
        <w:numPr>
          <w:ilvl w:val="0"/>
          <w:numId w:val="0"/>
        </w:numPr>
        <w:rPr>
          <w:b w:val="0"/>
          <w:bCs w:val="0"/>
        </w:rPr>
      </w:pPr>
      <w:r w:rsidRPr="00202FB2">
        <w:rPr>
          <w:b w:val="0"/>
          <w:bCs w:val="0"/>
        </w:rPr>
        <w:t xml:space="preserve">Efficiency Measures projects are required </w:t>
      </w:r>
      <w:r w:rsidR="00E80E43" w:rsidRPr="00E80E43">
        <w:rPr>
          <w:b w:val="0"/>
          <w:bCs w:val="0"/>
        </w:rPr>
        <w:t xml:space="preserve">by the Basin Plan </w:t>
      </w:r>
      <w:r w:rsidRPr="00202FB2">
        <w:rPr>
          <w:b w:val="0"/>
          <w:bCs w:val="0"/>
        </w:rPr>
        <w:t xml:space="preserve">to have neutral or positive socio-economic impacts as measured against criteria adopted by the </w:t>
      </w:r>
      <w:r w:rsidR="004610B3" w:rsidRPr="004610B3">
        <w:rPr>
          <w:b w:val="0"/>
          <w:bCs w:val="0"/>
        </w:rPr>
        <w:t xml:space="preserve">Murray-Darling Basin </w:t>
      </w:r>
      <w:r w:rsidRPr="00202FB2">
        <w:rPr>
          <w:b w:val="0"/>
          <w:bCs w:val="0"/>
        </w:rPr>
        <w:t>Ministerial Council in 2018. On-farm efficiency projects do not meet those criteria, and off-farm efficiency projects are increasingly hard to find.</w:t>
      </w:r>
    </w:p>
    <w:p w14:paraId="13D9AB18" w14:textId="5FC560C7" w:rsidR="000460D3" w:rsidRPr="000460D3" w:rsidRDefault="000460D3" w:rsidP="000460D3">
      <w:pPr>
        <w:pStyle w:val="ListNumber1"/>
        <w:numPr>
          <w:ilvl w:val="0"/>
          <w:numId w:val="0"/>
        </w:numPr>
        <w:rPr>
          <w:b w:val="0"/>
          <w:bCs w:val="0"/>
        </w:rPr>
      </w:pPr>
      <w:r w:rsidRPr="000460D3">
        <w:rPr>
          <w:b w:val="0"/>
          <w:bCs w:val="0"/>
        </w:rPr>
        <w:lastRenderedPageBreak/>
        <w:t xml:space="preserve">The 450 GL efficiency measures </w:t>
      </w:r>
      <w:r w:rsidR="006B5106">
        <w:rPr>
          <w:b w:val="0"/>
          <w:bCs w:val="0"/>
        </w:rPr>
        <w:t>have</w:t>
      </w:r>
      <w:r w:rsidRPr="000460D3">
        <w:rPr>
          <w:b w:val="0"/>
          <w:bCs w:val="0"/>
        </w:rPr>
        <w:t xml:space="preserve"> been a major source of political tension since the Basin Plan was signed into law. Successive Victorian and NSW Governments have seen it </w:t>
      </w:r>
      <w:r w:rsidR="007405FA">
        <w:rPr>
          <w:b w:val="0"/>
          <w:bCs w:val="0"/>
        </w:rPr>
        <w:t xml:space="preserve">as a </w:t>
      </w:r>
      <w:r w:rsidR="007405FA" w:rsidRPr="007405FA">
        <w:rPr>
          <w:b w:val="0"/>
          <w:bCs w:val="0"/>
        </w:rPr>
        <w:t xml:space="preserve">ceiling for an additional </w:t>
      </w:r>
      <w:r w:rsidR="007405FA">
        <w:rPr>
          <w:b w:val="0"/>
          <w:bCs w:val="0"/>
        </w:rPr>
        <w:t xml:space="preserve">volume </w:t>
      </w:r>
      <w:r w:rsidRPr="000460D3">
        <w:rPr>
          <w:b w:val="0"/>
          <w:bCs w:val="0"/>
        </w:rPr>
        <w:t>added</w:t>
      </w:r>
      <w:r w:rsidR="006B5106">
        <w:rPr>
          <w:b w:val="0"/>
          <w:bCs w:val="0"/>
        </w:rPr>
        <w:t xml:space="preserve"> on top of the</w:t>
      </w:r>
      <w:r w:rsidR="00A26DF3">
        <w:rPr>
          <w:b w:val="0"/>
          <w:bCs w:val="0"/>
        </w:rPr>
        <w:t xml:space="preserve"> legislated</w:t>
      </w:r>
      <w:r w:rsidR="006B5106">
        <w:rPr>
          <w:b w:val="0"/>
          <w:bCs w:val="0"/>
        </w:rPr>
        <w:t xml:space="preserve"> ‘Bridging the Gap’</w:t>
      </w:r>
      <w:r w:rsidR="00A26DF3">
        <w:rPr>
          <w:b w:val="0"/>
          <w:bCs w:val="0"/>
        </w:rPr>
        <w:t xml:space="preserve"> commitment to recover the equivalent of 2,750 GL,</w:t>
      </w:r>
      <w:r w:rsidRPr="000460D3">
        <w:rPr>
          <w:b w:val="0"/>
          <w:bCs w:val="0"/>
        </w:rPr>
        <w:t xml:space="preserve"> </w:t>
      </w:r>
      <w:r w:rsidR="0099365D" w:rsidRPr="0099365D">
        <w:rPr>
          <w:b w:val="0"/>
          <w:bCs w:val="0"/>
        </w:rPr>
        <w:t>contingent on projects having</w:t>
      </w:r>
      <w:r w:rsidR="0099365D">
        <w:rPr>
          <w:b w:val="0"/>
          <w:bCs w:val="0"/>
        </w:rPr>
        <w:t xml:space="preserve"> </w:t>
      </w:r>
      <w:r w:rsidRPr="000460D3">
        <w:rPr>
          <w:b w:val="0"/>
          <w:bCs w:val="0"/>
        </w:rPr>
        <w:t xml:space="preserve">neutral or positive socio-economic outcomes. </w:t>
      </w:r>
      <w:r w:rsidR="00DC31CA">
        <w:rPr>
          <w:b w:val="0"/>
          <w:bCs w:val="0"/>
        </w:rPr>
        <w:t xml:space="preserve">In contrast, </w:t>
      </w:r>
      <w:r w:rsidRPr="000460D3">
        <w:rPr>
          <w:b w:val="0"/>
          <w:bCs w:val="0"/>
        </w:rPr>
        <w:t xml:space="preserve">South Australian Governments have </w:t>
      </w:r>
      <w:r w:rsidR="00DC31CA">
        <w:rPr>
          <w:b w:val="0"/>
          <w:bCs w:val="0"/>
        </w:rPr>
        <w:t>generally</w:t>
      </w:r>
      <w:r w:rsidRPr="000460D3">
        <w:rPr>
          <w:b w:val="0"/>
          <w:bCs w:val="0"/>
        </w:rPr>
        <w:t xml:space="preserve"> seen it as an integral part of </w:t>
      </w:r>
      <w:r w:rsidR="00A26DF3">
        <w:rPr>
          <w:b w:val="0"/>
          <w:bCs w:val="0"/>
        </w:rPr>
        <w:t>an</w:t>
      </w:r>
      <w:r w:rsidRPr="000460D3">
        <w:rPr>
          <w:b w:val="0"/>
          <w:bCs w:val="0"/>
        </w:rPr>
        <w:t xml:space="preserve"> </w:t>
      </w:r>
      <w:r w:rsidR="00A26DF3">
        <w:rPr>
          <w:b w:val="0"/>
          <w:bCs w:val="0"/>
        </w:rPr>
        <w:t xml:space="preserve">effort to </w:t>
      </w:r>
      <w:r w:rsidRPr="000460D3">
        <w:rPr>
          <w:b w:val="0"/>
          <w:bCs w:val="0"/>
        </w:rPr>
        <w:t>recover</w:t>
      </w:r>
      <w:r w:rsidR="00A26DF3">
        <w:rPr>
          <w:b w:val="0"/>
          <w:bCs w:val="0"/>
        </w:rPr>
        <w:t xml:space="preserve"> 3</w:t>
      </w:r>
      <w:r w:rsidR="00F30D6E">
        <w:rPr>
          <w:b w:val="0"/>
          <w:bCs w:val="0"/>
        </w:rPr>
        <w:t>,</w:t>
      </w:r>
      <w:r w:rsidR="00A26DF3">
        <w:rPr>
          <w:b w:val="0"/>
          <w:bCs w:val="0"/>
        </w:rPr>
        <w:t>200 GL</w:t>
      </w:r>
      <w:r w:rsidRPr="000460D3">
        <w:rPr>
          <w:b w:val="0"/>
          <w:bCs w:val="0"/>
        </w:rPr>
        <w:t xml:space="preserve">. Successive Commonwealth Governments have </w:t>
      </w:r>
      <w:r w:rsidR="00D0203A" w:rsidRPr="00D0203A">
        <w:rPr>
          <w:b w:val="0"/>
          <w:bCs w:val="0"/>
        </w:rPr>
        <w:t>been unclear on their perspective on the target, with efforts to make funding available for projects ramping up from 2018</w:t>
      </w:r>
      <w:r w:rsidR="00986BC1">
        <w:rPr>
          <w:b w:val="0"/>
          <w:bCs w:val="0"/>
        </w:rPr>
        <w:t xml:space="preserve">. </w:t>
      </w:r>
      <w:r w:rsidR="00673C93" w:rsidRPr="00673C93">
        <w:rPr>
          <w:b w:val="0"/>
          <w:bCs w:val="0"/>
        </w:rPr>
        <w:t>The recent changes in government in South Australia and the Commonwealth have increased the short-term uncertainty around the future of the proposed recovery of the potential additional 450 GL</w:t>
      </w:r>
      <w:r w:rsidR="00673C93">
        <w:rPr>
          <w:b w:val="0"/>
          <w:bCs w:val="0"/>
        </w:rPr>
        <w:t xml:space="preserve">. </w:t>
      </w:r>
    </w:p>
    <w:p w14:paraId="5387B294" w14:textId="6372D82F" w:rsidR="00A7119F" w:rsidRDefault="00A7119F" w:rsidP="00597401">
      <w:pPr>
        <w:pStyle w:val="ListNumber1"/>
        <w:numPr>
          <w:ilvl w:val="0"/>
          <w:numId w:val="18"/>
        </w:numPr>
        <w:tabs>
          <w:tab w:val="clear" w:pos="284"/>
          <w:tab w:val="num" w:pos="426"/>
        </w:tabs>
        <w:ind w:left="426" w:hanging="426"/>
      </w:pPr>
      <w:r>
        <w:t>Off-farm efficiency projects have proven to have neutral or positive socio-economic impacts</w:t>
      </w:r>
      <w:r w:rsidR="007E2397">
        <w:t xml:space="preserve"> </w:t>
      </w:r>
      <w:r w:rsidR="007E2397" w:rsidRPr="007E2397">
        <w:t>in many circumstances</w:t>
      </w:r>
      <w:r>
        <w:t xml:space="preserve">, but they are increasingly hard to find. Several studies have shown that on-farm efficiency projects have adverse effects on other </w:t>
      </w:r>
      <w:r w:rsidRPr="004F77F0">
        <w:rPr>
          <w:rFonts w:cs="Open Sans"/>
          <w:szCs w:val="20"/>
          <w:lang w:val="en-AU"/>
        </w:rPr>
        <w:t>water</w:t>
      </w:r>
      <w:r>
        <w:t xml:space="preserve"> users and irrigation communities</w:t>
      </w:r>
      <w:r w:rsidR="00E12CB9">
        <w:t>. T</w:t>
      </w:r>
      <w:r>
        <w:t xml:space="preserve">hese negative impacts can be higher than direct buybacks, because </w:t>
      </w:r>
      <w:r w:rsidR="001435E4" w:rsidRPr="001435E4">
        <w:t>improved productivity</w:t>
      </w:r>
      <w:r>
        <w:t xml:space="preserve"> increase</w:t>
      </w:r>
      <w:r w:rsidR="001435E4">
        <w:t>s</w:t>
      </w:r>
      <w:r>
        <w:t xml:space="preserve"> on-farm water use for the proponents and </w:t>
      </w:r>
      <w:r w:rsidR="001435E4">
        <w:t xml:space="preserve">can result in a net </w:t>
      </w:r>
      <w:r>
        <w:t xml:space="preserve">increase </w:t>
      </w:r>
      <w:r w:rsidR="001435E4">
        <w:t xml:space="preserve">in </w:t>
      </w:r>
      <w:r>
        <w:t xml:space="preserve">the demand for </w:t>
      </w:r>
      <w:r w:rsidR="004727BD" w:rsidRPr="004727BD">
        <w:t xml:space="preserve">buying and using </w:t>
      </w:r>
      <w:r>
        <w:t>water. This negative socio-economic impact has been recognised, resulting in revisions to water recovery funding.</w:t>
      </w:r>
    </w:p>
    <w:p w14:paraId="78946B1D" w14:textId="514F1DE8" w:rsidR="009E09A4" w:rsidRPr="000460D3" w:rsidRDefault="00DA0BAF" w:rsidP="008006BA">
      <w:pPr>
        <w:pStyle w:val="ListNumber1"/>
        <w:numPr>
          <w:ilvl w:val="0"/>
          <w:numId w:val="0"/>
        </w:numPr>
        <w:rPr>
          <w:b w:val="0"/>
          <w:bCs w:val="0"/>
        </w:rPr>
      </w:pPr>
      <w:r w:rsidRPr="000460D3">
        <w:rPr>
          <w:b w:val="0"/>
          <w:bCs w:val="0"/>
        </w:rPr>
        <w:t xml:space="preserve">Several studies reviewed for this report demonstrate that on-farm efficiency projects have negative socio-economic impacts. </w:t>
      </w:r>
      <w:r w:rsidR="008006BA" w:rsidRPr="000460D3">
        <w:rPr>
          <w:b w:val="0"/>
          <w:bCs w:val="0"/>
        </w:rPr>
        <w:t>For example</w:t>
      </w:r>
      <w:r w:rsidRPr="000460D3">
        <w:rPr>
          <w:b w:val="0"/>
          <w:bCs w:val="0"/>
        </w:rPr>
        <w:t>, the Sefton Report</w:t>
      </w:r>
      <w:r w:rsidR="00627073">
        <w:rPr>
          <w:b w:val="0"/>
          <w:bCs w:val="0"/>
        </w:rPr>
        <w:t xml:space="preserve"> (Sefton et al 2020)</w:t>
      </w:r>
      <w:r w:rsidRPr="000460D3">
        <w:rPr>
          <w:b w:val="0"/>
          <w:bCs w:val="0"/>
        </w:rPr>
        <w:t xml:space="preserve"> included a finding that: “On-farm infrastructure programs have improved the productivity and viability of most participants but left non-participants at a competitive disadvantage”.</w:t>
      </w:r>
      <w:r w:rsidR="008006BA" w:rsidRPr="000460D3">
        <w:rPr>
          <w:b w:val="0"/>
          <w:bCs w:val="0"/>
        </w:rPr>
        <w:t xml:space="preserve"> </w:t>
      </w:r>
    </w:p>
    <w:p w14:paraId="725BC7F4" w14:textId="321E9AE5" w:rsidR="008006BA" w:rsidRPr="000460D3" w:rsidRDefault="008006BA" w:rsidP="008006BA">
      <w:pPr>
        <w:pStyle w:val="ListNumber1"/>
        <w:numPr>
          <w:ilvl w:val="0"/>
          <w:numId w:val="0"/>
        </w:numPr>
        <w:rPr>
          <w:b w:val="0"/>
          <w:bCs w:val="0"/>
        </w:rPr>
      </w:pPr>
      <w:r w:rsidRPr="000460D3">
        <w:rPr>
          <w:b w:val="0"/>
          <w:bCs w:val="0"/>
        </w:rPr>
        <w:t xml:space="preserve">Wheeler (2020) found that </w:t>
      </w:r>
      <w:r w:rsidR="004727BD">
        <w:rPr>
          <w:b w:val="0"/>
          <w:bCs w:val="0"/>
        </w:rPr>
        <w:t>i</w:t>
      </w:r>
      <w:r w:rsidRPr="000460D3">
        <w:rPr>
          <w:b w:val="0"/>
          <w:bCs w:val="0"/>
        </w:rPr>
        <w:t>rrigators who received an irrigation infrastructure subsidy significantly increased (21-28%) their water extraction, relative to those who did not receive any grants.</w:t>
      </w:r>
    </w:p>
    <w:p w14:paraId="5B947885" w14:textId="1C6F4F1C" w:rsidR="008006BA" w:rsidRPr="008006BA" w:rsidRDefault="009E09A4" w:rsidP="008006BA">
      <w:pPr>
        <w:pStyle w:val="ListNumber1"/>
        <w:numPr>
          <w:ilvl w:val="0"/>
          <w:numId w:val="0"/>
        </w:numPr>
        <w:rPr>
          <w:b w:val="0"/>
          <w:bCs w:val="0"/>
        </w:rPr>
      </w:pPr>
      <w:r w:rsidRPr="000460D3">
        <w:rPr>
          <w:b w:val="0"/>
          <w:bCs w:val="0"/>
          <w:lang w:val="en-AU"/>
        </w:rPr>
        <w:t xml:space="preserve">Aither (2017) </w:t>
      </w:r>
      <w:r w:rsidR="000460D3" w:rsidRPr="000460D3">
        <w:rPr>
          <w:b w:val="0"/>
          <w:bCs w:val="0"/>
          <w:lang w:val="en-AU"/>
        </w:rPr>
        <w:t xml:space="preserve">found that </w:t>
      </w:r>
      <w:r w:rsidRPr="000460D3">
        <w:rPr>
          <w:b w:val="0"/>
          <w:bCs w:val="0"/>
          <w:lang w:val="en-AU"/>
        </w:rPr>
        <w:t xml:space="preserve">on-farm </w:t>
      </w:r>
      <w:r w:rsidR="000460D3" w:rsidRPr="000460D3">
        <w:rPr>
          <w:b w:val="0"/>
          <w:bCs w:val="0"/>
          <w:lang w:val="en-AU"/>
        </w:rPr>
        <w:t>efficiency</w:t>
      </w:r>
      <w:r w:rsidRPr="000460D3">
        <w:rPr>
          <w:b w:val="0"/>
          <w:bCs w:val="0"/>
          <w:lang w:val="en-AU"/>
        </w:rPr>
        <w:t xml:space="preserve"> programs with entitlement transfer would lead to a</w:t>
      </w:r>
      <w:r w:rsidR="000460D3" w:rsidRPr="000460D3">
        <w:rPr>
          <w:b w:val="0"/>
          <w:bCs w:val="0"/>
          <w:lang w:val="en-AU"/>
        </w:rPr>
        <w:t xml:space="preserve"> </w:t>
      </w:r>
      <w:r w:rsidRPr="000460D3">
        <w:rPr>
          <w:b w:val="0"/>
          <w:bCs w:val="0"/>
          <w:lang w:val="en-AU"/>
        </w:rPr>
        <w:t>$13 per ML increase in water allocation prices to irrigators in northern Victoria in average water availability years.</w:t>
      </w:r>
    </w:p>
    <w:p w14:paraId="749C2405" w14:textId="58948640" w:rsidR="002B3407" w:rsidRDefault="002B3407" w:rsidP="00597401">
      <w:pPr>
        <w:pStyle w:val="ListNumber1"/>
        <w:numPr>
          <w:ilvl w:val="0"/>
          <w:numId w:val="18"/>
        </w:numPr>
        <w:tabs>
          <w:tab w:val="clear" w:pos="284"/>
          <w:tab w:val="num" w:pos="426"/>
        </w:tabs>
        <w:ind w:left="426" w:hanging="426"/>
      </w:pPr>
      <w:r>
        <w:t xml:space="preserve">If all SDLAM projects are completed, at least 62 GL must be recovered through efficiency projects in order to keep the total SDL adjustment within 5% of the SDL. If the remaining 388 </w:t>
      </w:r>
      <w:r w:rsidR="00AA78B4">
        <w:t>GL</w:t>
      </w:r>
      <w:r w:rsidR="001435E4">
        <w:t xml:space="preserve"> of the 450 GL</w:t>
      </w:r>
      <w:r w:rsidR="00AA78B4">
        <w:t xml:space="preserve"> </w:t>
      </w:r>
      <w:r>
        <w:t xml:space="preserve">were to be recovered through either buyback or on-farm efficiency projects, the impacts would broadly be the same as recovering 372.3 GL </w:t>
      </w:r>
      <w:r w:rsidR="00DC31CA" w:rsidRPr="00DC31CA">
        <w:t xml:space="preserve">to make up the estimated shortfall in the </w:t>
      </w:r>
      <w:r w:rsidR="00DC31CA">
        <w:t>2,750 GL</w:t>
      </w:r>
      <w:r w:rsidR="00DC31CA" w:rsidRPr="00DC31CA">
        <w:t xml:space="preserve"> requirement at 30 June 2024</w:t>
      </w:r>
      <w:r w:rsidR="00C97234">
        <w:t xml:space="preserve">, </w:t>
      </w:r>
      <w:r w:rsidR="00C97234" w:rsidRPr="00C97234">
        <w:t xml:space="preserve">which would result in lost </w:t>
      </w:r>
      <w:r w:rsidR="00C97234">
        <w:t xml:space="preserve">irrigated </w:t>
      </w:r>
      <w:r w:rsidR="00C97234" w:rsidRPr="00C97234">
        <w:t>production of greater than $400 million per year in the southern MDB</w:t>
      </w:r>
      <w:r>
        <w:t>.</w:t>
      </w:r>
    </w:p>
    <w:p w14:paraId="17256B80" w14:textId="3A641087" w:rsidR="005C3CB9" w:rsidRDefault="005C3CB9" w:rsidP="005C3CB9">
      <w:pPr>
        <w:pStyle w:val="BodyText"/>
      </w:pPr>
      <w:r>
        <w:t>It is important to note that buyback of the remainder of the 450 GL could not occur without legislative change; the 450 GL is legislatively tied to efficiency measures. As previously discussed on-farm efficiency measures would have socio-economic impacts</w:t>
      </w:r>
      <w:r w:rsidRPr="00555DB2">
        <w:t xml:space="preserve"> </w:t>
      </w:r>
      <w:r>
        <w:t xml:space="preserve">similar to, and arguably higher than, buy backs. It is also important to note that buybacks and on-farm efficiency measures do not satisfy the inter-governmentally agreed socio-economic neutrality test. </w:t>
      </w:r>
    </w:p>
    <w:p w14:paraId="1199C76C" w14:textId="3D19AAD1" w:rsidR="005C3CB9" w:rsidRDefault="005C3CB9" w:rsidP="005C3CB9">
      <w:pPr>
        <w:pStyle w:val="BodyText"/>
      </w:pPr>
      <w:r>
        <w:t>Therefore, the buyback and associated impacts could only occur if legislation and the inter-governmental agreement were changed.</w:t>
      </w:r>
    </w:p>
    <w:p w14:paraId="251ED18C" w14:textId="16EB6003" w:rsidR="002B3407" w:rsidRDefault="002B3407" w:rsidP="00597401">
      <w:pPr>
        <w:pStyle w:val="ListNumber1"/>
        <w:numPr>
          <w:ilvl w:val="0"/>
          <w:numId w:val="18"/>
        </w:numPr>
        <w:tabs>
          <w:tab w:val="clear" w:pos="284"/>
          <w:tab w:val="num" w:pos="426"/>
        </w:tabs>
        <w:ind w:left="426" w:hanging="426"/>
      </w:pPr>
      <w:r>
        <w:t xml:space="preserve">If an additional 760 GL in total (372 </w:t>
      </w:r>
      <w:r w:rsidR="00AA78B4">
        <w:t xml:space="preserve">GL </w:t>
      </w:r>
      <w:r>
        <w:t>for ‘Bridging the Gap’ plus 388</w:t>
      </w:r>
      <w:r w:rsidR="00AA78B4">
        <w:t xml:space="preserve"> GL</w:t>
      </w:r>
      <w:r>
        <w:t xml:space="preserve"> for Efficiency Projects) were to be recovered via buyback, in line with the CEWH’s existing portfolio, the average annual cost in foregone production would be </w:t>
      </w:r>
      <w:r w:rsidR="006E4971" w:rsidRPr="006E4971">
        <w:t xml:space="preserve">over $850 million </w:t>
      </w:r>
      <w:r>
        <w:t xml:space="preserve">per year. It would also result in an extra </w:t>
      </w:r>
      <w:r w:rsidRPr="00F47D43">
        <w:t>17,</w:t>
      </w:r>
      <w:r>
        <w:t>5</w:t>
      </w:r>
      <w:r w:rsidRPr="00F47D43">
        <w:t xml:space="preserve">00 hectares of high-value horticulture being dried off </w:t>
      </w:r>
      <w:r w:rsidRPr="00F47D43">
        <w:lastRenderedPageBreak/>
        <w:t xml:space="preserve">in a repeat of the Millennium Drought. This is equivalent to more than the combined total of 12,640 hectares of irrigated </w:t>
      </w:r>
      <w:r w:rsidR="00926AD6" w:rsidRPr="00926AD6">
        <w:t xml:space="preserve">perennial horticultural </w:t>
      </w:r>
      <w:r w:rsidRPr="00F47D43">
        <w:t>plantings in the First Mildura, Merbein, Red Cliffs, Robinvale</w:t>
      </w:r>
      <w:r>
        <w:t>,</w:t>
      </w:r>
      <w:r w:rsidRPr="00F47D43">
        <w:t xml:space="preserve"> and Nyah Irrigation Districts in 2021.</w:t>
      </w:r>
    </w:p>
    <w:p w14:paraId="228723F9" w14:textId="40E99A6E" w:rsidR="00A2153D" w:rsidRDefault="009130FE" w:rsidP="00A2153D">
      <w:pPr>
        <w:pStyle w:val="BodyText"/>
      </w:pPr>
      <w:r>
        <w:t>W</w:t>
      </w:r>
      <w:r w:rsidRPr="009130FE">
        <w:t xml:space="preserve">hile it was assumed </w:t>
      </w:r>
      <w:r>
        <w:t>(</w:t>
      </w:r>
      <w:r w:rsidRPr="009130FE">
        <w:t>at the signing of Basin Plan</w:t>
      </w:r>
      <w:r>
        <w:t>) that</w:t>
      </w:r>
      <w:r w:rsidRPr="009130FE">
        <w:t xml:space="preserve"> on-farm </w:t>
      </w:r>
      <w:r>
        <w:t xml:space="preserve">efficiency projects </w:t>
      </w:r>
      <w:r w:rsidRPr="009130FE">
        <w:t xml:space="preserve">would not have </w:t>
      </w:r>
      <w:r w:rsidR="00AA78B4">
        <w:t xml:space="preserve">significant </w:t>
      </w:r>
      <w:r w:rsidRPr="009130FE">
        <w:t>socio-economic impacts</w:t>
      </w:r>
      <w:r>
        <w:t xml:space="preserve">, </w:t>
      </w:r>
      <w:r w:rsidR="009A54DB">
        <w:t>this ha</w:t>
      </w:r>
      <w:r w:rsidR="005232F7">
        <w:t>s</w:t>
      </w:r>
      <w:r w:rsidR="009A54DB">
        <w:t xml:space="preserve"> been shown to be incorre</w:t>
      </w:r>
      <w:r w:rsidR="005232F7">
        <w:t>c</w:t>
      </w:r>
      <w:r w:rsidR="009A54DB">
        <w:t>t.</w:t>
      </w:r>
      <w:r w:rsidRPr="009130FE">
        <w:t xml:space="preserve"> </w:t>
      </w:r>
      <w:r w:rsidR="00A2153D">
        <w:t>Recent studies (</w:t>
      </w:r>
      <w:r w:rsidR="005232F7">
        <w:t xml:space="preserve">such as by </w:t>
      </w:r>
      <w:r w:rsidR="00A2153D">
        <w:t>ABARES</w:t>
      </w:r>
      <w:r w:rsidR="00A746FB">
        <w:t xml:space="preserve"> (</w:t>
      </w:r>
      <w:r w:rsidR="00D447E8">
        <w:t xml:space="preserve">Hughes et al </w:t>
      </w:r>
      <w:r w:rsidR="00A746FB">
        <w:t>2020), Aither (2017)</w:t>
      </w:r>
      <w:r w:rsidR="00A2153D">
        <w:t xml:space="preserve">, </w:t>
      </w:r>
      <w:r w:rsidR="00A746FB">
        <w:t>Wheeler (2020)</w:t>
      </w:r>
      <w:r w:rsidR="00A2153D">
        <w:t xml:space="preserve"> and the Sefton </w:t>
      </w:r>
      <w:r w:rsidR="003C5BC4">
        <w:t>Report</w:t>
      </w:r>
      <w:r w:rsidR="00A2153D">
        <w:t>) found that on</w:t>
      </w:r>
      <w:r w:rsidR="00A2153D">
        <w:rPr>
          <w:rFonts w:ascii="Cambria Math" w:hAnsi="Cambria Math" w:cs="Cambria Math"/>
        </w:rPr>
        <w:t>‐</w:t>
      </w:r>
      <w:r w:rsidR="00A2153D">
        <w:t xml:space="preserve">farm programs have positive effects for participants (in terms of higher farm productivity and profitability). However, </w:t>
      </w:r>
      <w:r w:rsidR="002153EF" w:rsidRPr="002153EF">
        <w:t>higher yields per ML of</w:t>
      </w:r>
      <w:r w:rsidR="00244482">
        <w:t xml:space="preserve"> water use</w:t>
      </w:r>
      <w:r w:rsidR="00A746FB">
        <w:t xml:space="preserve"> mean th</w:t>
      </w:r>
      <w:r w:rsidR="00244482">
        <w:t>at the</w:t>
      </w:r>
      <w:r w:rsidR="00A746FB">
        <w:t xml:space="preserve"> </w:t>
      </w:r>
      <w:r w:rsidR="00A2153D">
        <w:t>farm demand for water is generally significantly higher post</w:t>
      </w:r>
      <w:r w:rsidR="00A2153D">
        <w:rPr>
          <w:rFonts w:ascii="Cambria Math" w:hAnsi="Cambria Math" w:cs="Cambria Math"/>
        </w:rPr>
        <w:t>‐</w:t>
      </w:r>
      <w:r w:rsidR="00A2153D">
        <w:t>upgrade —</w:t>
      </w:r>
      <w:r w:rsidR="00FF3E9B">
        <w:t xml:space="preserve"> </w:t>
      </w:r>
      <w:r w:rsidR="00A2153D">
        <w:t>higher demand</w:t>
      </w:r>
      <w:r w:rsidR="00F0090F">
        <w:t xml:space="preserve"> </w:t>
      </w:r>
      <w:r w:rsidR="00D8017D">
        <w:t xml:space="preserve">and </w:t>
      </w:r>
      <w:r w:rsidR="00F0090F" w:rsidRPr="00F0090F">
        <w:t>a smaller pool of consumptive entitlements</w:t>
      </w:r>
      <w:r w:rsidR="00D8017D">
        <w:t xml:space="preserve"> (</w:t>
      </w:r>
      <w:r w:rsidR="00F0090F" w:rsidRPr="00F0090F">
        <w:t xml:space="preserve">due to </w:t>
      </w:r>
      <w:r w:rsidR="00265D4D">
        <w:t xml:space="preserve">required </w:t>
      </w:r>
      <w:r w:rsidR="00F0090F" w:rsidRPr="00F0090F">
        <w:t>entitlement transfer to the environment</w:t>
      </w:r>
      <w:r w:rsidR="00265D4D">
        <w:t>)</w:t>
      </w:r>
      <w:r w:rsidR="00F0090F" w:rsidRPr="00F0090F">
        <w:t>, affects other water users through</w:t>
      </w:r>
      <w:r w:rsidR="00A2153D">
        <w:t xml:space="preserve"> increased allocation prices for the available allocations.</w:t>
      </w:r>
    </w:p>
    <w:p w14:paraId="1C6D73E1" w14:textId="33C79F66" w:rsidR="00DD75F1" w:rsidRDefault="00FB505B" w:rsidP="001E7CAC">
      <w:pPr>
        <w:pStyle w:val="BodyText"/>
      </w:pPr>
      <w:r>
        <w:t>C</w:t>
      </w:r>
      <w:r w:rsidR="00627473">
        <w:t>o</w:t>
      </w:r>
      <w:r w:rsidR="001E7CAC">
        <w:t xml:space="preserve">ncerns </w:t>
      </w:r>
      <w:r>
        <w:t>about these</w:t>
      </w:r>
      <w:r w:rsidRPr="001E7CAC">
        <w:t xml:space="preserve"> </w:t>
      </w:r>
      <w:r w:rsidR="001E7CAC">
        <w:t>socio-economic impact</w:t>
      </w:r>
      <w:r>
        <w:t>s</w:t>
      </w:r>
      <w:r w:rsidR="001E7CAC">
        <w:t xml:space="preserve"> have been reflected in a policy shift </w:t>
      </w:r>
      <w:r w:rsidR="000010A5">
        <w:t xml:space="preserve">to focus </w:t>
      </w:r>
      <w:r w:rsidR="001E7CAC">
        <w:t>funding</w:t>
      </w:r>
      <w:r w:rsidR="000010A5">
        <w:t xml:space="preserve"> of </w:t>
      </w:r>
      <w:r>
        <w:t>o</w:t>
      </w:r>
      <w:r w:rsidR="000010A5">
        <w:t xml:space="preserve">ff-farm efficiency. For example, the </w:t>
      </w:r>
      <w:r w:rsidR="001E7CAC" w:rsidRPr="001E7CAC">
        <w:t>Water Efficiency Program (WEP)</w:t>
      </w:r>
      <w:r w:rsidR="001E7CAC">
        <w:t xml:space="preserve"> opened in July 2019 and </w:t>
      </w:r>
      <w:r w:rsidR="000010A5">
        <w:t xml:space="preserve">was </w:t>
      </w:r>
      <w:r w:rsidR="001E7CAC">
        <w:t>closed in March 2021</w:t>
      </w:r>
      <w:r>
        <w:t>. It was</w:t>
      </w:r>
      <w:r w:rsidR="000010A5">
        <w:t xml:space="preserve"> replaced </w:t>
      </w:r>
      <w:r>
        <w:t xml:space="preserve">by </w:t>
      </w:r>
      <w:r w:rsidR="000010A5">
        <w:t xml:space="preserve">the </w:t>
      </w:r>
      <w:r w:rsidR="001E7CAC" w:rsidRPr="001E7CAC">
        <w:t>Off-farm Efficiency Program (OFEP)</w:t>
      </w:r>
      <w:r w:rsidR="001E7CAC">
        <w:t xml:space="preserve"> </w:t>
      </w:r>
      <w:r w:rsidR="001E7CAC" w:rsidRPr="001E7CAC">
        <w:t>which opened in October 2021</w:t>
      </w:r>
      <w:r w:rsidR="001E7CAC">
        <w:t xml:space="preserve"> </w:t>
      </w:r>
      <w:r w:rsidR="000010A5">
        <w:t xml:space="preserve">— with funding streams of </w:t>
      </w:r>
      <w:r w:rsidR="001E7CAC">
        <w:t xml:space="preserve">State Led Off-farm ($1.33 billion), State Led On-farm ($60 million) </w:t>
      </w:r>
      <w:r w:rsidR="000010A5">
        <w:t xml:space="preserve">and </w:t>
      </w:r>
      <w:r w:rsidR="001E7CAC">
        <w:t>Off-farm Efficiency Grants Program ($150 million)</w:t>
      </w:r>
      <w:r w:rsidR="000010A5">
        <w:t>.</w:t>
      </w:r>
    </w:p>
    <w:p w14:paraId="3018D3EF" w14:textId="69BF882A" w:rsidR="005232F7" w:rsidRDefault="005232F7" w:rsidP="001E7CAC">
      <w:pPr>
        <w:pStyle w:val="BodyText"/>
      </w:pPr>
      <w:r>
        <w:t xml:space="preserve">Prior to the shift away from on-farm efficiency projects, many </w:t>
      </w:r>
      <w:r w:rsidR="00FB505B">
        <w:t xml:space="preserve">such projects </w:t>
      </w:r>
      <w:r>
        <w:t>were undertaken. To date</w:t>
      </w:r>
      <w:r w:rsidR="00AA1D28">
        <w:t xml:space="preserve">, on-farm water recovery has been used to provide an annual average of more than 215GL in the southern MDB — which is 14% of all water recovery. The proportional role of on-farm projects in water recovery differs between States, with 10% in Victoria, 13% in NSW and 32% in SA. </w:t>
      </w:r>
    </w:p>
    <w:p w14:paraId="0F804D3E" w14:textId="43A2AB77" w:rsidR="00EC3DAD" w:rsidRDefault="00EC3DAD" w:rsidP="00597401">
      <w:pPr>
        <w:pStyle w:val="ListNumber1"/>
        <w:numPr>
          <w:ilvl w:val="0"/>
          <w:numId w:val="18"/>
        </w:numPr>
        <w:tabs>
          <w:tab w:val="clear" w:pos="284"/>
          <w:tab w:val="num" w:pos="426"/>
        </w:tabs>
        <w:ind w:left="426" w:hanging="426"/>
      </w:pPr>
      <w:r>
        <w:t xml:space="preserve">Water recovery has delivered the Commonwealth Environmental Water Holder (CEWH) a large portfolio of water entitlements. Allocations from its Victorian entitlements have outstripped their anticipated long-term share of the portfolio in all but the wettest years. </w:t>
      </w:r>
      <w:r w:rsidR="00A17FFA">
        <w:t>The CEWH’s</w:t>
      </w:r>
      <w:r>
        <w:t xml:space="preserve"> use of Victorian entitlements for carryover has consistently exceeded their long-term share of the portfolio.</w:t>
      </w:r>
    </w:p>
    <w:p w14:paraId="697C94F0" w14:textId="73D6B2BD" w:rsidR="00A2153D" w:rsidRDefault="00A2153D" w:rsidP="00A2153D">
      <w:pPr>
        <w:pStyle w:val="BodyText"/>
      </w:pPr>
      <w:r>
        <w:t>The CEWH</w:t>
      </w:r>
      <w:r w:rsidR="00361EF9">
        <w:t>’s</w:t>
      </w:r>
      <w:r>
        <w:t xml:space="preserve"> portfolio </w:t>
      </w:r>
      <w:r w:rsidR="000010A5">
        <w:t>consists of entitlements</w:t>
      </w:r>
      <w:r w:rsidR="000010A5" w:rsidRPr="000010A5">
        <w:t xml:space="preserve"> </w:t>
      </w:r>
      <w:r w:rsidR="00325672">
        <w:t xml:space="preserve">representing a </w:t>
      </w:r>
      <w:r w:rsidR="00485299">
        <w:t xml:space="preserve">long-term </w:t>
      </w:r>
      <w:r w:rsidR="00325672">
        <w:t xml:space="preserve">average annual volume of </w:t>
      </w:r>
      <w:r w:rsidR="000010A5">
        <w:t>over 1990GL</w:t>
      </w:r>
      <w:r w:rsidR="00325672">
        <w:t xml:space="preserve">, across a mix of different entitlement types in all the valleys and regions of the MDB. </w:t>
      </w:r>
      <w:r w:rsidR="000010A5">
        <w:t xml:space="preserve">More than 1620 GL of </w:t>
      </w:r>
      <w:r w:rsidR="00FB505B">
        <w:t>these</w:t>
      </w:r>
      <w:r w:rsidR="000010A5">
        <w:t xml:space="preserve"> entitlements </w:t>
      </w:r>
      <w:r w:rsidR="00325672">
        <w:t xml:space="preserve">are </w:t>
      </w:r>
      <w:r w:rsidR="000010A5">
        <w:t>in the southern MDB</w:t>
      </w:r>
      <w:r w:rsidR="00325672">
        <w:t xml:space="preserve"> — </w:t>
      </w:r>
      <w:r>
        <w:t xml:space="preserve">proportionally dominated (in long-term equivalent terms) by Victorian high reliability entitlements, NSW general security entitlements and NSW supplementary </w:t>
      </w:r>
      <w:r w:rsidR="00AC12CA">
        <w:t>entitlements</w:t>
      </w:r>
      <w:r>
        <w:t xml:space="preserve">. </w:t>
      </w:r>
    </w:p>
    <w:p w14:paraId="775C0BBD" w14:textId="0E420AA8" w:rsidR="00A2153D" w:rsidRDefault="00AC12CA" w:rsidP="00A2153D">
      <w:pPr>
        <w:pStyle w:val="BodyText"/>
      </w:pPr>
      <w:r>
        <w:t>In all but the wettest years</w:t>
      </w:r>
      <w:r w:rsidR="00A2153D">
        <w:t xml:space="preserve">, allocations to the environment from Victorian entitlements </w:t>
      </w:r>
      <w:r w:rsidR="00686964">
        <w:t>have</w:t>
      </w:r>
      <w:r w:rsidR="00A2153D">
        <w:t xml:space="preserve"> significantly outstripped their long</w:t>
      </w:r>
      <w:r w:rsidR="00FB505B">
        <w:t>-</w:t>
      </w:r>
      <w:r w:rsidR="00A2153D">
        <w:t xml:space="preserve">term share of the portfolio. </w:t>
      </w:r>
      <w:r w:rsidR="00F10DD5">
        <w:t>Similarly, t</w:t>
      </w:r>
      <w:r w:rsidR="00A2153D">
        <w:t>he CEWH</w:t>
      </w:r>
      <w:r w:rsidR="00A95C97">
        <w:t>’s</w:t>
      </w:r>
      <w:r w:rsidR="00A2153D">
        <w:t xml:space="preserve"> use of Victorian entitlements for carryover by the environment has always exceeded their long</w:t>
      </w:r>
      <w:r w:rsidR="00FB505B">
        <w:t>-</w:t>
      </w:r>
      <w:r w:rsidR="00A2153D">
        <w:t>term share of the portfolio.</w:t>
      </w:r>
    </w:p>
    <w:p w14:paraId="0F19B83E" w14:textId="77777777" w:rsidR="00EC3DAD" w:rsidRDefault="00EC3DAD" w:rsidP="00597401">
      <w:pPr>
        <w:pStyle w:val="ListNumber1"/>
        <w:numPr>
          <w:ilvl w:val="0"/>
          <w:numId w:val="18"/>
        </w:numPr>
        <w:tabs>
          <w:tab w:val="clear" w:pos="284"/>
          <w:tab w:val="num" w:pos="426"/>
        </w:tabs>
        <w:ind w:left="426" w:hanging="426"/>
      </w:pPr>
      <w:r>
        <w:t>As a result of the way in which water was recovered, there is now more volatility in the total volume of allocations available for irrigation from one year to the next.</w:t>
      </w:r>
    </w:p>
    <w:p w14:paraId="7D194D82" w14:textId="169F801D" w:rsidR="00A2153D" w:rsidRDefault="00A2153D" w:rsidP="00A2153D">
      <w:pPr>
        <w:pStyle w:val="BodyText"/>
      </w:pPr>
      <w:r>
        <w:t xml:space="preserve">While the proportions </w:t>
      </w:r>
      <w:r w:rsidR="00FB505B">
        <w:t xml:space="preserve">of water volumes </w:t>
      </w:r>
      <w:r>
        <w:t>recovered from NSW and Victoria are similar, their composition is profoundly different — in terms of their reliability and the recovery mechanisms used. Victorian water recovery was dominated by the buyback of high reliability entitlements; NSW recovery involved more infrastructure efficiency savings</w:t>
      </w:r>
      <w:r w:rsidR="00CB37DD">
        <w:t>,</w:t>
      </w:r>
      <w:r>
        <w:t xml:space="preserve"> </w:t>
      </w:r>
      <w:r w:rsidR="00CB37DD">
        <w:t xml:space="preserve">providing </w:t>
      </w:r>
      <w:r>
        <w:t>general security entitlements</w:t>
      </w:r>
      <w:r w:rsidR="00965BE3">
        <w:t xml:space="preserve"> to the environment</w:t>
      </w:r>
      <w:r>
        <w:t xml:space="preserve">. </w:t>
      </w:r>
    </w:p>
    <w:p w14:paraId="4EBF7F25" w14:textId="77777777" w:rsidR="00A2153D" w:rsidRDefault="00A2153D" w:rsidP="00A2153D">
      <w:pPr>
        <w:pStyle w:val="BodyText"/>
      </w:pPr>
      <w:r>
        <w:t>Because buyback was weighted towards high reliability entitlements, the remaining consumptive pool is now weighted towards the less reliable general security entitlements. Consequently, the consumptive pool will now yield irrigators more variable allocations, year-on-year, at the Basin-</w:t>
      </w:r>
      <w:r>
        <w:lastRenderedPageBreak/>
        <w:t>scale, than was previously the case. This has changed the risk profile for those irrigators who must compete with horticulturalists for allocations in dry years.</w:t>
      </w:r>
    </w:p>
    <w:p w14:paraId="2D74EB39" w14:textId="77777777" w:rsidR="00EC3DAD" w:rsidRDefault="00EC3DAD" w:rsidP="00597401">
      <w:pPr>
        <w:pStyle w:val="ListNumber1"/>
        <w:numPr>
          <w:ilvl w:val="0"/>
          <w:numId w:val="18"/>
        </w:numPr>
        <w:tabs>
          <w:tab w:val="clear" w:pos="284"/>
          <w:tab w:val="num" w:pos="426"/>
        </w:tabs>
        <w:ind w:left="426" w:hanging="426"/>
      </w:pPr>
      <w:r>
        <w:t xml:space="preserve">The characteristics of water use in the southern-connected Basin have changed </w:t>
      </w:r>
      <w:r w:rsidRPr="00A2153D">
        <w:rPr>
          <w:rFonts w:cs="Open Sans"/>
          <w:szCs w:val="20"/>
          <w:lang w:val="en-AU"/>
        </w:rPr>
        <w:t>significantly</w:t>
      </w:r>
      <w:r>
        <w:t xml:space="preserve"> as a result of the Basin Plan:</w:t>
      </w:r>
    </w:p>
    <w:p w14:paraId="7970BFA6" w14:textId="77777777" w:rsidR="00EC3DAD" w:rsidRDefault="00EC3DAD" w:rsidP="00597401">
      <w:pPr>
        <w:pStyle w:val="ListNumber2"/>
        <w:tabs>
          <w:tab w:val="clear" w:pos="568"/>
          <w:tab w:val="num" w:pos="709"/>
        </w:tabs>
        <w:ind w:left="709" w:hanging="283"/>
      </w:pPr>
      <w:r>
        <w:t>Horticulture, with its relatively fixed water demands now accounts for a larger proportion of the smaller consumptive pool</w:t>
      </w:r>
    </w:p>
    <w:p w14:paraId="75752A41" w14:textId="7E208EEE" w:rsidR="00EC3DAD" w:rsidRDefault="00EC3DAD" w:rsidP="00597401">
      <w:pPr>
        <w:pStyle w:val="ListNumber2"/>
        <w:tabs>
          <w:tab w:val="clear" w:pos="568"/>
          <w:tab w:val="num" w:pos="709"/>
        </w:tabs>
        <w:ind w:left="709" w:hanging="283"/>
      </w:pPr>
      <w:r>
        <w:t xml:space="preserve">Dairy, rice and mixed farmers must now deal with larger variability in water access and </w:t>
      </w:r>
      <w:r w:rsidR="00462D4D" w:rsidRPr="00462D4D">
        <w:t>many of their farming systems are more flexible than pre-drought</w:t>
      </w:r>
      <w:r>
        <w:t>.</w:t>
      </w:r>
    </w:p>
    <w:p w14:paraId="41AB8CAD" w14:textId="5E315876" w:rsidR="00A2153D" w:rsidRDefault="00A2153D" w:rsidP="00A2153D">
      <w:pPr>
        <w:pStyle w:val="BodyText"/>
      </w:pPr>
      <w:r>
        <w:t xml:space="preserve">Water recovery has had no immediate impact on the rate of perennial horticultural expansion in the Lower Murray-Darling. While horticulturalists did sell significant volumes to the Commonwealth, they did so for reasons of capital efficiency. In general terms, they still hold some entitlements, lease other entitlements, and buy allocations for the balance of their </w:t>
      </w:r>
      <w:r w:rsidR="001E5666">
        <w:t xml:space="preserve">water </w:t>
      </w:r>
      <w:r>
        <w:t>needs. At current commodity prices, horticulturalists can outcompete other irrigators in low allocation years</w:t>
      </w:r>
      <w:r w:rsidR="0074523A">
        <w:t xml:space="preserve"> (i.e.</w:t>
      </w:r>
      <w:r w:rsidR="00556BBB">
        <w:t xml:space="preserve"> </w:t>
      </w:r>
      <w:r w:rsidR="009E2901">
        <w:t xml:space="preserve">in horticulture, </w:t>
      </w:r>
      <w:r w:rsidR="00556BBB">
        <w:t>the</w:t>
      </w:r>
      <w:r w:rsidR="00556BBB" w:rsidRPr="00556BBB">
        <w:t xml:space="preserve"> </w:t>
      </w:r>
      <w:r w:rsidR="006D0E6F">
        <w:t xml:space="preserve">threshold </w:t>
      </w:r>
      <w:r w:rsidR="00556BBB" w:rsidRPr="00556BBB">
        <w:t xml:space="preserve">price </w:t>
      </w:r>
      <w:r w:rsidR="00D06490">
        <w:t xml:space="preserve">— </w:t>
      </w:r>
      <w:r w:rsidR="00556BBB" w:rsidRPr="00556BBB">
        <w:t>above which purchase of allocation water becomes unviable for irrigators</w:t>
      </w:r>
      <w:r w:rsidR="009E2901">
        <w:t xml:space="preserve"> </w:t>
      </w:r>
      <w:r w:rsidR="00D06490">
        <w:t xml:space="preserve">— </w:t>
      </w:r>
      <w:r w:rsidR="009E2901">
        <w:t xml:space="preserve">is significantly higher than </w:t>
      </w:r>
      <w:r w:rsidR="00D06490">
        <w:t xml:space="preserve">for </w:t>
      </w:r>
      <w:r w:rsidR="009E2901">
        <w:t xml:space="preserve">other </w:t>
      </w:r>
      <w:r w:rsidR="003D272C">
        <w:t xml:space="preserve">irrigating </w:t>
      </w:r>
      <w:r w:rsidR="009E2901">
        <w:t>industries)</w:t>
      </w:r>
      <w:r>
        <w:t xml:space="preserve">. </w:t>
      </w:r>
      <w:bookmarkStart w:id="7" w:name="_Hlk109992239"/>
      <w:bookmarkStart w:id="8" w:name="_Hlk109992076"/>
      <w:r w:rsidR="001E5666">
        <w:t>A</w:t>
      </w:r>
      <w:r>
        <w:t xml:space="preserve"> significant net horticultural expansion had occurred in the period 2003 to 2015 (an increase of 12,500 ha)</w:t>
      </w:r>
      <w:r w:rsidR="001E5666">
        <w:t xml:space="preserve">. However, </w:t>
      </w:r>
      <w:r>
        <w:t xml:space="preserve">nearly twice this increase </w:t>
      </w:r>
      <w:r w:rsidR="001E5666">
        <w:t xml:space="preserve">(around 23, 000 ha) occurred between 2015 and 2021. </w:t>
      </w:r>
      <w:r w:rsidR="00AC4915">
        <w:t>2015</w:t>
      </w:r>
      <w:r w:rsidR="00462D4D">
        <w:t xml:space="preserve"> </w:t>
      </w:r>
      <w:r w:rsidR="00AC4915">
        <w:t>was</w:t>
      </w:r>
      <w:r>
        <w:t xml:space="preserve"> the dry year when the effects of water recovery on the consumptive pool first became apparent to most irrigators</w:t>
      </w:r>
      <w:bookmarkEnd w:id="7"/>
      <w:r>
        <w:t>.</w:t>
      </w:r>
    </w:p>
    <w:bookmarkEnd w:id="8"/>
    <w:p w14:paraId="6D409532" w14:textId="3B57566A" w:rsidR="00A2153D" w:rsidRDefault="00A2153D" w:rsidP="00A2153D">
      <w:pPr>
        <w:pStyle w:val="BodyText"/>
      </w:pPr>
      <w:r>
        <w:t xml:space="preserve">At the time of the 2017 review, it was apparent that the 2010-11 and 2011-12 La </w:t>
      </w:r>
      <w:r w:rsidR="00E855AB" w:rsidRPr="00E855AB">
        <w:t>Niña</w:t>
      </w:r>
      <w:r>
        <w:t xml:space="preserve"> years had masked the impacts of water recovery through buybacks, which mostly took place from 2009-10 to 2011-12. Those wet conditions resulted in high allocations and a large store of carryover that sustained annual water use in excess of water entitlement volumes for four years in a row. </w:t>
      </w:r>
    </w:p>
    <w:p w14:paraId="61A8A2E3" w14:textId="4027B188" w:rsidR="00A2153D" w:rsidRDefault="00A2153D" w:rsidP="00A2153D">
      <w:pPr>
        <w:pStyle w:val="BodyText"/>
      </w:pPr>
      <w:r>
        <w:t>Dairy farmers and rice farmers largely reverted to their pre</w:t>
      </w:r>
      <w:r w:rsidR="00AC4915">
        <w:t>-</w:t>
      </w:r>
      <w:r>
        <w:t>drought farming systems in those four years. However, the brief dry period in 2015-16 alerted them to how much the consumptive pool had been reduced</w:t>
      </w:r>
      <w:r w:rsidR="00383907" w:rsidRPr="00383907">
        <w:t xml:space="preserve"> and what this meant in terms of access costs</w:t>
      </w:r>
      <w:r>
        <w:t xml:space="preserve">. They then made permanent changes to their farming systems in the recognition that there could be no permanent return to pre-drought farming systems. The high allocation 2016-17 season gave them breathing space to bed these systems down before the descent into the low allocation 2018-19 and very low allocation 2019-20 seasons. </w:t>
      </w:r>
    </w:p>
    <w:p w14:paraId="1D7DC4E5" w14:textId="7C5C00E3" w:rsidR="00A2153D" w:rsidRDefault="00A2153D" w:rsidP="00A2153D">
      <w:pPr>
        <w:pStyle w:val="BodyText"/>
      </w:pPr>
      <w:r>
        <w:t xml:space="preserve">The Basin Plan has changed the characteristics of water use in the southern-connected Basin. Horticulture, with its relatively fixed water demands now accounts for a larger proportion of the </w:t>
      </w:r>
      <w:r w:rsidR="009E6E13">
        <w:t xml:space="preserve">smaller </w:t>
      </w:r>
      <w:r>
        <w:t xml:space="preserve">consumptive pool. In the dry conditions of 2019-20, when Victorian Murray allocations failed to reach 100%, more than 300GL was traded into the lower Murray to support horticulture — supported by trade out from the Goulburn and from interstate. This resulted in high allocation prices and immense pressure on non-horticultural irrigators </w:t>
      </w:r>
      <w:r w:rsidR="008256D9">
        <w:t xml:space="preserve">looking to use water </w:t>
      </w:r>
      <w:r>
        <w:t>in Victoria and interstate. It has also increased the risk of horticultural properties being dried-off during severe droughts.</w:t>
      </w:r>
    </w:p>
    <w:p w14:paraId="5ECAD7E6" w14:textId="5930DCF9" w:rsidR="00EC3DAD" w:rsidRDefault="00EC3DAD" w:rsidP="00597401">
      <w:pPr>
        <w:pStyle w:val="ListNumber1"/>
        <w:numPr>
          <w:ilvl w:val="0"/>
          <w:numId w:val="18"/>
        </w:numPr>
        <w:tabs>
          <w:tab w:val="clear" w:pos="284"/>
          <w:tab w:val="num" w:pos="426"/>
        </w:tabs>
        <w:ind w:left="426" w:hanging="426"/>
      </w:pPr>
      <w:r>
        <w:t xml:space="preserve">The socio-economic impacts of the Basin Plan in Victoria are apparent in the Goulburn Murray Irrigation District (GMID) — reducing water use and milk production in the order of 50% in recent years. In a repeat of the Millennium Drought, the socio-economic impacts of the Basin Plan will also </w:t>
      </w:r>
      <w:r w:rsidR="00E12CB9">
        <w:t>affect</w:t>
      </w:r>
      <w:r>
        <w:t xml:space="preserve"> the horticultural industries of the Victorian Mallee and surrounding areas — requiring an extra 25,000 hectares of high value horticulture to be dried off due to the reduced consumptive pool.</w:t>
      </w:r>
    </w:p>
    <w:p w14:paraId="350355C0" w14:textId="77777777" w:rsidR="00A2153D" w:rsidRDefault="00A2153D" w:rsidP="00A2153D">
      <w:pPr>
        <w:pStyle w:val="BodyText"/>
      </w:pPr>
      <w:r>
        <w:t xml:space="preserve">Without the Basin Plan, water use in the GMID could be expected to have been about 50% higher in recent years (2018-19 to 2021-22). Accordingly, GMID milk production could also have been </w:t>
      </w:r>
      <w:r>
        <w:lastRenderedPageBreak/>
        <w:t>expected to be about 50% higher than was observed. The foregone production would otherwise have had significant flow-on effects in towns and communities where farm inputs are sourced and where dairy manufacturing occurs.</w:t>
      </w:r>
    </w:p>
    <w:p w14:paraId="5818A56C" w14:textId="0979AC6A" w:rsidR="00A2153D" w:rsidRDefault="00A2153D" w:rsidP="00202FB2">
      <w:pPr>
        <w:pStyle w:val="BodyText"/>
      </w:pPr>
      <w:r>
        <w:t xml:space="preserve">In a repeat of the Millennium Drought, the socio-economic impacts of the Basin </w:t>
      </w:r>
      <w:r w:rsidR="00AC4915">
        <w:t xml:space="preserve">Plan </w:t>
      </w:r>
      <w:r>
        <w:t xml:space="preserve">in Victoria will be manifest in the horticultural industries of the Victorian Mallee. Assuming 50% allocations and average annual water use of 12 megalitres per hectare, the 591 GL of high reliability entitlements bought back for the environment from the consumptive pool across the southern MDB will mean that an extra 25,000 hectares of high value horticulture will need to be dried off across the three </w:t>
      </w:r>
      <w:r w:rsidR="00AC4915">
        <w:t>S</w:t>
      </w:r>
      <w:r>
        <w:t>tates in a repeat of that drought.</w:t>
      </w:r>
      <w:bookmarkStart w:id="9" w:name="_Hlk108176622"/>
    </w:p>
    <w:p w14:paraId="49719D86" w14:textId="217DFFFA" w:rsidR="0069617B" w:rsidRDefault="0069617B" w:rsidP="00597401">
      <w:pPr>
        <w:pStyle w:val="ListNumber1"/>
        <w:numPr>
          <w:ilvl w:val="0"/>
          <w:numId w:val="18"/>
        </w:numPr>
        <w:tabs>
          <w:tab w:val="clear" w:pos="284"/>
          <w:tab w:val="num" w:pos="426"/>
        </w:tabs>
        <w:ind w:left="426" w:hanging="426"/>
      </w:pPr>
      <w:r>
        <w:t xml:space="preserve">A potential future large-scale buyback of water entitlements would have large socio-economic impacts across the southern Basin — likely focused </w:t>
      </w:r>
      <w:r w:rsidR="00A2227E">
        <w:t>o</w:t>
      </w:r>
      <w:r>
        <w:t>n northern Victoria. The ultimate impact would depend heavily on the characteristics of the water entitlements that are bought back. Such a buyback would provide additional water to the environment to generate environmental benefits</w:t>
      </w:r>
      <w:r w:rsidR="00F30D6E">
        <w:t>. H</w:t>
      </w:r>
      <w:r>
        <w:t xml:space="preserve">owever, it is unclear whether large additional volumes can be effectively used for environmental watering given the existing constraints to environmental water delivery. </w:t>
      </w:r>
    </w:p>
    <w:p w14:paraId="3EABDF17" w14:textId="458B4E17" w:rsidR="00A2153D" w:rsidRDefault="00A2153D" w:rsidP="00A2153D">
      <w:pPr>
        <w:pStyle w:val="BodyText"/>
      </w:pPr>
      <w:r>
        <w:t>At the time of preparing this report, there was significant discussion in the media that water buyback in the order of 450GL may be required</w:t>
      </w:r>
      <w:r w:rsidR="00A2227E">
        <w:t xml:space="preserve"> to meet the Basin Plan obligations</w:t>
      </w:r>
      <w:r>
        <w:t>. The buyback of the long-term annual average of 450GL of water entitlement would significantly reduce the consumptive pool available to irrigators and other water users. If this purchase was broadly in line with the current composition of the CEWH portfolio:</w:t>
      </w:r>
    </w:p>
    <w:p w14:paraId="629A3BDC" w14:textId="1FB469F1" w:rsidR="00A2153D" w:rsidRDefault="00A2153D" w:rsidP="005868FC">
      <w:pPr>
        <w:pStyle w:val="ListParagraph"/>
      </w:pPr>
      <w:r>
        <w:t xml:space="preserve">this is expected to reduce annual water use in northern Victoria by 216GL (with NSW water use reducing by 197GL and SA by 37GL). </w:t>
      </w:r>
    </w:p>
    <w:p w14:paraId="51F76434" w14:textId="6F08A8E4" w:rsidR="00A2153D" w:rsidRDefault="00A2153D" w:rsidP="005868FC">
      <w:pPr>
        <w:pStyle w:val="ListParagraph"/>
      </w:pPr>
      <w:r>
        <w:t xml:space="preserve">the estimated area of reduced irrigation </w:t>
      </w:r>
      <w:r w:rsidR="00440670" w:rsidRPr="00440670">
        <w:t xml:space="preserve">due to this recovery </w:t>
      </w:r>
      <w:r>
        <w:t>is more than 50,000 ha in northern Victoria (and a total of nearly 95,000 ha across the southern MDB).</w:t>
      </w:r>
    </w:p>
    <w:p w14:paraId="1ACBED58" w14:textId="77777777" w:rsidR="00A2153D" w:rsidRDefault="00A2153D" w:rsidP="005868FC">
      <w:pPr>
        <w:pStyle w:val="ListParagraph"/>
      </w:pPr>
      <w:r>
        <w:t xml:space="preserve">The consequent economic impact is expected to be in the excess of $500m annually in terms of the gross value of foregone irrigated production across the southern MDB. </w:t>
      </w:r>
    </w:p>
    <w:p w14:paraId="1C5D0344" w14:textId="77777777" w:rsidR="00A2153D" w:rsidRDefault="00A2153D" w:rsidP="005868FC">
      <w:pPr>
        <w:pStyle w:val="ListParagraph"/>
      </w:pPr>
      <w:r>
        <w:t>Northern Victorian gross value of agricultural production (the change of irrigated production net of increased dryland production) would be expected to decline around $270m annually, with agricultural employment contracting by approximately 900 farm jobs. In addition to this, there would be associated job losses in up- and down-stream industries, as well as in irrigation-dependent communities.</w:t>
      </w:r>
    </w:p>
    <w:p w14:paraId="038EF310" w14:textId="0AFFF84F" w:rsidR="00771E49" w:rsidRDefault="00771E49" w:rsidP="00A2153D">
      <w:pPr>
        <w:pStyle w:val="BodyText"/>
      </w:pPr>
      <w:r>
        <w:t>Th</w:t>
      </w:r>
      <w:r w:rsidR="00244482">
        <w:t>ese</w:t>
      </w:r>
      <w:r>
        <w:t xml:space="preserve"> impacts would be in addition to </w:t>
      </w:r>
      <w:r w:rsidR="00CC3E06">
        <w:t xml:space="preserve">and compounded by </w:t>
      </w:r>
      <w:r>
        <w:t>any impacts from buyback used to ‘Bridge the Gap’.</w:t>
      </w:r>
    </w:p>
    <w:p w14:paraId="37530751" w14:textId="00028B0B" w:rsidR="00A2153D" w:rsidRDefault="00A2153D" w:rsidP="00A2153D">
      <w:pPr>
        <w:pStyle w:val="BodyText"/>
      </w:pPr>
      <w:r>
        <w:t xml:space="preserve">If </w:t>
      </w:r>
      <w:r w:rsidR="00791E2E">
        <w:t xml:space="preserve">a </w:t>
      </w:r>
      <w:r>
        <w:t xml:space="preserve">450GL buyback focused on high reliability </w:t>
      </w:r>
      <w:r w:rsidR="00BF551C">
        <w:t>entitlements,</w:t>
      </w:r>
      <w:r>
        <w:t xml:space="preserve"> then socio-economic impacts would be significantly great</w:t>
      </w:r>
      <w:r w:rsidR="00A2227E">
        <w:t>er</w:t>
      </w:r>
      <w:r>
        <w:t xml:space="preserve"> and more focused on horticultural areas such as the Victorian Mallee.</w:t>
      </w:r>
    </w:p>
    <w:p w14:paraId="074C9070" w14:textId="7C9CC271" w:rsidR="00A2153D" w:rsidRDefault="00A2153D" w:rsidP="00A2153D">
      <w:pPr>
        <w:pStyle w:val="BodyText"/>
      </w:pPr>
      <w:r>
        <w:t xml:space="preserve">The buyback of this water would provide additional water to the environment to generate environmental benefits. However, it is unclear whether </w:t>
      </w:r>
      <w:r w:rsidR="00A2227E">
        <w:t xml:space="preserve">and </w:t>
      </w:r>
      <w:r>
        <w:t xml:space="preserve">how much of the 450GL can be used for optimal environmental watering given the </w:t>
      </w:r>
      <w:r w:rsidR="00A2227E">
        <w:t xml:space="preserve">existing </w:t>
      </w:r>
      <w:r>
        <w:t xml:space="preserve">constraints in </w:t>
      </w:r>
      <w:r w:rsidR="00A2227E">
        <w:t xml:space="preserve">the </w:t>
      </w:r>
      <w:r>
        <w:t>water delivery system. Both the CEWH and the VEWH have identified that planned delivery of e</w:t>
      </w:r>
      <w:r w:rsidR="00086113">
        <w:t xml:space="preserve">nvironmental </w:t>
      </w:r>
      <w:r>
        <w:t xml:space="preserve">water has already been impacted, and available water not used, </w:t>
      </w:r>
      <w:r w:rsidR="005868FC">
        <w:t>as a result of</w:t>
      </w:r>
      <w:r>
        <w:t xml:space="preserve"> system constraints.</w:t>
      </w:r>
      <w:r w:rsidR="00485770">
        <w:t xml:space="preserve"> </w:t>
      </w:r>
      <w:r w:rsidR="00485770" w:rsidRPr="00485770">
        <w:t xml:space="preserve">The Productivity Commission </w:t>
      </w:r>
      <w:r w:rsidR="00054805">
        <w:t xml:space="preserve">found that </w:t>
      </w:r>
      <w:r w:rsidR="00485770" w:rsidRPr="00485770">
        <w:t xml:space="preserve">if constraints projects are not implemented </w:t>
      </w:r>
      <w:r w:rsidR="00054805">
        <w:t xml:space="preserve">then </w:t>
      </w:r>
      <w:r w:rsidR="00485770" w:rsidRPr="00485770">
        <w:t xml:space="preserve">rushing to recover the full 450 GL </w:t>
      </w:r>
      <w:r w:rsidR="00054805">
        <w:t>risks buying water that</w:t>
      </w:r>
      <w:r w:rsidR="00485770" w:rsidRPr="00485770">
        <w:t xml:space="preserve"> cannot be used for some time</w:t>
      </w:r>
      <w:r w:rsidR="00054805">
        <w:t>.</w:t>
      </w:r>
    </w:p>
    <w:p w14:paraId="0A5CDA67" w14:textId="6D416E6F" w:rsidR="0069617B" w:rsidRDefault="0069617B" w:rsidP="00597401">
      <w:pPr>
        <w:pStyle w:val="ListNumber1"/>
        <w:numPr>
          <w:ilvl w:val="0"/>
          <w:numId w:val="18"/>
        </w:numPr>
        <w:tabs>
          <w:tab w:val="clear" w:pos="284"/>
          <w:tab w:val="num" w:pos="426"/>
        </w:tabs>
        <w:ind w:left="426" w:hanging="426"/>
      </w:pPr>
      <w:r w:rsidRPr="00A2153D">
        <w:lastRenderedPageBreak/>
        <w:t xml:space="preserve">After considering four scenarios of future implementation of the Basin Plan and the current state of play, we consider a sensible and plausible scenario is for Basin Plan implementation to focus on current or alternative SDLAM projects to offset the full 605GL in a timely manner (rather than </w:t>
      </w:r>
      <w:r w:rsidR="00311FC7">
        <w:t xml:space="preserve">by </w:t>
      </w:r>
      <w:r>
        <w:t xml:space="preserve">the </w:t>
      </w:r>
      <w:r w:rsidR="00311FC7">
        <w:t xml:space="preserve">current </w:t>
      </w:r>
      <w:r>
        <w:t>30</w:t>
      </w:r>
      <w:r w:rsidRPr="00A2153D">
        <w:t xml:space="preserve"> June 2024 deadline). This would avoid the negative socio-economic impacts of buyback and allow time for at least 62</w:t>
      </w:r>
      <w:r w:rsidR="00244482">
        <w:t> </w:t>
      </w:r>
      <w:r w:rsidRPr="00A2153D">
        <w:t>GL of efficiency measures to be identified. Further progress towards the 450</w:t>
      </w:r>
      <w:r w:rsidR="00244482">
        <w:t> </w:t>
      </w:r>
      <w:r w:rsidRPr="00A2153D">
        <w:t>GL should consider</w:t>
      </w:r>
      <w:r w:rsidR="00311FC7">
        <w:t xml:space="preserve"> system </w:t>
      </w:r>
      <w:r w:rsidRPr="00A2153D">
        <w:t>constraints.</w:t>
      </w:r>
    </w:p>
    <w:p w14:paraId="043CD45A" w14:textId="77777777" w:rsidR="00A2153D" w:rsidRDefault="00A2153D" w:rsidP="00A2153D">
      <w:pPr>
        <w:pStyle w:val="BodyText"/>
      </w:pPr>
      <w:r>
        <w:t>Looking forward, there are a range of scenarios for ultimately meeting Basin Plan obligations:</w:t>
      </w:r>
    </w:p>
    <w:p w14:paraId="2CAB2B08" w14:textId="5DA95AC0" w:rsidR="00A2153D" w:rsidRDefault="00096070" w:rsidP="00597401">
      <w:pPr>
        <w:pStyle w:val="ListBullet1"/>
        <w:numPr>
          <w:ilvl w:val="0"/>
          <w:numId w:val="20"/>
        </w:numPr>
      </w:pPr>
      <w:r w:rsidRPr="00096070">
        <w:t>Completion by June 2024</w:t>
      </w:r>
      <w:r>
        <w:t xml:space="preserve"> — </w:t>
      </w:r>
      <w:r w:rsidR="00A2153D">
        <w:t xml:space="preserve">The intended goal of the full 450 GL of efficiency measures, and the 605 GL of SDLAM Projects is neutral or positive socio-economic outcomes – but it is not realistic that this will be achieved by 30 June 2024. </w:t>
      </w:r>
    </w:p>
    <w:p w14:paraId="3D9E9D6F" w14:textId="04C8A840" w:rsidR="00A2153D" w:rsidRDefault="00096070" w:rsidP="00597401">
      <w:pPr>
        <w:pStyle w:val="ListBullet1"/>
        <w:numPr>
          <w:ilvl w:val="0"/>
          <w:numId w:val="20"/>
        </w:numPr>
      </w:pPr>
      <w:r w:rsidRPr="00096070">
        <w:t xml:space="preserve">Timeline extension </w:t>
      </w:r>
      <w:r>
        <w:t xml:space="preserve">— </w:t>
      </w:r>
      <w:r w:rsidR="00A2153D">
        <w:t>Given the current state of play, a sensible and plausible scenario is to focus on current or alternative SDLAM projects to offset the full 605GL beyond the 30</w:t>
      </w:r>
      <w:r w:rsidR="00310931">
        <w:t> </w:t>
      </w:r>
      <w:r w:rsidR="00A2153D">
        <w:t xml:space="preserve">June 2024 deadline. </w:t>
      </w:r>
      <w:r w:rsidR="00A40E8F" w:rsidRPr="00A40E8F">
        <w:t>At least 62 GL must be recovered through efficiency measures in order to keep the total SDL adjustment within 5% of the SDL</w:t>
      </w:r>
      <w:r w:rsidR="00367EC1">
        <w:t>, and a recent review suggests up to 6</w:t>
      </w:r>
      <w:r w:rsidR="00310931">
        <w:t>2</w:t>
      </w:r>
      <w:r w:rsidR="00367EC1">
        <w:t xml:space="preserve"> GL could be recovered through the OFEP by 30 June 2024.</w:t>
      </w:r>
      <w:r w:rsidR="00A2153D">
        <w:t xml:space="preserve"> This </w:t>
      </w:r>
      <w:r w:rsidR="005A775B" w:rsidRPr="005A775B">
        <w:t>water recovery would have to meet the requirement for neutral or positive socio-economic outcomes</w:t>
      </w:r>
      <w:r w:rsidR="00A2153D">
        <w:t>.</w:t>
      </w:r>
    </w:p>
    <w:p w14:paraId="090A88C3" w14:textId="51472B3C" w:rsidR="00A2153D" w:rsidRDefault="00096070" w:rsidP="00597401">
      <w:pPr>
        <w:pStyle w:val="ListBullet1"/>
        <w:numPr>
          <w:ilvl w:val="0"/>
          <w:numId w:val="20"/>
        </w:numPr>
      </w:pPr>
      <w:r w:rsidRPr="00096070">
        <w:t>Buyback used to bridge the gap in 2024</w:t>
      </w:r>
      <w:r>
        <w:t xml:space="preserve"> — </w:t>
      </w:r>
      <w:r w:rsidR="00A2153D">
        <w:t xml:space="preserve">If it is not agreed to extend the 30 June 2024 timeline then the shortfall in meeting SDLAM offsets (meaning a shortfall in meeting the original ‘Bridging the Gap’ </w:t>
      </w:r>
      <w:r w:rsidR="00767EBF">
        <w:t>requirement</w:t>
      </w:r>
      <w:r w:rsidR="00A2153D">
        <w:t xml:space="preserve">), then buyback </w:t>
      </w:r>
      <w:r w:rsidR="004C30EA">
        <w:t>will</w:t>
      </w:r>
      <w:r w:rsidR="00A2153D">
        <w:t xml:space="preserve"> be used. The current expected shortfall at 30 June 2024 is </w:t>
      </w:r>
      <w:r w:rsidR="00367EC1">
        <w:t xml:space="preserve">at least </w:t>
      </w:r>
      <w:r w:rsidR="00A2153D">
        <w:t>160GL</w:t>
      </w:r>
      <w:r w:rsidR="00367EC1">
        <w:t xml:space="preserve"> and</w:t>
      </w:r>
      <w:r w:rsidR="009973EC">
        <w:t>, as described above,</w:t>
      </w:r>
      <w:r w:rsidR="00367EC1">
        <w:t xml:space="preserve"> could be as </w:t>
      </w:r>
      <w:r w:rsidR="009973EC">
        <w:t>large a</w:t>
      </w:r>
      <w:r w:rsidR="00D840D8">
        <w:t>s</w:t>
      </w:r>
      <w:r w:rsidR="009973EC">
        <w:t xml:space="preserve"> 372.3GL</w:t>
      </w:r>
      <w:r w:rsidR="00A2153D">
        <w:t xml:space="preserve">. If this </w:t>
      </w:r>
      <w:r w:rsidR="003B3B5E">
        <w:t>shortfall is addressed through buy</w:t>
      </w:r>
      <w:r w:rsidR="00A2153D">
        <w:t xml:space="preserve"> back </w:t>
      </w:r>
      <w:r w:rsidR="003B3B5E">
        <w:t xml:space="preserve">of entitlements </w:t>
      </w:r>
      <w:r w:rsidR="00A2153D">
        <w:t xml:space="preserve">in line with the current CEWH portfolio, then it would require </w:t>
      </w:r>
      <w:r w:rsidR="003B3B5E">
        <w:t xml:space="preserve">buyback of </w:t>
      </w:r>
      <w:r w:rsidR="00A2153D">
        <w:t>89</w:t>
      </w:r>
      <w:r w:rsidR="009973EC">
        <w:t>–208</w:t>
      </w:r>
      <w:r w:rsidR="00A2153D">
        <w:t>GL of high reliability entitlement</w:t>
      </w:r>
      <w:r w:rsidR="003B3B5E">
        <w:t>. This</w:t>
      </w:r>
      <w:r w:rsidR="00A2153D">
        <w:t xml:space="preserve"> would result in </w:t>
      </w:r>
      <w:r w:rsidR="003B3B5E">
        <w:t xml:space="preserve">significant </w:t>
      </w:r>
      <w:r w:rsidR="00A2153D">
        <w:t>socio-economic impacts due to reduced agricultural production</w:t>
      </w:r>
      <w:r w:rsidR="00372497">
        <w:t xml:space="preserve"> and associated flow-on effects</w:t>
      </w:r>
      <w:r w:rsidR="00A2153D">
        <w:t>.</w:t>
      </w:r>
    </w:p>
    <w:p w14:paraId="742D67B8" w14:textId="3B17A8C8" w:rsidR="00A2153D" w:rsidRDefault="00096070" w:rsidP="00597401">
      <w:pPr>
        <w:pStyle w:val="ListBullet1"/>
        <w:numPr>
          <w:ilvl w:val="0"/>
          <w:numId w:val="20"/>
        </w:numPr>
      </w:pPr>
      <w:r w:rsidRPr="00096070">
        <w:t xml:space="preserve">Buyback used to bridge the gap and 450GL </w:t>
      </w:r>
      <w:r>
        <w:t>— I</w:t>
      </w:r>
      <w:r w:rsidR="00A2153D">
        <w:t xml:space="preserve">f larger volumes of water recovery are deemed necessary to address SDLAM shortfalls and to fully achieve the additional 450GL </w:t>
      </w:r>
      <w:r w:rsidR="003B3B5E">
        <w:t xml:space="preserve">water recovery </w:t>
      </w:r>
      <w:r w:rsidR="00A2153D">
        <w:t xml:space="preserve">(outside the socio-economic neutrality requirements), then </w:t>
      </w:r>
      <w:r w:rsidR="00244482">
        <w:t xml:space="preserve">legislative change would be required and </w:t>
      </w:r>
      <w:r w:rsidR="00A2153D">
        <w:t xml:space="preserve">significant social and economic impacts </w:t>
      </w:r>
      <w:r w:rsidR="00504AFE">
        <w:t>ar</w:t>
      </w:r>
      <w:r w:rsidR="00A2153D">
        <w:t xml:space="preserve">e expected. The larger the </w:t>
      </w:r>
      <w:r w:rsidR="003B3B5E">
        <w:t xml:space="preserve">volume of </w:t>
      </w:r>
      <w:r w:rsidR="00A2153D">
        <w:t>water recovery</w:t>
      </w:r>
      <w:r w:rsidR="003B3B5E">
        <w:t xml:space="preserve"> through this approach</w:t>
      </w:r>
      <w:r w:rsidR="00A2153D">
        <w:t xml:space="preserve">, the larger the </w:t>
      </w:r>
      <w:r w:rsidR="003B3B5E">
        <w:t xml:space="preserve">socio-economic </w:t>
      </w:r>
      <w:r w:rsidR="00A2153D">
        <w:t>impacts. Reducing the consumptive pool by a further 584</w:t>
      </w:r>
      <w:r w:rsidR="00504AFE">
        <w:t>–750 </w:t>
      </w:r>
      <w:r w:rsidR="00A2153D">
        <w:t>GL would profoundly alter the mix of irrigation businesses in the Basin. Such a buyback would require 326</w:t>
      </w:r>
      <w:r w:rsidR="00504AFE">
        <w:t>-418</w:t>
      </w:r>
      <w:r w:rsidR="00A2153D">
        <w:t>GL of high reliability entitlement to be in line with the CEWH portfolio and would result in an extra 13,</w:t>
      </w:r>
      <w:r w:rsidR="00504AFE">
        <w:t>6</w:t>
      </w:r>
      <w:r w:rsidR="00A2153D">
        <w:t>00</w:t>
      </w:r>
      <w:r w:rsidR="00504AFE">
        <w:t>-17,400</w:t>
      </w:r>
      <w:r w:rsidR="00A2153D">
        <w:t xml:space="preserve"> hectares of high-value horticulture being dried off in a repeat of the Millennium Drought. This is equivalent to more than the combined total of 12,640 hectares of irrigated </w:t>
      </w:r>
      <w:r w:rsidR="00912C84" w:rsidRPr="00912C84">
        <w:t xml:space="preserve">perennial horticultural </w:t>
      </w:r>
      <w:r w:rsidR="00A2153D">
        <w:t xml:space="preserve">plantings in the First Mildura, Merbein, Nyah, Red Cliffs, and Robinvale Irrigation Districts in 2021. </w:t>
      </w:r>
    </w:p>
    <w:bookmarkEnd w:id="9"/>
    <w:p w14:paraId="1CFD0B14" w14:textId="77777777" w:rsidR="00A2153D" w:rsidRDefault="00A2153D" w:rsidP="00A2153D">
      <w:pPr>
        <w:pStyle w:val="BodyText"/>
      </w:pPr>
    </w:p>
    <w:p w14:paraId="329EC2D3" w14:textId="69A0139B" w:rsidR="00A2153D" w:rsidRDefault="00A2153D" w:rsidP="004F77F0">
      <w:pPr>
        <w:pStyle w:val="Heading1numbered"/>
      </w:pPr>
      <w:bookmarkStart w:id="10" w:name="_Toc110262369"/>
      <w:bookmarkStart w:id="11" w:name="_Toc113621640"/>
      <w:r>
        <w:lastRenderedPageBreak/>
        <w:t>Introduction</w:t>
      </w:r>
      <w:bookmarkEnd w:id="10"/>
      <w:bookmarkEnd w:id="11"/>
    </w:p>
    <w:p w14:paraId="0FA4FA36" w14:textId="77777777" w:rsidR="00A2153D" w:rsidRDefault="00A2153D" w:rsidP="00A2153D">
      <w:pPr>
        <w:pStyle w:val="BodyText"/>
      </w:pPr>
      <w:r>
        <w:t>The past twenty years in the Murray-Darling Basin have been characterised by substantial policy reforms, large and rapid changes to irrigation water availability, and transformations in irrigation industries. Each of these changes have had flow-on socio-economic implications for the people that live in, or depend on, the Basin.</w:t>
      </w:r>
    </w:p>
    <w:p w14:paraId="471FB020" w14:textId="0442748C" w:rsidR="00A2153D" w:rsidRDefault="00A2153D" w:rsidP="00A2153D">
      <w:pPr>
        <w:pStyle w:val="BodyText"/>
      </w:pPr>
      <w:r>
        <w:t>In 2017, recognising the need for a comprehensive understand</w:t>
      </w:r>
      <w:r w:rsidR="005A7AA7">
        <w:t>ing</w:t>
      </w:r>
      <w:r>
        <w:t xml:space="preserve"> of </w:t>
      </w:r>
      <w:r w:rsidR="005A7AA7">
        <w:t xml:space="preserve">the </w:t>
      </w:r>
      <w:r>
        <w:t>socio-economic impacts of the Basin Plan, the Victorian Government commissioned Frontier Economics and Tim Cummins &amp; Associates to analyse the Socio-Economic Impacts of the Basin Plan in Victoria. That report, and other analys</w:t>
      </w:r>
      <w:r w:rsidR="005A7AA7">
        <w:t>e</w:t>
      </w:r>
      <w:r>
        <w:t>s by state and Federal agencies, has informed Victoria’s policies on water recovery and Basin Plan implementation.</w:t>
      </w:r>
    </w:p>
    <w:p w14:paraId="25B4928B" w14:textId="1F2849E7" w:rsidR="00A2153D" w:rsidRDefault="00A2153D" w:rsidP="00A2153D">
      <w:pPr>
        <w:pStyle w:val="BodyText"/>
      </w:pPr>
      <w:r>
        <w:t xml:space="preserve">This report </w:t>
      </w:r>
      <w:r w:rsidR="005A7AA7">
        <w:t xml:space="preserve">updates </w:t>
      </w:r>
      <w:r>
        <w:t xml:space="preserve">the analysis </w:t>
      </w:r>
      <w:r w:rsidR="005A7AA7">
        <w:t xml:space="preserve">undertaken </w:t>
      </w:r>
      <w:r>
        <w:t xml:space="preserve">in 2017 to consider change </w:t>
      </w:r>
      <w:r w:rsidR="00A705FF">
        <w:t xml:space="preserve">observed in the five years </w:t>
      </w:r>
      <w:r>
        <w:t>since</w:t>
      </w:r>
      <w:r w:rsidR="00A705FF">
        <w:t xml:space="preserve"> that time</w:t>
      </w:r>
      <w:r>
        <w:t xml:space="preserve"> </w:t>
      </w:r>
      <w:r w:rsidR="00A705FF">
        <w:t xml:space="preserve">and </w:t>
      </w:r>
      <w:r w:rsidR="00A705FF" w:rsidRPr="00A705FF">
        <w:t>identify potential policy implication</w:t>
      </w:r>
      <w:r w:rsidR="005B7A36">
        <w:t>s</w:t>
      </w:r>
      <w:r>
        <w:t>.</w:t>
      </w:r>
    </w:p>
    <w:p w14:paraId="1B66ACF3" w14:textId="77777777" w:rsidR="00A2153D" w:rsidRDefault="00A2153D" w:rsidP="004F77F0">
      <w:pPr>
        <w:pStyle w:val="Heading2numbered"/>
      </w:pPr>
      <w:bookmarkStart w:id="12" w:name="_Toc107997214"/>
      <w:bookmarkStart w:id="13" w:name="_Toc110262370"/>
      <w:bookmarkStart w:id="14" w:name="_Toc113621641"/>
      <w:r>
        <w:t>Background and context</w:t>
      </w:r>
      <w:bookmarkEnd w:id="12"/>
      <w:bookmarkEnd w:id="13"/>
      <w:bookmarkEnd w:id="14"/>
    </w:p>
    <w:p w14:paraId="4D05A092" w14:textId="2028F0CE" w:rsidR="00A2153D" w:rsidRDefault="00A2153D" w:rsidP="00A2153D">
      <w:pPr>
        <w:pStyle w:val="BodyText"/>
      </w:pPr>
      <w:r>
        <w:t xml:space="preserve">The Murray-Darling Basin Plan aims to improve the health of rivers, floodplains, and wetlands throughout the Basin. It does this by setting limits (known as Sustainable Diversion Limits </w:t>
      </w:r>
      <w:r w:rsidR="00651EAE">
        <w:t xml:space="preserve">— </w:t>
      </w:r>
      <w:r>
        <w:t xml:space="preserve">SDLs) on the amount of water that can be taken from each of the water resource systems within the Basin for irrigation, drinking water, industry, or other purposes. It also includes processes for setting the rules for how water is used at a local or catchment level, including limits on how much water can be taken from the system, how much water will be made available to the environment, and how water quality standards can be met. </w:t>
      </w:r>
    </w:p>
    <w:p w14:paraId="6BEDE704" w14:textId="1AEE88BC" w:rsidR="00A2153D" w:rsidRDefault="00A2153D" w:rsidP="00A2153D">
      <w:pPr>
        <w:pStyle w:val="BodyText"/>
      </w:pPr>
      <w:r>
        <w:t xml:space="preserve">Under the Basin Plan, the relevant Governments agreed that 2,750 GL of water would be recovered for the environment by 30 June 2024 — the ‘Bridging the Gap’ water recovery </w:t>
      </w:r>
      <w:r w:rsidR="00F8320C">
        <w:t>requirement</w:t>
      </w:r>
      <w:r>
        <w:t xml:space="preserve">. This water was to be recovered mostly from buying water </w:t>
      </w:r>
      <w:r w:rsidR="00F8320C">
        <w:t xml:space="preserve">entitlements </w:t>
      </w:r>
      <w:r>
        <w:t>from farmers, by enabling water efficiency projects, or by investing in projects that deliver the same environmental outcomes using less water. Beyond the ‘Bridging the Gap’ water recovery, the Basin Plan allows for enhanced environmental outcomes from the recovery of an additional 450</w:t>
      </w:r>
      <w:r w:rsidR="00A7426E">
        <w:t> </w:t>
      </w:r>
      <w:r>
        <w:t xml:space="preserve">GL per year of environmental water </w:t>
      </w:r>
      <w:r w:rsidR="00A7426E">
        <w:t xml:space="preserve">through </w:t>
      </w:r>
      <w:r>
        <w:t xml:space="preserve">efficiency measures. </w:t>
      </w:r>
      <w:r w:rsidR="00AF6000" w:rsidRPr="00AF6000">
        <w:t xml:space="preserve">The Basin Plan requires </w:t>
      </w:r>
      <w:r w:rsidR="00AF6000">
        <w:t>e</w:t>
      </w:r>
      <w:r>
        <w:t xml:space="preserve">fficiency </w:t>
      </w:r>
      <w:r w:rsidR="00AF6000">
        <w:t>m</w:t>
      </w:r>
      <w:r>
        <w:t xml:space="preserve">easures projects are required to have neutral or positive socio-economic impacts and, in 2018, the </w:t>
      </w:r>
      <w:r w:rsidR="00D97A50" w:rsidRPr="00D97A50">
        <w:t xml:space="preserve">Murray-Darling Basin </w:t>
      </w:r>
      <w:r>
        <w:t xml:space="preserve">Ministerial Council agreed to </w:t>
      </w:r>
      <w:r w:rsidR="00D97A50">
        <w:t xml:space="preserve">adopt </w:t>
      </w:r>
      <w:r>
        <w:t xml:space="preserve">the socio-economic criteria for assessing </w:t>
      </w:r>
      <w:r w:rsidR="009427D3" w:rsidRPr="009427D3">
        <w:t xml:space="preserve">the socio-economic outcomes of </w:t>
      </w:r>
      <w:r>
        <w:t>these projects.</w:t>
      </w:r>
    </w:p>
    <w:p w14:paraId="20C46676" w14:textId="77777777" w:rsidR="00A2153D" w:rsidRDefault="00A2153D" w:rsidP="00A2153D">
      <w:pPr>
        <w:pStyle w:val="BodyText"/>
      </w:pPr>
      <w:r>
        <w:t>In 2017, the Victorian Government commissioned Frontier Economics and Tim Cummins &amp; Associates to assist its understanding of the socio-economic impacts of the Basin Plan in Victoria. It is timely to update the 2017 assessment of social and economic impacts of the Basin Plan on Victoria, given that there have been many significant developments in the past 5 years.</w:t>
      </w:r>
    </w:p>
    <w:p w14:paraId="299B86D3" w14:textId="77777777" w:rsidR="00A2153D" w:rsidRDefault="00A2153D" w:rsidP="00A2153D">
      <w:pPr>
        <w:pStyle w:val="BodyText"/>
      </w:pPr>
      <w:r>
        <w:t>These developments include:</w:t>
      </w:r>
    </w:p>
    <w:p w14:paraId="4E900AD8" w14:textId="77777777" w:rsidR="00A2153D" w:rsidRDefault="00A2153D" w:rsidP="00597401">
      <w:pPr>
        <w:pStyle w:val="ParaBullet1"/>
        <w:numPr>
          <w:ilvl w:val="0"/>
          <w:numId w:val="14"/>
        </w:numPr>
      </w:pPr>
      <w:r>
        <w:t>The first dry sequence after water buybacks were completed — the initial assessment of social and economic impacts of water recovery found that some of the anticipated impacts had not yet occurred and were being masked by high water availability. It suggested that the full impacts of water recovery would be realised after the next dry sequence — which occurred in 2018-19 and 2019-20.</w:t>
      </w:r>
    </w:p>
    <w:p w14:paraId="06FCD12C" w14:textId="77777777" w:rsidR="00A2153D" w:rsidRDefault="00A2153D" w:rsidP="00597401">
      <w:pPr>
        <w:pStyle w:val="ParaBullet1"/>
        <w:numPr>
          <w:ilvl w:val="0"/>
          <w:numId w:val="14"/>
        </w:numPr>
      </w:pPr>
      <w:r>
        <w:lastRenderedPageBreak/>
        <w:t>Further water recovery — since the initial assessment, some large water recovery efforts have been completed and fully documented, additional water recovery projects have been implemented, and changes to water recovery initiatives (to move away from on-farm projects and focus on off-farm projects) have been made.</w:t>
      </w:r>
    </w:p>
    <w:p w14:paraId="2BF12A26" w14:textId="77777777" w:rsidR="00A2153D" w:rsidRDefault="00A2153D" w:rsidP="00597401">
      <w:pPr>
        <w:pStyle w:val="ParaBullet1"/>
        <w:numPr>
          <w:ilvl w:val="0"/>
          <w:numId w:val="14"/>
        </w:numPr>
      </w:pPr>
      <w:r>
        <w:t>Several environmental offset projects have been completed — applying water to these sites has improved knowledge about the efficiency of environmental water use and the benefits of environmental watering.</w:t>
      </w:r>
    </w:p>
    <w:p w14:paraId="5DEAD13D" w14:textId="77777777" w:rsidR="00A2153D" w:rsidRDefault="00A2153D" w:rsidP="00597401">
      <w:pPr>
        <w:pStyle w:val="ParaBullet1"/>
        <w:numPr>
          <w:ilvl w:val="0"/>
          <w:numId w:val="14"/>
        </w:numPr>
      </w:pPr>
      <w:r>
        <w:t xml:space="preserve">Further socio-economic impact reviews have added to the knowledge base about the impacts of the Basin Plan in Victoria. </w:t>
      </w:r>
    </w:p>
    <w:p w14:paraId="4151AF2D" w14:textId="77777777" w:rsidR="00A2153D" w:rsidRDefault="00A2153D" w:rsidP="00FA78A0">
      <w:pPr>
        <w:pStyle w:val="Heading2numbered"/>
      </w:pPr>
      <w:bookmarkStart w:id="15" w:name="_Toc110262371"/>
      <w:bookmarkStart w:id="16" w:name="_Toc113621642"/>
      <w:bookmarkStart w:id="17" w:name="_Toc107997215"/>
      <w:r>
        <w:t>Purpose and structure of this report</w:t>
      </w:r>
      <w:bookmarkEnd w:id="15"/>
      <w:bookmarkEnd w:id="16"/>
    </w:p>
    <w:p w14:paraId="75BA318D" w14:textId="77777777" w:rsidR="00A2153D" w:rsidRDefault="00A2153D" w:rsidP="00A2153D">
      <w:pPr>
        <w:pStyle w:val="BodyText"/>
      </w:pPr>
      <w:r>
        <w:t xml:space="preserve">This report builds on and updates the analysis undertaken for the 2017 socio-economic assessment report. It explains the impacts being felt by communities in Northern Victoria in the current context of water recovery for the environment under the Basin Plan, and it examines the potential impacts of further water recovery. </w:t>
      </w:r>
    </w:p>
    <w:p w14:paraId="030BF71F" w14:textId="77777777" w:rsidR="00A2153D" w:rsidRDefault="00A2153D" w:rsidP="00A2153D">
      <w:pPr>
        <w:pStyle w:val="BodyText"/>
      </w:pPr>
      <w:r>
        <w:t>The experience and new information gained over the past five years enables a more robust and nuanced understanding of past (and potential future) social and economic impacts of the Basin Plan.</w:t>
      </w:r>
    </w:p>
    <w:p w14:paraId="7D140E57" w14:textId="77777777" w:rsidR="00A2153D" w:rsidRDefault="00A2153D" w:rsidP="00A2153D">
      <w:pPr>
        <w:pStyle w:val="BodyText"/>
      </w:pPr>
      <w:r>
        <w:t>The remainder of this report is structure as follows:</w:t>
      </w:r>
    </w:p>
    <w:p w14:paraId="057714A6" w14:textId="77777777" w:rsidR="00A2153D" w:rsidRDefault="00A2153D" w:rsidP="00597401">
      <w:pPr>
        <w:pStyle w:val="ParaBullet1"/>
        <w:numPr>
          <w:ilvl w:val="0"/>
          <w:numId w:val="14"/>
        </w:numPr>
      </w:pPr>
      <w:r>
        <w:t>Chapter 2: An overview of key changes since 2017</w:t>
      </w:r>
    </w:p>
    <w:p w14:paraId="445FE438" w14:textId="77777777" w:rsidR="00A2153D" w:rsidRDefault="00A2153D" w:rsidP="00597401">
      <w:pPr>
        <w:pStyle w:val="ParaBullet1"/>
        <w:numPr>
          <w:ilvl w:val="0"/>
          <w:numId w:val="14"/>
        </w:numPr>
      </w:pPr>
      <w:r>
        <w:t>Chapter 3: A review of other socio-economic assessments of the Basin Plan since 2017</w:t>
      </w:r>
    </w:p>
    <w:p w14:paraId="2DC30FDD" w14:textId="77777777" w:rsidR="00A2153D" w:rsidRDefault="00A2153D" w:rsidP="00597401">
      <w:pPr>
        <w:pStyle w:val="ParaBullet1"/>
        <w:numPr>
          <w:ilvl w:val="0"/>
          <w:numId w:val="14"/>
        </w:numPr>
      </w:pPr>
      <w:r>
        <w:t>Chapter 4: An overview of irrigation in the southern-connected Murray–Darling Basin</w:t>
      </w:r>
    </w:p>
    <w:p w14:paraId="2F444AC2" w14:textId="2F78FE51" w:rsidR="00A2153D" w:rsidRDefault="00A2153D" w:rsidP="00597401">
      <w:pPr>
        <w:pStyle w:val="ParaBullet1"/>
        <w:numPr>
          <w:ilvl w:val="0"/>
          <w:numId w:val="14"/>
        </w:numPr>
      </w:pPr>
      <w:r>
        <w:t xml:space="preserve">Chapter 5: An </w:t>
      </w:r>
      <w:r w:rsidR="00F8320C">
        <w:t xml:space="preserve">overview of the water recovery programs </w:t>
      </w:r>
      <w:r>
        <w:t>so far under the Basin Plan</w:t>
      </w:r>
      <w:r w:rsidR="00F8320C">
        <w:t xml:space="preserve"> and their impact on water allocations</w:t>
      </w:r>
    </w:p>
    <w:p w14:paraId="69F4B42A" w14:textId="425FFD60" w:rsidR="00A2153D" w:rsidRDefault="00A2153D" w:rsidP="00597401">
      <w:pPr>
        <w:pStyle w:val="ParaBullet1"/>
        <w:numPr>
          <w:ilvl w:val="0"/>
          <w:numId w:val="14"/>
        </w:numPr>
      </w:pPr>
      <w:r>
        <w:t xml:space="preserve">Chapter 6: </w:t>
      </w:r>
      <w:r w:rsidR="009C72AE">
        <w:t>An analysis of the impacts of water recovery on water</w:t>
      </w:r>
      <w:r>
        <w:t xml:space="preserve"> use in Victoria </w:t>
      </w:r>
    </w:p>
    <w:p w14:paraId="6BB0983B" w14:textId="77777777" w:rsidR="00A2153D" w:rsidRDefault="00A2153D" w:rsidP="00597401">
      <w:pPr>
        <w:pStyle w:val="ParaBullet1"/>
        <w:numPr>
          <w:ilvl w:val="0"/>
          <w:numId w:val="14"/>
        </w:numPr>
      </w:pPr>
      <w:r>
        <w:t>Chapter 7: The impacts of the Basin Plan on horticultural industries</w:t>
      </w:r>
    </w:p>
    <w:p w14:paraId="70CCFBA1" w14:textId="77777777" w:rsidR="00A2153D" w:rsidRDefault="00A2153D" w:rsidP="00597401">
      <w:pPr>
        <w:pStyle w:val="ParaBullet1"/>
        <w:numPr>
          <w:ilvl w:val="0"/>
          <w:numId w:val="14"/>
        </w:numPr>
      </w:pPr>
      <w:r>
        <w:t>Chapter 8: The impacts of the Basin Plan on the dairy industry</w:t>
      </w:r>
    </w:p>
    <w:p w14:paraId="02DE346C" w14:textId="2DAF41D7" w:rsidR="00A2153D" w:rsidRDefault="00A2153D" w:rsidP="00597401">
      <w:pPr>
        <w:pStyle w:val="ParaBullet1"/>
        <w:numPr>
          <w:ilvl w:val="0"/>
          <w:numId w:val="14"/>
        </w:numPr>
      </w:pPr>
      <w:r>
        <w:t xml:space="preserve">Chapter 9: Impacts </w:t>
      </w:r>
      <w:r w:rsidR="00377102">
        <w:t xml:space="preserve">of the Basin Plan </w:t>
      </w:r>
      <w:r>
        <w:t xml:space="preserve">in NSW and SA </w:t>
      </w:r>
      <w:r w:rsidR="00651EAE">
        <w:t xml:space="preserve">— </w:t>
      </w:r>
      <w:r>
        <w:t>and their implications for Victoria</w:t>
      </w:r>
    </w:p>
    <w:p w14:paraId="218DBA20" w14:textId="77777777" w:rsidR="00A2153D" w:rsidRDefault="00A2153D" w:rsidP="00597401">
      <w:pPr>
        <w:pStyle w:val="ParaBullet1"/>
        <w:numPr>
          <w:ilvl w:val="0"/>
          <w:numId w:val="14"/>
        </w:numPr>
      </w:pPr>
      <w:r>
        <w:t>Chapter 10: The environmental outcomes and benefits of the Basin Plan</w:t>
      </w:r>
    </w:p>
    <w:p w14:paraId="552A1B84" w14:textId="77777777" w:rsidR="00A2153D" w:rsidRDefault="00A2153D" w:rsidP="00597401">
      <w:pPr>
        <w:pStyle w:val="ParaBullet1"/>
        <w:numPr>
          <w:ilvl w:val="0"/>
          <w:numId w:val="14"/>
        </w:numPr>
      </w:pPr>
      <w:r>
        <w:t>Chapter 11: The socio-economic impacts of the Basin Plan in Victoria</w:t>
      </w:r>
    </w:p>
    <w:p w14:paraId="4B6E8925" w14:textId="77777777" w:rsidR="00A2153D" w:rsidRDefault="00A2153D" w:rsidP="00597401">
      <w:pPr>
        <w:pStyle w:val="ParaBullet1"/>
        <w:numPr>
          <w:ilvl w:val="0"/>
          <w:numId w:val="14"/>
        </w:numPr>
      </w:pPr>
      <w:r>
        <w:t>Chapter 12: The impacts of the Basin Plan into the future — including the impact of a 450GL buyback and of future SDL scenarios.</w:t>
      </w:r>
    </w:p>
    <w:p w14:paraId="6A902362" w14:textId="77777777" w:rsidR="00A2153D" w:rsidRDefault="00A2153D" w:rsidP="00597401">
      <w:pPr>
        <w:pStyle w:val="ParaBullet1"/>
        <w:numPr>
          <w:ilvl w:val="0"/>
          <w:numId w:val="14"/>
        </w:numPr>
      </w:pPr>
      <w:r>
        <w:t>Chapter 13: Conclusions.</w:t>
      </w:r>
    </w:p>
    <w:p w14:paraId="36AA69BA" w14:textId="77777777" w:rsidR="00A2153D" w:rsidRDefault="00A2153D" w:rsidP="00A2153D">
      <w:pPr>
        <w:pStyle w:val="BodyText"/>
      </w:pPr>
    </w:p>
    <w:p w14:paraId="42A6D977" w14:textId="77777777" w:rsidR="00A2153D" w:rsidRDefault="00A2153D" w:rsidP="00FA78A0">
      <w:pPr>
        <w:pStyle w:val="Heading1numbered"/>
      </w:pPr>
      <w:bookmarkStart w:id="18" w:name="_Toc110262372"/>
      <w:bookmarkStart w:id="19" w:name="_Toc113621643"/>
      <w:r>
        <w:lastRenderedPageBreak/>
        <w:t>An overview of the key changes since 2017</w:t>
      </w:r>
      <w:bookmarkEnd w:id="17"/>
      <w:bookmarkEnd w:id="18"/>
      <w:bookmarkEnd w:id="19"/>
    </w:p>
    <w:p w14:paraId="15F17C5B" w14:textId="77777777" w:rsidR="00A2153D" w:rsidRDefault="00A2153D" w:rsidP="00A2153D">
      <w:pPr>
        <w:pStyle w:val="BodyText"/>
      </w:pPr>
      <w:r>
        <w:t>There have been many key developments since the last socio-economic assessment was conducted in 2017. Just as importantly, several impacts of the Basin Plan have been constant features for Basin communities in the intervening period. Several of these are briefly described here before being explored in more detail in the rest of the report.</w:t>
      </w:r>
    </w:p>
    <w:p w14:paraId="6C3C6587" w14:textId="200391B5" w:rsidR="00A2153D" w:rsidRDefault="00A2153D" w:rsidP="00CD7568">
      <w:pPr>
        <w:pStyle w:val="ListBullet1"/>
      </w:pPr>
      <w:r>
        <w:t xml:space="preserve">Amendments to </w:t>
      </w:r>
      <w:r w:rsidR="001E12CF">
        <w:t xml:space="preserve">the </w:t>
      </w:r>
      <w:r>
        <w:t xml:space="preserve">Basin Plan were made in 2018 which reduced the ‘Bridging the Gap’ water recovery target based on </w:t>
      </w:r>
      <w:r w:rsidR="001E12CF">
        <w:t xml:space="preserve">the </w:t>
      </w:r>
      <w:r>
        <w:t>Northern Basin Review’s findings</w:t>
      </w:r>
      <w:r w:rsidR="006935B4">
        <w:rPr>
          <w:rStyle w:val="FootnoteReference"/>
        </w:rPr>
        <w:footnoteReference w:id="2"/>
      </w:r>
      <w:r>
        <w:t xml:space="preserve"> and consideration of Sustainable Diversion Limit Adjustment Mechanism (SDLAM) projects. These reduced the </w:t>
      </w:r>
      <w:r w:rsidR="001E12CF">
        <w:t xml:space="preserve">water recovery </w:t>
      </w:r>
      <w:r>
        <w:t xml:space="preserve">target from 2,750 </w:t>
      </w:r>
      <w:r w:rsidR="001E12CF">
        <w:t xml:space="preserve">GL </w:t>
      </w:r>
      <w:r>
        <w:t>to 2,075 GL (long</w:t>
      </w:r>
      <w:r w:rsidR="001E12CF">
        <w:t>-</w:t>
      </w:r>
      <w:r>
        <w:t xml:space="preserve">term average annual use) as presented in </w:t>
      </w:r>
      <w:r>
        <w:fldChar w:fldCharType="begin"/>
      </w:r>
      <w:r>
        <w:instrText xml:space="preserve"> REF _Ref108099926 \h </w:instrText>
      </w:r>
      <w:r>
        <w:fldChar w:fldCharType="separate"/>
      </w:r>
      <w:r w:rsidR="00D4298A">
        <w:rPr>
          <w:rStyle w:val="Bold"/>
        </w:rPr>
        <w:t xml:space="preserve">Figure </w:t>
      </w:r>
      <w:r w:rsidR="00D4298A">
        <w:rPr>
          <w:rStyle w:val="Bold"/>
          <w:noProof/>
        </w:rPr>
        <w:t>1</w:t>
      </w:r>
      <w:r>
        <w:fldChar w:fldCharType="end"/>
      </w:r>
      <w:r>
        <w:t>.</w:t>
      </w:r>
    </w:p>
    <w:p w14:paraId="640FEE44" w14:textId="0EED6A5E" w:rsidR="00A2153D" w:rsidRDefault="00A2153D" w:rsidP="00A2153D">
      <w:pPr>
        <w:pStyle w:val="Caption"/>
      </w:pPr>
      <w:bookmarkStart w:id="20" w:name="_Ref108099926"/>
      <w:bookmarkStart w:id="21" w:name="_Toc110262430"/>
      <w:bookmarkStart w:id="22" w:name="_Toc113621713"/>
      <w:r>
        <w:rPr>
          <w:rStyle w:val="Bold"/>
        </w:rPr>
        <w:t xml:space="preserve">Figure </w:t>
      </w:r>
      <w:r>
        <w:fldChar w:fldCharType="begin"/>
      </w:r>
      <w:r>
        <w:rPr>
          <w:rStyle w:val="Bold"/>
        </w:rPr>
        <w:instrText xml:space="preserve"> SEQ Figure \* ARABIC </w:instrText>
      </w:r>
      <w:r>
        <w:fldChar w:fldCharType="separate"/>
      </w:r>
      <w:r w:rsidR="00D4298A">
        <w:rPr>
          <w:rStyle w:val="Bold"/>
          <w:noProof/>
        </w:rPr>
        <w:t>1</w:t>
      </w:r>
      <w:r>
        <w:fldChar w:fldCharType="end"/>
      </w:r>
      <w:bookmarkEnd w:id="20"/>
      <w:r>
        <w:t xml:space="preserve">: Changes to the </w:t>
      </w:r>
      <w:r>
        <w:rPr>
          <w:rFonts w:cs="Open Sans"/>
          <w:color w:val="000000"/>
          <w:shd w:val="clear" w:color="auto" w:fill="FFFFFF"/>
        </w:rPr>
        <w:t>‘Bridging the Gap’ water recovery target</w:t>
      </w:r>
      <w:bookmarkEnd w:id="21"/>
      <w:bookmarkEnd w:id="22"/>
    </w:p>
    <w:p w14:paraId="52349B37" w14:textId="43CAEF6B" w:rsidR="00A2153D" w:rsidRDefault="00A2153D" w:rsidP="00A2153D">
      <w:pPr>
        <w:pStyle w:val="Image-Page1fullwidth"/>
        <w:keepNext/>
        <w:framePr w:w="0" w:hSpace="0" w:wrap="auto" w:vAnchor="margin" w:yAlign="inline"/>
        <w:spacing w:after="0" w:line="240" w:lineRule="auto"/>
      </w:pPr>
      <w:r>
        <w:drawing>
          <wp:inline distT="0" distB="0" distL="0" distR="0" wp14:anchorId="142A0EF0" wp14:editId="45EA2CF1">
            <wp:extent cx="5534025" cy="2495550"/>
            <wp:effectExtent l="0" t="0" r="9525" b="0"/>
            <wp:docPr id="246" name="Picture 246" descr="Chart,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Chart, timelin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34025" cy="2495550"/>
                    </a:xfrm>
                    <a:prstGeom prst="rect">
                      <a:avLst/>
                    </a:prstGeom>
                    <a:noFill/>
                    <a:ln>
                      <a:noFill/>
                    </a:ln>
                  </pic:spPr>
                </pic:pic>
              </a:graphicData>
            </a:graphic>
          </wp:inline>
        </w:drawing>
      </w:r>
    </w:p>
    <w:p w14:paraId="47337821" w14:textId="77777777" w:rsidR="00A2153D" w:rsidRDefault="00A2153D" w:rsidP="00A2153D">
      <w:pPr>
        <w:pStyle w:val="Source"/>
        <w:rPr>
          <w:color w:val="9BA1A5"/>
        </w:rPr>
      </w:pPr>
      <w:r>
        <w:rPr>
          <w:color w:val="9BA1A5"/>
        </w:rPr>
        <w:t>Source: https://www.dcceew.gov.au/water/policy/mdb/water-recovery/how</w:t>
      </w:r>
    </w:p>
    <w:p w14:paraId="1C945A17" w14:textId="7F4E5D42" w:rsidR="00A2153D" w:rsidRDefault="00A2153D" w:rsidP="00CD7568">
      <w:pPr>
        <w:pStyle w:val="ListBullet1"/>
      </w:pPr>
      <w:r>
        <w:t>The Murray–Darling Basin Authority (MDBA) estimates that the surface water recovery in the Murray–Darling Basin is 2,106.4 GL (long</w:t>
      </w:r>
      <w:r w:rsidR="001E12CF">
        <w:t>-</w:t>
      </w:r>
      <w:r>
        <w:t xml:space="preserve">term average annual use, as at 31 March 2022). While the total amount of water recovered across the Basin is higher than the overall target of 2,075 GL, there are some SDL resource units with local and shared water recovery targets that have not yet been met, and others where water recovery has exceeded the target. </w:t>
      </w:r>
    </w:p>
    <w:p w14:paraId="0250DE81" w14:textId="7E54ACF8" w:rsidR="00A2153D" w:rsidRDefault="00A2153D" w:rsidP="00CD7568">
      <w:pPr>
        <w:pStyle w:val="ListBullet1"/>
      </w:pPr>
      <w:r>
        <w:t xml:space="preserve">The Productivity Commission </w:t>
      </w:r>
      <w:r w:rsidR="00141FCC">
        <w:t>(</w:t>
      </w:r>
      <w:r>
        <w:t>2018</w:t>
      </w:r>
      <w:r w:rsidR="00141FCC">
        <w:t>)</w:t>
      </w:r>
      <w:r>
        <w:t xml:space="preserve"> recommended governments set out a clear plan for addressing any of this over-recovery</w:t>
      </w:r>
      <w:r w:rsidR="0098652B">
        <w:t>.</w:t>
      </w:r>
      <w:r>
        <w:t xml:space="preserve"> It is also important to note however that the 605 GL target for SDLAM measures is an estimate, the total volume cannot be calculated until all possible projects are completed. The individual projects cannot be, and have not been, modelled in isolation.</w:t>
      </w:r>
    </w:p>
    <w:p w14:paraId="7374AC8A" w14:textId="4F36D19D" w:rsidR="00A2153D" w:rsidRDefault="00A2153D" w:rsidP="00CD7568">
      <w:pPr>
        <w:pStyle w:val="ListBullet1"/>
      </w:pPr>
      <w:r>
        <w:lastRenderedPageBreak/>
        <w:t>Victoria is delivering nine SDLAM projects, under the Victorian Murray Floodplain Restoration Project with a view to complet</w:t>
      </w:r>
      <w:r w:rsidR="0082176D">
        <w:t>ing</w:t>
      </w:r>
      <w:r>
        <w:t xml:space="preserve"> them by the </w:t>
      </w:r>
      <w:r w:rsidR="0082176D">
        <w:t xml:space="preserve">specified </w:t>
      </w:r>
      <w:r>
        <w:t>deadline of 30 June 2024. Collectively</w:t>
      </w:r>
      <w:r w:rsidR="005F337E" w:rsidRPr="005F337E">
        <w:t>, once completed,</w:t>
      </w:r>
      <w:r>
        <w:t xml:space="preserve"> these nine projects will deliver up to 72.5 </w:t>
      </w:r>
      <w:r w:rsidR="0082176D">
        <w:t xml:space="preserve">GL </w:t>
      </w:r>
      <w:r>
        <w:t xml:space="preserve">of the total 605 GL to be recovered through SDLAM projects. Victoria’s contributions to the six Living Murray (TLM) projects are also complete. The Goulburn constraints project will not be completed by the deadline of 30 June 2024, but progress is being made. With NSW, Victoria is also a co-proponent of the Hume to Yarrawonga constraints project, which </w:t>
      </w:r>
      <w:r w:rsidR="001D4288" w:rsidRPr="001D4288">
        <w:t>will also not be completed by the deadline</w:t>
      </w:r>
      <w:r>
        <w:t xml:space="preserve">. Victoria is also the proponent for four rules projects which are on track or </w:t>
      </w:r>
      <w:r w:rsidR="0082176D">
        <w:t>already completed</w:t>
      </w:r>
      <w:r>
        <w:t>.</w:t>
      </w:r>
    </w:p>
    <w:p w14:paraId="5E0C1462" w14:textId="051446E9" w:rsidR="00A2153D" w:rsidRDefault="00A2153D" w:rsidP="00CD7568">
      <w:pPr>
        <w:pStyle w:val="ListBullet1"/>
      </w:pPr>
      <w:r>
        <w:t xml:space="preserve">NSW progress on SDLAM projects is slower, and many of their projects are more complex. </w:t>
      </w:r>
      <w:r w:rsidR="00C542DA">
        <w:t xml:space="preserve">Indec (2020) identified that </w:t>
      </w:r>
      <w:r w:rsidR="00103A0C">
        <w:t>s</w:t>
      </w:r>
      <w:r>
        <w:t xml:space="preserve">ix projects are unlikely to be completed by the deadline of 30 June 2024. </w:t>
      </w:r>
    </w:p>
    <w:p w14:paraId="1076D3E3" w14:textId="49FA7506" w:rsidR="00A2153D" w:rsidRDefault="00A2153D" w:rsidP="00CD7568">
      <w:pPr>
        <w:pStyle w:val="ListBullet1"/>
      </w:pPr>
      <w:r>
        <w:t>A</w:t>
      </w:r>
      <w:r w:rsidR="00383907">
        <w:t>n estimated</w:t>
      </w:r>
      <w:r>
        <w:t xml:space="preserve"> total of around 160 GL out of the required supply contribution of 605 GL is attributable to projects that will not be completed by 30 June 2024.</w:t>
      </w:r>
    </w:p>
    <w:p w14:paraId="21E2116E" w14:textId="430450FB" w:rsidR="00FE6E2B" w:rsidRDefault="00FE6E2B" w:rsidP="00CD7568">
      <w:pPr>
        <w:pStyle w:val="ListBullet1"/>
      </w:pPr>
      <w:r>
        <w:t>The Basin Plan outlines that up to 450 GL of additional water recovery could be achieved for enhanced environmental outcomes via efficiency measures on the condition that there are neutral or positive socio-economic impacts from recovering this water. In 2018, the Murray-Darling Basin Ministerial Council agreed to additional socio-economic criteria for assessing efficiency measures projects</w:t>
      </w:r>
      <w:r>
        <w:rPr>
          <w:rStyle w:val="FootnoteReference"/>
        </w:rPr>
        <w:footnoteReference w:id="3"/>
      </w:r>
      <w:r>
        <w:t>.</w:t>
      </w:r>
    </w:p>
    <w:p w14:paraId="1EDC14D3" w14:textId="1B2DC8A0" w:rsidR="001B1D85" w:rsidRDefault="001B1D85" w:rsidP="001B1D85">
      <w:pPr>
        <w:pStyle w:val="ListBullet1"/>
      </w:pPr>
      <w:r>
        <w:t xml:space="preserve">In July 2019, the then Commonwealth Government launched the Water Efficiency Program to progress the recovery of the additional 450 GL of environmental water, in accordance with the additional socio-economic criteria. This program was closed in March 2021 in response to the findings of the </w:t>
      </w:r>
      <w:r w:rsidR="0084647A" w:rsidRPr="0084647A">
        <w:t xml:space="preserve">2020 </w:t>
      </w:r>
      <w:r w:rsidR="0084647A" w:rsidRPr="00301ACA">
        <w:rPr>
          <w:i/>
          <w:iCs/>
        </w:rPr>
        <w:t>Independent assessment of social and economic conditions in the Basin</w:t>
      </w:r>
      <w:r w:rsidR="0084647A" w:rsidRPr="0084647A">
        <w:t xml:space="preserve"> (Sefton Report)</w:t>
      </w:r>
      <w:r w:rsidR="00DE2992">
        <w:t xml:space="preserve"> (Sefton </w:t>
      </w:r>
      <w:r w:rsidR="00975100">
        <w:t xml:space="preserve">et al </w:t>
      </w:r>
      <w:r w:rsidR="00DE2992">
        <w:t>2020)</w:t>
      </w:r>
      <w:r>
        <w:t xml:space="preserve">, which included a finding that: “On-farm infrastructure programs have improved the productivity and viability of most participants but left non-participants at a competitive disadvantage”. </w:t>
      </w:r>
    </w:p>
    <w:p w14:paraId="7C179CF1" w14:textId="5369AF27" w:rsidR="001B1D85" w:rsidRDefault="001B1D85" w:rsidP="001B1D85">
      <w:pPr>
        <w:pStyle w:val="ListBullet1"/>
      </w:pPr>
      <w:r>
        <w:t xml:space="preserve">The Water Efficiency Program was replaced by the ‘Off-farm Efficiency Program’ (OFEP) which was designed to avoid impacts on the consumptive pool. However, while it made $1.33 billion available for state-led off-farm projects, as well as $150 million in direct grants, it also set aside $60 million for state-led on-farm projects where the agreed socio-economic criteria were met </w:t>
      </w:r>
      <w:r w:rsidR="004C30EA">
        <w:t>— and</w:t>
      </w:r>
      <w:r>
        <w:t xml:space="preserve"> where community support could be demonstrated for those projects.</w:t>
      </w:r>
    </w:p>
    <w:p w14:paraId="00BEDA33" w14:textId="0F4749B4" w:rsidR="00A2153D" w:rsidRDefault="00A2153D" w:rsidP="00CD7568">
      <w:pPr>
        <w:pStyle w:val="ListBullet1"/>
      </w:pPr>
      <w:r>
        <w:t xml:space="preserve">At least 62 GL must be recovered through </w:t>
      </w:r>
      <w:r w:rsidR="00282113">
        <w:t xml:space="preserve">efficiency measures </w:t>
      </w:r>
      <w:r>
        <w:t xml:space="preserve">to enable the full 605 GL supply offset to take effect (605 GL supply offset minus five per cent limit of 543 GL). </w:t>
      </w:r>
      <w:r w:rsidR="00B26A1A" w:rsidRPr="00B26A1A">
        <w:t>States are working to identify contributions with Victoria, NSW and SA each proceeding with a number of small (</w:t>
      </w:r>
      <w:r w:rsidR="00B26A1A">
        <w:t>hundred</w:t>
      </w:r>
      <w:r w:rsidR="00B26A1A" w:rsidRPr="00B26A1A">
        <w:t>s of ML) to medium-sized (</w:t>
      </w:r>
      <w:r w:rsidR="00B26A1A">
        <w:t>ten</w:t>
      </w:r>
      <w:r w:rsidR="00B26A1A" w:rsidRPr="00B26A1A">
        <w:t xml:space="preserve">s of GL) water recovery projects that have been assessed against the socio-economic criteria. </w:t>
      </w:r>
      <w:r>
        <w:t xml:space="preserve">Victoria has </w:t>
      </w:r>
      <w:r w:rsidRPr="007B6650">
        <w:t xml:space="preserve">contracted </w:t>
      </w:r>
      <w:r w:rsidR="009278E8" w:rsidRPr="007B6650">
        <w:t>nearly</w:t>
      </w:r>
      <w:r w:rsidRPr="007B6650">
        <w:t xml:space="preserve"> 1</w:t>
      </w:r>
      <w:r w:rsidR="009278E8" w:rsidRPr="007B6650">
        <w:t>8</w:t>
      </w:r>
      <w:r w:rsidRPr="007B6650">
        <w:t xml:space="preserve"> GL of efficiency</w:t>
      </w:r>
      <w:r>
        <w:t xml:space="preserve"> measures contributions to the 62 GL, </w:t>
      </w:r>
      <w:r w:rsidR="009278E8">
        <w:t xml:space="preserve">and the total </w:t>
      </w:r>
      <w:r w:rsidR="009278E8" w:rsidRPr="009278E8">
        <w:t xml:space="preserve">planned and completed </w:t>
      </w:r>
      <w:r w:rsidR="00282113">
        <w:t xml:space="preserve">efficiency measures </w:t>
      </w:r>
      <w:r w:rsidR="009278E8" w:rsidRPr="009278E8">
        <w:t>is</w:t>
      </w:r>
      <w:r w:rsidR="009278E8">
        <w:t xml:space="preserve"> in the order of 26GL. The most recent review</w:t>
      </w:r>
      <w:r w:rsidR="00F81D4F" w:rsidRPr="00F81D4F">
        <w:t xml:space="preserve"> of efficiency measures funding</w:t>
      </w:r>
      <w:r w:rsidR="009278E8">
        <w:rPr>
          <w:rStyle w:val="FootnoteReference"/>
        </w:rPr>
        <w:footnoteReference w:id="4"/>
      </w:r>
      <w:r w:rsidR="009278E8">
        <w:t xml:space="preserve">, released August 2022, found that an </w:t>
      </w:r>
      <w:r w:rsidR="009278E8" w:rsidRPr="009278E8">
        <w:t xml:space="preserve">upper bound estimate </w:t>
      </w:r>
      <w:r w:rsidR="009278E8">
        <w:t xml:space="preserve">of </w:t>
      </w:r>
      <w:r w:rsidR="009278E8" w:rsidRPr="009278E8">
        <w:t>up to 6</w:t>
      </w:r>
      <w:r w:rsidR="009278E8">
        <w:t>2</w:t>
      </w:r>
      <w:r w:rsidR="009278E8" w:rsidRPr="009278E8">
        <w:t xml:space="preserve"> GL</w:t>
      </w:r>
      <w:r w:rsidR="001B1D85">
        <w:rPr>
          <w:rStyle w:val="FootnoteReference"/>
        </w:rPr>
        <w:footnoteReference w:id="5"/>
      </w:r>
      <w:r w:rsidR="00EA6F52">
        <w:t xml:space="preserve"> could </w:t>
      </w:r>
      <w:r>
        <w:t>satisfy the requisite criteria for achieving neutral or positive socio-economic impacts are be delivered prior to the 30 June 2024 deadline.</w:t>
      </w:r>
      <w:r w:rsidR="001B1D85">
        <w:t xml:space="preserve"> The review also found that it is not possible to reach the 450 GL target through the current efficiency measures program — the OFEP — even if current time and budget limits were removed.</w:t>
      </w:r>
    </w:p>
    <w:p w14:paraId="005FA814" w14:textId="522365E7" w:rsidR="00A2153D" w:rsidRDefault="00A2153D" w:rsidP="00CD7568">
      <w:pPr>
        <w:pStyle w:val="ListBullet1"/>
      </w:pPr>
      <w:r>
        <w:lastRenderedPageBreak/>
        <w:t xml:space="preserve">The ACCC conducted the Murray–Darling Basin water markets inquiry and released </w:t>
      </w:r>
      <w:r w:rsidR="00720EB3">
        <w:t xml:space="preserve">its </w:t>
      </w:r>
      <w:r>
        <w:t>Final report in February 2021. Although this report draws on the views of a broad range of stakeholders with interests in the use and trade of water in the Basin, the Treasurer’s direction to the ACCC to conduct this inquiry specifically excluded analysis of the social and economic impact of water trading on communities in the Basin.</w:t>
      </w:r>
    </w:p>
    <w:p w14:paraId="70BFB1B6" w14:textId="72282CE3" w:rsidR="00A2153D" w:rsidRDefault="00A2153D" w:rsidP="00CD7568">
      <w:pPr>
        <w:pStyle w:val="ListBullet1"/>
      </w:pPr>
      <w:r>
        <w:t xml:space="preserve">The recent changes of government in South Australia, and the Commonwealth, introduce some uncertainty about potential future policies regarding both the 30 June 2024 deadline for SDLAM Projects, and the 450 GL of </w:t>
      </w:r>
      <w:r w:rsidR="00B406A4">
        <w:t>efficiency measures</w:t>
      </w:r>
      <w:r>
        <w:t>. This uncertainty is taken into account in our analysis of future water recovery scenarios.</w:t>
      </w:r>
    </w:p>
    <w:p w14:paraId="05117C49" w14:textId="53EA849A" w:rsidR="00A2153D" w:rsidRDefault="000C73DA" w:rsidP="00FA78A0">
      <w:pPr>
        <w:pStyle w:val="Heading1numbered"/>
      </w:pPr>
      <w:bookmarkStart w:id="23" w:name="_Toc110262373"/>
      <w:bookmarkStart w:id="24" w:name="_Toc113621644"/>
      <w:bookmarkStart w:id="25" w:name="_Toc107997216"/>
      <w:r>
        <w:lastRenderedPageBreak/>
        <w:t xml:space="preserve">Relevant </w:t>
      </w:r>
      <w:r w:rsidR="00A2153D">
        <w:t>socio-economic assessments since 2017</w:t>
      </w:r>
      <w:bookmarkEnd w:id="23"/>
      <w:bookmarkEnd w:id="24"/>
    </w:p>
    <w:p w14:paraId="1B04A72D" w14:textId="35F2B739" w:rsidR="00724702" w:rsidRDefault="00724702" w:rsidP="00597401">
      <w:pPr>
        <w:pStyle w:val="Heading2numbered"/>
        <w:numPr>
          <w:ilvl w:val="1"/>
          <w:numId w:val="12"/>
        </w:numPr>
        <w:tabs>
          <w:tab w:val="clear" w:pos="851"/>
        </w:tabs>
        <w:ind w:left="0" w:firstLine="0"/>
      </w:pPr>
      <w:bookmarkStart w:id="26" w:name="_Toc113621645"/>
      <w:r>
        <w:t>S</w:t>
      </w:r>
      <w:r w:rsidRPr="00724702">
        <w:t xml:space="preserve">ocio-economic </w:t>
      </w:r>
      <w:r>
        <w:t xml:space="preserve">and water recovery </w:t>
      </w:r>
      <w:r w:rsidRPr="00724702">
        <w:t>assessments</w:t>
      </w:r>
      <w:bookmarkEnd w:id="26"/>
    </w:p>
    <w:p w14:paraId="0AD9A8A8" w14:textId="4F9D5173" w:rsidR="00A2153D" w:rsidRDefault="00A2153D" w:rsidP="00A2153D">
      <w:pPr>
        <w:pStyle w:val="BodyText"/>
      </w:pPr>
      <w:r>
        <w:t xml:space="preserve">Since the time of the last report there have been </w:t>
      </w:r>
      <w:r w:rsidR="00C2586F">
        <w:t xml:space="preserve">several </w:t>
      </w:r>
      <w:r>
        <w:t>investigations into social and economic impacts of the Basin Plan, including:</w:t>
      </w:r>
    </w:p>
    <w:p w14:paraId="5B27E7FB" w14:textId="6A0E4347" w:rsidR="00A2153D" w:rsidRDefault="00A2153D" w:rsidP="00724702">
      <w:pPr>
        <w:pStyle w:val="ListParagraph"/>
      </w:pPr>
      <w:r>
        <w:t>Sefton Report</w:t>
      </w:r>
      <w:r w:rsidR="00BC57FF">
        <w:t xml:space="preserve">: </w:t>
      </w:r>
      <w:r w:rsidR="00BC57FF" w:rsidRPr="00BC57FF">
        <w:t>2020 Independent assessment of social and economic conditions in the Basin</w:t>
      </w:r>
    </w:p>
    <w:p w14:paraId="24FB75CE" w14:textId="77777777" w:rsidR="00A2153D" w:rsidRDefault="00A2153D" w:rsidP="00724702">
      <w:pPr>
        <w:pStyle w:val="ListParagraph"/>
      </w:pPr>
      <w:r>
        <w:t>Basin Plan evaluation 2020</w:t>
      </w:r>
    </w:p>
    <w:p w14:paraId="5DE32FB5" w14:textId="6BEB880D" w:rsidR="00A2153D" w:rsidRDefault="00A2153D" w:rsidP="00724702">
      <w:pPr>
        <w:pStyle w:val="ListParagraph"/>
      </w:pPr>
      <w:r>
        <w:t xml:space="preserve">ABARES </w:t>
      </w:r>
      <w:r w:rsidR="004B456B">
        <w:t xml:space="preserve">(Whittle et al </w:t>
      </w:r>
      <w:r>
        <w:t>2020</w:t>
      </w:r>
      <w:r w:rsidR="004B456B">
        <w:t>)</w:t>
      </w:r>
      <w:r>
        <w:t>: Economic effects of water recovery in the Murray–Darling Basin</w:t>
      </w:r>
    </w:p>
    <w:p w14:paraId="6FAA24B8" w14:textId="4054ACA4" w:rsidR="00A2153D" w:rsidRDefault="00A2153D">
      <w:pPr>
        <w:pStyle w:val="ListParagraph"/>
      </w:pPr>
      <w:r>
        <w:t>University of Canberra: Insights from the Regional Wellbeing Surveys (2013-2018)</w:t>
      </w:r>
      <w:r w:rsidR="0037165E">
        <w:t>.</w:t>
      </w:r>
    </w:p>
    <w:p w14:paraId="6E0622CB" w14:textId="0C2BF164" w:rsidR="000C73DA" w:rsidRDefault="000C73DA" w:rsidP="000C73DA">
      <w:r>
        <w:t>These are discussed in Appendix 2,</w:t>
      </w:r>
      <w:r w:rsidR="00724702">
        <w:t xml:space="preserve"> and</w:t>
      </w:r>
      <w:r>
        <w:t xml:space="preserve"> findings include:</w:t>
      </w:r>
    </w:p>
    <w:p w14:paraId="77B405DC" w14:textId="1F17928E" w:rsidR="000C73DA" w:rsidRDefault="004340E0" w:rsidP="004340E0">
      <w:pPr>
        <w:pStyle w:val="ListParagraph"/>
      </w:pPr>
      <w:r w:rsidRPr="004340E0">
        <w:t>Reduction in the consumptive pool of water is exacerbating the effects of drought and climate change</w:t>
      </w:r>
    </w:p>
    <w:p w14:paraId="665E019D" w14:textId="327C95EA" w:rsidR="004340E0" w:rsidRDefault="004340E0" w:rsidP="004340E0">
      <w:pPr>
        <w:pStyle w:val="ListParagraph"/>
      </w:pPr>
      <w:r w:rsidRPr="004340E0">
        <w:t>The benefits of environmental flows are not well understood or recognised. Most felt that the environment was benefitting from the return of water to the environment.</w:t>
      </w:r>
    </w:p>
    <w:p w14:paraId="7006B9FF" w14:textId="77777777" w:rsidR="004340E0" w:rsidRDefault="004340E0" w:rsidP="004340E0">
      <w:pPr>
        <w:pStyle w:val="ListParagraph"/>
      </w:pPr>
      <w:r>
        <w:t>Water recovery: On-farm investment had led to both positive and mixed impacts</w:t>
      </w:r>
    </w:p>
    <w:p w14:paraId="410DD144" w14:textId="2A90FF6B" w:rsidR="004340E0" w:rsidRDefault="004340E0" w:rsidP="006E296D">
      <w:pPr>
        <w:pStyle w:val="ListParagraph"/>
        <w:numPr>
          <w:ilvl w:val="1"/>
          <w:numId w:val="3"/>
        </w:numPr>
      </w:pPr>
      <w:r>
        <w:t>There were some positive impacts because on-farm investment created productivity gains through on-farm efficiencies for many farms. Irrigators who have transferred entitlements to access on-farm irrigation grants report overall positive impacts for their farms on a range of measures.</w:t>
      </w:r>
    </w:p>
    <w:p w14:paraId="708FEE3F" w14:textId="1871533F" w:rsidR="004340E0" w:rsidRDefault="004340E0" w:rsidP="004340E0">
      <w:pPr>
        <w:pStyle w:val="ListParagraph"/>
        <w:numPr>
          <w:ilvl w:val="1"/>
          <w:numId w:val="3"/>
        </w:numPr>
      </w:pPr>
      <w:r>
        <w:t>There were some mixed impacts</w:t>
      </w:r>
      <w:r w:rsidR="00074571">
        <w:t>;</w:t>
      </w:r>
      <w:r>
        <w:t xml:space="preserve"> water demand on Basin farms receiving on-farm upgrades increase</w:t>
      </w:r>
      <w:r w:rsidR="00074571">
        <w:t>d</w:t>
      </w:r>
      <w:r>
        <w:t xml:space="preserve"> after the upgrade. On-farm irrigation upgrades create economic and other impacts across the broader agricultural value chain and in regional communities. Importantly, changing water market prices affect market participants differently. </w:t>
      </w:r>
    </w:p>
    <w:p w14:paraId="5C24461F" w14:textId="2825EE35" w:rsidR="004340E0" w:rsidRDefault="004340E0" w:rsidP="004340E0">
      <w:pPr>
        <w:pStyle w:val="ListParagraph"/>
      </w:pPr>
      <w:r w:rsidRPr="004340E0">
        <w:t>Direct water buybacks and on-farm infrastructure programs both put upward pressure on water prices, to different degrees, and price effects have grown larger as the total volume of water recovery has increased</w:t>
      </w:r>
      <w:r w:rsidR="00F7290E">
        <w:t>. Overall, water recovery has increased water allocation prices in the southern MDB.</w:t>
      </w:r>
    </w:p>
    <w:p w14:paraId="7E528329" w14:textId="2BED3815" w:rsidR="00F7290E" w:rsidRDefault="000C73DA" w:rsidP="00F7290E">
      <w:r>
        <w:t>There has also been considerable reporting and analysis of the impacts of off- and on-farm projects, which are discussed below</w:t>
      </w:r>
      <w:r w:rsidR="00F7290E">
        <w:t>.</w:t>
      </w:r>
    </w:p>
    <w:p w14:paraId="583F282C" w14:textId="77777777" w:rsidR="00A2153D" w:rsidRDefault="00A2153D" w:rsidP="00597401">
      <w:pPr>
        <w:pStyle w:val="Heading2numbered"/>
        <w:numPr>
          <w:ilvl w:val="1"/>
          <w:numId w:val="12"/>
        </w:numPr>
        <w:tabs>
          <w:tab w:val="clear" w:pos="851"/>
        </w:tabs>
        <w:ind w:left="0" w:firstLine="0"/>
      </w:pPr>
      <w:bookmarkStart w:id="27" w:name="_Toc110262378"/>
      <w:bookmarkStart w:id="28" w:name="_Toc113621646"/>
      <w:bookmarkStart w:id="29" w:name="_Toc107997244"/>
      <w:r>
        <w:t>Impacts of off-farm efficiency projects</w:t>
      </w:r>
      <w:bookmarkEnd w:id="27"/>
      <w:bookmarkEnd w:id="28"/>
    </w:p>
    <w:p w14:paraId="09F4FCAD" w14:textId="5D381DD8" w:rsidR="00A2153D" w:rsidRDefault="00A2153D" w:rsidP="00A2153D">
      <w:pPr>
        <w:pStyle w:val="BodyText"/>
      </w:pPr>
      <w:r>
        <w:t xml:space="preserve">Our 2017 </w:t>
      </w:r>
      <w:r w:rsidR="008F2548">
        <w:t xml:space="preserve">report </w:t>
      </w:r>
      <w:r>
        <w:t xml:space="preserve">found that off-farm efficiency projects are not associated with significant negative socio-economic impacts because they do not reduce the consumptive pool to provide </w:t>
      </w:r>
      <w:r>
        <w:lastRenderedPageBreak/>
        <w:t>water to the environment, but rather reduce delivery losses in the system. Audits of water recovery are generally undertaken to ensure the water savings recovered are ‘real’.</w:t>
      </w:r>
      <w:r>
        <w:rPr>
          <w:rStyle w:val="FootnoteReference"/>
        </w:rPr>
        <w:footnoteReference w:id="6"/>
      </w:r>
    </w:p>
    <w:p w14:paraId="168E206A" w14:textId="2CA2792B" w:rsidR="00A2153D" w:rsidRDefault="00A2153D" w:rsidP="00A2153D">
      <w:pPr>
        <w:pStyle w:val="BodyText"/>
      </w:pPr>
      <w:r>
        <w:t xml:space="preserve">A prime example of water recovery through improvements to off-farm water delivery efficiency is the GMW Connections Project. This project was recently completed and has exceeded its water recovery target of 429 GL by four gigalitres. Project completion and finalisation of water recovery audits meant that 77GL of entitlements, mostly high reliability entitlements, </w:t>
      </w:r>
      <w:r w:rsidR="000C3479">
        <w:t xml:space="preserve">were </w:t>
      </w:r>
      <w:r>
        <w:t>restored to the consumptive pool as part of the Irrigators’ Share in October 2021. The modernisation of the irrigation system also resulted in over 7,600 irrigators receiving an improved service level at the farm gate.</w:t>
      </w:r>
    </w:p>
    <w:p w14:paraId="657E3263" w14:textId="5C767F52" w:rsidR="00A2153D" w:rsidRDefault="00A2153D" w:rsidP="00A2153D">
      <w:pPr>
        <w:pStyle w:val="BodyText"/>
      </w:pPr>
      <w:r>
        <w:t xml:space="preserve">In 2018, the Victorian Government identified six potential water recovery projects which could be delivered without negative socio-economic impacts — in </w:t>
      </w:r>
      <w:r w:rsidR="001A4D3E">
        <w:t xml:space="preserve">the </w:t>
      </w:r>
      <w:r>
        <w:t>GMW</w:t>
      </w:r>
      <w:r w:rsidR="001A4D3E">
        <w:t xml:space="preserve"> and</w:t>
      </w:r>
      <w:r>
        <w:t xml:space="preserve"> LMW </w:t>
      </w:r>
      <w:r w:rsidR="001A4D3E">
        <w:t>delivery areas</w:t>
      </w:r>
      <w:r>
        <w:t>.</w:t>
      </w:r>
      <w:r>
        <w:rPr>
          <w:rStyle w:val="FootnoteReference"/>
        </w:rPr>
        <w:footnoteReference w:id="7"/>
      </w:r>
    </w:p>
    <w:p w14:paraId="355FDC6D" w14:textId="62A4D4F1" w:rsidR="00A2153D" w:rsidRDefault="00A2153D" w:rsidP="00A2153D">
      <w:pPr>
        <w:pStyle w:val="BodyText"/>
      </w:pPr>
      <w:r>
        <w:t>Following on from the GMW Connections Project, further off-farm infrastructure works across the Goulburn Murray Irrigation District were announced in March 2021 — the GMW Water Efficiency Project will recover 15.9 gigalitres (GL) long</w:t>
      </w:r>
      <w:r w:rsidR="000C3479">
        <w:t>-</w:t>
      </w:r>
      <w:r>
        <w:t>term average annual yield (LTAAY) of water savings. The Commonwealth Government commit</w:t>
      </w:r>
      <w:r w:rsidR="000C3479">
        <w:t>ted</w:t>
      </w:r>
      <w:r>
        <w:t xml:space="preserve"> </w:t>
      </w:r>
      <w:r w:rsidR="001A4D3E">
        <w:t xml:space="preserve">$177.5 million </w:t>
      </w:r>
      <w:r>
        <w:t>to fund the GMW Water Efficiency Project follow</w:t>
      </w:r>
      <w:r w:rsidR="000C3479">
        <w:t>ing</w:t>
      </w:r>
      <w:r>
        <w:t xml:space="preserve"> Victoria’s positive socio-economic assessment of the project and after review by GHD</w:t>
      </w:r>
      <w:r w:rsidR="00D33DB6">
        <w:t xml:space="preserve"> (</w:t>
      </w:r>
      <w:r w:rsidR="00684C6E">
        <w:t>2020)</w:t>
      </w:r>
      <w:r>
        <w:t>.</w:t>
      </w:r>
      <w:r w:rsidR="001065EE" w:rsidRPr="001065EE">
        <w:rPr>
          <w:rStyle w:val="FootnoteReference"/>
        </w:rPr>
        <w:t xml:space="preserve"> </w:t>
      </w:r>
      <w:r w:rsidR="001A4D3E">
        <w:t>Given the with 15.9 GL of expected water savings</w:t>
      </w:r>
      <w:r w:rsidR="00424D56">
        <w:t>,</w:t>
      </w:r>
      <w:r w:rsidR="00424D56" w:rsidRPr="00424D56">
        <w:t xml:space="preserve"> </w:t>
      </w:r>
      <w:r w:rsidR="00424D56">
        <w:t>this provides an estimated cost of water recovery at</w:t>
      </w:r>
      <w:r w:rsidR="00424D56" w:rsidRPr="00424D56">
        <w:t xml:space="preserve"> $11,165/M</w:t>
      </w:r>
      <w:r>
        <w:t>L.</w:t>
      </w:r>
    </w:p>
    <w:p w14:paraId="399820FB" w14:textId="77777777" w:rsidR="00A2153D" w:rsidRDefault="00A2153D" w:rsidP="00597401">
      <w:pPr>
        <w:pStyle w:val="Heading2numbered"/>
        <w:numPr>
          <w:ilvl w:val="1"/>
          <w:numId w:val="12"/>
        </w:numPr>
        <w:tabs>
          <w:tab w:val="clear" w:pos="851"/>
        </w:tabs>
        <w:ind w:left="0" w:firstLine="0"/>
      </w:pPr>
      <w:bookmarkStart w:id="30" w:name="_Toc110262379"/>
      <w:bookmarkStart w:id="31" w:name="_Toc113621647"/>
      <w:r>
        <w:t>Impacts of on-farm efficiency projects</w:t>
      </w:r>
      <w:bookmarkEnd w:id="29"/>
      <w:bookmarkEnd w:id="30"/>
      <w:bookmarkEnd w:id="31"/>
    </w:p>
    <w:p w14:paraId="4FE24766" w14:textId="77777777" w:rsidR="000059DA" w:rsidRDefault="00A2153D" w:rsidP="00A2153D">
      <w:pPr>
        <w:pStyle w:val="BodyText"/>
      </w:pPr>
      <w:r>
        <w:t xml:space="preserve">On-farm water recovery projects may have social and economic impacts — and the scale and scope of these have been a topic of </w:t>
      </w:r>
      <w:r w:rsidR="00311665">
        <w:t xml:space="preserve">analysis and </w:t>
      </w:r>
      <w:r>
        <w:t>debate.</w:t>
      </w:r>
      <w:r w:rsidR="00311665">
        <w:t xml:space="preserve"> </w:t>
      </w:r>
      <w:r w:rsidR="000C3479">
        <w:t xml:space="preserve">Our </w:t>
      </w:r>
      <w:r>
        <w:t xml:space="preserve">previous assessment, in 2017, suggested that on-farm water recovery projects may have social and economic impacts — especially in dry years when the savings may not eventuate. It also provided examples of how farmers may respond after the on-farm investment — to have less to sell under dry conditions or to potentially increase water use — with a consequent pressure to increase allocation prices. </w:t>
      </w:r>
    </w:p>
    <w:p w14:paraId="10A00B3B" w14:textId="1B82950C" w:rsidR="000059DA" w:rsidRDefault="000059DA" w:rsidP="00A2153D">
      <w:pPr>
        <w:pStyle w:val="BodyText"/>
      </w:pPr>
      <w:r>
        <w:t>The complexity arises because on-farm efficiency projects reduce the consumptive pool (the water diverted for consumptive water use)</w:t>
      </w:r>
      <w:r w:rsidR="003C6DB6">
        <w:t>, with a volume of entitlement being transferred from the farm owner to the environment</w:t>
      </w:r>
      <w:r>
        <w:t xml:space="preserve">. </w:t>
      </w:r>
      <w:r w:rsidR="003C6DB6">
        <w:t>On-farm investments</w:t>
      </w:r>
      <w:r>
        <w:t xml:space="preserve"> also increase the efficiency of water use on the particular farm that received funding, such that more water can be applied for a given volume diverted. </w:t>
      </w:r>
      <w:r w:rsidR="003C6DB6">
        <w:t xml:space="preserve">In a static sense, these two influences may balance out such that water is recovered for the environment and production from water use is maintained — however, as noted above, </w:t>
      </w:r>
      <w:r w:rsidR="00581B1A">
        <w:t>water user behaviour is dynamic and will change in response to the on-farm investment and seasonal conditions.</w:t>
      </w:r>
    </w:p>
    <w:p w14:paraId="705AE5F6" w14:textId="1D52F35C" w:rsidR="002610CC" w:rsidRDefault="00B33986" w:rsidP="00074571">
      <w:pPr>
        <w:pStyle w:val="BodyText"/>
        <w:keepNext/>
      </w:pPr>
      <w:r>
        <w:t>Three recent</w:t>
      </w:r>
      <w:r w:rsidR="00A2153D">
        <w:t xml:space="preserve"> studies </w:t>
      </w:r>
      <w:r>
        <w:t xml:space="preserve">are </w:t>
      </w:r>
      <w:r w:rsidR="00A2153D">
        <w:t xml:space="preserve">presented in </w:t>
      </w:r>
      <w:r>
        <w:t>Appendix 2</w:t>
      </w:r>
      <w:r w:rsidR="002610CC">
        <w:t>:</w:t>
      </w:r>
    </w:p>
    <w:p w14:paraId="73C3B474" w14:textId="77777777" w:rsidR="002610CC" w:rsidRDefault="002610CC" w:rsidP="002610CC">
      <w:pPr>
        <w:pStyle w:val="ListParagraph"/>
      </w:pPr>
      <w:r w:rsidRPr="00F7290E">
        <w:t>The rebound effect on water extraction from subsidising irrigation infrastructure in Australia (Wheeler 2020)</w:t>
      </w:r>
    </w:p>
    <w:p w14:paraId="35EECE83" w14:textId="77777777" w:rsidR="002610CC" w:rsidRDefault="002610CC" w:rsidP="002610CC">
      <w:pPr>
        <w:pStyle w:val="ListParagraph"/>
      </w:pPr>
      <w:r w:rsidRPr="00F7290E">
        <w:lastRenderedPageBreak/>
        <w:t>Farm Level Effects of On-Farm Irrigation Infrastructure Programs in the Southern Murray-Darling Basin (Hughes 2020)</w:t>
      </w:r>
    </w:p>
    <w:p w14:paraId="2575418C" w14:textId="77777777" w:rsidR="002610CC" w:rsidRDefault="002610CC" w:rsidP="002610CC">
      <w:pPr>
        <w:pStyle w:val="ListParagraph"/>
      </w:pPr>
      <w:r w:rsidRPr="00F7290E">
        <w:t>Water market impacts of on-farm water use efficiency programs that require entitlement transfer (Aither 2017)</w:t>
      </w:r>
    </w:p>
    <w:p w14:paraId="1CF473CB" w14:textId="460FA1AD" w:rsidR="00A2153D" w:rsidRDefault="002610CC" w:rsidP="00A2153D">
      <w:pPr>
        <w:pStyle w:val="BodyText"/>
      </w:pPr>
      <w:r>
        <w:t>T</w:t>
      </w:r>
      <w:r w:rsidR="00A2153D">
        <w:t xml:space="preserve">he overall </w:t>
      </w:r>
      <w:r w:rsidR="00B33986">
        <w:t xml:space="preserve">and consistent </w:t>
      </w:r>
      <w:r w:rsidR="00A2153D">
        <w:t>finding</w:t>
      </w:r>
      <w:r w:rsidR="00B33986">
        <w:t xml:space="preserve"> of these is</w:t>
      </w:r>
      <w:r w:rsidR="00A2153D">
        <w:t xml:space="preserve"> that on-farm water recovery projects have had unintended consequences — namely increasing the productivity of the funded farms leading to water demand being higher post-upgrade. This led to funded farms significantly increasing their water extraction via crop mix changes and increased irrigated area. A source of this extra water for use was through water trade, leading to increased competition in water allocation markets</w:t>
      </w:r>
      <w:r w:rsidR="00B33986">
        <w:t xml:space="preserve"> </w:t>
      </w:r>
      <w:r w:rsidR="009D0E44">
        <w:t>and</w:t>
      </w:r>
      <w:r w:rsidR="00B33986">
        <w:t xml:space="preserve"> higher water allocation prices</w:t>
      </w:r>
      <w:r w:rsidR="00A2153D">
        <w:t>.</w:t>
      </w:r>
    </w:p>
    <w:p w14:paraId="06A04357" w14:textId="32D28334" w:rsidR="00096BA3" w:rsidRDefault="00211EAF" w:rsidP="00A2153D">
      <w:pPr>
        <w:pStyle w:val="BodyText"/>
      </w:pPr>
      <w:r w:rsidRPr="00211EAF">
        <w:t>A conservative estimate of on-farm project water savings is typically determined by an Independent Approved Irrigation Professional. The proponent then considers what volume of water savings can be transferred to the environment</w:t>
      </w:r>
      <w:r>
        <w:t>,</w:t>
      </w:r>
      <w:r w:rsidRPr="00211EAF">
        <w:t xml:space="preserve"> and </w:t>
      </w:r>
      <w:r>
        <w:t>any volumes saved beyond this are</w:t>
      </w:r>
      <w:r w:rsidRPr="00211EAF">
        <w:t xml:space="preserve"> retained by the participant. </w:t>
      </w:r>
    </w:p>
    <w:p w14:paraId="690B0670" w14:textId="38929A21" w:rsidR="00A2153D" w:rsidRDefault="00A2153D" w:rsidP="00A2153D">
      <w:pPr>
        <w:pStyle w:val="BodyText"/>
      </w:pPr>
      <w:r>
        <w:t xml:space="preserve">The most recently observed costs of on-farm efficiency projects has been the set of 28 South Australian projects funded under the Water Efficiency Program. For these projects the total </w:t>
      </w:r>
      <w:r w:rsidR="00060678">
        <w:t xml:space="preserve">estimated </w:t>
      </w:r>
      <w:r w:rsidR="00311665">
        <w:t xml:space="preserve">water </w:t>
      </w:r>
      <w:r>
        <w:t>savings generated (to be shared between the environment and the project applicants) was 1</w:t>
      </w:r>
      <w:r w:rsidR="00EB75AB">
        <w:t>,</w:t>
      </w:r>
      <w:r>
        <w:t>345</w:t>
      </w:r>
      <w:r w:rsidR="00724702">
        <w:t> </w:t>
      </w:r>
      <w:r>
        <w:t>ML at a total cost of $10.8 million — suggesting a unit cost of $8</w:t>
      </w:r>
      <w:r w:rsidR="00EB75AB">
        <w:t>,</w:t>
      </w:r>
      <w:r>
        <w:t xml:space="preserve">041/ML. However, given that a substantial volume of </w:t>
      </w:r>
      <w:r w:rsidR="00423BA9">
        <w:t xml:space="preserve">the estimated </w:t>
      </w:r>
      <w:r>
        <w:t xml:space="preserve">savings </w:t>
      </w:r>
      <w:r w:rsidR="00BF551C">
        <w:t>is</w:t>
      </w:r>
      <w:r>
        <w:t xml:space="preserve"> to be retained by applicants in addition to the on-farm works, the savings to be transferred to the environment are estimated to be 757.5ML (nominal volume) / 668.1ML (LTAAY volumes).</w:t>
      </w:r>
      <w:r>
        <w:rPr>
          <w:rStyle w:val="FootnoteReference"/>
        </w:rPr>
        <w:footnoteReference w:id="8"/>
      </w:r>
      <w:r>
        <w:t xml:space="preserve"> This provides an estimated cost of water recovery at $14,274/ML (nominal) / $16,184/ML LTAAY.</w:t>
      </w:r>
    </w:p>
    <w:p w14:paraId="5273F6B5" w14:textId="28FB2716" w:rsidR="00A2153D" w:rsidRDefault="001A6C6B" w:rsidP="00A2153D">
      <w:pPr>
        <w:pStyle w:val="BodyText"/>
      </w:pPr>
      <w:r w:rsidRPr="00211EAF">
        <w:t>Given that these projects involve the transfer of entitlement to the Commonwealth, the risks of water savings not being realised lie with the project participants and the broader consumptive users who will be impacted if the participant increases their on-farm water use following participation. We are not aware of the use of post-project audits to confirm on-farm water savings</w:t>
      </w:r>
      <w:r>
        <w:t xml:space="preserve"> — an approach which contrasts with the audit process observed in off-farm projects</w:t>
      </w:r>
      <w:r w:rsidRPr="00096BA3">
        <w:t>.</w:t>
      </w:r>
    </w:p>
    <w:p w14:paraId="45CC4E30" w14:textId="293E2C36" w:rsidR="00A2153D" w:rsidRDefault="00A2153D" w:rsidP="00597401">
      <w:pPr>
        <w:pStyle w:val="Heading1numbered"/>
        <w:numPr>
          <w:ilvl w:val="0"/>
          <w:numId w:val="12"/>
        </w:numPr>
      </w:pPr>
      <w:bookmarkStart w:id="32" w:name="_Toc107997217"/>
      <w:bookmarkStart w:id="33" w:name="_Toc110262380"/>
      <w:bookmarkStart w:id="34" w:name="_Toc113621648"/>
      <w:bookmarkEnd w:id="25"/>
      <w:r>
        <w:lastRenderedPageBreak/>
        <w:t>An overview of irrigation in the southern-connected M</w:t>
      </w:r>
      <w:bookmarkEnd w:id="32"/>
      <w:bookmarkEnd w:id="33"/>
      <w:r w:rsidR="006632E3">
        <w:t>DB</w:t>
      </w:r>
      <w:bookmarkEnd w:id="34"/>
    </w:p>
    <w:p w14:paraId="49E07415" w14:textId="5AA141A2" w:rsidR="00A2153D" w:rsidRDefault="00A2153D" w:rsidP="00A2153D">
      <w:pPr>
        <w:pStyle w:val="BodyText"/>
      </w:pPr>
      <w:r>
        <w:t xml:space="preserve">Understanding the socio-economic impacts of the Basin Plan in Victoria </w:t>
      </w:r>
      <w:r w:rsidR="00B84513">
        <w:t xml:space="preserve">firstly </w:t>
      </w:r>
      <w:r>
        <w:t>requires an understanding of the linkages between the supply of water in each southern Basin state and the demands for water in each of those states. Water recovery under the Basin Plan affects the supply of water in each state differently, and the socio-economic impacts of those changes in available water depend on how water users adjust their demands in response.</w:t>
      </w:r>
    </w:p>
    <w:p w14:paraId="42D23201" w14:textId="77777777" w:rsidR="00A2153D" w:rsidRDefault="00A2153D" w:rsidP="00A2153D">
      <w:pPr>
        <w:pStyle w:val="BodyText"/>
      </w:pPr>
      <w:r>
        <w:t>This chapter explains how the different water allocation frameworks in each state affect total water supplies, the probability of those supplies being fully available in each year, and the types of irrigated enterprises that are common in different geographical centres. It then explains the interactions between the main irrigated industries.</w:t>
      </w:r>
    </w:p>
    <w:p w14:paraId="14D52B2E" w14:textId="77777777" w:rsidR="00A2153D" w:rsidRDefault="00A2153D" w:rsidP="00597401">
      <w:pPr>
        <w:pStyle w:val="Heading2numbered"/>
        <w:numPr>
          <w:ilvl w:val="1"/>
          <w:numId w:val="12"/>
        </w:numPr>
        <w:tabs>
          <w:tab w:val="clear" w:pos="851"/>
        </w:tabs>
        <w:ind w:left="0" w:firstLine="0"/>
      </w:pPr>
      <w:bookmarkStart w:id="35" w:name="_Toc107997218"/>
      <w:bookmarkStart w:id="36" w:name="_Toc110262381"/>
      <w:bookmarkStart w:id="37" w:name="_Toc113621649"/>
      <w:r>
        <w:t>Understanding the southern-connected Basin as a system</w:t>
      </w:r>
      <w:bookmarkEnd w:id="35"/>
      <w:bookmarkEnd w:id="36"/>
      <w:bookmarkEnd w:id="37"/>
    </w:p>
    <w:p w14:paraId="50E63CE1" w14:textId="77777777" w:rsidR="00A2153D" w:rsidRDefault="00A2153D" w:rsidP="00A2153D">
      <w:pPr>
        <w:pStyle w:val="BodyText"/>
      </w:pPr>
      <w:r>
        <w:t>Joint management of the River Murray dates back to the River Murray Waters Agreement of 1914, in which the New South Wales (NSW), Victorian, South Australian and Commonwealth Governments agreed to share the waters, build dams and weirs, and operate the river in accordance with a set of rules. Today’s arrangements for managing the River Murray are set out in the Murray–Darling Basin Agreement, to which the Basin states and the Commonwealth are all signatories. They each contribute funding to the joint management of the River Murray.</w:t>
      </w:r>
    </w:p>
    <w:p w14:paraId="2BBA7448" w14:textId="77777777" w:rsidR="00A2153D" w:rsidRDefault="00A2153D" w:rsidP="00A2153D">
      <w:pPr>
        <w:pStyle w:val="BodyText"/>
      </w:pPr>
      <w:r>
        <w:t>The general principle for water sharing between the states is that NSW and Victoria each receive 50% of the flow upstream of Albury (including inflows to the Hume and Dartmouth storages and inflows from the Kiewa River) as well as 50% of inflows to the Menindee Lakes (except when storage in the lakes falls below 480 GL, then all inflows revert to NSW until the storage returns to 640 GL). NSW and Victoria jointly provide South Australia with its entitlement, which varies from month to month as stipulated in the Murray–Darling Basin Agreement. Victoria and NSW provide water to South Australia through a combination of their share of water held in the joint storages and from inflows into the Murray from the tributaries assigned to each. In 2011, approval was given for South Australia to store its share of water resources in the joint storages for the purposes of meeting its critical human water needs and allowing its water users to carryover their allocations.</w:t>
      </w:r>
    </w:p>
    <w:p w14:paraId="372798BF" w14:textId="76778998" w:rsidR="009E467B" w:rsidRDefault="00A2153D" w:rsidP="00A2153D">
      <w:pPr>
        <w:pStyle w:val="BodyText"/>
      </w:pPr>
      <w:r>
        <w:t>Each state has its own property rights regime for access to water, which makes water available to individual water users, and there are some important differences in the water entitlement and allocation frameworks that underpin those property rights. For example, even though NSW and Victoria share the capacity of the joint storages equally, there are significant differences in</w:t>
      </w:r>
      <w:r w:rsidR="009E467B">
        <w:t>:</w:t>
      </w:r>
    </w:p>
    <w:p w14:paraId="13CC5FD7" w14:textId="05409379" w:rsidR="009E467B" w:rsidRDefault="009E467B" w:rsidP="00597401">
      <w:pPr>
        <w:pStyle w:val="BodyText"/>
        <w:numPr>
          <w:ilvl w:val="0"/>
          <w:numId w:val="14"/>
        </w:numPr>
      </w:pPr>
      <w:r>
        <w:t xml:space="preserve">The </w:t>
      </w:r>
      <w:r w:rsidR="00A2153D">
        <w:t xml:space="preserve">total volumes of entitlements issued to water users in either state from those storages, and </w:t>
      </w:r>
    </w:p>
    <w:p w14:paraId="2B0BC141" w14:textId="601A6838" w:rsidR="00A2153D" w:rsidRDefault="009E467B" w:rsidP="00597401">
      <w:pPr>
        <w:pStyle w:val="BodyText"/>
        <w:numPr>
          <w:ilvl w:val="0"/>
          <w:numId w:val="14"/>
        </w:numPr>
      </w:pPr>
      <w:r>
        <w:t xml:space="preserve">The </w:t>
      </w:r>
      <w:r w:rsidR="00A2153D">
        <w:t>allocation volumes these entitlements receive under different conditions. The differences arise because:</w:t>
      </w:r>
    </w:p>
    <w:p w14:paraId="7D019EF2" w14:textId="77777777" w:rsidR="00A2153D" w:rsidRDefault="00A2153D" w:rsidP="009E467B">
      <w:pPr>
        <w:pStyle w:val="ParaBullet2"/>
      </w:pPr>
      <w:r>
        <w:t>NSW effectively operates an annual water budget — with only a small reserve being accumulated to provide for high priority commitments in the following year</w:t>
      </w:r>
    </w:p>
    <w:p w14:paraId="423B9CEE" w14:textId="1C35BEBE" w:rsidR="00A2153D" w:rsidRDefault="00A2153D" w:rsidP="009E467B">
      <w:pPr>
        <w:pStyle w:val="ParaBullet2"/>
      </w:pPr>
      <w:r>
        <w:lastRenderedPageBreak/>
        <w:t xml:space="preserve">Victoria’s water budget is calculated over a two-year period — with reserves being accumulated once allocations reach 30 per cent of High-Reliability Water Shares by assigning inflows equally to the reserve and to increasing current season allocations. Once allocations reach </w:t>
      </w:r>
      <w:r w:rsidR="007C3A3F">
        <w:t xml:space="preserve">roughly </w:t>
      </w:r>
      <w:r>
        <w:t>50 per cent of High-Reliability Water Shares, all further inflows until 1 April are directed to building current season allocations. A reserve for allocations to High-Reliability Water Shares in the following year is then accumulated prior to Low-Reliability Water Shares receiving water.</w:t>
      </w:r>
      <w:r>
        <w:rPr>
          <w:rStyle w:val="FootnoteReference"/>
        </w:rPr>
        <w:footnoteReference w:id="9"/>
      </w:r>
    </w:p>
    <w:p w14:paraId="04002969" w14:textId="77777777" w:rsidR="00A2153D" w:rsidRDefault="00A2153D" w:rsidP="009E467B">
      <w:pPr>
        <w:pStyle w:val="ParaBullet2"/>
      </w:pPr>
      <w:r>
        <w:t xml:space="preserve">South Australia, under the Murray-Darling Basin Agreement, receives 1,850 GL from the Murray system every year – distributed in fixed monthly amounts, with more in summer and less in winter. Victoria and NSW provide half each. However, when there is very little water available, for example, after several dry years in a row, as happened in the Millennium Drought, South Australia may receive less than 1,850 GL. </w:t>
      </w:r>
    </w:p>
    <w:p w14:paraId="1541578C" w14:textId="5ACEF25B" w:rsidR="00A2153D" w:rsidRDefault="00A2153D" w:rsidP="00A2153D">
      <w:pPr>
        <w:pStyle w:val="BodyText"/>
      </w:pPr>
      <w:r>
        <w:t>Each state has also established slightly different carryover arrangements, rules whereby a water user may be able to ‘carry over’ an unused volume from one water year to the subsequent water year</w:t>
      </w:r>
      <w:r w:rsidR="009B6B88">
        <w:t xml:space="preserve"> (</w:t>
      </w:r>
      <w:r w:rsidR="002F4EC2">
        <w:t xml:space="preserve">these are set out later in </w:t>
      </w:r>
      <w:r w:rsidR="009B6B88">
        <w:fldChar w:fldCharType="begin"/>
      </w:r>
      <w:r w:rsidR="009B6B88">
        <w:instrText xml:space="preserve"> REF _Ref108092917 \h </w:instrText>
      </w:r>
      <w:r w:rsidR="009B6B88">
        <w:fldChar w:fldCharType="separate"/>
      </w:r>
      <w:r w:rsidR="00D4298A">
        <w:rPr>
          <w:rStyle w:val="Bold"/>
        </w:rPr>
        <w:t xml:space="preserve">Figure </w:t>
      </w:r>
      <w:r w:rsidR="00D4298A">
        <w:rPr>
          <w:rStyle w:val="Bold"/>
          <w:noProof/>
        </w:rPr>
        <w:t>11</w:t>
      </w:r>
      <w:r w:rsidR="009B6B88">
        <w:fldChar w:fldCharType="end"/>
      </w:r>
      <w:r w:rsidR="009B6B88">
        <w:t>)</w:t>
      </w:r>
      <w:r>
        <w:t>.</w:t>
      </w:r>
    </w:p>
    <w:p w14:paraId="06C84465" w14:textId="77777777" w:rsidR="00A2153D" w:rsidRDefault="00A2153D" w:rsidP="00597401">
      <w:pPr>
        <w:pStyle w:val="Heading2numbered"/>
        <w:numPr>
          <w:ilvl w:val="1"/>
          <w:numId w:val="12"/>
        </w:numPr>
        <w:tabs>
          <w:tab w:val="clear" w:pos="851"/>
        </w:tabs>
        <w:ind w:left="0" w:firstLine="0"/>
      </w:pPr>
      <w:bookmarkStart w:id="38" w:name="_Toc107997219"/>
      <w:bookmarkStart w:id="39" w:name="_Toc110262382"/>
      <w:bookmarkStart w:id="40" w:name="_Toc113621650"/>
      <w:r>
        <w:t xml:space="preserve">Understanding the differences between each State’s main water </w:t>
      </w:r>
      <w:bookmarkEnd w:id="38"/>
      <w:r>
        <w:t>entitlements</w:t>
      </w:r>
      <w:bookmarkEnd w:id="39"/>
      <w:bookmarkEnd w:id="40"/>
    </w:p>
    <w:p w14:paraId="4BF48273" w14:textId="06B5D94B" w:rsidR="00A2153D" w:rsidRDefault="00A2153D" w:rsidP="00A2153D">
      <w:pPr>
        <w:pStyle w:val="BodyText"/>
      </w:pPr>
      <w:r>
        <w:t>These different approaches to State water management result in different reliability traits in the issued water entitlements (</w:t>
      </w:r>
      <w:r>
        <w:fldChar w:fldCharType="begin"/>
      </w:r>
      <w:r>
        <w:instrText xml:space="preserve"> REF _Ref108088809 \h </w:instrText>
      </w:r>
      <w:r>
        <w:fldChar w:fldCharType="separate"/>
      </w:r>
      <w:r w:rsidR="00D4298A">
        <w:rPr>
          <w:rStyle w:val="Bold"/>
        </w:rPr>
        <w:t xml:space="preserve">Figure </w:t>
      </w:r>
      <w:r w:rsidR="00D4298A">
        <w:rPr>
          <w:rStyle w:val="Bold"/>
          <w:noProof/>
        </w:rPr>
        <w:t>2</w:t>
      </w:r>
      <w:r>
        <w:fldChar w:fldCharType="end"/>
      </w:r>
      <w:r>
        <w:t>).</w:t>
      </w:r>
    </w:p>
    <w:p w14:paraId="7E3D529C" w14:textId="625B0843" w:rsidR="00A2153D" w:rsidRDefault="00A2153D" w:rsidP="00597401">
      <w:pPr>
        <w:pStyle w:val="ParaBullet1"/>
        <w:numPr>
          <w:ilvl w:val="0"/>
          <w:numId w:val="14"/>
        </w:numPr>
      </w:pPr>
      <w:r>
        <w:t xml:space="preserve">Allocations to high reliability entitlements in SA are generally 100% except if there have been several dry years in a row, in which case NSW and Victoria are unable to meet their full commitments to SA without compromising minimum levels of service within their own </w:t>
      </w:r>
      <w:r w:rsidR="00522EB0">
        <w:t>S</w:t>
      </w:r>
      <w:r>
        <w:t xml:space="preserve">tates. </w:t>
      </w:r>
    </w:p>
    <w:p w14:paraId="11972CE7" w14:textId="3AC7ED37" w:rsidR="00A2153D" w:rsidRDefault="00A2153D" w:rsidP="00597401">
      <w:pPr>
        <w:pStyle w:val="ParaBullet1"/>
        <w:numPr>
          <w:ilvl w:val="0"/>
          <w:numId w:val="14"/>
        </w:numPr>
      </w:pPr>
      <w:r>
        <w:t>Allocation</w:t>
      </w:r>
      <w:r w:rsidR="00BF551C">
        <w:t>s</w:t>
      </w:r>
      <w:r>
        <w:t xml:space="preserve"> to NSW high security entitlements are expected to be 95</w:t>
      </w:r>
      <w:r w:rsidR="00A51E22">
        <w:t>–97</w:t>
      </w:r>
      <w:r>
        <w:t>% in all but the worst drought years. Although it is not shown in the chart, those allocations have been 95-100% in every year since 2008-09.</w:t>
      </w:r>
    </w:p>
    <w:p w14:paraId="6FA241B4" w14:textId="4C3D9726" w:rsidR="00A2153D" w:rsidRDefault="00A2153D" w:rsidP="00597401">
      <w:pPr>
        <w:pStyle w:val="ParaBullet1"/>
        <w:numPr>
          <w:ilvl w:val="0"/>
          <w:numId w:val="14"/>
        </w:numPr>
      </w:pPr>
      <w:r>
        <w:t>Allocations to Victorian High Reliability Water Shares are generally 100% until there are two years of drought in a row, then, depending on the severity of the drought, they may dip to 3</w:t>
      </w:r>
      <w:r w:rsidR="00A51E22">
        <w:t>5</w:t>
      </w:r>
      <w:r>
        <w:t>% or less. In truly exceptional circumstances they may go lower. At the height of the Millennium Drought, they threatened to approach zero before the reserve policy, discussed in the previous section, was introduced through the Northern Region Sustainable Water Strategy.</w:t>
      </w:r>
    </w:p>
    <w:p w14:paraId="3EBF818A" w14:textId="77777777" w:rsidR="00A2153D" w:rsidRDefault="00A2153D" w:rsidP="00597401">
      <w:pPr>
        <w:pStyle w:val="ParaBullet1"/>
        <w:numPr>
          <w:ilvl w:val="0"/>
          <w:numId w:val="14"/>
        </w:numPr>
      </w:pPr>
      <w:r>
        <w:t>NSW allocations to general security entitlements are highly variable, and the NSW allocation methodology does not forgo allocations to establish a reserve for the following year.</w:t>
      </w:r>
    </w:p>
    <w:p w14:paraId="53D95B61" w14:textId="4FE16A82" w:rsidR="00A2153D" w:rsidRDefault="00A2153D" w:rsidP="00597401">
      <w:pPr>
        <w:pStyle w:val="ParaBullet1"/>
        <w:numPr>
          <w:ilvl w:val="0"/>
          <w:numId w:val="14"/>
        </w:numPr>
      </w:pPr>
      <w:r>
        <w:t xml:space="preserve">Allocations to Victorian Low Reliability Water Shares have generally been 0% </w:t>
      </w:r>
      <w:r w:rsidR="004C30EA">
        <w:t xml:space="preserve">in the large Goulburn and Murray systems </w:t>
      </w:r>
      <w:r>
        <w:t>since their introduction in 2007</w:t>
      </w:r>
      <w:r w:rsidR="00CD0567">
        <w:rPr>
          <w:rStyle w:val="FootnoteReference"/>
        </w:rPr>
        <w:footnoteReference w:id="10"/>
      </w:r>
      <w:r>
        <w:t xml:space="preserve">. However, the holders of Low Reliability Water Shares do have significant carryover advantages; they can park their </w:t>
      </w:r>
      <w:r>
        <w:lastRenderedPageBreak/>
        <w:t>carryover in these low reliability accounts with much less risk of spill</w:t>
      </w:r>
      <w:r w:rsidR="00320E9A">
        <w:rPr>
          <w:rStyle w:val="FootnoteReference"/>
        </w:rPr>
        <w:footnoteReference w:id="11"/>
      </w:r>
      <w:r>
        <w:t xml:space="preserve">. </w:t>
      </w:r>
      <w:r w:rsidR="00FC173A">
        <w:fldChar w:fldCharType="begin"/>
      </w:r>
      <w:r w:rsidR="00FC173A">
        <w:instrText xml:space="preserve"> REF _Ref108088809 \h </w:instrText>
      </w:r>
      <w:r w:rsidR="00FC173A">
        <w:fldChar w:fldCharType="separate"/>
      </w:r>
      <w:r w:rsidR="00D4298A">
        <w:rPr>
          <w:rStyle w:val="Bold"/>
        </w:rPr>
        <w:t xml:space="preserve">Figure </w:t>
      </w:r>
      <w:r w:rsidR="00D4298A">
        <w:rPr>
          <w:rStyle w:val="Bold"/>
          <w:noProof/>
        </w:rPr>
        <w:t>2</w:t>
      </w:r>
      <w:r w:rsidR="00FC173A">
        <w:fldChar w:fldCharType="end"/>
      </w:r>
      <w:r w:rsidR="00FC173A">
        <w:t xml:space="preserve"> shows</w:t>
      </w:r>
      <w:r w:rsidR="00745014">
        <w:t xml:space="preserve"> t</w:t>
      </w:r>
      <w:r>
        <w:t xml:space="preserve">here were allocations to </w:t>
      </w:r>
      <w:r w:rsidR="00320E9A">
        <w:t xml:space="preserve">Victorian Murray </w:t>
      </w:r>
      <w:r>
        <w:t>Low Reliability Water Shares in the 2021</w:t>
      </w:r>
      <w:r w:rsidR="00320E9A">
        <w:t>-</w:t>
      </w:r>
      <w:r>
        <w:t xml:space="preserve">22 La </w:t>
      </w:r>
      <w:r w:rsidR="00E855AB" w:rsidRPr="00E855AB">
        <w:t>Niña</w:t>
      </w:r>
      <w:r>
        <w:t xml:space="preserve"> season</w:t>
      </w:r>
      <w:r w:rsidR="00211EAF">
        <w:t xml:space="preserve"> (which meant the volume equivalent to their carryover against the entitlement was spilled and forfeited</w:t>
      </w:r>
      <w:r w:rsidR="00B46909">
        <w:t xml:space="preserve">, as with </w:t>
      </w:r>
      <w:r w:rsidR="00D0423F">
        <w:t xml:space="preserve">holders of </w:t>
      </w:r>
      <w:r w:rsidR="00B46909">
        <w:t>High Reliability Water Shares</w:t>
      </w:r>
      <w:r w:rsidR="00211EAF">
        <w:t>)</w:t>
      </w:r>
      <w:r>
        <w:t>.</w:t>
      </w:r>
    </w:p>
    <w:p w14:paraId="549386AF" w14:textId="2116A061" w:rsidR="00A2153D" w:rsidRDefault="00A2153D" w:rsidP="00A2153D">
      <w:pPr>
        <w:pStyle w:val="Caption"/>
      </w:pPr>
      <w:bookmarkStart w:id="41" w:name="_Ref108088809"/>
      <w:bookmarkStart w:id="42" w:name="_Toc104933280"/>
      <w:bookmarkStart w:id="43" w:name="_Toc110262431"/>
      <w:bookmarkStart w:id="44" w:name="_Toc113621714"/>
      <w:r>
        <w:rPr>
          <w:rStyle w:val="Bold"/>
        </w:rPr>
        <w:t xml:space="preserve">Figure </w:t>
      </w:r>
      <w:r>
        <w:fldChar w:fldCharType="begin"/>
      </w:r>
      <w:r>
        <w:rPr>
          <w:rStyle w:val="Bold"/>
        </w:rPr>
        <w:instrText xml:space="preserve"> SEQ Figure \* ARABIC </w:instrText>
      </w:r>
      <w:r>
        <w:fldChar w:fldCharType="separate"/>
      </w:r>
      <w:r w:rsidR="00D4298A">
        <w:rPr>
          <w:rStyle w:val="Bold"/>
          <w:noProof/>
        </w:rPr>
        <w:t>2</w:t>
      </w:r>
      <w:r>
        <w:fldChar w:fldCharType="end"/>
      </w:r>
      <w:bookmarkEnd w:id="41"/>
      <w:r>
        <w:t>: Allocations to selected southern MDB water products</w:t>
      </w:r>
      <w:bookmarkEnd w:id="42"/>
      <w:bookmarkEnd w:id="43"/>
      <w:bookmarkEnd w:id="44"/>
    </w:p>
    <w:p w14:paraId="3AA2B760" w14:textId="738517CD" w:rsidR="00A2153D" w:rsidRDefault="00A2153D" w:rsidP="00A2153D">
      <w:pPr>
        <w:pStyle w:val="Image-Page1fullwidth"/>
        <w:keepNext/>
        <w:framePr w:w="0" w:hSpace="0" w:wrap="auto" w:vAnchor="margin" w:yAlign="inline"/>
        <w:spacing w:after="0" w:line="240" w:lineRule="auto"/>
      </w:pPr>
      <w:r>
        <w:drawing>
          <wp:inline distT="0" distB="0" distL="0" distR="0" wp14:anchorId="7A20F748" wp14:editId="09894E14">
            <wp:extent cx="5648325" cy="3390900"/>
            <wp:effectExtent l="0" t="0" r="9525" b="0"/>
            <wp:docPr id="243" name="Picture 24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picture containing shap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8325" cy="3390900"/>
                    </a:xfrm>
                    <a:prstGeom prst="rect">
                      <a:avLst/>
                    </a:prstGeom>
                    <a:noFill/>
                    <a:ln>
                      <a:noFill/>
                    </a:ln>
                  </pic:spPr>
                </pic:pic>
              </a:graphicData>
            </a:graphic>
          </wp:inline>
        </w:drawing>
      </w:r>
    </w:p>
    <w:p w14:paraId="0F61A283" w14:textId="77777777" w:rsidR="00A2153D" w:rsidRDefault="00A2153D" w:rsidP="00A2153D">
      <w:pPr>
        <w:pStyle w:val="Source"/>
        <w:rPr>
          <w:color w:val="9BA1A5"/>
        </w:rPr>
      </w:pPr>
      <w:r>
        <w:rPr>
          <w:color w:val="9BA1A5"/>
        </w:rPr>
        <w:t>Source: Frontier Economics using data from State registers</w:t>
      </w:r>
    </w:p>
    <w:p w14:paraId="2FA43DC1" w14:textId="77777777" w:rsidR="00A2153D" w:rsidRDefault="00A2153D" w:rsidP="00A2153D">
      <w:pPr>
        <w:pStyle w:val="BodyText"/>
      </w:pPr>
    </w:p>
    <w:p w14:paraId="4AE1D780" w14:textId="4EE91047" w:rsidR="00A2153D" w:rsidRDefault="00A2153D" w:rsidP="00A2153D">
      <w:pPr>
        <w:pStyle w:val="BodyText"/>
      </w:pPr>
      <w:r>
        <w:t>It is important to note that these allocation levels do not always directly correspond to proportional increase</w:t>
      </w:r>
      <w:r w:rsidR="00522EB0">
        <w:t>s</w:t>
      </w:r>
      <w:r>
        <w:t xml:space="preserve"> in the volume of water available to users, because there is an interaction between allocation volumes and carryover policies. For example, in Victoria if the sum of water allocations and carryover reach 100%, any subsequent allocations are held in a ‘spillable water account’ that is only available under certain circumstances</w:t>
      </w:r>
      <w:r>
        <w:rPr>
          <w:rStyle w:val="FootnoteReference"/>
        </w:rPr>
        <w:footnoteReference w:id="12"/>
      </w:r>
      <w:r>
        <w:t xml:space="preserve">. In NSW, carryover is allowed in relation to General Security water entitlements, and if the sum of water allocations and the water users carryover reach the limit (100% in the Murrumbidgee, and 110% in the Murray), then any further allocation improvements are forgone. Differences in carryover </w:t>
      </w:r>
      <w:r w:rsidR="00BE1A88">
        <w:t xml:space="preserve">arrangements </w:t>
      </w:r>
      <w:r>
        <w:t xml:space="preserve">are discussed further in </w:t>
      </w:r>
      <w:r>
        <w:fldChar w:fldCharType="begin"/>
      </w:r>
      <w:r>
        <w:instrText xml:space="preserve"> REF _Ref108092917 \h </w:instrText>
      </w:r>
      <w:r>
        <w:fldChar w:fldCharType="separate"/>
      </w:r>
      <w:r w:rsidR="00D4298A">
        <w:rPr>
          <w:rStyle w:val="Bold"/>
        </w:rPr>
        <w:t xml:space="preserve">Figure </w:t>
      </w:r>
      <w:r w:rsidR="00D4298A">
        <w:rPr>
          <w:rStyle w:val="Bold"/>
          <w:noProof/>
        </w:rPr>
        <w:t>11</w:t>
      </w:r>
      <w:r>
        <w:fldChar w:fldCharType="end"/>
      </w:r>
      <w:r>
        <w:t xml:space="preserve"> in section </w:t>
      </w:r>
      <w:r>
        <w:fldChar w:fldCharType="begin"/>
      </w:r>
      <w:r>
        <w:instrText xml:space="preserve"> REF _Ref108088925 \r \h </w:instrText>
      </w:r>
      <w:r>
        <w:fldChar w:fldCharType="separate"/>
      </w:r>
      <w:r w:rsidR="00D4298A">
        <w:t>10</w:t>
      </w:r>
      <w:r>
        <w:fldChar w:fldCharType="end"/>
      </w:r>
      <w:r>
        <w:t>).</w:t>
      </w:r>
    </w:p>
    <w:p w14:paraId="551520CA" w14:textId="181EC402" w:rsidR="00A2153D" w:rsidRDefault="00A2153D" w:rsidP="00A2153D">
      <w:pPr>
        <w:pStyle w:val="BodyText"/>
      </w:pPr>
      <w:r>
        <w:t>The overall availability of water (allocations and carryover) shows that 2018-19 and 2019-20 represented the driest conditions observed since the Millennium Drought (</w:t>
      </w:r>
      <w:r>
        <w:fldChar w:fldCharType="begin"/>
      </w:r>
      <w:r>
        <w:instrText xml:space="preserve"> REF _Ref108009562 \h </w:instrText>
      </w:r>
      <w:r>
        <w:fldChar w:fldCharType="separate"/>
      </w:r>
      <w:r w:rsidR="00D4298A">
        <w:rPr>
          <w:rStyle w:val="Bold"/>
        </w:rPr>
        <w:t xml:space="preserve">Figure </w:t>
      </w:r>
      <w:r w:rsidR="00D4298A">
        <w:rPr>
          <w:rStyle w:val="Bold"/>
          <w:noProof/>
        </w:rPr>
        <w:t>3</w:t>
      </w:r>
      <w:r>
        <w:fldChar w:fldCharType="end"/>
      </w:r>
      <w:r>
        <w:t xml:space="preserve">). </w:t>
      </w:r>
    </w:p>
    <w:p w14:paraId="2697D6AD" w14:textId="1FEE8942" w:rsidR="00A2153D" w:rsidRDefault="00A2153D" w:rsidP="00A2153D">
      <w:pPr>
        <w:pStyle w:val="Caption"/>
      </w:pPr>
      <w:bookmarkStart w:id="45" w:name="_Ref108009562"/>
      <w:bookmarkStart w:id="46" w:name="_Toc104933281"/>
      <w:bookmarkStart w:id="47" w:name="_Toc110262432"/>
      <w:bookmarkStart w:id="48" w:name="_Toc113621715"/>
      <w:r>
        <w:rPr>
          <w:rStyle w:val="Bold"/>
        </w:rPr>
        <w:lastRenderedPageBreak/>
        <w:t xml:space="preserve">Figure </w:t>
      </w:r>
      <w:r>
        <w:fldChar w:fldCharType="begin"/>
      </w:r>
      <w:r>
        <w:rPr>
          <w:rStyle w:val="Bold"/>
        </w:rPr>
        <w:instrText xml:space="preserve"> SEQ Figure \* ARABIC </w:instrText>
      </w:r>
      <w:r>
        <w:fldChar w:fldCharType="separate"/>
      </w:r>
      <w:r w:rsidR="00D4298A">
        <w:rPr>
          <w:rStyle w:val="Bold"/>
          <w:noProof/>
        </w:rPr>
        <w:t>3</w:t>
      </w:r>
      <w:r>
        <w:fldChar w:fldCharType="end"/>
      </w:r>
      <w:bookmarkEnd w:id="45"/>
      <w:r>
        <w:t>: Water allocation volumes in the southern Murray–Darling Basin, 2007-08 to 2020-21</w:t>
      </w:r>
      <w:bookmarkEnd w:id="46"/>
      <w:bookmarkEnd w:id="47"/>
      <w:bookmarkEnd w:id="48"/>
    </w:p>
    <w:p w14:paraId="2A1376E7" w14:textId="02579F9D" w:rsidR="00A2153D" w:rsidRDefault="00A2153D" w:rsidP="00A2153D">
      <w:pPr>
        <w:pStyle w:val="Image-Page1fullwidth"/>
        <w:keepNext/>
        <w:framePr w:w="0" w:hSpace="0" w:wrap="auto" w:vAnchor="margin" w:yAlign="inline"/>
        <w:spacing w:after="0" w:line="240" w:lineRule="auto"/>
      </w:pPr>
      <w:r>
        <w:drawing>
          <wp:inline distT="0" distB="0" distL="0" distR="0" wp14:anchorId="5DBB7AA4" wp14:editId="4F08093F">
            <wp:extent cx="5753100" cy="2590800"/>
            <wp:effectExtent l="0" t="0" r="0" b="0"/>
            <wp:docPr id="242" name="Picture 24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hart, histo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2590800"/>
                    </a:xfrm>
                    <a:prstGeom prst="rect">
                      <a:avLst/>
                    </a:prstGeom>
                    <a:noFill/>
                    <a:ln>
                      <a:noFill/>
                    </a:ln>
                  </pic:spPr>
                </pic:pic>
              </a:graphicData>
            </a:graphic>
          </wp:inline>
        </w:drawing>
      </w:r>
    </w:p>
    <w:p w14:paraId="47C53D68" w14:textId="77777777" w:rsidR="00A2153D" w:rsidRDefault="00A2153D" w:rsidP="00A2153D">
      <w:pPr>
        <w:pStyle w:val="Source"/>
        <w:rPr>
          <w:color w:val="9BA1A5"/>
        </w:rPr>
      </w:pPr>
      <w:r>
        <w:rPr>
          <w:color w:val="9BA1A5"/>
        </w:rPr>
        <w:t>Source: Australian Water Markets Report 2020-21, figure 4.5.</w:t>
      </w:r>
    </w:p>
    <w:p w14:paraId="266EADBB" w14:textId="77777777" w:rsidR="00A2153D" w:rsidRDefault="00A2153D" w:rsidP="00597401">
      <w:pPr>
        <w:pStyle w:val="Heading2numbered"/>
        <w:numPr>
          <w:ilvl w:val="1"/>
          <w:numId w:val="12"/>
        </w:numPr>
        <w:tabs>
          <w:tab w:val="clear" w:pos="851"/>
        </w:tabs>
        <w:ind w:left="0" w:firstLine="0"/>
      </w:pPr>
      <w:bookmarkStart w:id="49" w:name="_Toc107997220"/>
      <w:bookmarkStart w:id="50" w:name="_Toc110262383"/>
      <w:bookmarkStart w:id="51" w:name="_Toc113621651"/>
      <w:r>
        <w:t>One large water market</w:t>
      </w:r>
      <w:bookmarkEnd w:id="49"/>
      <w:bookmarkEnd w:id="50"/>
      <w:bookmarkEnd w:id="51"/>
    </w:p>
    <w:p w14:paraId="7F0BA67D" w14:textId="116D6D96" w:rsidR="00A2153D" w:rsidRDefault="00A2153D" w:rsidP="00A2153D">
      <w:pPr>
        <w:pStyle w:val="BodyText"/>
        <w:rPr>
          <w:lang w:val="en-US"/>
        </w:rPr>
      </w:pPr>
      <w:r>
        <w:rPr>
          <w:lang w:val="en-US"/>
        </w:rPr>
        <w:t xml:space="preserve">Each </w:t>
      </w:r>
      <w:r w:rsidR="00322263">
        <w:rPr>
          <w:lang w:val="en-US"/>
        </w:rPr>
        <w:t>S</w:t>
      </w:r>
      <w:r>
        <w:rPr>
          <w:lang w:val="en-US"/>
        </w:rPr>
        <w:t xml:space="preserve">tate in the southern-connected basin started to develop its own water market in the 1980s. Over time, these were progressively integrated, based on the concept of a ‘cap and trade’ system, to the point where under the Commonwealth </w:t>
      </w:r>
      <w:r>
        <w:rPr>
          <w:i/>
          <w:lang w:val="en-US"/>
        </w:rPr>
        <w:t>Water Act 2007,</w:t>
      </w:r>
      <w:r>
        <w:rPr>
          <w:lang w:val="en-US"/>
        </w:rPr>
        <w:t xml:space="preserve"> the </w:t>
      </w:r>
      <w:r>
        <w:rPr>
          <w:bCs/>
        </w:rPr>
        <w:t xml:space="preserve">Australian Competition and Consumer Commission (ACCC) now </w:t>
      </w:r>
      <w:r>
        <w:rPr>
          <w:lang w:val="en-US"/>
        </w:rPr>
        <w:t>enforces water market rules, provides advice to the Commonwealth Minister responsible for water on the development of water market rules, and advises the MDBA on the development of water trading rules.</w:t>
      </w:r>
    </w:p>
    <w:p w14:paraId="7CFEF527" w14:textId="2E11CF36" w:rsidR="00A2153D" w:rsidRDefault="00A2153D" w:rsidP="00A2153D">
      <w:pPr>
        <w:pStyle w:val="BodyText"/>
        <w:rPr>
          <w:lang w:val="en-US"/>
        </w:rPr>
      </w:pPr>
      <w:r>
        <w:rPr>
          <w:lang w:val="en-US"/>
        </w:rPr>
        <w:t>Caps on water extraction enable the scarcity value of water to be revealed. When water is plentiful there may be enough for all users, but when it is scarce, it is not possible to meet all users’ demands. The water market enables the value of this scarcity to be revealed and water to be reallocated between users depending on their individual needs and circumstances. Consequently, water trading has become a vital business tool for many irrigators; it provides them with the flexibility to respond to variable water availability. The water market allows water to flow to where it can be used most productively. It also allows for major changes in how businesses manage their capital (e.g. whether they hold water entitlements or depend on allocation purchases).</w:t>
      </w:r>
    </w:p>
    <w:p w14:paraId="5C0FE129" w14:textId="32F4172C" w:rsidR="00A2153D" w:rsidRDefault="00A2153D" w:rsidP="00A2153D">
      <w:pPr>
        <w:pStyle w:val="BodyText"/>
        <w:rPr>
          <w:lang w:val="en-US"/>
        </w:rPr>
      </w:pPr>
      <w:r>
        <w:rPr>
          <w:lang w:val="en-US"/>
        </w:rPr>
        <w:t>Although there are varying degrees of connectivity between different parts of the southern-connected basin, there is now in effect one large water market covering the entire system (</w:t>
      </w:r>
      <w:r>
        <w:rPr>
          <w:lang w:val="en-US"/>
        </w:rPr>
        <w:fldChar w:fldCharType="begin"/>
      </w:r>
      <w:r>
        <w:rPr>
          <w:lang w:val="en-US"/>
        </w:rPr>
        <w:instrText xml:space="preserve"> REF _Ref108094107 \h </w:instrText>
      </w:r>
      <w:r>
        <w:rPr>
          <w:lang w:val="en-US"/>
        </w:rPr>
      </w:r>
      <w:r>
        <w:rPr>
          <w:lang w:val="en-US"/>
        </w:rPr>
        <w:fldChar w:fldCharType="separate"/>
      </w:r>
      <w:r w:rsidR="00D4298A">
        <w:rPr>
          <w:rStyle w:val="Bold"/>
        </w:rPr>
        <w:t xml:space="preserve">Figure </w:t>
      </w:r>
      <w:r w:rsidR="00D4298A">
        <w:rPr>
          <w:rStyle w:val="Bold"/>
          <w:noProof/>
        </w:rPr>
        <w:t>4</w:t>
      </w:r>
      <w:r>
        <w:rPr>
          <w:lang w:val="en-US"/>
        </w:rPr>
        <w:fldChar w:fldCharType="end"/>
      </w:r>
      <w:r>
        <w:rPr>
          <w:lang w:val="en-US"/>
        </w:rPr>
        <w:t>). The heterogeneity of different irrigation enterprises throughout the system, combined with the varying degrees of reliability associated with different water entitlements, makes for a very active market. The trading zones are</w:t>
      </w:r>
      <w:r>
        <w:rPr>
          <w:rStyle w:val="FootnoteReference"/>
          <w:lang w:val="en-US"/>
        </w:rPr>
        <w:footnoteReference w:id="13"/>
      </w:r>
      <w:r>
        <w:rPr>
          <w:lang w:val="en-US"/>
        </w:rPr>
        <w:t>:</w:t>
      </w:r>
    </w:p>
    <w:p w14:paraId="683DD5CE" w14:textId="77777777" w:rsidR="00A2153D" w:rsidRDefault="00A2153D" w:rsidP="00597401">
      <w:pPr>
        <w:pStyle w:val="ParaBullet1"/>
        <w:numPr>
          <w:ilvl w:val="0"/>
          <w:numId w:val="14"/>
        </w:numPr>
      </w:pPr>
      <w:r w:rsidRPr="00A2153D">
        <w:rPr>
          <w:b/>
          <w:bCs/>
        </w:rPr>
        <w:t>Trading Zone 1 Greater Goulburn</w:t>
      </w:r>
      <w:r>
        <w:t xml:space="preserve"> — includes Lake Eildon to Goulburn Weir; Goulburn irrigation areas; and Loddon weir pool</w:t>
      </w:r>
    </w:p>
    <w:p w14:paraId="27403FF7" w14:textId="77777777" w:rsidR="00A2153D" w:rsidRDefault="00A2153D" w:rsidP="00597401">
      <w:pPr>
        <w:pStyle w:val="ParaBullet1"/>
        <w:numPr>
          <w:ilvl w:val="0"/>
          <w:numId w:val="14"/>
        </w:numPr>
      </w:pPr>
      <w:r w:rsidRPr="00A2153D">
        <w:rPr>
          <w:b/>
          <w:bCs/>
        </w:rPr>
        <w:lastRenderedPageBreak/>
        <w:t>Trading Zone 3 Lower Goulburn</w:t>
      </w:r>
      <w:r>
        <w:t xml:space="preserve"> — includes Goulburn River below Goulburn Weir</w:t>
      </w:r>
    </w:p>
    <w:p w14:paraId="66E2B16F" w14:textId="77777777" w:rsidR="00A2153D" w:rsidRDefault="00A2153D" w:rsidP="00597401">
      <w:pPr>
        <w:pStyle w:val="ParaBullet1"/>
        <w:numPr>
          <w:ilvl w:val="0"/>
          <w:numId w:val="14"/>
        </w:numPr>
      </w:pPr>
      <w:r w:rsidRPr="00A2153D">
        <w:rPr>
          <w:b/>
          <w:bCs/>
        </w:rPr>
        <w:t>Trading Zone 4A Campaspe</w:t>
      </w:r>
      <w:r>
        <w:t xml:space="preserve"> — includes Lake Eppalock to Waranga Western Channel; and Campaspe District</w:t>
      </w:r>
    </w:p>
    <w:p w14:paraId="21BDCCD6" w14:textId="77777777" w:rsidR="00A2153D" w:rsidRDefault="00A2153D" w:rsidP="00597401">
      <w:pPr>
        <w:pStyle w:val="ParaBullet1"/>
        <w:numPr>
          <w:ilvl w:val="0"/>
          <w:numId w:val="14"/>
        </w:numPr>
      </w:pPr>
      <w:r w:rsidRPr="00A2153D">
        <w:rPr>
          <w:b/>
          <w:bCs/>
        </w:rPr>
        <w:t>Trading Zone 4C Lower Campaspe</w:t>
      </w:r>
      <w:r>
        <w:t xml:space="preserve"> — includes lower Campaspe River from Waranga Western Channel to Murray River</w:t>
      </w:r>
    </w:p>
    <w:p w14:paraId="0967FB99" w14:textId="77777777" w:rsidR="00A2153D" w:rsidRDefault="00A2153D" w:rsidP="00597401">
      <w:pPr>
        <w:pStyle w:val="ParaBullet1"/>
        <w:numPr>
          <w:ilvl w:val="0"/>
          <w:numId w:val="14"/>
        </w:numPr>
      </w:pPr>
      <w:r w:rsidRPr="00A2153D">
        <w:rPr>
          <w:b/>
          <w:bCs/>
        </w:rPr>
        <w:t>Trading Zone 5A Part Loddon</w:t>
      </w:r>
      <w:r>
        <w:t xml:space="preserve"> — includes Loddon River and Tullaroop Creek; from Cairn Curran and Tullaroop reservoirs to Loddon Weir; and Serpentine Creek system above Bears Lagoon</w:t>
      </w:r>
    </w:p>
    <w:p w14:paraId="752BC57D" w14:textId="77777777" w:rsidR="00A2153D" w:rsidRDefault="00A2153D" w:rsidP="00597401">
      <w:pPr>
        <w:pStyle w:val="ParaBullet1"/>
        <w:numPr>
          <w:ilvl w:val="0"/>
          <w:numId w:val="14"/>
        </w:numPr>
      </w:pPr>
      <w:r w:rsidRPr="00A2153D">
        <w:rPr>
          <w:b/>
          <w:bCs/>
        </w:rPr>
        <w:t>Trading Zone 6 Victorian Murray above Barmah Choke</w:t>
      </w:r>
      <w:r>
        <w:t xml:space="preserve"> — includes River Murray from Lake Hume to Barmah Choke; Mitta Mitta River below Lake Dartmouth; and Murray Valley area</w:t>
      </w:r>
    </w:p>
    <w:p w14:paraId="2B44535C" w14:textId="77777777" w:rsidR="00A2153D" w:rsidRDefault="00A2153D" w:rsidP="00597401">
      <w:pPr>
        <w:pStyle w:val="ParaBullet1"/>
        <w:numPr>
          <w:ilvl w:val="0"/>
          <w:numId w:val="14"/>
        </w:numPr>
      </w:pPr>
      <w:r w:rsidRPr="00A2153D">
        <w:rPr>
          <w:b/>
          <w:bCs/>
        </w:rPr>
        <w:t>Trading Zone 6B Lower Broken Creek</w:t>
      </w:r>
      <w:r>
        <w:t xml:space="preserve"> — includes Broken Creek downstream of Katamatite</w:t>
      </w:r>
    </w:p>
    <w:p w14:paraId="773EA924" w14:textId="3DBFD224" w:rsidR="00A2153D" w:rsidRDefault="00A2153D" w:rsidP="00597401">
      <w:pPr>
        <w:pStyle w:val="ParaBullet1"/>
        <w:numPr>
          <w:ilvl w:val="0"/>
          <w:numId w:val="14"/>
        </w:numPr>
      </w:pPr>
      <w:r w:rsidRPr="00A2153D">
        <w:rPr>
          <w:b/>
          <w:bCs/>
        </w:rPr>
        <w:t>Trading Zone 7 Victorian Murray from Barmah Choke to SA Border</w:t>
      </w:r>
      <w:r>
        <w:t xml:space="preserve"> — includes Torrumbarry area, Tresco, Nyah, Robinvale, Red Cliffs, Merbein and </w:t>
      </w:r>
      <w:r w:rsidR="00A51E22">
        <w:t>Mildura</w:t>
      </w:r>
      <w:r>
        <w:t xml:space="preserve"> irrigation districts</w:t>
      </w:r>
    </w:p>
    <w:p w14:paraId="39EBB72D" w14:textId="77777777" w:rsidR="00A2153D" w:rsidRDefault="00A2153D" w:rsidP="00597401">
      <w:pPr>
        <w:pStyle w:val="ParaBullet1"/>
        <w:numPr>
          <w:ilvl w:val="0"/>
          <w:numId w:val="14"/>
        </w:numPr>
      </w:pPr>
      <w:r w:rsidRPr="00A2153D">
        <w:rPr>
          <w:b/>
          <w:bCs/>
        </w:rPr>
        <w:t>Trading Zone 10 NSW Murray above Barmah Choke</w:t>
      </w:r>
      <w:r>
        <w:t xml:space="preserve"> — includes River Murray from Lake Hume to Barmah Choke; and Murray Irrigation Ltd areas, including Wakool Irrigation District</w:t>
      </w:r>
    </w:p>
    <w:p w14:paraId="22DEFECF" w14:textId="77777777" w:rsidR="00A2153D" w:rsidRDefault="00A2153D" w:rsidP="00597401">
      <w:pPr>
        <w:pStyle w:val="ParaBullet1"/>
        <w:numPr>
          <w:ilvl w:val="0"/>
          <w:numId w:val="14"/>
        </w:numPr>
      </w:pPr>
      <w:r w:rsidRPr="00A2153D">
        <w:rPr>
          <w:b/>
          <w:bCs/>
        </w:rPr>
        <w:t>Trading Zone 11 NSW Murray below Barmah Choke</w:t>
      </w:r>
      <w:r>
        <w:t xml:space="preserve"> — includes River Murray from Barmah Choke to SA border (including the Edwards/ Wakool system and the Western Murray Irrigation District)</w:t>
      </w:r>
    </w:p>
    <w:p w14:paraId="5FE20D49" w14:textId="77777777" w:rsidR="00A2153D" w:rsidRDefault="00A2153D" w:rsidP="00597401">
      <w:pPr>
        <w:pStyle w:val="ParaBullet1"/>
        <w:numPr>
          <w:ilvl w:val="0"/>
          <w:numId w:val="14"/>
        </w:numPr>
      </w:pPr>
      <w:r w:rsidRPr="00A2153D">
        <w:rPr>
          <w:b/>
          <w:bCs/>
        </w:rPr>
        <w:t>Trading Zone 12 South Australian Murray</w:t>
      </w:r>
      <w:r>
        <w:t xml:space="preserve"> — includes River Murray in SA and Trust districts</w:t>
      </w:r>
    </w:p>
    <w:p w14:paraId="7E248B4C" w14:textId="77777777" w:rsidR="00A2153D" w:rsidRDefault="00A2153D" w:rsidP="00597401">
      <w:pPr>
        <w:pStyle w:val="ParaBullet1"/>
        <w:numPr>
          <w:ilvl w:val="0"/>
          <w:numId w:val="14"/>
        </w:numPr>
      </w:pPr>
      <w:r w:rsidRPr="00A2153D">
        <w:rPr>
          <w:b/>
          <w:bCs/>
        </w:rPr>
        <w:t>Trading Zone 13 Murrumbidgee</w:t>
      </w:r>
      <w:r>
        <w:t xml:space="preserve"> — including Murrumbidgee Irrigation and Colleambally Irrigation areas; Murrumbidgee and Tumut below Burrinjuck and Blowering reservoirs (including Yanko, Colombo and Billabong Creek systems)</w:t>
      </w:r>
    </w:p>
    <w:p w14:paraId="5B00E462" w14:textId="77777777" w:rsidR="00A2153D" w:rsidRDefault="00A2153D" w:rsidP="00597401">
      <w:pPr>
        <w:pStyle w:val="ParaBullet1"/>
        <w:numPr>
          <w:ilvl w:val="0"/>
          <w:numId w:val="14"/>
        </w:numPr>
      </w:pPr>
      <w:r w:rsidRPr="00A2153D">
        <w:rPr>
          <w:b/>
          <w:bCs/>
        </w:rPr>
        <w:t>Trading Zone 14 Lower Darling</w:t>
      </w:r>
      <w:r>
        <w:t xml:space="preserve"> — includes Menindee Lakes and the Darling River downstream of the Menindee Lakes.</w:t>
      </w:r>
    </w:p>
    <w:p w14:paraId="4C467485" w14:textId="146A7D57" w:rsidR="00A2153D" w:rsidRDefault="00A2153D" w:rsidP="00A2153D">
      <w:pPr>
        <w:pStyle w:val="Caption"/>
      </w:pPr>
      <w:bookmarkStart w:id="52" w:name="_Ref108094107"/>
      <w:bookmarkStart w:id="53" w:name="_Toc104933282"/>
      <w:bookmarkStart w:id="54" w:name="_Toc110262433"/>
      <w:bookmarkStart w:id="55" w:name="_Toc113621716"/>
      <w:r>
        <w:rPr>
          <w:rStyle w:val="Bold"/>
        </w:rPr>
        <w:lastRenderedPageBreak/>
        <w:t xml:space="preserve">Figure </w:t>
      </w:r>
      <w:r>
        <w:fldChar w:fldCharType="begin"/>
      </w:r>
      <w:r>
        <w:rPr>
          <w:rStyle w:val="Bold"/>
        </w:rPr>
        <w:instrText xml:space="preserve"> SEQ Figure \* ARABIC </w:instrText>
      </w:r>
      <w:r>
        <w:fldChar w:fldCharType="separate"/>
      </w:r>
      <w:r w:rsidR="00D4298A">
        <w:rPr>
          <w:rStyle w:val="Bold"/>
          <w:noProof/>
        </w:rPr>
        <w:t>4</w:t>
      </w:r>
      <w:r>
        <w:fldChar w:fldCharType="end"/>
      </w:r>
      <w:bookmarkEnd w:id="52"/>
      <w:r>
        <w:t>: Map of southern MDB water trading zones</w:t>
      </w:r>
      <w:bookmarkEnd w:id="53"/>
      <w:bookmarkEnd w:id="54"/>
      <w:bookmarkEnd w:id="55"/>
    </w:p>
    <w:p w14:paraId="45F0E1E4" w14:textId="62EB70B5" w:rsidR="00A2153D" w:rsidRDefault="00A2153D" w:rsidP="00A2153D">
      <w:pPr>
        <w:pStyle w:val="Image-Page1fullwidth"/>
        <w:keepNext/>
        <w:framePr w:w="0" w:hSpace="0" w:wrap="auto" w:vAnchor="margin" w:yAlign="inline"/>
        <w:spacing w:after="0" w:line="240" w:lineRule="auto"/>
      </w:pPr>
      <w:r>
        <w:drawing>
          <wp:inline distT="0" distB="0" distL="0" distR="0" wp14:anchorId="7C5CDE95" wp14:editId="0A290682">
            <wp:extent cx="4457700" cy="3009900"/>
            <wp:effectExtent l="0" t="0" r="0" b="0"/>
            <wp:docPr id="241" name="Picture 241"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agram, map&#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b="2501"/>
                    <a:stretch>
                      <a:fillRect/>
                    </a:stretch>
                  </pic:blipFill>
                  <pic:spPr bwMode="auto">
                    <a:xfrm>
                      <a:off x="0" y="0"/>
                      <a:ext cx="4457700" cy="3009900"/>
                    </a:xfrm>
                    <a:prstGeom prst="rect">
                      <a:avLst/>
                    </a:prstGeom>
                    <a:noFill/>
                    <a:ln>
                      <a:noFill/>
                    </a:ln>
                  </pic:spPr>
                </pic:pic>
              </a:graphicData>
            </a:graphic>
          </wp:inline>
        </w:drawing>
      </w:r>
    </w:p>
    <w:p w14:paraId="4516BDEC" w14:textId="77777777" w:rsidR="00A2153D" w:rsidRDefault="00A2153D" w:rsidP="00A2153D">
      <w:pPr>
        <w:pStyle w:val="Source"/>
        <w:rPr>
          <w:color w:val="9BA1A5"/>
        </w:rPr>
      </w:pPr>
      <w:r>
        <w:rPr>
          <w:color w:val="9BA1A5"/>
        </w:rPr>
        <w:t>Source: MDBA</w:t>
      </w:r>
    </w:p>
    <w:p w14:paraId="2D822C9B" w14:textId="62ECB9FD" w:rsidR="00A2153D" w:rsidRDefault="00A2153D" w:rsidP="00597401">
      <w:pPr>
        <w:pStyle w:val="Heading2numbered"/>
        <w:numPr>
          <w:ilvl w:val="1"/>
          <w:numId w:val="12"/>
        </w:numPr>
        <w:tabs>
          <w:tab w:val="clear" w:pos="851"/>
        </w:tabs>
        <w:ind w:left="0" w:firstLine="0"/>
      </w:pPr>
      <w:bookmarkStart w:id="56" w:name="_Toc107997221"/>
      <w:bookmarkStart w:id="57" w:name="_Toc110262384"/>
      <w:bookmarkStart w:id="58" w:name="_Toc113621652"/>
      <w:r>
        <w:t>Physical constraints to water trade and policies</w:t>
      </w:r>
      <w:bookmarkEnd w:id="56"/>
      <w:r>
        <w:t xml:space="preserve"> for dealing with them</w:t>
      </w:r>
      <w:bookmarkEnd w:id="57"/>
      <w:bookmarkEnd w:id="58"/>
    </w:p>
    <w:p w14:paraId="75F5F1CC" w14:textId="77777777" w:rsidR="00A2153D" w:rsidRDefault="00A2153D" w:rsidP="00A2153D">
      <w:pPr>
        <w:pStyle w:val="BodyText"/>
      </w:pPr>
      <w:r>
        <w:t>There are several locations in the river system, such as the Barmah Choke, where channel capacity is naturally restricted, and flows need to be limited if all the water is to remain within the river’s banks. Overbank flows occur naturally, typically in winter and spring. These overbank flows are critical to the ecological health of the riverine environment, including connected wetlands and forests. However, unseasonal overbank flows can incur environmental, social, and economic costs depending on their duration and the time of year they occur.</w:t>
      </w:r>
    </w:p>
    <w:p w14:paraId="774A27DA" w14:textId="41DDCC60" w:rsidR="00A2153D" w:rsidRDefault="00A2153D" w:rsidP="00A2153D">
      <w:pPr>
        <w:pStyle w:val="BodyText"/>
      </w:pPr>
      <w:r>
        <w:t xml:space="preserve">Channel capacity limitations at the Barmah Choke, the lower Goulburn, the lower Murrumbidgee, and other locations are a major influence on the way the system is operated. They require an understanding of, and the ability to anticipate, downstream demands well ahead of time. To ensure timely access to water in the lower parts of the Basin, storage releases are sometimes necessary several </w:t>
      </w:r>
      <w:r w:rsidR="007C3A3F">
        <w:t>week</w:t>
      </w:r>
      <w:r>
        <w:t>s in advance to deliver water downstream to balancing-storages so that the rates of delivery later in the season can be maintained within channel capacity.</w:t>
      </w:r>
    </w:p>
    <w:p w14:paraId="72E7C310" w14:textId="73E5A25E" w:rsidR="00A2153D" w:rsidRDefault="00A2153D" w:rsidP="00A2153D">
      <w:pPr>
        <w:pStyle w:val="BodyText"/>
      </w:pPr>
      <w:r>
        <w:t>Water trading rules can help to manage system constraints. For example, water trade between the Murrumbidgee, Murray, and Goulburn Valley systems is subject to “inter-valley tra</w:t>
      </w:r>
      <w:r w:rsidR="00431B40">
        <w:t>de</w:t>
      </w:r>
      <w:r>
        <w:t xml:space="preserve"> rules”. These trading rules were designed to protect against third-party impacts to other entitlement holders in each of the systems</w:t>
      </w:r>
      <w:r w:rsidR="00431B40">
        <w:t xml:space="preserve"> and prevent ecological damage</w:t>
      </w:r>
      <w:r>
        <w:t>.</w:t>
      </w:r>
    </w:p>
    <w:p w14:paraId="40333A2B" w14:textId="74F6556A" w:rsidR="00A2153D" w:rsidRDefault="00A2153D" w:rsidP="00A2153D">
      <w:pPr>
        <w:pStyle w:val="BodyText"/>
      </w:pPr>
      <w:r>
        <w:t>Over time, water trade can also cause changes to demand patterns to the point where river management rules may need to be reviewed to ensure they remain fit-for-purpose. For example, the trade rule for tra</w:t>
      </w:r>
      <w:r w:rsidR="00431B40">
        <w:t>de</w:t>
      </w:r>
      <w:r>
        <w:t xml:space="preserve"> from the Goulburn to Murray system has been recently reviewed and refined in response to environmental damage to the lower Goulburn River being observed in 2017-18 and 2018-19 due to high flows for inter-valley transfers. An interim trade rule was put in place for 2021-22, and the refined trade rule has applied since 1 July 2022. The new trade rule is consistent with changes to the operational rules for the Goulburn which protect against inter-</w:t>
      </w:r>
      <w:r>
        <w:lastRenderedPageBreak/>
        <w:t>valley transfers resulting in high summer flows.</w:t>
      </w:r>
      <w:r w:rsidR="00431B40">
        <w:t xml:space="preserve"> </w:t>
      </w:r>
      <w:r w:rsidR="00431B40" w:rsidRPr="00431B40">
        <w:t>An operating plan that recognises the limits on how much can be physically transferred over summer and autumn (i.e. within the operating rules) has also been developed by Victorian and MDBA river operators for the 2022-23 season. The trade rule therefore reflects how much water can be traded given how irrigators are using water and how much can physically be delivered, while the operating plan demonstrates when water will be transferred under different seasonal conditions to operate the river efficiently and within the capacity of the river system</w:t>
      </w:r>
      <w:r w:rsidR="00431B40">
        <w:t>.</w:t>
      </w:r>
    </w:p>
    <w:p w14:paraId="084B591E" w14:textId="3CC9B95E" w:rsidR="00A2153D" w:rsidRDefault="00A2153D" w:rsidP="00A2153D">
      <w:pPr>
        <w:pStyle w:val="BodyText"/>
      </w:pPr>
      <w:r>
        <w:t xml:space="preserve">Pressure on </w:t>
      </w:r>
      <w:r w:rsidR="00431B40">
        <w:t xml:space="preserve">delivering water from </w:t>
      </w:r>
      <w:r>
        <w:t xml:space="preserve">the Goulburn and Murrumbidgee River systems increases when water levels in the Menindee Lakes are so low that the MDBA cannot use those storages to meet South Australian entitlement flows. Consequently, the MDBA must make greater use of Hume and Dartmouth to meet those flows, and must also rely on the Goulburn and Murrumbidgee </w:t>
      </w:r>
      <w:r w:rsidR="00431B40">
        <w:t xml:space="preserve">throughout the year </w:t>
      </w:r>
      <w:r>
        <w:t xml:space="preserve">to </w:t>
      </w:r>
      <w:r w:rsidR="007C3A3F">
        <w:t>ensure the</w:t>
      </w:r>
      <w:r>
        <w:t xml:space="preserve"> flows </w:t>
      </w:r>
      <w:r w:rsidR="007C3A3F">
        <w:t>do not</w:t>
      </w:r>
      <w:r>
        <w:t xml:space="preserve"> overtop the riverbanks in the Barmah-Millewa Forest during the summer months. However, they must also protect the health and integrity of those tributaries. </w:t>
      </w:r>
    </w:p>
    <w:p w14:paraId="4DA6910A" w14:textId="3279E008" w:rsidR="00A2153D" w:rsidRDefault="00A2153D" w:rsidP="00A2153D">
      <w:pPr>
        <w:pStyle w:val="BodyText"/>
      </w:pPr>
      <w:r>
        <w:t>Water allocation trade has been an important source of water for Victorian irrigators</w:t>
      </w:r>
      <w:r w:rsidR="00431B40">
        <w:t xml:space="preserve"> (</w:t>
      </w:r>
      <w:r w:rsidR="00431B40">
        <w:fldChar w:fldCharType="begin"/>
      </w:r>
      <w:r w:rsidR="00431B40">
        <w:instrText xml:space="preserve"> REF _Ref111495311 \h </w:instrText>
      </w:r>
      <w:r w:rsidR="00431B40">
        <w:fldChar w:fldCharType="separate"/>
      </w:r>
      <w:r w:rsidR="00D4298A">
        <w:rPr>
          <w:rStyle w:val="Bold"/>
        </w:rPr>
        <w:t xml:space="preserve">Figure </w:t>
      </w:r>
      <w:r w:rsidR="00D4298A">
        <w:rPr>
          <w:rStyle w:val="Bold"/>
          <w:noProof/>
        </w:rPr>
        <w:t>5</w:t>
      </w:r>
      <w:r w:rsidR="00431B40">
        <w:fldChar w:fldCharType="end"/>
      </w:r>
      <w:r w:rsidR="00431B40">
        <w:t>)</w:t>
      </w:r>
      <w:r>
        <w:t xml:space="preserve">. Much of this water comes from the NSW Murrumbidgee and NSW Murray, and it is subject to the trade constraints described above. However, the nature of the connected system meant that, when </w:t>
      </w:r>
      <w:r w:rsidR="00A84BB0" w:rsidRPr="00A84BB0">
        <w:t xml:space="preserve">NSW was recently in drought and </w:t>
      </w:r>
      <w:r>
        <w:t xml:space="preserve">water scarcity was driven by </w:t>
      </w:r>
      <w:r w:rsidR="00AA70D0" w:rsidRPr="00AA70D0">
        <w:t xml:space="preserve">low allocations to </w:t>
      </w:r>
      <w:r>
        <w:t xml:space="preserve">southern NSW general security </w:t>
      </w:r>
      <w:r w:rsidR="00AA70D0">
        <w:t xml:space="preserve">entitlements </w:t>
      </w:r>
      <w:r>
        <w:t>in 2017-18 and 2018-19, Victoria became a ‘net exporter’ of water. This also led to significant reallocation of water within Victoria.</w:t>
      </w:r>
    </w:p>
    <w:p w14:paraId="0A170EDE" w14:textId="6E2AC445" w:rsidR="00A2153D" w:rsidRDefault="00A2153D" w:rsidP="00A2153D">
      <w:pPr>
        <w:pStyle w:val="Caption"/>
      </w:pPr>
      <w:bookmarkStart w:id="59" w:name="_Ref111495311"/>
      <w:bookmarkStart w:id="60" w:name="_Toc104933283"/>
      <w:bookmarkStart w:id="61" w:name="_Toc110262434"/>
      <w:bookmarkStart w:id="62" w:name="_Toc113621717"/>
      <w:r>
        <w:rPr>
          <w:rStyle w:val="Bold"/>
        </w:rPr>
        <w:t xml:space="preserve">Figure </w:t>
      </w:r>
      <w:r>
        <w:fldChar w:fldCharType="begin"/>
      </w:r>
      <w:r>
        <w:rPr>
          <w:rStyle w:val="Bold"/>
        </w:rPr>
        <w:instrText xml:space="preserve"> SEQ Figure \* ARABIC </w:instrText>
      </w:r>
      <w:r>
        <w:fldChar w:fldCharType="separate"/>
      </w:r>
      <w:r w:rsidR="00D4298A">
        <w:rPr>
          <w:rStyle w:val="Bold"/>
          <w:noProof/>
        </w:rPr>
        <w:t>5</w:t>
      </w:r>
      <w:r>
        <w:fldChar w:fldCharType="end"/>
      </w:r>
      <w:bookmarkEnd w:id="59"/>
      <w:r>
        <w:t>: Annual net allocation trade into and out of Victoria, 2007-08 to 2021</w:t>
      </w:r>
      <w:bookmarkEnd w:id="60"/>
      <w:r>
        <w:t>-22</w:t>
      </w:r>
      <w:bookmarkEnd w:id="61"/>
      <w:bookmarkEnd w:id="62"/>
    </w:p>
    <w:p w14:paraId="31A21325" w14:textId="7504592B" w:rsidR="00A2153D" w:rsidRDefault="00A2153D" w:rsidP="00A2153D">
      <w:pPr>
        <w:pStyle w:val="Image-Page1fullwidth"/>
        <w:keepNext/>
        <w:framePr w:w="0" w:hSpace="0" w:wrap="auto" w:vAnchor="margin" w:yAlign="inline"/>
        <w:spacing w:after="0" w:line="240" w:lineRule="auto"/>
      </w:pPr>
      <w:r>
        <w:drawing>
          <wp:inline distT="0" distB="0" distL="0" distR="0" wp14:anchorId="11D407BF" wp14:editId="5FEBD2D7">
            <wp:extent cx="5759450" cy="3183890"/>
            <wp:effectExtent l="0" t="0" r="0" b="0"/>
            <wp:docPr id="240" name="Picture 24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Chart, histo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3183890"/>
                    </a:xfrm>
                    <a:prstGeom prst="rect">
                      <a:avLst/>
                    </a:prstGeom>
                    <a:noFill/>
                    <a:ln>
                      <a:noFill/>
                    </a:ln>
                  </pic:spPr>
                </pic:pic>
              </a:graphicData>
            </a:graphic>
          </wp:inline>
        </w:drawing>
      </w:r>
    </w:p>
    <w:p w14:paraId="31C54AA2" w14:textId="303E862A" w:rsidR="00A2153D" w:rsidRDefault="00A2153D" w:rsidP="00E57329">
      <w:pPr>
        <w:pStyle w:val="Source"/>
        <w:rPr>
          <w:color w:val="9BA1A5"/>
        </w:rPr>
      </w:pPr>
      <w:r>
        <w:rPr>
          <w:color w:val="9BA1A5"/>
        </w:rPr>
        <w:t xml:space="preserve">Note: </w:t>
      </w:r>
      <w:r w:rsidR="00E57329">
        <w:rPr>
          <w:color w:val="9BA1A5"/>
        </w:rPr>
        <w:t>E</w:t>
      </w:r>
      <w:r w:rsidR="00E57329" w:rsidRPr="00E57329">
        <w:rPr>
          <w:color w:val="9BA1A5"/>
        </w:rPr>
        <w:t>xcluding trade within environment</w:t>
      </w:r>
      <w:r w:rsidR="00E57329">
        <w:rPr>
          <w:color w:val="9BA1A5"/>
        </w:rPr>
        <w:t xml:space="preserve">. </w:t>
      </w:r>
      <w:r>
        <w:rPr>
          <w:color w:val="9BA1A5"/>
        </w:rPr>
        <w:t>Allocation trade only, tagging volumes are not included.</w:t>
      </w:r>
      <w:r>
        <w:rPr>
          <w:color w:val="9BA1A5"/>
        </w:rPr>
        <w:br/>
        <w:t>Source: Victorian Water Trading: Annual Reports; data from DELWP.</w:t>
      </w:r>
    </w:p>
    <w:p w14:paraId="67E952A7" w14:textId="4CA5E007" w:rsidR="00E57329" w:rsidRDefault="00CB4BE8" w:rsidP="00A2153D">
      <w:pPr>
        <w:pStyle w:val="BodyText"/>
      </w:pPr>
      <w:r>
        <w:fldChar w:fldCharType="begin"/>
      </w:r>
      <w:r>
        <w:instrText xml:space="preserve"> REF _Ref111538237 \h </w:instrText>
      </w:r>
      <w:r>
        <w:fldChar w:fldCharType="separate"/>
      </w:r>
      <w:r w:rsidR="00D4298A" w:rsidRPr="00603BC1">
        <w:rPr>
          <w:rStyle w:val="Bold"/>
        </w:rPr>
        <w:t xml:space="preserve">Table </w:t>
      </w:r>
      <w:r w:rsidR="00D4298A">
        <w:rPr>
          <w:rStyle w:val="Bold"/>
          <w:noProof/>
        </w:rPr>
        <w:t>1</w:t>
      </w:r>
      <w:r>
        <w:fldChar w:fldCharType="end"/>
      </w:r>
      <w:r>
        <w:t xml:space="preserve"> </w:t>
      </w:r>
      <w:r w:rsidR="00A2153D">
        <w:t xml:space="preserve">shows that underlying this variability in Victorian net trade, is a consistent trend of water demands in the lower Victorian Murray (Zone 7). Irrigators there purchase allocations in large volumes. For reasons of capital efficiency, corporate farms in that region tend to have a portfolio of held entitlements and leased entitlements, with the balance of their use dependent on </w:t>
      </w:r>
      <w:r w:rsidR="00A2153D">
        <w:lastRenderedPageBreak/>
        <w:t>allocation purchases. The direction of net trade from the Goulburn region (Zone 1A) is closely linked to whether water is brought into Zone 7 from other States or drawn from the Goulburn.</w:t>
      </w:r>
    </w:p>
    <w:p w14:paraId="2B93B8C9" w14:textId="7FDB33A9" w:rsidR="00E57329" w:rsidRDefault="00E57329" w:rsidP="008276F9">
      <w:pPr>
        <w:pStyle w:val="Caption"/>
      </w:pPr>
      <w:bookmarkStart w:id="63" w:name="_Ref111538237"/>
      <w:bookmarkStart w:id="64" w:name="_Toc113621688"/>
      <w:r w:rsidRPr="00603BC1">
        <w:rPr>
          <w:rStyle w:val="Bold"/>
        </w:rPr>
        <w:t xml:space="preserve">Table </w:t>
      </w:r>
      <w:r w:rsidRPr="00603BC1">
        <w:rPr>
          <w:rStyle w:val="Bold"/>
        </w:rPr>
        <w:fldChar w:fldCharType="begin"/>
      </w:r>
      <w:r w:rsidRPr="00603BC1">
        <w:rPr>
          <w:rStyle w:val="Bold"/>
        </w:rPr>
        <w:instrText xml:space="preserve"> SEQ Table \* ARABIC </w:instrText>
      </w:r>
      <w:r w:rsidRPr="00603BC1">
        <w:rPr>
          <w:rStyle w:val="Bold"/>
        </w:rPr>
        <w:fldChar w:fldCharType="separate"/>
      </w:r>
      <w:r w:rsidR="00D4298A">
        <w:rPr>
          <w:rStyle w:val="Bold"/>
          <w:noProof/>
        </w:rPr>
        <w:t>1</w:t>
      </w:r>
      <w:r w:rsidRPr="00603BC1">
        <w:rPr>
          <w:rStyle w:val="Bold"/>
        </w:rPr>
        <w:fldChar w:fldCharType="end"/>
      </w:r>
      <w:bookmarkEnd w:id="63"/>
      <w:r w:rsidRPr="00603BC1">
        <w:rPr>
          <w:rStyle w:val="Bold"/>
        </w:rPr>
        <w:t>:</w:t>
      </w:r>
      <w:r>
        <w:t xml:space="preserve"> Net water trade into Victoria (non-environmental), and selected zones</w:t>
      </w:r>
      <w:bookmarkEnd w:id="64"/>
    </w:p>
    <w:tbl>
      <w:tblPr>
        <w:tblStyle w:val="FETableStyle"/>
        <w:tblW w:w="5000" w:type="pct"/>
        <w:tblLook w:val="0420" w:firstRow="1" w:lastRow="0" w:firstColumn="0" w:lastColumn="0" w:noHBand="0" w:noVBand="1"/>
      </w:tblPr>
      <w:tblGrid>
        <w:gridCol w:w="1843"/>
        <w:gridCol w:w="1032"/>
        <w:gridCol w:w="1032"/>
        <w:gridCol w:w="1033"/>
        <w:gridCol w:w="1032"/>
        <w:gridCol w:w="1033"/>
        <w:gridCol w:w="1032"/>
        <w:gridCol w:w="1033"/>
      </w:tblGrid>
      <w:tr w:rsidR="00E57329" w:rsidRPr="00E57329" w14:paraId="0D082385" w14:textId="77777777" w:rsidTr="00E57329">
        <w:trPr>
          <w:cnfStyle w:val="100000000000" w:firstRow="1" w:lastRow="0" w:firstColumn="0" w:lastColumn="0" w:oddVBand="0" w:evenVBand="0" w:oddHBand="0" w:evenHBand="0" w:firstRowFirstColumn="0" w:firstRowLastColumn="0" w:lastRowFirstColumn="0" w:lastRowLastColumn="0"/>
        </w:trPr>
        <w:tc>
          <w:tcPr>
            <w:tcW w:w="1843" w:type="dxa"/>
          </w:tcPr>
          <w:p w14:paraId="1700E735" w14:textId="77777777" w:rsidR="00E57329" w:rsidRPr="00E57329" w:rsidRDefault="00E57329" w:rsidP="00E57329">
            <w:pPr>
              <w:pStyle w:val="TableHeading"/>
              <w:spacing w:before="60" w:after="60"/>
              <w:rPr>
                <w:b/>
              </w:rPr>
            </w:pPr>
          </w:p>
        </w:tc>
        <w:tc>
          <w:tcPr>
            <w:tcW w:w="1032" w:type="dxa"/>
            <w:hideMark/>
          </w:tcPr>
          <w:p w14:paraId="18B28E02" w14:textId="77777777" w:rsidR="00E57329" w:rsidRPr="00E57329" w:rsidRDefault="00E57329" w:rsidP="00E57329">
            <w:pPr>
              <w:pStyle w:val="TableHeading"/>
              <w:spacing w:before="60" w:after="60"/>
              <w:jc w:val="right"/>
              <w:rPr>
                <w:b/>
              </w:rPr>
            </w:pPr>
            <w:r w:rsidRPr="00E57329">
              <w:rPr>
                <w:b/>
              </w:rPr>
              <w:t>2015-16</w:t>
            </w:r>
          </w:p>
        </w:tc>
        <w:tc>
          <w:tcPr>
            <w:tcW w:w="1032" w:type="dxa"/>
            <w:hideMark/>
          </w:tcPr>
          <w:p w14:paraId="14FEAD95" w14:textId="77777777" w:rsidR="00E57329" w:rsidRPr="00E57329" w:rsidRDefault="00E57329" w:rsidP="00E57329">
            <w:pPr>
              <w:pStyle w:val="TableHeading"/>
              <w:spacing w:before="60" w:after="60"/>
              <w:jc w:val="right"/>
              <w:rPr>
                <w:b/>
              </w:rPr>
            </w:pPr>
            <w:r w:rsidRPr="00E57329">
              <w:rPr>
                <w:b/>
              </w:rPr>
              <w:t>2016-17</w:t>
            </w:r>
          </w:p>
        </w:tc>
        <w:tc>
          <w:tcPr>
            <w:tcW w:w="1033" w:type="dxa"/>
            <w:hideMark/>
          </w:tcPr>
          <w:p w14:paraId="0955F237" w14:textId="77777777" w:rsidR="00E57329" w:rsidRPr="00E57329" w:rsidRDefault="00E57329" w:rsidP="00E57329">
            <w:pPr>
              <w:pStyle w:val="TableHeading"/>
              <w:spacing w:before="60" w:after="60"/>
              <w:jc w:val="right"/>
              <w:rPr>
                <w:b/>
              </w:rPr>
            </w:pPr>
            <w:r w:rsidRPr="00E57329">
              <w:rPr>
                <w:b/>
              </w:rPr>
              <w:t>2017-18</w:t>
            </w:r>
          </w:p>
        </w:tc>
        <w:tc>
          <w:tcPr>
            <w:tcW w:w="1032" w:type="dxa"/>
            <w:hideMark/>
          </w:tcPr>
          <w:p w14:paraId="4139ED97" w14:textId="77777777" w:rsidR="00E57329" w:rsidRPr="00E57329" w:rsidRDefault="00E57329" w:rsidP="00E57329">
            <w:pPr>
              <w:pStyle w:val="TableHeading"/>
              <w:spacing w:before="60" w:after="60"/>
              <w:jc w:val="right"/>
              <w:rPr>
                <w:b/>
              </w:rPr>
            </w:pPr>
            <w:r w:rsidRPr="00E57329">
              <w:rPr>
                <w:b/>
              </w:rPr>
              <w:t>2018-19</w:t>
            </w:r>
          </w:p>
        </w:tc>
        <w:tc>
          <w:tcPr>
            <w:tcW w:w="1033" w:type="dxa"/>
            <w:hideMark/>
          </w:tcPr>
          <w:p w14:paraId="665C89E0" w14:textId="77777777" w:rsidR="00E57329" w:rsidRPr="00E57329" w:rsidRDefault="00E57329" w:rsidP="00E57329">
            <w:pPr>
              <w:pStyle w:val="TableHeading"/>
              <w:spacing w:before="60" w:after="60"/>
              <w:jc w:val="right"/>
              <w:rPr>
                <w:b/>
              </w:rPr>
            </w:pPr>
            <w:r w:rsidRPr="00E57329">
              <w:rPr>
                <w:b/>
              </w:rPr>
              <w:t>2019-20</w:t>
            </w:r>
          </w:p>
        </w:tc>
        <w:tc>
          <w:tcPr>
            <w:tcW w:w="1032" w:type="dxa"/>
            <w:hideMark/>
          </w:tcPr>
          <w:p w14:paraId="07225648" w14:textId="77777777" w:rsidR="00E57329" w:rsidRPr="00E57329" w:rsidRDefault="00E57329" w:rsidP="00E57329">
            <w:pPr>
              <w:pStyle w:val="TableHeading"/>
              <w:spacing w:before="60" w:after="60"/>
              <w:jc w:val="right"/>
              <w:rPr>
                <w:b/>
              </w:rPr>
            </w:pPr>
            <w:r w:rsidRPr="00E57329">
              <w:rPr>
                <w:b/>
              </w:rPr>
              <w:t>2020-21</w:t>
            </w:r>
          </w:p>
        </w:tc>
        <w:tc>
          <w:tcPr>
            <w:tcW w:w="1033" w:type="dxa"/>
            <w:hideMark/>
          </w:tcPr>
          <w:p w14:paraId="4B54BDF4" w14:textId="77777777" w:rsidR="00E57329" w:rsidRPr="00E57329" w:rsidRDefault="00E57329" w:rsidP="00E57329">
            <w:pPr>
              <w:pStyle w:val="TableHeading"/>
              <w:spacing w:before="60" w:after="60"/>
              <w:jc w:val="right"/>
              <w:rPr>
                <w:b/>
              </w:rPr>
            </w:pPr>
            <w:r w:rsidRPr="00E57329">
              <w:rPr>
                <w:b/>
              </w:rPr>
              <w:t>2021-22</w:t>
            </w:r>
          </w:p>
        </w:tc>
      </w:tr>
      <w:tr w:rsidR="00E57329" w:rsidRPr="00E57329" w14:paraId="2C87A4D8" w14:textId="77777777" w:rsidTr="00E57329">
        <w:trPr>
          <w:cnfStyle w:val="000000100000" w:firstRow="0" w:lastRow="0" w:firstColumn="0" w:lastColumn="0" w:oddVBand="0" w:evenVBand="0" w:oddHBand="1" w:evenHBand="0" w:firstRowFirstColumn="0" w:firstRowLastColumn="0" w:lastRowFirstColumn="0" w:lastRowLastColumn="0"/>
        </w:trPr>
        <w:tc>
          <w:tcPr>
            <w:tcW w:w="1843" w:type="dxa"/>
            <w:hideMark/>
          </w:tcPr>
          <w:p w14:paraId="0C474BAF" w14:textId="77777777" w:rsidR="00E57329" w:rsidRPr="00E57329" w:rsidRDefault="00E57329" w:rsidP="00E57329">
            <w:pPr>
              <w:pStyle w:val="TableText"/>
              <w:spacing w:before="40" w:after="40"/>
            </w:pPr>
            <w:r w:rsidRPr="00E57329">
              <w:t>Victoria (net)</w:t>
            </w:r>
          </w:p>
        </w:tc>
        <w:tc>
          <w:tcPr>
            <w:tcW w:w="1032" w:type="dxa"/>
            <w:hideMark/>
          </w:tcPr>
          <w:p w14:paraId="262F2C0D" w14:textId="77777777" w:rsidR="00E57329" w:rsidRPr="00E57329" w:rsidRDefault="00E57329" w:rsidP="00E57329">
            <w:pPr>
              <w:pStyle w:val="TableText"/>
              <w:spacing w:before="40" w:after="40"/>
              <w:jc w:val="right"/>
            </w:pPr>
            <w:r w:rsidRPr="00E57329">
              <w:t>223</w:t>
            </w:r>
          </w:p>
        </w:tc>
        <w:tc>
          <w:tcPr>
            <w:tcW w:w="1032" w:type="dxa"/>
            <w:hideMark/>
          </w:tcPr>
          <w:p w14:paraId="7AB9C064" w14:textId="77777777" w:rsidR="00E57329" w:rsidRPr="00E57329" w:rsidRDefault="00E57329" w:rsidP="00E57329">
            <w:pPr>
              <w:pStyle w:val="TableText"/>
              <w:spacing w:before="40" w:after="40"/>
              <w:jc w:val="right"/>
            </w:pPr>
            <w:r w:rsidRPr="00E57329">
              <w:t>207</w:t>
            </w:r>
          </w:p>
        </w:tc>
        <w:tc>
          <w:tcPr>
            <w:tcW w:w="1033" w:type="dxa"/>
            <w:hideMark/>
          </w:tcPr>
          <w:p w14:paraId="4316BC15" w14:textId="77777777" w:rsidR="00E57329" w:rsidRPr="00E57329" w:rsidRDefault="00E57329" w:rsidP="00E57329">
            <w:pPr>
              <w:pStyle w:val="TableText"/>
              <w:spacing w:before="40" w:after="40"/>
              <w:jc w:val="right"/>
            </w:pPr>
            <w:r w:rsidRPr="00E57329">
              <w:t>-153</w:t>
            </w:r>
          </w:p>
        </w:tc>
        <w:tc>
          <w:tcPr>
            <w:tcW w:w="1032" w:type="dxa"/>
            <w:hideMark/>
          </w:tcPr>
          <w:p w14:paraId="5A3A3FED" w14:textId="77777777" w:rsidR="00E57329" w:rsidRPr="00E57329" w:rsidRDefault="00E57329" w:rsidP="00E57329">
            <w:pPr>
              <w:pStyle w:val="TableText"/>
              <w:spacing w:before="40" w:after="40"/>
              <w:jc w:val="right"/>
            </w:pPr>
            <w:r w:rsidRPr="00E57329">
              <w:t>-91</w:t>
            </w:r>
          </w:p>
        </w:tc>
        <w:tc>
          <w:tcPr>
            <w:tcW w:w="1033" w:type="dxa"/>
            <w:hideMark/>
          </w:tcPr>
          <w:p w14:paraId="07B3602F" w14:textId="77777777" w:rsidR="00E57329" w:rsidRPr="00E57329" w:rsidRDefault="00E57329" w:rsidP="00E57329">
            <w:pPr>
              <w:pStyle w:val="TableText"/>
              <w:spacing w:before="40" w:after="40"/>
              <w:jc w:val="right"/>
            </w:pPr>
            <w:r w:rsidRPr="00E57329">
              <w:t>125</w:t>
            </w:r>
          </w:p>
        </w:tc>
        <w:tc>
          <w:tcPr>
            <w:tcW w:w="1032" w:type="dxa"/>
            <w:hideMark/>
          </w:tcPr>
          <w:p w14:paraId="077DB2EF" w14:textId="77777777" w:rsidR="00E57329" w:rsidRPr="00E57329" w:rsidRDefault="00E57329" w:rsidP="00E57329">
            <w:pPr>
              <w:pStyle w:val="TableText"/>
              <w:spacing w:before="40" w:after="40"/>
              <w:jc w:val="right"/>
            </w:pPr>
            <w:r w:rsidRPr="00E57329">
              <w:t>171</w:t>
            </w:r>
          </w:p>
        </w:tc>
        <w:tc>
          <w:tcPr>
            <w:tcW w:w="1033" w:type="dxa"/>
            <w:hideMark/>
          </w:tcPr>
          <w:p w14:paraId="7C4635B7" w14:textId="77777777" w:rsidR="00E57329" w:rsidRPr="00E57329" w:rsidRDefault="00E57329" w:rsidP="00E57329">
            <w:pPr>
              <w:pStyle w:val="TableText"/>
              <w:spacing w:before="40" w:after="40"/>
              <w:jc w:val="right"/>
            </w:pPr>
            <w:r w:rsidRPr="00E57329">
              <w:t>59.8</w:t>
            </w:r>
          </w:p>
        </w:tc>
      </w:tr>
      <w:tr w:rsidR="00E57329" w:rsidRPr="00E57329" w14:paraId="4DE36F95" w14:textId="77777777" w:rsidTr="00E57329">
        <w:trPr>
          <w:cnfStyle w:val="000000010000" w:firstRow="0" w:lastRow="0" w:firstColumn="0" w:lastColumn="0" w:oddVBand="0" w:evenVBand="0" w:oddHBand="0" w:evenHBand="1" w:firstRowFirstColumn="0" w:firstRowLastColumn="0" w:lastRowFirstColumn="0" w:lastRowLastColumn="0"/>
        </w:trPr>
        <w:tc>
          <w:tcPr>
            <w:tcW w:w="1843" w:type="dxa"/>
            <w:hideMark/>
          </w:tcPr>
          <w:p w14:paraId="6ACBB394" w14:textId="77777777" w:rsidR="00E57329" w:rsidRPr="00E57329" w:rsidRDefault="00E57329" w:rsidP="00E57329">
            <w:pPr>
              <w:pStyle w:val="TableText"/>
              <w:spacing w:before="40" w:after="40"/>
            </w:pPr>
            <w:r w:rsidRPr="00E57329">
              <w:t>Goulburn (1A)</w:t>
            </w:r>
          </w:p>
        </w:tc>
        <w:tc>
          <w:tcPr>
            <w:tcW w:w="1032" w:type="dxa"/>
            <w:hideMark/>
          </w:tcPr>
          <w:p w14:paraId="23B52F0D" w14:textId="77777777" w:rsidR="00E57329" w:rsidRPr="00E57329" w:rsidRDefault="00E57329" w:rsidP="00E57329">
            <w:pPr>
              <w:pStyle w:val="TableText"/>
              <w:spacing w:before="40" w:after="40"/>
              <w:jc w:val="right"/>
            </w:pPr>
            <w:r w:rsidRPr="00E57329">
              <w:t>5</w:t>
            </w:r>
          </w:p>
        </w:tc>
        <w:tc>
          <w:tcPr>
            <w:tcW w:w="1032" w:type="dxa"/>
            <w:hideMark/>
          </w:tcPr>
          <w:p w14:paraId="78DAC9FB" w14:textId="77777777" w:rsidR="00E57329" w:rsidRPr="00E57329" w:rsidRDefault="00E57329" w:rsidP="00E57329">
            <w:pPr>
              <w:pStyle w:val="TableText"/>
              <w:spacing w:before="40" w:after="40"/>
              <w:jc w:val="right"/>
            </w:pPr>
            <w:r w:rsidRPr="00E57329">
              <w:t>71</w:t>
            </w:r>
          </w:p>
        </w:tc>
        <w:tc>
          <w:tcPr>
            <w:tcW w:w="1033" w:type="dxa"/>
            <w:hideMark/>
          </w:tcPr>
          <w:p w14:paraId="7C838E3A" w14:textId="77777777" w:rsidR="00E57329" w:rsidRPr="00E57329" w:rsidRDefault="00E57329" w:rsidP="00E57329">
            <w:pPr>
              <w:pStyle w:val="TableText"/>
              <w:spacing w:before="40" w:after="40"/>
              <w:jc w:val="right"/>
            </w:pPr>
            <w:r w:rsidRPr="00E57329">
              <w:t>-197</w:t>
            </w:r>
          </w:p>
        </w:tc>
        <w:tc>
          <w:tcPr>
            <w:tcW w:w="1032" w:type="dxa"/>
            <w:hideMark/>
          </w:tcPr>
          <w:p w14:paraId="5DF44493" w14:textId="77777777" w:rsidR="00E57329" w:rsidRPr="00E57329" w:rsidRDefault="00E57329" w:rsidP="00E57329">
            <w:pPr>
              <w:pStyle w:val="TableText"/>
              <w:spacing w:before="40" w:after="40"/>
              <w:jc w:val="right"/>
            </w:pPr>
            <w:r w:rsidRPr="00E57329">
              <w:t>-204</w:t>
            </w:r>
          </w:p>
        </w:tc>
        <w:tc>
          <w:tcPr>
            <w:tcW w:w="1033" w:type="dxa"/>
            <w:hideMark/>
          </w:tcPr>
          <w:p w14:paraId="7EF79ED4" w14:textId="77777777" w:rsidR="00E57329" w:rsidRPr="00E57329" w:rsidRDefault="00E57329" w:rsidP="00E57329">
            <w:pPr>
              <w:pStyle w:val="TableText"/>
              <w:spacing w:before="40" w:after="40"/>
              <w:jc w:val="right"/>
            </w:pPr>
            <w:r w:rsidRPr="00E57329">
              <w:t>-118</w:t>
            </w:r>
          </w:p>
        </w:tc>
        <w:tc>
          <w:tcPr>
            <w:tcW w:w="1032" w:type="dxa"/>
            <w:hideMark/>
          </w:tcPr>
          <w:p w14:paraId="7C952CA3" w14:textId="77777777" w:rsidR="00E57329" w:rsidRPr="00E57329" w:rsidRDefault="00E57329" w:rsidP="00E57329">
            <w:pPr>
              <w:pStyle w:val="TableText"/>
              <w:spacing w:before="40" w:after="40"/>
              <w:jc w:val="right"/>
            </w:pPr>
            <w:r w:rsidRPr="00E57329">
              <w:t>29</w:t>
            </w:r>
          </w:p>
        </w:tc>
        <w:tc>
          <w:tcPr>
            <w:tcW w:w="1033" w:type="dxa"/>
            <w:hideMark/>
          </w:tcPr>
          <w:p w14:paraId="01DE72B6" w14:textId="77777777" w:rsidR="00E57329" w:rsidRPr="00E57329" w:rsidRDefault="00E57329" w:rsidP="00E57329">
            <w:pPr>
              <w:pStyle w:val="TableText"/>
              <w:spacing w:before="40" w:after="40"/>
              <w:jc w:val="right"/>
            </w:pPr>
            <w:r w:rsidRPr="00E57329">
              <w:t>-38</w:t>
            </w:r>
          </w:p>
        </w:tc>
      </w:tr>
      <w:tr w:rsidR="00E57329" w:rsidRPr="00E57329" w14:paraId="77FC615A" w14:textId="77777777" w:rsidTr="00E57329">
        <w:trPr>
          <w:cnfStyle w:val="000000100000" w:firstRow="0" w:lastRow="0" w:firstColumn="0" w:lastColumn="0" w:oddVBand="0" w:evenVBand="0" w:oddHBand="1" w:evenHBand="0" w:firstRowFirstColumn="0" w:firstRowLastColumn="0" w:lastRowFirstColumn="0" w:lastRowLastColumn="0"/>
        </w:trPr>
        <w:tc>
          <w:tcPr>
            <w:tcW w:w="1843" w:type="dxa"/>
            <w:hideMark/>
          </w:tcPr>
          <w:p w14:paraId="293C7B34" w14:textId="77777777" w:rsidR="00E57329" w:rsidRPr="00E57329" w:rsidRDefault="00E57329" w:rsidP="00E57329">
            <w:pPr>
              <w:pStyle w:val="TableText"/>
              <w:spacing w:before="40" w:after="40"/>
            </w:pPr>
            <w:r w:rsidRPr="00E57329">
              <w:t>Murray (6)</w:t>
            </w:r>
          </w:p>
        </w:tc>
        <w:tc>
          <w:tcPr>
            <w:tcW w:w="1032" w:type="dxa"/>
            <w:hideMark/>
          </w:tcPr>
          <w:p w14:paraId="104F3CBB" w14:textId="77777777" w:rsidR="00E57329" w:rsidRPr="00E57329" w:rsidRDefault="00E57329" w:rsidP="00E57329">
            <w:pPr>
              <w:pStyle w:val="TableText"/>
              <w:spacing w:before="40" w:after="40"/>
              <w:jc w:val="right"/>
            </w:pPr>
            <w:r w:rsidRPr="00E57329">
              <w:t>-19</w:t>
            </w:r>
          </w:p>
        </w:tc>
        <w:tc>
          <w:tcPr>
            <w:tcW w:w="1032" w:type="dxa"/>
            <w:hideMark/>
          </w:tcPr>
          <w:p w14:paraId="4AD9864F" w14:textId="77777777" w:rsidR="00E57329" w:rsidRPr="00E57329" w:rsidRDefault="00E57329" w:rsidP="00E57329">
            <w:pPr>
              <w:pStyle w:val="TableText"/>
              <w:spacing w:before="40" w:after="40"/>
              <w:jc w:val="right"/>
            </w:pPr>
            <w:r w:rsidRPr="00E57329">
              <w:t>19</w:t>
            </w:r>
          </w:p>
        </w:tc>
        <w:tc>
          <w:tcPr>
            <w:tcW w:w="1033" w:type="dxa"/>
            <w:hideMark/>
          </w:tcPr>
          <w:p w14:paraId="16025D44" w14:textId="77777777" w:rsidR="00E57329" w:rsidRPr="00E57329" w:rsidRDefault="00E57329" w:rsidP="00E57329">
            <w:pPr>
              <w:pStyle w:val="TableText"/>
              <w:spacing w:before="40" w:after="40"/>
              <w:jc w:val="right"/>
            </w:pPr>
            <w:r w:rsidRPr="00E57329">
              <w:t>-35</w:t>
            </w:r>
          </w:p>
        </w:tc>
        <w:tc>
          <w:tcPr>
            <w:tcW w:w="1032" w:type="dxa"/>
            <w:hideMark/>
          </w:tcPr>
          <w:p w14:paraId="73C0C800" w14:textId="77777777" w:rsidR="00E57329" w:rsidRPr="00E57329" w:rsidRDefault="00E57329" w:rsidP="00E57329">
            <w:pPr>
              <w:pStyle w:val="TableText"/>
              <w:spacing w:before="40" w:after="40"/>
              <w:jc w:val="right"/>
            </w:pPr>
            <w:r w:rsidRPr="00E57329">
              <w:t>-53</w:t>
            </w:r>
          </w:p>
        </w:tc>
        <w:tc>
          <w:tcPr>
            <w:tcW w:w="1033" w:type="dxa"/>
            <w:hideMark/>
          </w:tcPr>
          <w:p w14:paraId="45C5A116" w14:textId="77777777" w:rsidR="00E57329" w:rsidRPr="00E57329" w:rsidRDefault="00E57329" w:rsidP="00E57329">
            <w:pPr>
              <w:pStyle w:val="TableText"/>
              <w:spacing w:before="40" w:after="40"/>
              <w:jc w:val="right"/>
            </w:pPr>
            <w:r w:rsidRPr="00E57329">
              <w:t>-21</w:t>
            </w:r>
          </w:p>
        </w:tc>
        <w:tc>
          <w:tcPr>
            <w:tcW w:w="1032" w:type="dxa"/>
            <w:hideMark/>
          </w:tcPr>
          <w:p w14:paraId="49C190D9" w14:textId="77777777" w:rsidR="00E57329" w:rsidRPr="00E57329" w:rsidRDefault="00E57329" w:rsidP="00E57329">
            <w:pPr>
              <w:pStyle w:val="TableText"/>
              <w:spacing w:before="40" w:after="40"/>
              <w:jc w:val="right"/>
            </w:pPr>
            <w:r w:rsidRPr="00E57329">
              <w:t>-42</w:t>
            </w:r>
          </w:p>
        </w:tc>
        <w:tc>
          <w:tcPr>
            <w:tcW w:w="1033" w:type="dxa"/>
            <w:hideMark/>
          </w:tcPr>
          <w:p w14:paraId="21DEB617" w14:textId="77777777" w:rsidR="00E57329" w:rsidRPr="00E57329" w:rsidRDefault="00E57329" w:rsidP="00E57329">
            <w:pPr>
              <w:pStyle w:val="TableText"/>
              <w:spacing w:before="40" w:after="40"/>
              <w:jc w:val="right"/>
            </w:pPr>
            <w:r w:rsidRPr="00E57329">
              <w:t>-41</w:t>
            </w:r>
          </w:p>
        </w:tc>
      </w:tr>
      <w:tr w:rsidR="00E57329" w:rsidRPr="00E57329" w14:paraId="73C19EFD" w14:textId="77777777" w:rsidTr="00E57329">
        <w:trPr>
          <w:cnfStyle w:val="000000010000" w:firstRow="0" w:lastRow="0" w:firstColumn="0" w:lastColumn="0" w:oddVBand="0" w:evenVBand="0" w:oddHBand="0" w:evenHBand="1" w:firstRowFirstColumn="0" w:firstRowLastColumn="0" w:lastRowFirstColumn="0" w:lastRowLastColumn="0"/>
        </w:trPr>
        <w:tc>
          <w:tcPr>
            <w:tcW w:w="1843" w:type="dxa"/>
            <w:hideMark/>
          </w:tcPr>
          <w:p w14:paraId="282FA119" w14:textId="77777777" w:rsidR="00E57329" w:rsidRPr="00E57329" w:rsidRDefault="00E57329" w:rsidP="00E57329">
            <w:pPr>
              <w:pStyle w:val="TableText"/>
              <w:spacing w:before="40" w:after="40"/>
            </w:pPr>
            <w:r w:rsidRPr="00E57329">
              <w:t>Murray (7)</w:t>
            </w:r>
          </w:p>
        </w:tc>
        <w:tc>
          <w:tcPr>
            <w:tcW w:w="1032" w:type="dxa"/>
            <w:hideMark/>
          </w:tcPr>
          <w:p w14:paraId="46440909" w14:textId="77777777" w:rsidR="00E57329" w:rsidRPr="00E57329" w:rsidRDefault="00E57329" w:rsidP="00E57329">
            <w:pPr>
              <w:pStyle w:val="TableText"/>
              <w:spacing w:before="40" w:after="40"/>
              <w:jc w:val="right"/>
            </w:pPr>
            <w:r w:rsidRPr="00E57329">
              <w:t>244</w:t>
            </w:r>
          </w:p>
        </w:tc>
        <w:tc>
          <w:tcPr>
            <w:tcW w:w="1032" w:type="dxa"/>
            <w:hideMark/>
          </w:tcPr>
          <w:p w14:paraId="3B1B66A7" w14:textId="77777777" w:rsidR="00E57329" w:rsidRPr="00E57329" w:rsidRDefault="00E57329" w:rsidP="00E57329">
            <w:pPr>
              <w:pStyle w:val="TableText"/>
              <w:spacing w:before="40" w:after="40"/>
              <w:jc w:val="right"/>
            </w:pPr>
            <w:r w:rsidRPr="00E57329">
              <w:t>173</w:t>
            </w:r>
          </w:p>
        </w:tc>
        <w:tc>
          <w:tcPr>
            <w:tcW w:w="1033" w:type="dxa"/>
            <w:hideMark/>
          </w:tcPr>
          <w:p w14:paraId="253DD9FB" w14:textId="77777777" w:rsidR="00E57329" w:rsidRPr="00E57329" w:rsidRDefault="00E57329" w:rsidP="00E57329">
            <w:pPr>
              <w:pStyle w:val="TableText"/>
              <w:spacing w:before="40" w:after="40"/>
              <w:jc w:val="right"/>
            </w:pPr>
            <w:r w:rsidRPr="00E57329">
              <w:t>139</w:t>
            </w:r>
          </w:p>
        </w:tc>
        <w:tc>
          <w:tcPr>
            <w:tcW w:w="1032" w:type="dxa"/>
            <w:hideMark/>
          </w:tcPr>
          <w:p w14:paraId="50E02655" w14:textId="77777777" w:rsidR="00E57329" w:rsidRPr="00E57329" w:rsidRDefault="00E57329" w:rsidP="00E57329">
            <w:pPr>
              <w:pStyle w:val="TableText"/>
              <w:spacing w:before="40" w:after="40"/>
              <w:jc w:val="right"/>
            </w:pPr>
            <w:r w:rsidRPr="00E57329">
              <w:t>206</w:t>
            </w:r>
          </w:p>
        </w:tc>
        <w:tc>
          <w:tcPr>
            <w:tcW w:w="1033" w:type="dxa"/>
            <w:hideMark/>
          </w:tcPr>
          <w:p w14:paraId="422B74E7" w14:textId="77777777" w:rsidR="00E57329" w:rsidRPr="00E57329" w:rsidRDefault="00E57329" w:rsidP="00E57329">
            <w:pPr>
              <w:pStyle w:val="TableText"/>
              <w:spacing w:before="40" w:after="40"/>
              <w:jc w:val="right"/>
            </w:pPr>
            <w:r w:rsidRPr="00E57329">
              <w:t>306</w:t>
            </w:r>
          </w:p>
        </w:tc>
        <w:tc>
          <w:tcPr>
            <w:tcW w:w="1032" w:type="dxa"/>
            <w:hideMark/>
          </w:tcPr>
          <w:p w14:paraId="18309C95" w14:textId="77777777" w:rsidR="00E57329" w:rsidRPr="00E57329" w:rsidRDefault="00E57329" w:rsidP="00E57329">
            <w:pPr>
              <w:pStyle w:val="TableText"/>
              <w:spacing w:before="40" w:after="40"/>
              <w:jc w:val="right"/>
            </w:pPr>
            <w:r w:rsidRPr="00E57329">
              <w:t>220</w:t>
            </w:r>
          </w:p>
        </w:tc>
        <w:tc>
          <w:tcPr>
            <w:tcW w:w="1033" w:type="dxa"/>
            <w:hideMark/>
          </w:tcPr>
          <w:p w14:paraId="1BF3D1BA" w14:textId="77777777" w:rsidR="00E57329" w:rsidRPr="00E57329" w:rsidRDefault="00E57329" w:rsidP="00E57329">
            <w:pPr>
              <w:pStyle w:val="TableText"/>
              <w:spacing w:before="40" w:after="40"/>
              <w:jc w:val="right"/>
            </w:pPr>
            <w:r w:rsidRPr="00E57329">
              <w:t>181</w:t>
            </w:r>
          </w:p>
        </w:tc>
      </w:tr>
      <w:tr w:rsidR="00E57329" w:rsidRPr="00E57329" w14:paraId="71CD87CD" w14:textId="77777777" w:rsidTr="00E57329">
        <w:trPr>
          <w:cnfStyle w:val="000000100000" w:firstRow="0" w:lastRow="0" w:firstColumn="0" w:lastColumn="0" w:oddVBand="0" w:evenVBand="0" w:oddHBand="1" w:evenHBand="0" w:firstRowFirstColumn="0" w:firstRowLastColumn="0" w:lastRowFirstColumn="0" w:lastRowLastColumn="0"/>
        </w:trPr>
        <w:tc>
          <w:tcPr>
            <w:tcW w:w="1843" w:type="dxa"/>
            <w:hideMark/>
          </w:tcPr>
          <w:p w14:paraId="65FD489E" w14:textId="77777777" w:rsidR="00E57329" w:rsidRPr="00E57329" w:rsidRDefault="00E57329" w:rsidP="00E57329">
            <w:pPr>
              <w:pStyle w:val="TableText"/>
              <w:spacing w:before="40" w:after="40"/>
            </w:pPr>
            <w:r w:rsidRPr="00E57329">
              <w:t>NSW Murray (10 above Choke)</w:t>
            </w:r>
          </w:p>
        </w:tc>
        <w:tc>
          <w:tcPr>
            <w:tcW w:w="1032" w:type="dxa"/>
            <w:hideMark/>
          </w:tcPr>
          <w:p w14:paraId="40D7C737" w14:textId="77777777" w:rsidR="00E57329" w:rsidRPr="00E57329" w:rsidRDefault="00E57329" w:rsidP="00E57329">
            <w:pPr>
              <w:pStyle w:val="TableText"/>
              <w:spacing w:before="40" w:after="40"/>
              <w:jc w:val="right"/>
            </w:pPr>
            <w:r w:rsidRPr="00E57329">
              <w:t>-65</w:t>
            </w:r>
          </w:p>
        </w:tc>
        <w:tc>
          <w:tcPr>
            <w:tcW w:w="1032" w:type="dxa"/>
            <w:hideMark/>
          </w:tcPr>
          <w:p w14:paraId="31025F73" w14:textId="77777777" w:rsidR="00E57329" w:rsidRPr="00E57329" w:rsidRDefault="00E57329" w:rsidP="00E57329">
            <w:pPr>
              <w:pStyle w:val="TableText"/>
              <w:spacing w:before="40" w:after="40"/>
              <w:jc w:val="right"/>
            </w:pPr>
            <w:r w:rsidRPr="00E57329">
              <w:t>-26</w:t>
            </w:r>
          </w:p>
        </w:tc>
        <w:tc>
          <w:tcPr>
            <w:tcW w:w="1033" w:type="dxa"/>
            <w:hideMark/>
          </w:tcPr>
          <w:p w14:paraId="431489C8" w14:textId="77777777" w:rsidR="00E57329" w:rsidRPr="00E57329" w:rsidRDefault="00E57329" w:rsidP="00E57329">
            <w:pPr>
              <w:pStyle w:val="TableText"/>
              <w:spacing w:before="40" w:after="40"/>
              <w:jc w:val="right"/>
            </w:pPr>
            <w:r w:rsidRPr="00E57329">
              <w:t>52</w:t>
            </w:r>
          </w:p>
        </w:tc>
        <w:tc>
          <w:tcPr>
            <w:tcW w:w="1032" w:type="dxa"/>
            <w:hideMark/>
          </w:tcPr>
          <w:p w14:paraId="05F690AE" w14:textId="77777777" w:rsidR="00E57329" w:rsidRPr="00E57329" w:rsidRDefault="00E57329" w:rsidP="00E57329">
            <w:pPr>
              <w:pStyle w:val="TableText"/>
              <w:spacing w:before="40" w:after="40"/>
              <w:jc w:val="right"/>
            </w:pPr>
            <w:r w:rsidRPr="00E57329">
              <w:t>48</w:t>
            </w:r>
          </w:p>
        </w:tc>
        <w:tc>
          <w:tcPr>
            <w:tcW w:w="1033" w:type="dxa"/>
            <w:hideMark/>
          </w:tcPr>
          <w:p w14:paraId="5F192093" w14:textId="77777777" w:rsidR="00E57329" w:rsidRPr="00E57329" w:rsidRDefault="00E57329" w:rsidP="00E57329">
            <w:pPr>
              <w:pStyle w:val="TableText"/>
              <w:spacing w:before="40" w:after="40"/>
              <w:jc w:val="right"/>
            </w:pPr>
            <w:r w:rsidRPr="00E57329">
              <w:t>-3</w:t>
            </w:r>
          </w:p>
        </w:tc>
        <w:tc>
          <w:tcPr>
            <w:tcW w:w="1032" w:type="dxa"/>
            <w:hideMark/>
          </w:tcPr>
          <w:p w14:paraId="62039E89" w14:textId="77777777" w:rsidR="00E57329" w:rsidRPr="00E57329" w:rsidRDefault="00E57329" w:rsidP="00E57329">
            <w:pPr>
              <w:pStyle w:val="TableText"/>
              <w:spacing w:before="40" w:after="40"/>
              <w:jc w:val="right"/>
              <w:rPr>
                <w:highlight w:val="yellow"/>
              </w:rPr>
            </w:pPr>
            <w:r w:rsidRPr="00E57329">
              <w:t>33</w:t>
            </w:r>
          </w:p>
        </w:tc>
        <w:tc>
          <w:tcPr>
            <w:tcW w:w="1033" w:type="dxa"/>
            <w:hideMark/>
          </w:tcPr>
          <w:p w14:paraId="3FE5E6A1" w14:textId="77777777" w:rsidR="00E57329" w:rsidRPr="00E57329" w:rsidRDefault="00E57329" w:rsidP="00E57329">
            <w:pPr>
              <w:pStyle w:val="TableText"/>
              <w:spacing w:before="40" w:after="40"/>
              <w:jc w:val="right"/>
              <w:rPr>
                <w:highlight w:val="yellow"/>
              </w:rPr>
            </w:pPr>
            <w:r w:rsidRPr="00E57329">
              <w:t>11</w:t>
            </w:r>
          </w:p>
        </w:tc>
      </w:tr>
      <w:tr w:rsidR="00E57329" w:rsidRPr="00E57329" w14:paraId="62299B97" w14:textId="77777777" w:rsidTr="00E57329">
        <w:trPr>
          <w:cnfStyle w:val="000000010000" w:firstRow="0" w:lastRow="0" w:firstColumn="0" w:lastColumn="0" w:oddVBand="0" w:evenVBand="0" w:oddHBand="0" w:evenHBand="1" w:firstRowFirstColumn="0" w:firstRowLastColumn="0" w:lastRowFirstColumn="0" w:lastRowLastColumn="0"/>
        </w:trPr>
        <w:tc>
          <w:tcPr>
            <w:tcW w:w="1843" w:type="dxa"/>
            <w:hideMark/>
          </w:tcPr>
          <w:p w14:paraId="74DFB117" w14:textId="77777777" w:rsidR="00E57329" w:rsidRPr="00E57329" w:rsidRDefault="00E57329" w:rsidP="00E57329">
            <w:pPr>
              <w:pStyle w:val="TableText"/>
              <w:spacing w:before="40" w:after="40"/>
            </w:pPr>
            <w:r w:rsidRPr="00E57329">
              <w:t>NSW Murray (11 below Choke)</w:t>
            </w:r>
          </w:p>
        </w:tc>
        <w:tc>
          <w:tcPr>
            <w:tcW w:w="1032" w:type="dxa"/>
            <w:hideMark/>
          </w:tcPr>
          <w:p w14:paraId="4499B5AB" w14:textId="77777777" w:rsidR="00E57329" w:rsidRPr="00E57329" w:rsidRDefault="00E57329" w:rsidP="00E57329">
            <w:pPr>
              <w:pStyle w:val="TableText"/>
              <w:spacing w:before="40" w:after="40"/>
              <w:jc w:val="right"/>
            </w:pPr>
            <w:r w:rsidRPr="00E57329">
              <w:t>-76</w:t>
            </w:r>
          </w:p>
        </w:tc>
        <w:tc>
          <w:tcPr>
            <w:tcW w:w="1032" w:type="dxa"/>
            <w:hideMark/>
          </w:tcPr>
          <w:p w14:paraId="57DB33C4" w14:textId="77777777" w:rsidR="00E57329" w:rsidRPr="00E57329" w:rsidRDefault="00E57329" w:rsidP="00E57329">
            <w:pPr>
              <w:pStyle w:val="TableText"/>
              <w:spacing w:before="40" w:after="40"/>
              <w:jc w:val="right"/>
            </w:pPr>
            <w:r w:rsidRPr="00E57329">
              <w:t>-56</w:t>
            </w:r>
          </w:p>
        </w:tc>
        <w:tc>
          <w:tcPr>
            <w:tcW w:w="1033" w:type="dxa"/>
            <w:hideMark/>
          </w:tcPr>
          <w:p w14:paraId="0F5DCD75" w14:textId="77777777" w:rsidR="00E57329" w:rsidRPr="00E57329" w:rsidRDefault="00E57329" w:rsidP="00E57329">
            <w:pPr>
              <w:pStyle w:val="TableText"/>
              <w:spacing w:before="40" w:after="40"/>
              <w:jc w:val="right"/>
            </w:pPr>
            <w:r w:rsidRPr="00E57329">
              <w:t>40</w:t>
            </w:r>
          </w:p>
        </w:tc>
        <w:tc>
          <w:tcPr>
            <w:tcW w:w="1032" w:type="dxa"/>
            <w:hideMark/>
          </w:tcPr>
          <w:p w14:paraId="1C9FC085" w14:textId="77777777" w:rsidR="00E57329" w:rsidRPr="00E57329" w:rsidRDefault="00E57329" w:rsidP="00E57329">
            <w:pPr>
              <w:pStyle w:val="TableText"/>
              <w:spacing w:before="40" w:after="40"/>
              <w:jc w:val="right"/>
            </w:pPr>
            <w:r w:rsidRPr="00E57329">
              <w:t>26</w:t>
            </w:r>
          </w:p>
        </w:tc>
        <w:tc>
          <w:tcPr>
            <w:tcW w:w="1033" w:type="dxa"/>
            <w:hideMark/>
          </w:tcPr>
          <w:p w14:paraId="37A97EF1" w14:textId="77777777" w:rsidR="00E57329" w:rsidRPr="00E57329" w:rsidRDefault="00E57329" w:rsidP="00E57329">
            <w:pPr>
              <w:pStyle w:val="TableText"/>
              <w:spacing w:before="40" w:after="40"/>
              <w:jc w:val="right"/>
            </w:pPr>
            <w:r w:rsidRPr="00E57329">
              <w:t>-96</w:t>
            </w:r>
          </w:p>
        </w:tc>
        <w:tc>
          <w:tcPr>
            <w:tcW w:w="1032" w:type="dxa"/>
            <w:hideMark/>
          </w:tcPr>
          <w:p w14:paraId="7C77A81B" w14:textId="77777777" w:rsidR="00E57329" w:rsidRPr="00E57329" w:rsidRDefault="00E57329" w:rsidP="00E57329">
            <w:pPr>
              <w:pStyle w:val="TableText"/>
              <w:spacing w:before="40" w:after="40"/>
              <w:jc w:val="right"/>
              <w:rPr>
                <w:highlight w:val="yellow"/>
              </w:rPr>
            </w:pPr>
            <w:r w:rsidRPr="00E57329">
              <w:t>-193</w:t>
            </w:r>
          </w:p>
        </w:tc>
        <w:tc>
          <w:tcPr>
            <w:tcW w:w="1033" w:type="dxa"/>
            <w:hideMark/>
          </w:tcPr>
          <w:p w14:paraId="15791BBB" w14:textId="77777777" w:rsidR="00E57329" w:rsidRPr="00E57329" w:rsidRDefault="00E57329" w:rsidP="00E57329">
            <w:pPr>
              <w:pStyle w:val="TableText"/>
              <w:spacing w:before="40" w:after="40"/>
              <w:jc w:val="right"/>
              <w:rPr>
                <w:highlight w:val="yellow"/>
              </w:rPr>
            </w:pPr>
            <w:r w:rsidRPr="00E57329">
              <w:t>-99</w:t>
            </w:r>
          </w:p>
        </w:tc>
      </w:tr>
      <w:tr w:rsidR="00E57329" w:rsidRPr="00E57329" w14:paraId="05155597" w14:textId="77777777" w:rsidTr="00E57329">
        <w:trPr>
          <w:cnfStyle w:val="000000100000" w:firstRow="0" w:lastRow="0" w:firstColumn="0" w:lastColumn="0" w:oddVBand="0" w:evenVBand="0" w:oddHBand="1" w:evenHBand="0" w:firstRowFirstColumn="0" w:firstRowLastColumn="0" w:lastRowFirstColumn="0" w:lastRowLastColumn="0"/>
        </w:trPr>
        <w:tc>
          <w:tcPr>
            <w:tcW w:w="1843" w:type="dxa"/>
            <w:hideMark/>
          </w:tcPr>
          <w:p w14:paraId="7142D4B5" w14:textId="77777777" w:rsidR="00E57329" w:rsidRPr="00E57329" w:rsidRDefault="00E57329" w:rsidP="00E57329">
            <w:pPr>
              <w:pStyle w:val="TableText"/>
              <w:spacing w:before="40" w:after="40"/>
            </w:pPr>
            <w:r w:rsidRPr="00E57329">
              <w:t>NSW Murrumbidgee</w:t>
            </w:r>
          </w:p>
        </w:tc>
        <w:tc>
          <w:tcPr>
            <w:tcW w:w="1032" w:type="dxa"/>
            <w:hideMark/>
          </w:tcPr>
          <w:p w14:paraId="2BE71054" w14:textId="77777777" w:rsidR="00E57329" w:rsidRPr="00E57329" w:rsidRDefault="00E57329" w:rsidP="00E57329">
            <w:pPr>
              <w:pStyle w:val="TableText"/>
              <w:spacing w:before="40" w:after="40"/>
              <w:jc w:val="right"/>
            </w:pPr>
            <w:r w:rsidRPr="00E57329">
              <w:t>-56</w:t>
            </w:r>
          </w:p>
        </w:tc>
        <w:tc>
          <w:tcPr>
            <w:tcW w:w="1032" w:type="dxa"/>
            <w:hideMark/>
          </w:tcPr>
          <w:p w14:paraId="5A6A21A2" w14:textId="77777777" w:rsidR="00E57329" w:rsidRPr="00E57329" w:rsidRDefault="00E57329" w:rsidP="00E57329">
            <w:pPr>
              <w:pStyle w:val="TableText"/>
              <w:spacing w:before="40" w:after="40"/>
              <w:jc w:val="right"/>
            </w:pPr>
            <w:r w:rsidRPr="00E57329">
              <w:t>-36</w:t>
            </w:r>
          </w:p>
        </w:tc>
        <w:tc>
          <w:tcPr>
            <w:tcW w:w="1033" w:type="dxa"/>
            <w:hideMark/>
          </w:tcPr>
          <w:p w14:paraId="349929C1" w14:textId="77777777" w:rsidR="00E57329" w:rsidRPr="00E57329" w:rsidRDefault="00E57329" w:rsidP="00E57329">
            <w:pPr>
              <w:pStyle w:val="TableText"/>
              <w:spacing w:before="40" w:after="40"/>
              <w:jc w:val="right"/>
            </w:pPr>
            <w:r w:rsidRPr="00E57329">
              <w:t>54</w:t>
            </w:r>
          </w:p>
        </w:tc>
        <w:tc>
          <w:tcPr>
            <w:tcW w:w="1032" w:type="dxa"/>
            <w:hideMark/>
          </w:tcPr>
          <w:p w14:paraId="72E3AC26" w14:textId="77777777" w:rsidR="00E57329" w:rsidRPr="00E57329" w:rsidRDefault="00E57329" w:rsidP="00E57329">
            <w:pPr>
              <w:pStyle w:val="TableText"/>
              <w:spacing w:before="40" w:after="40"/>
              <w:jc w:val="right"/>
            </w:pPr>
            <w:r w:rsidRPr="00E57329">
              <w:t>-13</w:t>
            </w:r>
          </w:p>
        </w:tc>
        <w:tc>
          <w:tcPr>
            <w:tcW w:w="1033" w:type="dxa"/>
            <w:hideMark/>
          </w:tcPr>
          <w:p w14:paraId="2350223F" w14:textId="77777777" w:rsidR="00E57329" w:rsidRPr="00E57329" w:rsidRDefault="00E57329" w:rsidP="00E57329">
            <w:pPr>
              <w:pStyle w:val="TableText"/>
              <w:spacing w:before="40" w:after="40"/>
              <w:jc w:val="right"/>
            </w:pPr>
            <w:r w:rsidRPr="00E57329">
              <w:t>-8</w:t>
            </w:r>
          </w:p>
        </w:tc>
        <w:tc>
          <w:tcPr>
            <w:tcW w:w="1032" w:type="dxa"/>
            <w:hideMark/>
          </w:tcPr>
          <w:p w14:paraId="543E88DA" w14:textId="77777777" w:rsidR="00E57329" w:rsidRPr="00E57329" w:rsidRDefault="00E57329" w:rsidP="00E57329">
            <w:pPr>
              <w:pStyle w:val="TableText"/>
              <w:spacing w:before="40" w:after="40"/>
              <w:jc w:val="right"/>
              <w:rPr>
                <w:highlight w:val="yellow"/>
              </w:rPr>
            </w:pPr>
            <w:r w:rsidRPr="00E57329">
              <w:t>-33</w:t>
            </w:r>
          </w:p>
        </w:tc>
        <w:tc>
          <w:tcPr>
            <w:tcW w:w="1033" w:type="dxa"/>
            <w:hideMark/>
          </w:tcPr>
          <w:p w14:paraId="7E14F559" w14:textId="77777777" w:rsidR="00E57329" w:rsidRPr="00E57329" w:rsidRDefault="00E57329" w:rsidP="00E57329">
            <w:pPr>
              <w:pStyle w:val="TableText"/>
              <w:spacing w:before="40" w:after="40"/>
              <w:jc w:val="right"/>
              <w:rPr>
                <w:highlight w:val="yellow"/>
              </w:rPr>
            </w:pPr>
            <w:r w:rsidRPr="00E57329">
              <w:t>-42</w:t>
            </w:r>
          </w:p>
        </w:tc>
      </w:tr>
      <w:tr w:rsidR="00E57329" w:rsidRPr="00E57329" w14:paraId="34336BF4" w14:textId="77777777" w:rsidTr="00E57329">
        <w:trPr>
          <w:cnfStyle w:val="000000010000" w:firstRow="0" w:lastRow="0" w:firstColumn="0" w:lastColumn="0" w:oddVBand="0" w:evenVBand="0" w:oddHBand="0" w:evenHBand="1" w:firstRowFirstColumn="0" w:firstRowLastColumn="0" w:lastRowFirstColumn="0" w:lastRowLastColumn="0"/>
        </w:trPr>
        <w:tc>
          <w:tcPr>
            <w:tcW w:w="1843" w:type="dxa"/>
            <w:hideMark/>
          </w:tcPr>
          <w:p w14:paraId="1E8137E2" w14:textId="77777777" w:rsidR="00E57329" w:rsidRPr="00E57329" w:rsidRDefault="00E57329" w:rsidP="00E57329">
            <w:pPr>
              <w:pStyle w:val="TableText"/>
              <w:spacing w:before="40" w:after="40"/>
            </w:pPr>
            <w:r w:rsidRPr="00E57329">
              <w:t>SA Murray</w:t>
            </w:r>
          </w:p>
        </w:tc>
        <w:tc>
          <w:tcPr>
            <w:tcW w:w="1032" w:type="dxa"/>
            <w:hideMark/>
          </w:tcPr>
          <w:p w14:paraId="5E498B27" w14:textId="77777777" w:rsidR="00E57329" w:rsidRPr="00E57329" w:rsidRDefault="00E57329" w:rsidP="00E57329">
            <w:pPr>
              <w:pStyle w:val="TableText"/>
              <w:spacing w:before="40" w:after="40"/>
              <w:jc w:val="right"/>
            </w:pPr>
            <w:r w:rsidRPr="00E57329">
              <w:t>-51</w:t>
            </w:r>
          </w:p>
        </w:tc>
        <w:tc>
          <w:tcPr>
            <w:tcW w:w="1032" w:type="dxa"/>
            <w:hideMark/>
          </w:tcPr>
          <w:p w14:paraId="466C3DE5" w14:textId="77777777" w:rsidR="00E57329" w:rsidRPr="00E57329" w:rsidRDefault="00E57329" w:rsidP="00E57329">
            <w:pPr>
              <w:pStyle w:val="TableText"/>
              <w:spacing w:before="40" w:after="40"/>
              <w:jc w:val="right"/>
            </w:pPr>
            <w:r w:rsidRPr="00E57329">
              <w:t>-125</w:t>
            </w:r>
          </w:p>
        </w:tc>
        <w:tc>
          <w:tcPr>
            <w:tcW w:w="1033" w:type="dxa"/>
            <w:hideMark/>
          </w:tcPr>
          <w:p w14:paraId="418F5528" w14:textId="77777777" w:rsidR="00E57329" w:rsidRPr="00E57329" w:rsidRDefault="00E57329" w:rsidP="00E57329">
            <w:pPr>
              <w:pStyle w:val="TableText"/>
              <w:spacing w:before="40" w:after="40"/>
              <w:jc w:val="right"/>
            </w:pPr>
            <w:r w:rsidRPr="00E57329">
              <w:t>7</w:t>
            </w:r>
          </w:p>
        </w:tc>
        <w:tc>
          <w:tcPr>
            <w:tcW w:w="1032" w:type="dxa"/>
            <w:hideMark/>
          </w:tcPr>
          <w:p w14:paraId="32C2A6A4" w14:textId="77777777" w:rsidR="00E57329" w:rsidRPr="00E57329" w:rsidRDefault="00E57329" w:rsidP="00E57329">
            <w:pPr>
              <w:pStyle w:val="TableText"/>
              <w:spacing w:before="40" w:after="40"/>
              <w:jc w:val="right"/>
            </w:pPr>
            <w:r w:rsidRPr="00E57329">
              <w:t>29</w:t>
            </w:r>
          </w:p>
        </w:tc>
        <w:tc>
          <w:tcPr>
            <w:tcW w:w="1033" w:type="dxa"/>
            <w:hideMark/>
          </w:tcPr>
          <w:p w14:paraId="707FA383" w14:textId="77777777" w:rsidR="00E57329" w:rsidRPr="00E57329" w:rsidRDefault="00E57329" w:rsidP="00E57329">
            <w:pPr>
              <w:pStyle w:val="TableText"/>
              <w:spacing w:before="40" w:after="40"/>
              <w:jc w:val="right"/>
            </w:pPr>
            <w:r w:rsidRPr="00E57329">
              <w:t>-25</w:t>
            </w:r>
          </w:p>
        </w:tc>
        <w:tc>
          <w:tcPr>
            <w:tcW w:w="1032" w:type="dxa"/>
            <w:hideMark/>
          </w:tcPr>
          <w:p w14:paraId="6BB0D2CC" w14:textId="77777777" w:rsidR="00E57329" w:rsidRPr="00E57329" w:rsidRDefault="00E57329" w:rsidP="00E57329">
            <w:pPr>
              <w:pStyle w:val="TableText"/>
              <w:spacing w:before="40" w:after="40"/>
              <w:jc w:val="right"/>
              <w:rPr>
                <w:highlight w:val="yellow"/>
              </w:rPr>
            </w:pPr>
            <w:r w:rsidRPr="00E57329">
              <w:t>-3</w:t>
            </w:r>
          </w:p>
        </w:tc>
        <w:tc>
          <w:tcPr>
            <w:tcW w:w="1033" w:type="dxa"/>
            <w:hideMark/>
          </w:tcPr>
          <w:p w14:paraId="7993BFD6" w14:textId="77777777" w:rsidR="00E57329" w:rsidRPr="00E57329" w:rsidRDefault="00E57329" w:rsidP="00E57329">
            <w:pPr>
              <w:pStyle w:val="TableText"/>
              <w:spacing w:before="40" w:after="40"/>
              <w:jc w:val="right"/>
              <w:rPr>
                <w:highlight w:val="yellow"/>
              </w:rPr>
            </w:pPr>
            <w:r w:rsidRPr="00E57329">
              <w:t>38</w:t>
            </w:r>
          </w:p>
        </w:tc>
      </w:tr>
    </w:tbl>
    <w:p w14:paraId="64D582FA" w14:textId="478BC5AB" w:rsidR="00E57329" w:rsidRPr="00885B0A" w:rsidRDefault="00E57329" w:rsidP="00E57329">
      <w:pPr>
        <w:rPr>
          <w:color w:val="9BA1A5"/>
        </w:rPr>
      </w:pPr>
      <w:r>
        <w:rPr>
          <w:i/>
          <w:color w:val="9BA1A5"/>
          <w:sz w:val="16"/>
          <w:szCs w:val="16"/>
        </w:rPr>
        <w:t>Note: Includes water reallocated via trade and tagging. Source: Victorian Water Trading Annual Reports; DELWP register data.</w:t>
      </w:r>
    </w:p>
    <w:p w14:paraId="3B749360" w14:textId="77777777" w:rsidR="00A2153D" w:rsidRDefault="00A2153D" w:rsidP="00597401">
      <w:pPr>
        <w:pStyle w:val="Heading2numbered"/>
        <w:numPr>
          <w:ilvl w:val="1"/>
          <w:numId w:val="12"/>
        </w:numPr>
        <w:tabs>
          <w:tab w:val="clear" w:pos="851"/>
        </w:tabs>
        <w:ind w:left="0" w:firstLine="0"/>
      </w:pPr>
      <w:bookmarkStart w:id="65" w:name="_Toc107997222"/>
      <w:bookmarkStart w:id="66" w:name="_Toc110262385"/>
      <w:bookmarkStart w:id="67" w:name="_Toc113621653"/>
      <w:r>
        <w:t>The main irrigated industries and their geographic centres</w:t>
      </w:r>
      <w:bookmarkEnd w:id="65"/>
      <w:bookmarkEnd w:id="66"/>
      <w:bookmarkEnd w:id="67"/>
    </w:p>
    <w:p w14:paraId="02469794" w14:textId="77777777" w:rsidR="00A2153D" w:rsidRDefault="00A2153D" w:rsidP="00A2153D">
      <w:pPr>
        <w:pStyle w:val="BodyText"/>
      </w:pPr>
      <w:r>
        <w:t>For the purposes of this report, it is helpful to think about water in the southern-connected Basin as being used for three main types of irrigated enterprise. These are:</w:t>
      </w:r>
    </w:p>
    <w:p w14:paraId="6931CA1A" w14:textId="77777777" w:rsidR="00A2153D" w:rsidRDefault="00A2153D" w:rsidP="00597401">
      <w:pPr>
        <w:pStyle w:val="ParaBullet1"/>
        <w:numPr>
          <w:ilvl w:val="0"/>
          <w:numId w:val="14"/>
        </w:numPr>
      </w:pPr>
      <w:r>
        <w:t>horticulture</w:t>
      </w:r>
    </w:p>
    <w:p w14:paraId="36233046" w14:textId="77777777" w:rsidR="00A2153D" w:rsidRDefault="00A2153D" w:rsidP="00597401">
      <w:pPr>
        <w:pStyle w:val="ParaBullet1"/>
        <w:numPr>
          <w:ilvl w:val="0"/>
          <w:numId w:val="14"/>
        </w:numPr>
      </w:pPr>
      <w:r>
        <w:t>dairying and mixed farming</w:t>
      </w:r>
    </w:p>
    <w:p w14:paraId="7EFFBC53" w14:textId="77777777" w:rsidR="00A2153D" w:rsidRDefault="00A2153D" w:rsidP="00597401">
      <w:pPr>
        <w:pStyle w:val="ParaBullet1"/>
        <w:numPr>
          <w:ilvl w:val="0"/>
          <w:numId w:val="14"/>
        </w:numPr>
      </w:pPr>
      <w:r>
        <w:t>annual cropping systems, which were traditionally rice-based but are now increasingly based on cotton, maize, and winter crops as well as rice.</w:t>
      </w:r>
    </w:p>
    <w:p w14:paraId="33E8C69F" w14:textId="77777777" w:rsidR="00A2153D" w:rsidRDefault="00A2153D" w:rsidP="00A2153D">
      <w:pPr>
        <w:pStyle w:val="BodyText"/>
      </w:pPr>
      <w:r>
        <w:t xml:space="preserve">It is common for these different groups to be referred to as different irrigation industries. At one level this is a useful abstraction because it helps to think about the broad movements of water in what is effectively a single water market operating throughout the southern-connected Basin. </w:t>
      </w:r>
    </w:p>
    <w:p w14:paraId="04188F04" w14:textId="1F57307D" w:rsidR="00A2153D" w:rsidRDefault="00A2153D" w:rsidP="00A2153D">
      <w:pPr>
        <w:pStyle w:val="BodyText"/>
      </w:pPr>
      <w:r>
        <w:t xml:space="preserve">At another level however, it is unhelpful to think about each type of irrigated enterprise as a monolith; to do so is to risk ignoring the reality that there are thousands of different </w:t>
      </w:r>
      <w:r w:rsidR="00345121">
        <w:t xml:space="preserve">people and different structures of farming enterprises </w:t>
      </w:r>
      <w:r>
        <w:t>involved in irrigation in the Basin, and they are farming at a range of scales, with widely different levels of profitability. Their financial successes and failures depend on a range of factors including the weather, commodity prices, their indebtedness, their exposure to personal crises, their costs of doing business, as well as water availability and water prices. The variations between irrigators within industries are often much greater than the variations between industries.</w:t>
      </w:r>
    </w:p>
    <w:p w14:paraId="3D334A58" w14:textId="7962EF22" w:rsidR="00A2153D" w:rsidRDefault="00A2153D" w:rsidP="00A2153D">
      <w:pPr>
        <w:pStyle w:val="BodyText"/>
      </w:pPr>
      <w:r>
        <w:t xml:space="preserve">For the purposes of this report, irrigation industries are discussed in the context of their patterns of water demand and how these might interact with the impacts of water </w:t>
      </w:r>
      <w:r w:rsidR="003003D2" w:rsidRPr="003003D2">
        <w:t>availability</w:t>
      </w:r>
      <w:r>
        <w:t xml:space="preserve"> under the Basin Plan. Since each of these industries is to some extent focused in different parts of the </w:t>
      </w:r>
      <w:r>
        <w:lastRenderedPageBreak/>
        <w:t>Basin, those interactions also influence the socio-economic impacts of the Basin Plan in different parts of the Basin.</w:t>
      </w:r>
    </w:p>
    <w:p w14:paraId="73B7ED27" w14:textId="1F442DB1" w:rsidR="00A2153D" w:rsidRDefault="00A2153D" w:rsidP="00A2153D">
      <w:pPr>
        <w:pStyle w:val="BodyText"/>
        <w:rPr>
          <w:lang w:val="en-US"/>
        </w:rPr>
      </w:pPr>
      <w:r>
        <w:rPr>
          <w:b/>
        </w:rPr>
        <w:t>Irrigated horticulture</w:t>
      </w:r>
      <w:r>
        <w:t xml:space="preserve"> in the southern-connected Basin is concentrated in the Mallee regions of NSW, South Australia and Victoria, around Griffith in NSW and around Shepparton in Victoria. Perennial crops such as almonds, grapevines, citrus, pome fruits and stone fruits are </w:t>
      </w:r>
      <w:r w:rsidR="00F47160">
        <w:t>‘</w:t>
      </w:r>
      <w:r>
        <w:rPr>
          <w:i/>
          <w:lang w:val="en-US"/>
        </w:rPr>
        <w:t>non-interruptible</w:t>
      </w:r>
      <w:r w:rsidR="00F47160">
        <w:rPr>
          <w:i/>
          <w:lang w:val="en-US"/>
        </w:rPr>
        <w:t>’</w:t>
      </w:r>
      <w:r>
        <w:rPr>
          <w:lang w:val="en-US"/>
        </w:rPr>
        <w:t xml:space="preserve"> in the sense that in the absence of irrigation, these crops may die and they will be expensive and time-consuming to replace. Annual vegetable crops are interruptible, but their high value of production means that vegetable growers will typically remain in the water market at very high prices. While they are concentrated in the Mallee, there are very important horticultural plantings in the Murrumbidgee and the </w:t>
      </w:r>
      <w:r>
        <w:t>Goulburn-Murray Irrigation District (GMID) of Victoria. Irrigated horticulture has continued to expand since 2017.</w:t>
      </w:r>
    </w:p>
    <w:p w14:paraId="7211F38A" w14:textId="785787F9" w:rsidR="00A2153D" w:rsidRDefault="00A2153D" w:rsidP="00A2153D">
      <w:pPr>
        <w:pStyle w:val="BodyText"/>
        <w:rPr>
          <w:lang w:val="en-US"/>
        </w:rPr>
      </w:pPr>
      <w:r>
        <w:rPr>
          <w:b/>
        </w:rPr>
        <w:t>Irrigated dairying and mixed farming</w:t>
      </w:r>
      <w:r>
        <w:t xml:space="preserve"> is concentrated in the GMID, with smaller levels of production in southern NSW and a low level of production in the Lower Lakes region of South Australia. </w:t>
      </w:r>
      <w:r>
        <w:rPr>
          <w:lang w:val="en-US"/>
        </w:rPr>
        <w:t xml:space="preserve">Dairying is </w:t>
      </w:r>
      <w:r w:rsidR="00796D0D">
        <w:rPr>
          <w:lang w:val="en-US"/>
        </w:rPr>
        <w:t>‘</w:t>
      </w:r>
      <w:r>
        <w:rPr>
          <w:i/>
          <w:lang w:val="en-US"/>
        </w:rPr>
        <w:t>semi-interruptible</w:t>
      </w:r>
      <w:r w:rsidR="00796D0D">
        <w:rPr>
          <w:i/>
          <w:lang w:val="en-US"/>
        </w:rPr>
        <w:t>’</w:t>
      </w:r>
      <w:r>
        <w:rPr>
          <w:lang w:val="en-US"/>
        </w:rPr>
        <w:t xml:space="preserve"> in the sense that there are substitutes for water in the form of purchased feed. Moreover, parts of the herd can be ‘parked’ on dryland farms in other areas if necessary. However, dairy nutrition requires a balance between dry feed and pastures, and in the long run, the ‘perennial’ nature of </w:t>
      </w:r>
      <w:r w:rsidR="00C11387">
        <w:rPr>
          <w:lang w:val="en-US"/>
        </w:rPr>
        <w:t xml:space="preserve">dairy </w:t>
      </w:r>
      <w:r>
        <w:rPr>
          <w:lang w:val="en-US"/>
        </w:rPr>
        <w:t xml:space="preserve">herds, and the genetics on which they are based, means they will be expensive and time-consuming to replace if they cannot be maintained. Mixed farming systems, which involve a mix of cropping and grazing for meat and fibre, is </w:t>
      </w:r>
      <w:r>
        <w:rPr>
          <w:i/>
          <w:lang w:val="en-US"/>
        </w:rPr>
        <w:t>interruptible</w:t>
      </w:r>
      <w:r>
        <w:rPr>
          <w:lang w:val="en-US"/>
        </w:rPr>
        <w:t>, but increasingly it helps to provide feed to the dairy industry. Cropping and Dairy (Combined</w:t>
      </w:r>
      <w:r w:rsidR="00901ADD">
        <w:rPr>
          <w:lang w:val="en-US"/>
        </w:rPr>
        <w:t xml:space="preserve">, </w:t>
      </w:r>
      <w:r>
        <w:rPr>
          <w:lang w:val="en-US"/>
        </w:rPr>
        <w:t>i.e. Dairy, Dairy Associated, and Dairy Agistment and Fodder) accounted for 42% and 26.5% of the primary land use in the GMID in 2019-20, respectively</w:t>
      </w:r>
      <w:r w:rsidR="00114995">
        <w:rPr>
          <w:lang w:val="en-US"/>
        </w:rPr>
        <w:t xml:space="preserve"> (GBCMA 2021)</w:t>
      </w:r>
      <w:r>
        <w:rPr>
          <w:lang w:val="en-US"/>
        </w:rPr>
        <w:t>.</w:t>
      </w:r>
    </w:p>
    <w:p w14:paraId="35B8F76F" w14:textId="4CC77B3D" w:rsidR="00A2153D" w:rsidRDefault="00C6698D" w:rsidP="00A2153D">
      <w:pPr>
        <w:pStyle w:val="BodyText"/>
        <w:rPr>
          <w:lang w:val="en-US"/>
        </w:rPr>
      </w:pPr>
      <w:r>
        <w:rPr>
          <w:b/>
        </w:rPr>
        <w:t>A</w:t>
      </w:r>
      <w:r w:rsidR="00A2153D">
        <w:rPr>
          <w:b/>
        </w:rPr>
        <w:t>nnual cropping systems</w:t>
      </w:r>
      <w:r>
        <w:rPr>
          <w:b/>
        </w:rPr>
        <w:t xml:space="preserve"> (rice)</w:t>
      </w:r>
      <w:r w:rsidR="00A2153D">
        <w:t xml:space="preserve"> are concentrated in the Murrumbidgee and Murray regions of NSW. </w:t>
      </w:r>
      <w:r w:rsidR="00A2153D">
        <w:rPr>
          <w:lang w:val="en-US"/>
        </w:rPr>
        <w:t xml:space="preserve">These are </w:t>
      </w:r>
      <w:r w:rsidR="00B4519D">
        <w:rPr>
          <w:lang w:val="en-US"/>
        </w:rPr>
        <w:t>‘</w:t>
      </w:r>
      <w:r w:rsidR="00A2153D">
        <w:rPr>
          <w:i/>
          <w:lang w:val="en-US"/>
        </w:rPr>
        <w:t>interruptible</w:t>
      </w:r>
      <w:r w:rsidR="00B4519D">
        <w:rPr>
          <w:i/>
          <w:lang w:val="en-US"/>
        </w:rPr>
        <w:t>’</w:t>
      </w:r>
      <w:r w:rsidR="00A2153D">
        <w:rPr>
          <w:lang w:val="en-US"/>
        </w:rPr>
        <w:t xml:space="preserve"> in the sense that while income is foregone if they cannot be grown in a given year, they can be planted in another year in the hope of earning enough to offset those foregone revenues. In years of high water availability, rice production traditionally accounted for more water use than any other industry. However, the recovery of water for the environment under the Basin Plan, coupled with the continued expansion of horticulture, now means that the market price for water is too high to justify large areas of price production except when water allocation prices are below $120 – $150 per ML. At higher prices the marginal returns per ML are greater for irrigated cotton and maize or for supplementary irrigation of winter crops such as wheat and canola.</w:t>
      </w:r>
    </w:p>
    <w:p w14:paraId="13F9325F" w14:textId="6C97047A" w:rsidR="00A2153D" w:rsidRDefault="00C6698D" w:rsidP="00A2153D">
      <w:pPr>
        <w:pStyle w:val="BodyText"/>
      </w:pPr>
      <w:r>
        <w:rPr>
          <w:b/>
        </w:rPr>
        <w:t>A</w:t>
      </w:r>
      <w:r w:rsidR="00A2153D">
        <w:rPr>
          <w:b/>
        </w:rPr>
        <w:t>nnual cropping systems</w:t>
      </w:r>
      <w:r>
        <w:rPr>
          <w:b/>
        </w:rPr>
        <w:t xml:space="preserve"> (cotton)</w:t>
      </w:r>
      <w:r w:rsidR="00A2153D">
        <w:t xml:space="preserve"> are now common in the Murrumbidgee region. At this stage they account for a small proportion of the total water use in the Murray region of NSW, but the area in the Murray has expanded since our initial report in 2017 — the most recent available ABS data</w:t>
      </w:r>
      <w:r w:rsidR="00A2153D">
        <w:rPr>
          <w:rStyle w:val="FootnoteReference"/>
        </w:rPr>
        <w:footnoteReference w:id="14"/>
      </w:r>
      <w:r w:rsidR="00A2153D">
        <w:t xml:space="preserve"> found 22,683 ha and 2,655 ha of cotton irrigated in the Murrumbidgee and </w:t>
      </w:r>
      <w:r>
        <w:t xml:space="preserve">NSW </w:t>
      </w:r>
      <w:r w:rsidR="00A2153D">
        <w:t xml:space="preserve">Murray, respectively. Like rice-based systems, cotton-based systems are </w:t>
      </w:r>
      <w:r w:rsidR="00A2153D">
        <w:rPr>
          <w:i/>
        </w:rPr>
        <w:t>interruptible</w:t>
      </w:r>
      <w:r w:rsidR="00A2153D">
        <w:t>, but the higher value of their produce, coupled with the tendency for growers to have forward contracts for their production, means that they are likely to be still buying allocations at prices where rice farmers begin to sell.</w:t>
      </w:r>
    </w:p>
    <w:p w14:paraId="5A0E2035" w14:textId="77777777" w:rsidR="00A2153D" w:rsidRDefault="00A2153D" w:rsidP="00597401">
      <w:pPr>
        <w:pStyle w:val="Heading2numbered"/>
        <w:numPr>
          <w:ilvl w:val="1"/>
          <w:numId w:val="12"/>
        </w:numPr>
        <w:tabs>
          <w:tab w:val="clear" w:pos="851"/>
        </w:tabs>
        <w:ind w:left="0" w:firstLine="0"/>
      </w:pPr>
      <w:bookmarkStart w:id="68" w:name="_Toc107997223"/>
      <w:bookmarkStart w:id="69" w:name="_Toc110262386"/>
      <w:bookmarkStart w:id="70" w:name="_Toc113621654"/>
      <w:r>
        <w:lastRenderedPageBreak/>
        <w:t>System dynamics</w:t>
      </w:r>
      <w:bookmarkEnd w:id="68"/>
      <w:bookmarkEnd w:id="69"/>
      <w:bookmarkEnd w:id="70"/>
    </w:p>
    <w:p w14:paraId="10BC4A92" w14:textId="77777777" w:rsidR="00C01EB6" w:rsidRDefault="00A2153D" w:rsidP="00A2153D">
      <w:pPr>
        <w:pStyle w:val="BodyText"/>
      </w:pPr>
      <w:r>
        <w:t xml:space="preserve">The presence of these three main industries in the southern-connected Basin, and the variations within them, provides the heterogeneity necessary to drive the water market. When allocations are abundant and water prices are low, rice farmers will typically (subject to the relativities in commodity prices) buy allocations from other irrigators in order to expand their plantings. </w:t>
      </w:r>
    </w:p>
    <w:p w14:paraId="6AF665D8" w14:textId="0EFAC370" w:rsidR="00A2153D" w:rsidRDefault="00A2153D" w:rsidP="00A2153D">
      <w:pPr>
        <w:pStyle w:val="BodyText"/>
      </w:pPr>
      <w:r>
        <w:t>When allocations are scarce and prices are high</w:t>
      </w:r>
      <w:r w:rsidR="00AE14B2">
        <w:t>,</w:t>
      </w:r>
      <w:r>
        <w:t xml:space="preserve"> irrigators with</w:t>
      </w:r>
      <w:r>
        <w:rPr>
          <w:i/>
        </w:rPr>
        <w:t xml:space="preserve"> non-interruptible</w:t>
      </w:r>
      <w:r>
        <w:t xml:space="preserve"> enterprises will (</w:t>
      </w:r>
      <w:r w:rsidR="00AE14B2">
        <w:t xml:space="preserve">again </w:t>
      </w:r>
      <w:r>
        <w:t xml:space="preserve">subject to commodity prices) endeavour to protect their productive base by buying allocations and maintaining their production. For example, water use in horticulture-dominated regions such as Victoria Murray zone 7 does not fluctuate significantly in response to seasonal conditions and changing water scarcity, whereas areas planted to rice vary significantly (such as 494 ha </w:t>
      </w:r>
      <w:r w:rsidR="00AD5CA1">
        <w:t xml:space="preserve">in the NSW Murray region </w:t>
      </w:r>
      <w:r>
        <w:t>in 2019-20, as compared to 43,281ha in 2016-17).</w:t>
      </w:r>
    </w:p>
    <w:p w14:paraId="48A461C4" w14:textId="221C2DCE" w:rsidR="007A5FF6" w:rsidRDefault="007A5FF6" w:rsidP="007A5FF6">
      <w:pPr>
        <w:pStyle w:val="BodyText"/>
      </w:pPr>
      <w:r>
        <w:t>The way this plays out in general terms is that perennial horticultural crops have a re</w:t>
      </w:r>
      <w:r w:rsidR="00C6698D">
        <w:t>lative</w:t>
      </w:r>
      <w:r>
        <w:t>ly constant demand for water. Now that most horticulturalists use a portfolio of carryover, held entitlements, leased entitlements, and purchased allocations</w:t>
      </w:r>
      <w:r w:rsidR="00AE14B2">
        <w:t xml:space="preserve">, </w:t>
      </w:r>
      <w:r>
        <w:t xml:space="preserve">provided high reliability entitlements are around 100% they will purchase reasonably constant volumes of allocations each year. </w:t>
      </w:r>
    </w:p>
    <w:p w14:paraId="654774FE" w14:textId="538AAEA6" w:rsidR="007A5FF6" w:rsidRDefault="007A5FF6" w:rsidP="007A5FF6">
      <w:pPr>
        <w:pStyle w:val="BodyText"/>
      </w:pPr>
      <w:r>
        <w:t xml:space="preserve">Dairy farmers increasingly operate with a similar portfolio of water sources, but the main difference is that they can bank higher allocations in the form of fodder or silage stores sufficient to get them through more than one year. In this way they can take an opportunistic approach to cheap allocation prices. This has been </w:t>
      </w:r>
      <w:r w:rsidR="003812FB">
        <w:t>an adaption in response to the greater volatility in available allocations resulting from the Basin Plan.</w:t>
      </w:r>
    </w:p>
    <w:p w14:paraId="0160177C" w14:textId="2F56713A" w:rsidR="007A5FF6" w:rsidRDefault="007A5FF6" w:rsidP="007A5FF6">
      <w:pPr>
        <w:pStyle w:val="BodyText"/>
      </w:pPr>
      <w:r>
        <w:t>In wet years</w:t>
      </w:r>
      <w:r w:rsidR="00AB0EBF">
        <w:t>,</w:t>
      </w:r>
      <w:r>
        <w:t xml:space="preserve"> when </w:t>
      </w:r>
      <w:r w:rsidR="00AB0EBF">
        <w:t xml:space="preserve">NSW </w:t>
      </w:r>
      <w:r>
        <w:t xml:space="preserve">general security allocations are high, rice production ramps up </w:t>
      </w:r>
      <w:r w:rsidR="003812FB">
        <w:t>while</w:t>
      </w:r>
      <w:r>
        <w:t xml:space="preserve"> allocation prices are low. If general security allocations are low, while high reliability allocations are below 100%, rice-based annual croppers may decide they can generate better returns from their available allocations by selling them and reducing their crop production.</w:t>
      </w:r>
    </w:p>
    <w:p w14:paraId="5E71900A" w14:textId="448C5C75" w:rsidR="007A5FF6" w:rsidRDefault="007A5FF6" w:rsidP="007A5FF6">
      <w:pPr>
        <w:pStyle w:val="BodyText"/>
      </w:pPr>
      <w:r>
        <w:t xml:space="preserve">On the other hand, when general security allocations approach 0%, as they did in 2019-20, rice-based annual croppers will enter the market, </w:t>
      </w:r>
      <w:r w:rsidR="00C6698D">
        <w:t xml:space="preserve">for small volumes </w:t>
      </w:r>
      <w:r>
        <w:t>at high prices to ensure they can meet their critical domestic and stock water needs.</w:t>
      </w:r>
    </w:p>
    <w:p w14:paraId="2424EAF0" w14:textId="7A621A79" w:rsidR="00144061" w:rsidRDefault="00144061" w:rsidP="00A2153D">
      <w:pPr>
        <w:pStyle w:val="BodyText"/>
      </w:pPr>
      <w:r>
        <w:t xml:space="preserve">It is </w:t>
      </w:r>
      <w:r w:rsidRPr="00144061">
        <w:t>this</w:t>
      </w:r>
      <w:r>
        <w:t xml:space="preserve"> heterogeneity in crop types and industries </w:t>
      </w:r>
      <w:r w:rsidR="003E66BE">
        <w:t>that</w:t>
      </w:r>
      <w:r w:rsidRPr="00144061">
        <w:t xml:space="preserve"> </w:t>
      </w:r>
      <w:r w:rsidR="003E66BE">
        <w:t>supports and drives one of the most</w:t>
      </w:r>
      <w:r w:rsidRPr="00144061">
        <w:t xml:space="preserve"> </w:t>
      </w:r>
      <w:r w:rsidR="003E66BE">
        <w:t>dynamic water</w:t>
      </w:r>
      <w:r w:rsidRPr="00144061">
        <w:t xml:space="preserve"> market</w:t>
      </w:r>
      <w:r w:rsidR="003E66BE">
        <w:t>s in the world.</w:t>
      </w:r>
      <w:r w:rsidRPr="00144061">
        <w:t xml:space="preserve"> </w:t>
      </w:r>
      <w:r w:rsidR="003E66BE">
        <w:t>The water market of the southern-connected Murray-Darling Basin</w:t>
      </w:r>
      <w:r w:rsidRPr="00144061">
        <w:t xml:space="preserve"> provides </w:t>
      </w:r>
      <w:r w:rsidR="007A5FF6">
        <w:t>water users with</w:t>
      </w:r>
      <w:r w:rsidRPr="00144061">
        <w:t xml:space="preserve"> the ability to maintain</w:t>
      </w:r>
      <w:r w:rsidR="007A5FF6">
        <w:t xml:space="preserve"> their enterprises</w:t>
      </w:r>
      <w:r w:rsidRPr="00144061">
        <w:t xml:space="preserve"> over different seasonal conditions.</w:t>
      </w:r>
    </w:p>
    <w:p w14:paraId="09AE1272" w14:textId="77777777" w:rsidR="00A2153D" w:rsidRDefault="00A2153D" w:rsidP="00597401">
      <w:pPr>
        <w:pStyle w:val="Heading2numbered"/>
        <w:numPr>
          <w:ilvl w:val="1"/>
          <w:numId w:val="12"/>
        </w:numPr>
        <w:tabs>
          <w:tab w:val="clear" w:pos="851"/>
        </w:tabs>
        <w:ind w:left="0" w:firstLine="0"/>
      </w:pPr>
      <w:bookmarkStart w:id="71" w:name="_Toc107997224"/>
      <w:bookmarkStart w:id="72" w:name="_Toc110262387"/>
      <w:bookmarkStart w:id="73" w:name="_Toc113621655"/>
      <w:r>
        <w:t>Summing up</w:t>
      </w:r>
      <w:bookmarkEnd w:id="71"/>
      <w:bookmarkEnd w:id="72"/>
      <w:bookmarkEnd w:id="73"/>
    </w:p>
    <w:p w14:paraId="7606665E" w14:textId="5F8A71BA" w:rsidR="00A2153D" w:rsidRDefault="00A2153D" w:rsidP="00A2153D">
      <w:pPr>
        <w:pStyle w:val="BodyText"/>
      </w:pPr>
      <w:r>
        <w:t>Water supplies in the southern-connected Basin are highly variable. Each of the southern Basin states designed its water allocation framework to deal with that variability in ways that favoured the dominant irrigation industries in that state. As water markets developed in each state, and as those markets began to be integrated, irrigation in the southern-connected Basin increasingly began to operate as a single, large, dynamic system.</w:t>
      </w:r>
      <w:r w:rsidR="002D330E">
        <w:t xml:space="preserve"> I</w:t>
      </w:r>
      <w:r w:rsidR="00F91008">
        <w:t>t is i</w:t>
      </w:r>
      <w:r w:rsidR="002D330E">
        <w:t>n this context</w:t>
      </w:r>
      <w:r w:rsidR="00F91008">
        <w:t xml:space="preserve"> that</w:t>
      </w:r>
      <w:r w:rsidR="002D330E">
        <w:t xml:space="preserve"> </w:t>
      </w:r>
      <w:r w:rsidR="002D330E" w:rsidRPr="002D330E">
        <w:t>the Basin Plan has altered system dynamics</w:t>
      </w:r>
      <w:r w:rsidR="004F615C">
        <w:t>, and the impacts are explored throughout this report.</w:t>
      </w:r>
    </w:p>
    <w:p w14:paraId="6E9224DF" w14:textId="77777777" w:rsidR="00A2153D" w:rsidRDefault="00A2153D" w:rsidP="00597401">
      <w:pPr>
        <w:pStyle w:val="Heading1numbered"/>
        <w:numPr>
          <w:ilvl w:val="0"/>
          <w:numId w:val="12"/>
        </w:numPr>
      </w:pPr>
      <w:bookmarkStart w:id="74" w:name="_Ref108186664"/>
      <w:bookmarkStart w:id="75" w:name="_Toc107997228"/>
      <w:bookmarkStart w:id="76" w:name="_Toc110262388"/>
      <w:bookmarkStart w:id="77" w:name="_Toc113621656"/>
      <w:bookmarkStart w:id="78" w:name="_Toc107997225"/>
      <w:r>
        <w:lastRenderedPageBreak/>
        <w:t>An analysis of the water recovered so far under the Basin Plan</w:t>
      </w:r>
      <w:bookmarkEnd w:id="74"/>
      <w:bookmarkEnd w:id="75"/>
      <w:bookmarkEnd w:id="76"/>
      <w:bookmarkEnd w:id="77"/>
    </w:p>
    <w:p w14:paraId="779D819C" w14:textId="77777777" w:rsidR="00A2153D" w:rsidRDefault="00A2153D" w:rsidP="00A2153D">
      <w:pPr>
        <w:pStyle w:val="BodyText"/>
      </w:pPr>
      <w:r>
        <w:t xml:space="preserve">As discussed above, each state has its own property rights regime for water, and there are significant differences in the total volumes of entitlements issued to water users in either state from shared storages. There are also differences in the allocation volumes these entitlements receive under different conditions. </w:t>
      </w:r>
    </w:p>
    <w:p w14:paraId="70822E96" w14:textId="77777777" w:rsidR="00A2153D" w:rsidRDefault="00A2153D" w:rsidP="00A2153D">
      <w:pPr>
        <w:pStyle w:val="BodyText"/>
      </w:pPr>
      <w:r>
        <w:t xml:space="preserve">The Basin Plan translates these differences into a common unit of account using conversion factors. Commonly these are called 'Cap Factors', but formally, under the Basin Plan, they are called ‘long-term diversion limit equivalence (LTDLE) factors’. LTDLE factors take account of the average availability and use of different entitlements. </w:t>
      </w:r>
    </w:p>
    <w:p w14:paraId="2D07224A" w14:textId="00F19E75" w:rsidR="00414205" w:rsidRDefault="00A2153D" w:rsidP="00A2153D">
      <w:pPr>
        <w:pStyle w:val="BodyText"/>
      </w:pPr>
      <w:r>
        <w:t>The Commonwealth uses LTDLE factors to calculate the long-term average annual yield (LTAAY) of the water entitlements that it has recovered for the environment. The hydrological modelling that underpins this calculation is based on the 114-year historical reference climate period — the baseline period 1895-2009. (It is worth noting here that climate change can be expected to reduce the yield of general and lower reliability entitlements more than it will reduce the yield of high reliability entitlements.)</w:t>
      </w:r>
    </w:p>
    <w:p w14:paraId="75B2102E" w14:textId="550CF487" w:rsidR="00E54C3B" w:rsidRDefault="00E54C3B" w:rsidP="00597401">
      <w:pPr>
        <w:pStyle w:val="Heading2numbered"/>
        <w:numPr>
          <w:ilvl w:val="1"/>
          <w:numId w:val="12"/>
        </w:numPr>
        <w:tabs>
          <w:tab w:val="clear" w:pos="851"/>
        </w:tabs>
        <w:ind w:left="0" w:firstLine="0"/>
      </w:pPr>
      <w:bookmarkStart w:id="79" w:name="_Toc113621657"/>
      <w:bookmarkStart w:id="80" w:name="_Toc110262389"/>
      <w:r>
        <w:t>Water recovery</w:t>
      </w:r>
      <w:bookmarkEnd w:id="79"/>
    </w:p>
    <w:p w14:paraId="6D0DBEB9" w14:textId="5489E653" w:rsidR="00E54C3B" w:rsidRDefault="00775D6D" w:rsidP="00E54C3B">
      <w:pPr>
        <w:pStyle w:val="BodyText"/>
      </w:pPr>
      <w:r>
        <w:t>Water recovery for the Basin Plan has been occurring for over ten years</w:t>
      </w:r>
      <w:r w:rsidR="007528D8">
        <w:t>, with the majority volumes being surface water, and in the southern MDB.</w:t>
      </w:r>
    </w:p>
    <w:p w14:paraId="23155991" w14:textId="77777777" w:rsidR="00455962" w:rsidRDefault="00C036A2" w:rsidP="00455962">
      <w:pPr>
        <w:pStyle w:val="BodyText"/>
      </w:pPr>
      <w:r>
        <w:t>A</w:t>
      </w:r>
      <w:r w:rsidRPr="00C036A2">
        <w:t>s at 30 June 2022</w:t>
      </w:r>
      <w:r>
        <w:t xml:space="preserve">, </w:t>
      </w:r>
      <w:r w:rsidR="00455962">
        <w:t xml:space="preserve">a total of 2,107.4 GL (long-term equivalent) of surface water had been recovered across the MDB towards the 2,075 GL target for water recovery under the ‘Bridging the Gap’ requirements. </w:t>
      </w:r>
    </w:p>
    <w:p w14:paraId="4955E999" w14:textId="3C21C052" w:rsidR="008465CA" w:rsidRDefault="00455962" w:rsidP="00455962">
      <w:pPr>
        <w:pStyle w:val="BodyText"/>
      </w:pPr>
      <w:r>
        <w:t>Of this 1,939.4 GL (or 92%) has been Commonwealth funded</w:t>
      </w:r>
      <w:r w:rsidR="008465CA">
        <w:t>, although significant contribution</w:t>
      </w:r>
      <w:r w:rsidR="00494199">
        <w:t>s</w:t>
      </w:r>
      <w:r w:rsidR="008465CA">
        <w:t xml:space="preserve"> </w:t>
      </w:r>
      <w:r w:rsidR="0094554A">
        <w:t xml:space="preserve">(168 GL) </w:t>
      </w:r>
      <w:r w:rsidR="008465CA">
        <w:t xml:space="preserve">have </w:t>
      </w:r>
      <w:r w:rsidR="0094554A">
        <w:t xml:space="preserve">also </w:t>
      </w:r>
      <w:r w:rsidR="008465CA">
        <w:t>been made by Basin States (</w:t>
      </w:r>
      <w:r w:rsidR="00494199">
        <w:fldChar w:fldCharType="begin"/>
      </w:r>
      <w:r w:rsidR="00494199">
        <w:instrText xml:space="preserve"> REF _Ref112242670 \h </w:instrText>
      </w:r>
      <w:r w:rsidR="00494199">
        <w:fldChar w:fldCharType="separate"/>
      </w:r>
      <w:r w:rsidR="00D4298A" w:rsidRPr="00603BC1">
        <w:rPr>
          <w:rStyle w:val="Bold"/>
        </w:rPr>
        <w:t xml:space="preserve">Table </w:t>
      </w:r>
      <w:r w:rsidR="00D4298A">
        <w:rPr>
          <w:rStyle w:val="Bold"/>
          <w:noProof/>
        </w:rPr>
        <w:t>2</w:t>
      </w:r>
      <w:r w:rsidR="00494199">
        <w:fldChar w:fldCharType="end"/>
      </w:r>
      <w:r w:rsidR="008465CA">
        <w:t>).</w:t>
      </w:r>
      <w:r w:rsidR="003A0E0B">
        <w:t xml:space="preserve"> </w:t>
      </w:r>
      <w:r w:rsidR="00CD32C4">
        <w:t xml:space="preserve">Of the </w:t>
      </w:r>
      <w:r w:rsidR="00B411D7">
        <w:t>water recovery made by Basin States in the southern MDB, Victoria has contributed the majority (73%).</w:t>
      </w:r>
    </w:p>
    <w:p w14:paraId="21260D29" w14:textId="7EC8C303" w:rsidR="008A7C1B" w:rsidRDefault="008A7C1B" w:rsidP="008276F9">
      <w:pPr>
        <w:pStyle w:val="Caption"/>
      </w:pPr>
      <w:bookmarkStart w:id="81" w:name="_Ref112242670"/>
      <w:bookmarkStart w:id="82" w:name="_Toc113621689"/>
      <w:r w:rsidRPr="00603BC1">
        <w:rPr>
          <w:rStyle w:val="Bold"/>
        </w:rPr>
        <w:lastRenderedPageBreak/>
        <w:t xml:space="preserve">Table </w:t>
      </w:r>
      <w:r w:rsidRPr="00603BC1">
        <w:rPr>
          <w:rStyle w:val="Bold"/>
        </w:rPr>
        <w:fldChar w:fldCharType="begin"/>
      </w:r>
      <w:r w:rsidRPr="00603BC1">
        <w:rPr>
          <w:rStyle w:val="Bold"/>
        </w:rPr>
        <w:instrText xml:space="preserve"> SEQ Table \* ARABIC </w:instrText>
      </w:r>
      <w:r w:rsidRPr="00603BC1">
        <w:rPr>
          <w:rStyle w:val="Bold"/>
        </w:rPr>
        <w:fldChar w:fldCharType="separate"/>
      </w:r>
      <w:r w:rsidR="00D4298A">
        <w:rPr>
          <w:rStyle w:val="Bold"/>
          <w:noProof/>
        </w:rPr>
        <w:t>2</w:t>
      </w:r>
      <w:r w:rsidRPr="00603BC1">
        <w:rPr>
          <w:rStyle w:val="Bold"/>
        </w:rPr>
        <w:fldChar w:fldCharType="end"/>
      </w:r>
      <w:bookmarkEnd w:id="81"/>
      <w:r w:rsidRPr="00603BC1">
        <w:rPr>
          <w:rStyle w:val="Bold"/>
        </w:rPr>
        <w:t>:</w:t>
      </w:r>
      <w:r>
        <w:t xml:space="preserve"> </w:t>
      </w:r>
      <w:r w:rsidR="00C076EE" w:rsidRPr="00C076EE">
        <w:t xml:space="preserve">‘Bridging the Gap’ </w:t>
      </w:r>
      <w:r w:rsidR="005075EB" w:rsidRPr="005075EB">
        <w:t xml:space="preserve">water recovery </w:t>
      </w:r>
      <w:r w:rsidR="005075EB">
        <w:t>(Commonwealth and State)</w:t>
      </w:r>
      <w:r w:rsidR="000E3DC3">
        <w:t>, GL LTAAY</w:t>
      </w:r>
      <w:bookmarkEnd w:id="82"/>
    </w:p>
    <w:tbl>
      <w:tblPr>
        <w:tblStyle w:val="FETableStyle"/>
        <w:tblW w:w="5000" w:type="pct"/>
        <w:tblLook w:val="0420" w:firstRow="1" w:lastRow="0" w:firstColumn="0" w:lastColumn="0" w:noHBand="0" w:noVBand="1"/>
      </w:tblPr>
      <w:tblGrid>
        <w:gridCol w:w="2835"/>
        <w:gridCol w:w="3686"/>
        <w:gridCol w:w="2549"/>
      </w:tblGrid>
      <w:tr w:rsidR="00CB3BE8" w:rsidRPr="008A7C1B" w14:paraId="1884DFEA" w14:textId="77777777" w:rsidTr="00CB3BE8">
        <w:trPr>
          <w:cnfStyle w:val="100000000000" w:firstRow="1" w:lastRow="0" w:firstColumn="0" w:lastColumn="0" w:oddVBand="0" w:evenVBand="0" w:oddHBand="0" w:evenHBand="0" w:firstRowFirstColumn="0" w:firstRowLastColumn="0" w:lastRowFirstColumn="0" w:lastRowLastColumn="0"/>
        </w:trPr>
        <w:tc>
          <w:tcPr>
            <w:tcW w:w="2835" w:type="dxa"/>
            <w:noWrap/>
            <w:hideMark/>
          </w:tcPr>
          <w:p w14:paraId="46AA820D" w14:textId="77777777" w:rsidR="008A7C1B" w:rsidRPr="008A7C1B" w:rsidRDefault="008A7C1B" w:rsidP="00CB3BE8">
            <w:pPr>
              <w:pStyle w:val="TableHeading"/>
              <w:spacing w:before="60" w:after="40"/>
              <w:rPr>
                <w:b/>
              </w:rPr>
            </w:pPr>
          </w:p>
        </w:tc>
        <w:tc>
          <w:tcPr>
            <w:tcW w:w="3686" w:type="dxa"/>
            <w:noWrap/>
            <w:hideMark/>
          </w:tcPr>
          <w:p w14:paraId="164BF781" w14:textId="77777777" w:rsidR="008A7C1B" w:rsidRPr="008A7C1B" w:rsidRDefault="008A7C1B" w:rsidP="00CB3BE8">
            <w:pPr>
              <w:pStyle w:val="TableHeading"/>
              <w:spacing w:before="60" w:after="40"/>
              <w:jc w:val="center"/>
              <w:rPr>
                <w:b/>
              </w:rPr>
            </w:pPr>
            <w:r w:rsidRPr="008A7C1B">
              <w:rPr>
                <w:b/>
              </w:rPr>
              <w:t>Commonwealth water recovery</w:t>
            </w:r>
          </w:p>
        </w:tc>
        <w:tc>
          <w:tcPr>
            <w:tcW w:w="2549" w:type="dxa"/>
            <w:noWrap/>
            <w:hideMark/>
          </w:tcPr>
          <w:p w14:paraId="7B62CDFA" w14:textId="77777777" w:rsidR="008A7C1B" w:rsidRPr="008A7C1B" w:rsidRDefault="008A7C1B" w:rsidP="00CB3BE8">
            <w:pPr>
              <w:pStyle w:val="TableHeading"/>
              <w:spacing w:before="60" w:after="40"/>
              <w:jc w:val="center"/>
              <w:rPr>
                <w:b/>
              </w:rPr>
            </w:pPr>
            <w:r w:rsidRPr="008A7C1B">
              <w:rPr>
                <w:b/>
              </w:rPr>
              <w:t>State water recovery</w:t>
            </w:r>
          </w:p>
        </w:tc>
      </w:tr>
      <w:tr w:rsidR="00CB3BE8" w:rsidRPr="008A7C1B" w14:paraId="2419CD44" w14:textId="77777777" w:rsidTr="00CB3BE8">
        <w:trPr>
          <w:cnfStyle w:val="000000100000" w:firstRow="0" w:lastRow="0" w:firstColumn="0" w:lastColumn="0" w:oddVBand="0" w:evenVBand="0" w:oddHBand="1" w:evenHBand="0" w:firstRowFirstColumn="0" w:firstRowLastColumn="0" w:lastRowFirstColumn="0" w:lastRowLastColumn="0"/>
        </w:trPr>
        <w:tc>
          <w:tcPr>
            <w:tcW w:w="2835" w:type="dxa"/>
            <w:noWrap/>
            <w:hideMark/>
          </w:tcPr>
          <w:p w14:paraId="3C8EE3A8" w14:textId="77777777" w:rsidR="008A7C1B" w:rsidRPr="008A7C1B" w:rsidRDefault="008A7C1B" w:rsidP="00CB3BE8">
            <w:pPr>
              <w:pStyle w:val="TableText"/>
              <w:spacing w:before="60" w:after="40"/>
            </w:pPr>
            <w:r w:rsidRPr="008A7C1B">
              <w:t>Northern Basin QLD Zone</w:t>
            </w:r>
          </w:p>
        </w:tc>
        <w:tc>
          <w:tcPr>
            <w:tcW w:w="3686" w:type="dxa"/>
            <w:noWrap/>
            <w:hideMark/>
          </w:tcPr>
          <w:p w14:paraId="50C08117" w14:textId="77777777" w:rsidR="008A7C1B" w:rsidRPr="008A7C1B" w:rsidRDefault="008A7C1B" w:rsidP="00CB3BE8">
            <w:pPr>
              <w:pStyle w:val="TableText"/>
              <w:spacing w:before="60" w:after="40"/>
              <w:jc w:val="center"/>
            </w:pPr>
            <w:r w:rsidRPr="008A7C1B">
              <w:t>127.2</w:t>
            </w:r>
          </w:p>
        </w:tc>
        <w:tc>
          <w:tcPr>
            <w:tcW w:w="2549" w:type="dxa"/>
            <w:noWrap/>
            <w:hideMark/>
          </w:tcPr>
          <w:p w14:paraId="04254020" w14:textId="77777777" w:rsidR="008A7C1B" w:rsidRPr="008A7C1B" w:rsidRDefault="008A7C1B" w:rsidP="00CB3BE8">
            <w:pPr>
              <w:pStyle w:val="TableText"/>
              <w:spacing w:before="60" w:after="40"/>
              <w:jc w:val="center"/>
            </w:pPr>
            <w:r w:rsidRPr="008A7C1B">
              <w:t>0.0</w:t>
            </w:r>
          </w:p>
        </w:tc>
      </w:tr>
      <w:tr w:rsidR="00CB3BE8" w:rsidRPr="008A7C1B" w14:paraId="3A3BC9AA" w14:textId="77777777" w:rsidTr="00CB3BE8">
        <w:trPr>
          <w:cnfStyle w:val="000000010000" w:firstRow="0" w:lastRow="0" w:firstColumn="0" w:lastColumn="0" w:oddVBand="0" w:evenVBand="0" w:oddHBand="0" w:evenHBand="1" w:firstRowFirstColumn="0" w:firstRowLastColumn="0" w:lastRowFirstColumn="0" w:lastRowLastColumn="0"/>
        </w:trPr>
        <w:tc>
          <w:tcPr>
            <w:tcW w:w="2835" w:type="dxa"/>
            <w:noWrap/>
            <w:hideMark/>
          </w:tcPr>
          <w:p w14:paraId="0CE461AE" w14:textId="77777777" w:rsidR="008A7C1B" w:rsidRPr="008A7C1B" w:rsidRDefault="008A7C1B" w:rsidP="00CB3BE8">
            <w:pPr>
              <w:pStyle w:val="TableText"/>
              <w:spacing w:before="60" w:after="40"/>
            </w:pPr>
            <w:r w:rsidRPr="008A7C1B">
              <w:t>Northern Basin NSW Zone</w:t>
            </w:r>
          </w:p>
        </w:tc>
        <w:tc>
          <w:tcPr>
            <w:tcW w:w="3686" w:type="dxa"/>
            <w:noWrap/>
            <w:hideMark/>
          </w:tcPr>
          <w:p w14:paraId="3083F7A0" w14:textId="77777777" w:rsidR="008A7C1B" w:rsidRPr="008A7C1B" w:rsidRDefault="008A7C1B" w:rsidP="00CB3BE8">
            <w:pPr>
              <w:pStyle w:val="TableText"/>
              <w:spacing w:before="60" w:after="40"/>
              <w:jc w:val="center"/>
            </w:pPr>
            <w:r w:rsidRPr="008A7C1B">
              <w:t>172.8</w:t>
            </w:r>
          </w:p>
        </w:tc>
        <w:tc>
          <w:tcPr>
            <w:tcW w:w="2549" w:type="dxa"/>
            <w:noWrap/>
            <w:hideMark/>
          </w:tcPr>
          <w:p w14:paraId="51BF7D6E" w14:textId="77777777" w:rsidR="008A7C1B" w:rsidRPr="008A7C1B" w:rsidRDefault="008A7C1B" w:rsidP="00CB3BE8">
            <w:pPr>
              <w:pStyle w:val="TableText"/>
              <w:spacing w:before="60" w:after="40"/>
              <w:jc w:val="center"/>
            </w:pPr>
            <w:r w:rsidRPr="008A7C1B">
              <w:t>34.3</w:t>
            </w:r>
          </w:p>
        </w:tc>
      </w:tr>
      <w:tr w:rsidR="00CB3BE8" w:rsidRPr="008A7C1B" w14:paraId="6E198BA3" w14:textId="77777777" w:rsidTr="00CB3BE8">
        <w:trPr>
          <w:cnfStyle w:val="000000100000" w:firstRow="0" w:lastRow="0" w:firstColumn="0" w:lastColumn="0" w:oddVBand="0" w:evenVBand="0" w:oddHBand="1" w:evenHBand="0" w:firstRowFirstColumn="0" w:firstRowLastColumn="0" w:lastRowFirstColumn="0" w:lastRowLastColumn="0"/>
        </w:trPr>
        <w:tc>
          <w:tcPr>
            <w:tcW w:w="2835" w:type="dxa"/>
            <w:noWrap/>
            <w:hideMark/>
          </w:tcPr>
          <w:p w14:paraId="22B45D65" w14:textId="77777777" w:rsidR="008A7C1B" w:rsidRPr="008A7C1B" w:rsidRDefault="008A7C1B" w:rsidP="00CB3BE8">
            <w:pPr>
              <w:pStyle w:val="TableText"/>
              <w:spacing w:before="60" w:after="40"/>
            </w:pPr>
            <w:r w:rsidRPr="008A7C1B">
              <w:t>Southern Basin NSW Zone</w:t>
            </w:r>
          </w:p>
        </w:tc>
        <w:tc>
          <w:tcPr>
            <w:tcW w:w="3686" w:type="dxa"/>
            <w:noWrap/>
            <w:hideMark/>
          </w:tcPr>
          <w:p w14:paraId="7C6FAEF9" w14:textId="77777777" w:rsidR="008A7C1B" w:rsidRPr="008A7C1B" w:rsidRDefault="008A7C1B" w:rsidP="00CB3BE8">
            <w:pPr>
              <w:pStyle w:val="TableText"/>
              <w:spacing w:before="60" w:after="40"/>
              <w:jc w:val="center"/>
            </w:pPr>
            <w:r w:rsidRPr="008A7C1B">
              <w:t>732.2</w:t>
            </w:r>
          </w:p>
        </w:tc>
        <w:tc>
          <w:tcPr>
            <w:tcW w:w="2549" w:type="dxa"/>
            <w:noWrap/>
            <w:hideMark/>
          </w:tcPr>
          <w:p w14:paraId="63988B01" w14:textId="77777777" w:rsidR="008A7C1B" w:rsidRPr="008A7C1B" w:rsidRDefault="008A7C1B" w:rsidP="00CB3BE8">
            <w:pPr>
              <w:pStyle w:val="TableText"/>
              <w:spacing w:before="60" w:after="40"/>
              <w:jc w:val="center"/>
            </w:pPr>
            <w:r w:rsidRPr="008A7C1B">
              <w:t>26.4</w:t>
            </w:r>
          </w:p>
        </w:tc>
      </w:tr>
      <w:tr w:rsidR="00CB3BE8" w:rsidRPr="008A7C1B" w14:paraId="721EBB67" w14:textId="77777777" w:rsidTr="00CB3BE8">
        <w:trPr>
          <w:cnfStyle w:val="000000010000" w:firstRow="0" w:lastRow="0" w:firstColumn="0" w:lastColumn="0" w:oddVBand="0" w:evenVBand="0" w:oddHBand="0" w:evenHBand="1" w:firstRowFirstColumn="0" w:firstRowLastColumn="0" w:lastRowFirstColumn="0" w:lastRowLastColumn="0"/>
        </w:trPr>
        <w:tc>
          <w:tcPr>
            <w:tcW w:w="2835" w:type="dxa"/>
            <w:noWrap/>
            <w:hideMark/>
          </w:tcPr>
          <w:p w14:paraId="650EEA18" w14:textId="77777777" w:rsidR="008A7C1B" w:rsidRPr="008A7C1B" w:rsidRDefault="008A7C1B" w:rsidP="00CB3BE8">
            <w:pPr>
              <w:pStyle w:val="TableText"/>
              <w:spacing w:before="60" w:after="40"/>
            </w:pPr>
            <w:r w:rsidRPr="008A7C1B">
              <w:t>Southern Basin VIC Zone</w:t>
            </w:r>
          </w:p>
        </w:tc>
        <w:tc>
          <w:tcPr>
            <w:tcW w:w="3686" w:type="dxa"/>
            <w:noWrap/>
            <w:hideMark/>
          </w:tcPr>
          <w:p w14:paraId="08377A8E" w14:textId="5B047D2C" w:rsidR="008A7C1B" w:rsidRPr="008A7C1B" w:rsidRDefault="008A7C1B" w:rsidP="00CB3BE8">
            <w:pPr>
              <w:pStyle w:val="TableText"/>
              <w:spacing w:before="60" w:after="40"/>
              <w:jc w:val="center"/>
            </w:pPr>
            <w:r w:rsidRPr="008A7C1B">
              <w:t>71</w:t>
            </w:r>
            <w:r w:rsidR="00013A73">
              <w:t>4</w:t>
            </w:r>
            <w:r w:rsidRPr="008A7C1B">
              <w:t>.0</w:t>
            </w:r>
          </w:p>
        </w:tc>
        <w:tc>
          <w:tcPr>
            <w:tcW w:w="2549" w:type="dxa"/>
            <w:noWrap/>
            <w:hideMark/>
          </w:tcPr>
          <w:p w14:paraId="53655946" w14:textId="77777777" w:rsidR="008A7C1B" w:rsidRPr="008A7C1B" w:rsidRDefault="008A7C1B" w:rsidP="00CB3BE8">
            <w:pPr>
              <w:pStyle w:val="TableText"/>
              <w:spacing w:before="60" w:after="40"/>
              <w:jc w:val="center"/>
            </w:pPr>
            <w:r w:rsidRPr="008A7C1B">
              <w:t>89.3</w:t>
            </w:r>
          </w:p>
        </w:tc>
      </w:tr>
      <w:tr w:rsidR="00CB3BE8" w:rsidRPr="008A7C1B" w14:paraId="00B8A6B9" w14:textId="77777777" w:rsidTr="00CB3BE8">
        <w:trPr>
          <w:cnfStyle w:val="000000100000" w:firstRow="0" w:lastRow="0" w:firstColumn="0" w:lastColumn="0" w:oddVBand="0" w:evenVBand="0" w:oddHBand="1" w:evenHBand="0" w:firstRowFirstColumn="0" w:firstRowLastColumn="0" w:lastRowFirstColumn="0" w:lastRowLastColumn="0"/>
        </w:trPr>
        <w:tc>
          <w:tcPr>
            <w:tcW w:w="2835" w:type="dxa"/>
            <w:noWrap/>
            <w:hideMark/>
          </w:tcPr>
          <w:p w14:paraId="20084A9E" w14:textId="77777777" w:rsidR="008A7C1B" w:rsidRPr="008A7C1B" w:rsidRDefault="008A7C1B" w:rsidP="00CB3BE8">
            <w:pPr>
              <w:pStyle w:val="TableText"/>
              <w:spacing w:before="60" w:after="40"/>
            </w:pPr>
            <w:r w:rsidRPr="008A7C1B">
              <w:t>Southern Basin SA Zone</w:t>
            </w:r>
          </w:p>
        </w:tc>
        <w:tc>
          <w:tcPr>
            <w:tcW w:w="3686" w:type="dxa"/>
            <w:noWrap/>
            <w:hideMark/>
          </w:tcPr>
          <w:p w14:paraId="79234DF6" w14:textId="77777777" w:rsidR="008A7C1B" w:rsidRPr="008A7C1B" w:rsidRDefault="008A7C1B" w:rsidP="00CB3BE8">
            <w:pPr>
              <w:pStyle w:val="TableText"/>
              <w:spacing w:before="60" w:after="40"/>
              <w:jc w:val="center"/>
            </w:pPr>
            <w:r w:rsidRPr="008A7C1B">
              <w:t>134.7</w:t>
            </w:r>
          </w:p>
        </w:tc>
        <w:tc>
          <w:tcPr>
            <w:tcW w:w="2549" w:type="dxa"/>
            <w:noWrap/>
            <w:hideMark/>
          </w:tcPr>
          <w:p w14:paraId="5A72C9E8" w14:textId="77777777" w:rsidR="008A7C1B" w:rsidRPr="008A7C1B" w:rsidRDefault="008A7C1B" w:rsidP="00CB3BE8">
            <w:pPr>
              <w:pStyle w:val="TableText"/>
              <w:spacing w:before="60" w:after="40"/>
              <w:jc w:val="center"/>
            </w:pPr>
            <w:r w:rsidRPr="008A7C1B">
              <w:t>6.3</w:t>
            </w:r>
          </w:p>
        </w:tc>
      </w:tr>
      <w:tr w:rsidR="00CB3BE8" w:rsidRPr="008A7C1B" w14:paraId="1BF321EF" w14:textId="77777777" w:rsidTr="00CB3BE8">
        <w:trPr>
          <w:cnfStyle w:val="000000010000" w:firstRow="0" w:lastRow="0" w:firstColumn="0" w:lastColumn="0" w:oddVBand="0" w:evenVBand="0" w:oddHBand="0" w:evenHBand="1" w:firstRowFirstColumn="0" w:firstRowLastColumn="0" w:lastRowFirstColumn="0" w:lastRowLastColumn="0"/>
        </w:trPr>
        <w:tc>
          <w:tcPr>
            <w:tcW w:w="2835" w:type="dxa"/>
            <w:noWrap/>
            <w:hideMark/>
          </w:tcPr>
          <w:p w14:paraId="46E0A7BA" w14:textId="77777777" w:rsidR="008A7C1B" w:rsidRPr="008A7C1B" w:rsidRDefault="008A7C1B" w:rsidP="00CB3BE8">
            <w:pPr>
              <w:pStyle w:val="TableText"/>
              <w:spacing w:before="60" w:after="40"/>
            </w:pPr>
            <w:r w:rsidRPr="008A7C1B">
              <w:t>Other - Lachlan</w:t>
            </w:r>
          </w:p>
        </w:tc>
        <w:tc>
          <w:tcPr>
            <w:tcW w:w="3686" w:type="dxa"/>
            <w:noWrap/>
            <w:hideMark/>
          </w:tcPr>
          <w:p w14:paraId="338F5DF8" w14:textId="77777777" w:rsidR="008A7C1B" w:rsidRPr="008A7C1B" w:rsidRDefault="008A7C1B" w:rsidP="00CB3BE8">
            <w:pPr>
              <w:pStyle w:val="TableText"/>
              <w:spacing w:before="60" w:after="40"/>
              <w:jc w:val="center"/>
            </w:pPr>
            <w:r w:rsidRPr="008A7C1B">
              <w:t>35.3</w:t>
            </w:r>
          </w:p>
        </w:tc>
        <w:tc>
          <w:tcPr>
            <w:tcW w:w="2549" w:type="dxa"/>
            <w:noWrap/>
            <w:hideMark/>
          </w:tcPr>
          <w:p w14:paraId="1E14B868" w14:textId="77777777" w:rsidR="008A7C1B" w:rsidRPr="008A7C1B" w:rsidRDefault="008A7C1B" w:rsidP="00CB3BE8">
            <w:pPr>
              <w:pStyle w:val="TableText"/>
              <w:spacing w:before="60" w:after="40"/>
              <w:jc w:val="center"/>
            </w:pPr>
            <w:r w:rsidRPr="008A7C1B">
              <w:t>11.8</w:t>
            </w:r>
          </w:p>
        </w:tc>
      </w:tr>
      <w:tr w:rsidR="00CB3BE8" w:rsidRPr="008A7C1B" w14:paraId="791B95E6" w14:textId="77777777" w:rsidTr="00CB3BE8">
        <w:trPr>
          <w:cnfStyle w:val="000000100000" w:firstRow="0" w:lastRow="0" w:firstColumn="0" w:lastColumn="0" w:oddVBand="0" w:evenVBand="0" w:oddHBand="1" w:evenHBand="0" w:firstRowFirstColumn="0" w:firstRowLastColumn="0" w:lastRowFirstColumn="0" w:lastRowLastColumn="0"/>
        </w:trPr>
        <w:tc>
          <w:tcPr>
            <w:tcW w:w="2835" w:type="dxa"/>
            <w:noWrap/>
            <w:hideMark/>
          </w:tcPr>
          <w:p w14:paraId="5969917C" w14:textId="7F8AE71F" w:rsidR="008A7C1B" w:rsidRPr="008A7C1B" w:rsidRDefault="008A7C1B" w:rsidP="00CB3BE8">
            <w:pPr>
              <w:pStyle w:val="TableText"/>
              <w:spacing w:before="60" w:after="40"/>
            </w:pPr>
            <w:r w:rsidRPr="008A7C1B">
              <w:t>Other - Wimmera-Mallee</w:t>
            </w:r>
          </w:p>
        </w:tc>
        <w:tc>
          <w:tcPr>
            <w:tcW w:w="3686" w:type="dxa"/>
            <w:noWrap/>
            <w:hideMark/>
          </w:tcPr>
          <w:p w14:paraId="41FF1CB6" w14:textId="77777777" w:rsidR="008A7C1B" w:rsidRPr="008A7C1B" w:rsidRDefault="008A7C1B" w:rsidP="00CB3BE8">
            <w:pPr>
              <w:pStyle w:val="TableText"/>
              <w:spacing w:before="60" w:after="40"/>
              <w:jc w:val="center"/>
            </w:pPr>
            <w:r w:rsidRPr="008A7C1B">
              <w:t>23.2</w:t>
            </w:r>
          </w:p>
        </w:tc>
        <w:tc>
          <w:tcPr>
            <w:tcW w:w="2549" w:type="dxa"/>
            <w:noWrap/>
            <w:hideMark/>
          </w:tcPr>
          <w:p w14:paraId="72FD43B6" w14:textId="77777777" w:rsidR="008A7C1B" w:rsidRPr="008A7C1B" w:rsidRDefault="008A7C1B" w:rsidP="00CB3BE8">
            <w:pPr>
              <w:pStyle w:val="TableText"/>
              <w:spacing w:before="60" w:after="40"/>
              <w:jc w:val="center"/>
            </w:pPr>
            <w:r w:rsidRPr="008A7C1B">
              <w:t>0.0</w:t>
            </w:r>
          </w:p>
        </w:tc>
      </w:tr>
      <w:tr w:rsidR="00CB3BE8" w:rsidRPr="008A7C1B" w14:paraId="7D7EDD00" w14:textId="77777777" w:rsidTr="00CB3BE8">
        <w:trPr>
          <w:cnfStyle w:val="000000010000" w:firstRow="0" w:lastRow="0" w:firstColumn="0" w:lastColumn="0" w:oddVBand="0" w:evenVBand="0" w:oddHBand="0" w:evenHBand="1" w:firstRowFirstColumn="0" w:firstRowLastColumn="0" w:lastRowFirstColumn="0" w:lastRowLastColumn="0"/>
        </w:trPr>
        <w:tc>
          <w:tcPr>
            <w:tcW w:w="2835" w:type="dxa"/>
            <w:noWrap/>
            <w:hideMark/>
          </w:tcPr>
          <w:p w14:paraId="32529144" w14:textId="77777777" w:rsidR="008A7C1B" w:rsidRPr="000A0868" w:rsidRDefault="008A7C1B" w:rsidP="00CB3BE8">
            <w:pPr>
              <w:pStyle w:val="TableText"/>
              <w:spacing w:before="60" w:after="40"/>
              <w:rPr>
                <w:b/>
                <w:bCs/>
              </w:rPr>
            </w:pPr>
            <w:r w:rsidRPr="000A0868">
              <w:rPr>
                <w:b/>
                <w:bCs/>
              </w:rPr>
              <w:t>Total</w:t>
            </w:r>
          </w:p>
        </w:tc>
        <w:tc>
          <w:tcPr>
            <w:tcW w:w="3686" w:type="dxa"/>
            <w:noWrap/>
            <w:hideMark/>
          </w:tcPr>
          <w:p w14:paraId="249BA928" w14:textId="3942C5C3" w:rsidR="008A7C1B" w:rsidRPr="000A0868" w:rsidRDefault="008A7C1B" w:rsidP="00CB3BE8">
            <w:pPr>
              <w:pStyle w:val="TableText"/>
              <w:spacing w:before="60" w:after="40"/>
              <w:jc w:val="center"/>
              <w:rPr>
                <w:b/>
                <w:bCs/>
              </w:rPr>
            </w:pPr>
            <w:r w:rsidRPr="000A0868">
              <w:rPr>
                <w:b/>
                <w:bCs/>
              </w:rPr>
              <w:t>193</w:t>
            </w:r>
            <w:r w:rsidR="00204716" w:rsidRPr="000A0868">
              <w:rPr>
                <w:b/>
                <w:bCs/>
              </w:rPr>
              <w:t>9</w:t>
            </w:r>
            <w:r w:rsidRPr="000A0868">
              <w:rPr>
                <w:b/>
                <w:bCs/>
              </w:rPr>
              <w:t>.4</w:t>
            </w:r>
          </w:p>
        </w:tc>
        <w:tc>
          <w:tcPr>
            <w:tcW w:w="2549" w:type="dxa"/>
            <w:noWrap/>
            <w:hideMark/>
          </w:tcPr>
          <w:p w14:paraId="02B53A01" w14:textId="77777777" w:rsidR="008A7C1B" w:rsidRPr="000A0868" w:rsidRDefault="008A7C1B" w:rsidP="00CB3BE8">
            <w:pPr>
              <w:pStyle w:val="TableText"/>
              <w:spacing w:before="60" w:after="40"/>
              <w:jc w:val="center"/>
              <w:rPr>
                <w:b/>
                <w:bCs/>
              </w:rPr>
            </w:pPr>
            <w:r w:rsidRPr="000A0868">
              <w:rPr>
                <w:b/>
                <w:bCs/>
              </w:rPr>
              <w:t>168.0</w:t>
            </w:r>
          </w:p>
        </w:tc>
      </w:tr>
    </w:tbl>
    <w:p w14:paraId="12371040" w14:textId="746B4B7D" w:rsidR="008A7C1B" w:rsidRPr="00885B0A" w:rsidRDefault="008A7C1B" w:rsidP="008276F9">
      <w:pPr>
        <w:spacing w:after="320"/>
        <w:rPr>
          <w:color w:val="9BA1A5"/>
        </w:rPr>
      </w:pPr>
      <w:r w:rsidRPr="00885B0A">
        <w:rPr>
          <w:i/>
          <w:color w:val="9BA1A5"/>
          <w:sz w:val="16"/>
          <w:szCs w:val="16"/>
        </w:rPr>
        <w:t xml:space="preserve">Source: </w:t>
      </w:r>
      <w:r w:rsidR="00E75AEA">
        <w:rPr>
          <w:i/>
          <w:color w:val="9BA1A5"/>
          <w:sz w:val="16"/>
          <w:szCs w:val="16"/>
        </w:rPr>
        <w:t>DCCEEW</w:t>
      </w:r>
      <w:r w:rsidR="000E3DC3">
        <w:rPr>
          <w:i/>
          <w:color w:val="9BA1A5"/>
          <w:sz w:val="16"/>
          <w:szCs w:val="16"/>
        </w:rPr>
        <w:t xml:space="preserve"> database </w:t>
      </w:r>
      <w:r w:rsidR="000E3DC3" w:rsidRPr="000E3DC3">
        <w:rPr>
          <w:i/>
          <w:color w:val="9BA1A5"/>
          <w:sz w:val="16"/>
          <w:szCs w:val="16"/>
        </w:rPr>
        <w:t>as at 30 June 2022</w:t>
      </w:r>
      <w:r w:rsidR="000E3DC3">
        <w:rPr>
          <w:i/>
          <w:color w:val="9BA1A5"/>
          <w:sz w:val="16"/>
          <w:szCs w:val="16"/>
        </w:rPr>
        <w:t>.</w:t>
      </w:r>
    </w:p>
    <w:p w14:paraId="7DCBFFFF" w14:textId="5058B203" w:rsidR="00A2153D" w:rsidRDefault="00A2153D" w:rsidP="00597401">
      <w:pPr>
        <w:pStyle w:val="Heading2numbered"/>
        <w:numPr>
          <w:ilvl w:val="1"/>
          <w:numId w:val="12"/>
        </w:numPr>
        <w:tabs>
          <w:tab w:val="clear" w:pos="851"/>
        </w:tabs>
        <w:ind w:left="0" w:firstLine="0"/>
      </w:pPr>
      <w:bookmarkStart w:id="83" w:name="_Toc113621658"/>
      <w:r>
        <w:t>Water recovery approaches</w:t>
      </w:r>
      <w:bookmarkEnd w:id="80"/>
      <w:bookmarkEnd w:id="83"/>
    </w:p>
    <w:p w14:paraId="1628D160" w14:textId="1E41E746" w:rsidR="00A2153D" w:rsidRDefault="00A2153D" w:rsidP="00A2153D">
      <w:pPr>
        <w:pStyle w:val="BodyText"/>
      </w:pPr>
      <w:r>
        <w:fldChar w:fldCharType="begin"/>
      </w:r>
      <w:r>
        <w:instrText xml:space="preserve"> REF _Ref108010446 \h </w:instrText>
      </w:r>
      <w:r>
        <w:fldChar w:fldCharType="separate"/>
      </w:r>
      <w:r w:rsidR="00D4298A">
        <w:rPr>
          <w:rStyle w:val="Bold"/>
        </w:rPr>
        <w:t xml:space="preserve">Figure </w:t>
      </w:r>
      <w:r w:rsidR="00D4298A">
        <w:rPr>
          <w:rStyle w:val="Bold"/>
          <w:noProof/>
        </w:rPr>
        <w:t>6</w:t>
      </w:r>
      <w:r>
        <w:fldChar w:fldCharType="end"/>
      </w:r>
      <w:r>
        <w:t xml:space="preserve"> and </w:t>
      </w:r>
      <w:r>
        <w:fldChar w:fldCharType="begin"/>
      </w:r>
      <w:r>
        <w:instrText xml:space="preserve"> REF _Ref109769825 \h </w:instrText>
      </w:r>
      <w:r>
        <w:fldChar w:fldCharType="separate"/>
      </w:r>
      <w:r w:rsidR="00D4298A">
        <w:rPr>
          <w:rStyle w:val="Bold"/>
        </w:rPr>
        <w:t xml:space="preserve">Table </w:t>
      </w:r>
      <w:r w:rsidR="00D4298A">
        <w:rPr>
          <w:rStyle w:val="Bold"/>
          <w:noProof/>
        </w:rPr>
        <w:t>3</w:t>
      </w:r>
      <w:r>
        <w:fldChar w:fldCharType="end"/>
      </w:r>
      <w:r>
        <w:t xml:space="preserve"> show that the Commonwealth has been using a mixture of buyback, off-farm infrastructure projects, and on-farm infrastructure projects to recover water for the environment. The nature of that mix has changed over time. Buybacks dominated the first five years of water recovery. Since then, off-farm infrastructure and on-farm infrastructure projects have dominated (apart from a couple of large buybacks in the northern Basin).</w:t>
      </w:r>
    </w:p>
    <w:p w14:paraId="36F50D8B" w14:textId="1707357D" w:rsidR="00A2153D" w:rsidRDefault="00A2153D" w:rsidP="00A2153D">
      <w:pPr>
        <w:pStyle w:val="Caption"/>
      </w:pPr>
      <w:bookmarkStart w:id="84" w:name="_Ref108010446"/>
      <w:bookmarkStart w:id="85" w:name="_Toc110262436"/>
      <w:bookmarkStart w:id="86" w:name="_Toc113621718"/>
      <w:r>
        <w:rPr>
          <w:rStyle w:val="Bold"/>
        </w:rPr>
        <w:t xml:space="preserve">Figure </w:t>
      </w:r>
      <w:r>
        <w:fldChar w:fldCharType="begin"/>
      </w:r>
      <w:r>
        <w:rPr>
          <w:rStyle w:val="Bold"/>
        </w:rPr>
        <w:instrText xml:space="preserve"> SEQ Figure \* ARABIC </w:instrText>
      </w:r>
      <w:r>
        <w:fldChar w:fldCharType="separate"/>
      </w:r>
      <w:r w:rsidR="00D4298A">
        <w:rPr>
          <w:rStyle w:val="Bold"/>
          <w:noProof/>
        </w:rPr>
        <w:t>6</w:t>
      </w:r>
      <w:r>
        <w:fldChar w:fldCharType="end"/>
      </w:r>
      <w:bookmarkEnd w:id="84"/>
      <w:r>
        <w:t xml:space="preserve">: </w:t>
      </w:r>
      <w:r w:rsidR="009C0B98">
        <w:t>Commonwealth w</w:t>
      </w:r>
      <w:r>
        <w:t>ater recovery methods, 2007-08 to 2021-22</w:t>
      </w:r>
      <w:bookmarkEnd w:id="85"/>
      <w:bookmarkEnd w:id="86"/>
    </w:p>
    <w:p w14:paraId="721553C7" w14:textId="0998837A" w:rsidR="00A2153D" w:rsidRDefault="00A2153D" w:rsidP="00A2153D">
      <w:pPr>
        <w:pStyle w:val="Image-Page1fullwidth"/>
        <w:keepNext/>
        <w:framePr w:w="0" w:hSpace="0" w:wrap="auto" w:vAnchor="margin" w:yAlign="inline"/>
        <w:spacing w:after="0" w:line="240" w:lineRule="auto"/>
      </w:pPr>
      <w:r>
        <w:drawing>
          <wp:inline distT="0" distB="0" distL="0" distR="0" wp14:anchorId="0E39E98E" wp14:editId="59818698">
            <wp:extent cx="5864178" cy="3145536"/>
            <wp:effectExtent l="0" t="0" r="3810" b="0"/>
            <wp:docPr id="239" name="Picture 23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Chart, bar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78811" cy="3153385"/>
                    </a:xfrm>
                    <a:prstGeom prst="rect">
                      <a:avLst/>
                    </a:prstGeom>
                    <a:noFill/>
                    <a:ln>
                      <a:noFill/>
                    </a:ln>
                  </pic:spPr>
                </pic:pic>
              </a:graphicData>
            </a:graphic>
          </wp:inline>
        </w:drawing>
      </w:r>
    </w:p>
    <w:p w14:paraId="373BE1AB" w14:textId="31AFA196" w:rsidR="00A2153D" w:rsidRDefault="00A2153D" w:rsidP="00A2153D">
      <w:pPr>
        <w:pStyle w:val="Source"/>
        <w:rPr>
          <w:color w:val="9BA1A5"/>
        </w:rPr>
      </w:pPr>
      <w:r>
        <w:rPr>
          <w:color w:val="9BA1A5"/>
        </w:rPr>
        <w:t>Source: DCCEEW internal database.</w:t>
      </w:r>
    </w:p>
    <w:p w14:paraId="0F4D3803" w14:textId="5B1C7211" w:rsidR="00A2153D" w:rsidRDefault="00A2153D" w:rsidP="00A2153D">
      <w:pPr>
        <w:pStyle w:val="Caption"/>
      </w:pPr>
      <w:bookmarkStart w:id="87" w:name="_Ref109769825"/>
      <w:bookmarkStart w:id="88" w:name="_Toc110262415"/>
      <w:bookmarkStart w:id="89" w:name="_Toc113621690"/>
      <w:r>
        <w:rPr>
          <w:rStyle w:val="Bold"/>
        </w:rPr>
        <w:lastRenderedPageBreak/>
        <w:t xml:space="preserve">Table </w:t>
      </w:r>
      <w:r>
        <w:fldChar w:fldCharType="begin"/>
      </w:r>
      <w:r>
        <w:rPr>
          <w:rStyle w:val="Bold"/>
        </w:rPr>
        <w:instrText xml:space="preserve"> SEQ Table \* ARABIC </w:instrText>
      </w:r>
      <w:r>
        <w:fldChar w:fldCharType="separate"/>
      </w:r>
      <w:r w:rsidR="00D4298A">
        <w:rPr>
          <w:rStyle w:val="Bold"/>
          <w:noProof/>
        </w:rPr>
        <w:t>3</w:t>
      </w:r>
      <w:r>
        <w:fldChar w:fldCharType="end"/>
      </w:r>
      <w:bookmarkEnd w:id="87"/>
      <w:r>
        <w:rPr>
          <w:rStyle w:val="Bold"/>
        </w:rPr>
        <w:t>:</w:t>
      </w:r>
      <w:r>
        <w:t xml:space="preserve"> </w:t>
      </w:r>
      <w:r w:rsidR="009C0B98">
        <w:t>Commonwealth water</w:t>
      </w:r>
      <w:r>
        <w:t xml:space="preserve"> recovery methods,</w:t>
      </w:r>
      <w:r w:rsidR="00EF1AC7">
        <w:t xml:space="preserve"> total MDB from</w:t>
      </w:r>
      <w:r>
        <w:t xml:space="preserve"> 2007-08 to 2021-22</w:t>
      </w:r>
      <w:bookmarkEnd w:id="88"/>
      <w:bookmarkEnd w:id="89"/>
    </w:p>
    <w:tbl>
      <w:tblPr>
        <w:tblStyle w:val="FETableStyle"/>
        <w:tblW w:w="5000" w:type="pct"/>
        <w:tblLayout w:type="fixed"/>
        <w:tblLook w:val="0420" w:firstRow="1" w:lastRow="0" w:firstColumn="0" w:lastColumn="0" w:noHBand="0" w:noVBand="1"/>
      </w:tblPr>
      <w:tblGrid>
        <w:gridCol w:w="1361"/>
        <w:gridCol w:w="1927"/>
        <w:gridCol w:w="1927"/>
        <w:gridCol w:w="1927"/>
        <w:gridCol w:w="1928"/>
      </w:tblGrid>
      <w:tr w:rsidR="00A2153D" w14:paraId="37F8A861" w14:textId="77777777" w:rsidTr="00A2153D">
        <w:trPr>
          <w:cnfStyle w:val="100000000000" w:firstRow="1" w:lastRow="0" w:firstColumn="0" w:lastColumn="0" w:oddVBand="0" w:evenVBand="0" w:oddHBand="0" w:evenHBand="0" w:firstRowFirstColumn="0" w:firstRowLastColumn="0" w:lastRowFirstColumn="0" w:lastRowLastColumn="0"/>
        </w:trPr>
        <w:tc>
          <w:tcPr>
            <w:tcW w:w="1361" w:type="dxa"/>
            <w:tcBorders>
              <w:top w:val="nil"/>
              <w:left w:val="nil"/>
              <w:bottom w:val="nil"/>
              <w:right w:val="nil"/>
            </w:tcBorders>
            <w:noWrap/>
            <w:hideMark/>
          </w:tcPr>
          <w:p w14:paraId="206A8B3B" w14:textId="77777777" w:rsidR="00A2153D" w:rsidRDefault="00A2153D">
            <w:pPr>
              <w:pStyle w:val="TableHeading"/>
              <w:rPr>
                <w:b/>
              </w:rPr>
            </w:pPr>
            <w:r>
              <w:rPr>
                <w:b/>
              </w:rPr>
              <w:t>Exchanged Financial Year</w:t>
            </w:r>
          </w:p>
        </w:tc>
        <w:tc>
          <w:tcPr>
            <w:tcW w:w="1927" w:type="dxa"/>
            <w:tcBorders>
              <w:top w:val="nil"/>
              <w:left w:val="nil"/>
              <w:bottom w:val="nil"/>
              <w:right w:val="nil"/>
            </w:tcBorders>
            <w:noWrap/>
            <w:hideMark/>
          </w:tcPr>
          <w:p w14:paraId="326C1C7E" w14:textId="77777777" w:rsidR="00A2153D" w:rsidRDefault="00A2153D">
            <w:pPr>
              <w:pStyle w:val="TableHeading"/>
              <w:jc w:val="right"/>
              <w:rPr>
                <w:b/>
              </w:rPr>
            </w:pPr>
            <w:r>
              <w:rPr>
                <w:b/>
              </w:rPr>
              <w:t>Buyback</w:t>
            </w:r>
          </w:p>
        </w:tc>
        <w:tc>
          <w:tcPr>
            <w:tcW w:w="1927" w:type="dxa"/>
            <w:tcBorders>
              <w:top w:val="nil"/>
              <w:left w:val="nil"/>
              <w:bottom w:val="nil"/>
              <w:right w:val="nil"/>
            </w:tcBorders>
            <w:noWrap/>
            <w:hideMark/>
          </w:tcPr>
          <w:p w14:paraId="788DE13E" w14:textId="77777777" w:rsidR="00A2153D" w:rsidRDefault="00A2153D">
            <w:pPr>
              <w:pStyle w:val="TableHeading"/>
              <w:jc w:val="right"/>
              <w:rPr>
                <w:b/>
              </w:rPr>
            </w:pPr>
            <w:r>
              <w:rPr>
                <w:b/>
              </w:rPr>
              <w:t>Infrastructure - On-Farm</w:t>
            </w:r>
          </w:p>
        </w:tc>
        <w:tc>
          <w:tcPr>
            <w:tcW w:w="1927" w:type="dxa"/>
            <w:tcBorders>
              <w:top w:val="nil"/>
              <w:left w:val="nil"/>
              <w:bottom w:val="nil"/>
              <w:right w:val="nil"/>
            </w:tcBorders>
            <w:noWrap/>
            <w:hideMark/>
          </w:tcPr>
          <w:p w14:paraId="7606EEB2" w14:textId="77777777" w:rsidR="00A2153D" w:rsidRDefault="00A2153D">
            <w:pPr>
              <w:pStyle w:val="TableHeading"/>
              <w:jc w:val="right"/>
              <w:rPr>
                <w:b/>
              </w:rPr>
            </w:pPr>
            <w:r>
              <w:rPr>
                <w:b/>
              </w:rPr>
              <w:t>Infrastructure - Off-Farm</w:t>
            </w:r>
          </w:p>
        </w:tc>
        <w:tc>
          <w:tcPr>
            <w:tcW w:w="1928" w:type="dxa"/>
            <w:tcBorders>
              <w:top w:val="nil"/>
              <w:left w:val="nil"/>
              <w:bottom w:val="nil"/>
              <w:right w:val="nil"/>
            </w:tcBorders>
            <w:noWrap/>
            <w:hideMark/>
          </w:tcPr>
          <w:p w14:paraId="03002784" w14:textId="77777777" w:rsidR="00A2153D" w:rsidRDefault="00A2153D">
            <w:pPr>
              <w:pStyle w:val="TableHeading"/>
              <w:jc w:val="right"/>
              <w:rPr>
                <w:b/>
              </w:rPr>
            </w:pPr>
            <w:r>
              <w:rPr>
                <w:b/>
              </w:rPr>
              <w:t>Infrastructure – Other*</w:t>
            </w:r>
          </w:p>
        </w:tc>
      </w:tr>
      <w:tr w:rsidR="00A2153D" w14:paraId="3C787349" w14:textId="77777777" w:rsidTr="00A2153D">
        <w:trPr>
          <w:cnfStyle w:val="000000100000" w:firstRow="0" w:lastRow="0" w:firstColumn="0" w:lastColumn="0" w:oddVBand="0" w:evenVBand="0" w:oddHBand="1" w:evenHBand="0" w:firstRowFirstColumn="0" w:firstRowLastColumn="0" w:lastRowFirstColumn="0" w:lastRowLastColumn="0"/>
        </w:trPr>
        <w:tc>
          <w:tcPr>
            <w:tcW w:w="1361" w:type="dxa"/>
            <w:noWrap/>
            <w:vAlign w:val="top"/>
            <w:hideMark/>
          </w:tcPr>
          <w:p w14:paraId="59605845" w14:textId="77777777" w:rsidR="00A2153D" w:rsidRDefault="00A2153D">
            <w:pPr>
              <w:pStyle w:val="TableText"/>
            </w:pPr>
            <w:r>
              <w:t>2007-08</w:t>
            </w:r>
          </w:p>
        </w:tc>
        <w:tc>
          <w:tcPr>
            <w:tcW w:w="1927" w:type="dxa"/>
            <w:noWrap/>
            <w:hideMark/>
          </w:tcPr>
          <w:p w14:paraId="60274766" w14:textId="77777777" w:rsidR="00A2153D" w:rsidRDefault="00A2153D">
            <w:pPr>
              <w:pStyle w:val="TableText"/>
              <w:jc w:val="right"/>
            </w:pPr>
            <w:r>
              <w:t>14.2</w:t>
            </w:r>
          </w:p>
        </w:tc>
        <w:tc>
          <w:tcPr>
            <w:tcW w:w="1927" w:type="dxa"/>
            <w:noWrap/>
            <w:hideMark/>
          </w:tcPr>
          <w:p w14:paraId="5DEB0951" w14:textId="77777777" w:rsidR="00A2153D" w:rsidRDefault="00A2153D">
            <w:pPr>
              <w:pStyle w:val="TableText"/>
              <w:jc w:val="right"/>
            </w:pPr>
            <w:r>
              <w:t> </w:t>
            </w:r>
          </w:p>
        </w:tc>
        <w:tc>
          <w:tcPr>
            <w:tcW w:w="1927" w:type="dxa"/>
            <w:noWrap/>
            <w:hideMark/>
          </w:tcPr>
          <w:p w14:paraId="1CD14C88" w14:textId="77777777" w:rsidR="00A2153D" w:rsidRDefault="00A2153D">
            <w:pPr>
              <w:pStyle w:val="TableText"/>
              <w:jc w:val="right"/>
            </w:pPr>
            <w:r>
              <w:t> </w:t>
            </w:r>
          </w:p>
        </w:tc>
        <w:tc>
          <w:tcPr>
            <w:tcW w:w="1928" w:type="dxa"/>
            <w:noWrap/>
            <w:hideMark/>
          </w:tcPr>
          <w:p w14:paraId="2471CAA9" w14:textId="77777777" w:rsidR="00A2153D" w:rsidRDefault="00A2153D">
            <w:pPr>
              <w:pStyle w:val="TableText"/>
              <w:jc w:val="right"/>
            </w:pPr>
            <w:r>
              <w:t> </w:t>
            </w:r>
          </w:p>
        </w:tc>
      </w:tr>
      <w:tr w:rsidR="00A2153D" w14:paraId="6CE9CB91" w14:textId="77777777" w:rsidTr="00A2153D">
        <w:trPr>
          <w:cnfStyle w:val="000000010000" w:firstRow="0" w:lastRow="0" w:firstColumn="0" w:lastColumn="0" w:oddVBand="0" w:evenVBand="0" w:oddHBand="0" w:evenHBand="1" w:firstRowFirstColumn="0" w:firstRowLastColumn="0" w:lastRowFirstColumn="0" w:lastRowLastColumn="0"/>
        </w:trPr>
        <w:tc>
          <w:tcPr>
            <w:tcW w:w="1361" w:type="dxa"/>
            <w:tcBorders>
              <w:top w:val="nil"/>
              <w:left w:val="nil"/>
              <w:right w:val="nil"/>
            </w:tcBorders>
            <w:noWrap/>
            <w:vAlign w:val="top"/>
            <w:hideMark/>
          </w:tcPr>
          <w:p w14:paraId="73EB92B4" w14:textId="77777777" w:rsidR="00A2153D" w:rsidRDefault="00A2153D">
            <w:pPr>
              <w:pStyle w:val="TableText"/>
            </w:pPr>
            <w:r>
              <w:t>2008-09</w:t>
            </w:r>
          </w:p>
        </w:tc>
        <w:tc>
          <w:tcPr>
            <w:tcW w:w="1927" w:type="dxa"/>
            <w:tcBorders>
              <w:top w:val="nil"/>
              <w:left w:val="nil"/>
              <w:right w:val="nil"/>
            </w:tcBorders>
            <w:noWrap/>
            <w:hideMark/>
          </w:tcPr>
          <w:p w14:paraId="2F6805C4" w14:textId="77777777" w:rsidR="00A2153D" w:rsidRDefault="00A2153D">
            <w:pPr>
              <w:pStyle w:val="TableText"/>
              <w:jc w:val="right"/>
            </w:pPr>
            <w:r>
              <w:t>257.2</w:t>
            </w:r>
          </w:p>
        </w:tc>
        <w:tc>
          <w:tcPr>
            <w:tcW w:w="1927" w:type="dxa"/>
            <w:tcBorders>
              <w:top w:val="nil"/>
              <w:left w:val="nil"/>
              <w:right w:val="nil"/>
            </w:tcBorders>
            <w:noWrap/>
            <w:hideMark/>
          </w:tcPr>
          <w:p w14:paraId="44B20C24" w14:textId="77777777" w:rsidR="00A2153D" w:rsidRDefault="00A2153D">
            <w:pPr>
              <w:pStyle w:val="TableText"/>
              <w:jc w:val="right"/>
            </w:pPr>
            <w:r>
              <w:t> </w:t>
            </w:r>
          </w:p>
        </w:tc>
        <w:tc>
          <w:tcPr>
            <w:tcW w:w="1927" w:type="dxa"/>
            <w:tcBorders>
              <w:top w:val="nil"/>
              <w:left w:val="nil"/>
              <w:right w:val="nil"/>
            </w:tcBorders>
            <w:noWrap/>
            <w:hideMark/>
          </w:tcPr>
          <w:p w14:paraId="7D88960B" w14:textId="77777777" w:rsidR="00A2153D" w:rsidRDefault="00A2153D">
            <w:pPr>
              <w:pStyle w:val="TableText"/>
              <w:jc w:val="right"/>
            </w:pPr>
            <w:r>
              <w:t> </w:t>
            </w:r>
          </w:p>
        </w:tc>
        <w:tc>
          <w:tcPr>
            <w:tcW w:w="1928" w:type="dxa"/>
            <w:tcBorders>
              <w:top w:val="nil"/>
              <w:left w:val="nil"/>
              <w:right w:val="nil"/>
            </w:tcBorders>
            <w:noWrap/>
            <w:hideMark/>
          </w:tcPr>
          <w:p w14:paraId="7BF12372" w14:textId="77777777" w:rsidR="00A2153D" w:rsidRDefault="00A2153D">
            <w:pPr>
              <w:pStyle w:val="TableText"/>
              <w:jc w:val="right"/>
            </w:pPr>
            <w:r>
              <w:t> </w:t>
            </w:r>
          </w:p>
        </w:tc>
      </w:tr>
      <w:tr w:rsidR="00A2153D" w14:paraId="0EE5DBAA" w14:textId="77777777" w:rsidTr="00A2153D">
        <w:trPr>
          <w:cnfStyle w:val="000000100000" w:firstRow="0" w:lastRow="0" w:firstColumn="0" w:lastColumn="0" w:oddVBand="0" w:evenVBand="0" w:oddHBand="1" w:evenHBand="0" w:firstRowFirstColumn="0" w:firstRowLastColumn="0" w:lastRowFirstColumn="0" w:lastRowLastColumn="0"/>
        </w:trPr>
        <w:tc>
          <w:tcPr>
            <w:tcW w:w="1361" w:type="dxa"/>
            <w:noWrap/>
            <w:vAlign w:val="top"/>
            <w:hideMark/>
          </w:tcPr>
          <w:p w14:paraId="60335CF4" w14:textId="77777777" w:rsidR="00A2153D" w:rsidRDefault="00A2153D">
            <w:pPr>
              <w:pStyle w:val="TableText"/>
            </w:pPr>
            <w:r>
              <w:t>2009-10</w:t>
            </w:r>
          </w:p>
        </w:tc>
        <w:tc>
          <w:tcPr>
            <w:tcW w:w="1927" w:type="dxa"/>
            <w:noWrap/>
            <w:hideMark/>
          </w:tcPr>
          <w:p w14:paraId="2D81F068" w14:textId="77777777" w:rsidR="00A2153D" w:rsidRDefault="00A2153D">
            <w:pPr>
              <w:pStyle w:val="TableText"/>
              <w:jc w:val="right"/>
            </w:pPr>
            <w:r>
              <w:t>299.0</w:t>
            </w:r>
          </w:p>
        </w:tc>
        <w:tc>
          <w:tcPr>
            <w:tcW w:w="1927" w:type="dxa"/>
            <w:noWrap/>
            <w:hideMark/>
          </w:tcPr>
          <w:p w14:paraId="6CF0919B" w14:textId="77777777" w:rsidR="00A2153D" w:rsidRDefault="00A2153D">
            <w:pPr>
              <w:pStyle w:val="TableText"/>
              <w:jc w:val="right"/>
            </w:pPr>
            <w:r>
              <w:t>0.9</w:t>
            </w:r>
          </w:p>
        </w:tc>
        <w:tc>
          <w:tcPr>
            <w:tcW w:w="1927" w:type="dxa"/>
            <w:noWrap/>
            <w:hideMark/>
          </w:tcPr>
          <w:p w14:paraId="640EE09E" w14:textId="77777777" w:rsidR="00A2153D" w:rsidRDefault="00A2153D">
            <w:pPr>
              <w:pStyle w:val="TableText"/>
              <w:jc w:val="right"/>
            </w:pPr>
            <w:r>
              <w:t>0.1</w:t>
            </w:r>
          </w:p>
        </w:tc>
        <w:tc>
          <w:tcPr>
            <w:tcW w:w="1928" w:type="dxa"/>
            <w:noWrap/>
            <w:hideMark/>
          </w:tcPr>
          <w:p w14:paraId="29CBEA3C" w14:textId="77777777" w:rsidR="00A2153D" w:rsidRDefault="00A2153D">
            <w:pPr>
              <w:pStyle w:val="TableText"/>
              <w:jc w:val="right"/>
            </w:pPr>
            <w:r>
              <w:t> </w:t>
            </w:r>
          </w:p>
        </w:tc>
      </w:tr>
      <w:tr w:rsidR="00A2153D" w14:paraId="403F673A" w14:textId="77777777" w:rsidTr="00A2153D">
        <w:trPr>
          <w:cnfStyle w:val="000000010000" w:firstRow="0" w:lastRow="0" w:firstColumn="0" w:lastColumn="0" w:oddVBand="0" w:evenVBand="0" w:oddHBand="0" w:evenHBand="1" w:firstRowFirstColumn="0" w:firstRowLastColumn="0" w:lastRowFirstColumn="0" w:lastRowLastColumn="0"/>
        </w:trPr>
        <w:tc>
          <w:tcPr>
            <w:tcW w:w="1361" w:type="dxa"/>
            <w:tcBorders>
              <w:top w:val="nil"/>
              <w:left w:val="nil"/>
              <w:right w:val="nil"/>
            </w:tcBorders>
            <w:noWrap/>
            <w:vAlign w:val="top"/>
            <w:hideMark/>
          </w:tcPr>
          <w:p w14:paraId="2328B066" w14:textId="77777777" w:rsidR="00A2153D" w:rsidRDefault="00A2153D">
            <w:pPr>
              <w:pStyle w:val="TableText"/>
            </w:pPr>
            <w:r>
              <w:t>2010-11</w:t>
            </w:r>
          </w:p>
        </w:tc>
        <w:tc>
          <w:tcPr>
            <w:tcW w:w="1927" w:type="dxa"/>
            <w:tcBorders>
              <w:top w:val="nil"/>
              <w:left w:val="nil"/>
              <w:right w:val="nil"/>
            </w:tcBorders>
            <w:noWrap/>
            <w:hideMark/>
          </w:tcPr>
          <w:p w14:paraId="6B03EFE6" w14:textId="77777777" w:rsidR="00A2153D" w:rsidRDefault="00A2153D">
            <w:pPr>
              <w:pStyle w:val="TableText"/>
              <w:jc w:val="right"/>
            </w:pPr>
            <w:r>
              <w:t>197.8</w:t>
            </w:r>
          </w:p>
        </w:tc>
        <w:tc>
          <w:tcPr>
            <w:tcW w:w="1927" w:type="dxa"/>
            <w:tcBorders>
              <w:top w:val="nil"/>
              <w:left w:val="nil"/>
              <w:right w:val="nil"/>
            </w:tcBorders>
            <w:noWrap/>
            <w:hideMark/>
          </w:tcPr>
          <w:p w14:paraId="11174943" w14:textId="77777777" w:rsidR="00A2153D" w:rsidRDefault="00A2153D">
            <w:pPr>
              <w:pStyle w:val="TableText"/>
              <w:jc w:val="right"/>
            </w:pPr>
            <w:r>
              <w:t>24.0</w:t>
            </w:r>
          </w:p>
        </w:tc>
        <w:tc>
          <w:tcPr>
            <w:tcW w:w="1927" w:type="dxa"/>
            <w:tcBorders>
              <w:top w:val="nil"/>
              <w:left w:val="nil"/>
              <w:right w:val="nil"/>
            </w:tcBorders>
            <w:noWrap/>
            <w:hideMark/>
          </w:tcPr>
          <w:p w14:paraId="456248CF" w14:textId="77777777" w:rsidR="00A2153D" w:rsidRDefault="00A2153D">
            <w:pPr>
              <w:pStyle w:val="TableText"/>
              <w:jc w:val="right"/>
            </w:pPr>
            <w:r>
              <w:t>9.2</w:t>
            </w:r>
          </w:p>
        </w:tc>
        <w:tc>
          <w:tcPr>
            <w:tcW w:w="1928" w:type="dxa"/>
            <w:tcBorders>
              <w:top w:val="nil"/>
              <w:left w:val="nil"/>
              <w:right w:val="nil"/>
            </w:tcBorders>
            <w:noWrap/>
            <w:hideMark/>
          </w:tcPr>
          <w:p w14:paraId="66901340" w14:textId="77777777" w:rsidR="00A2153D" w:rsidRDefault="00A2153D">
            <w:pPr>
              <w:pStyle w:val="TableText"/>
              <w:jc w:val="right"/>
            </w:pPr>
            <w:r>
              <w:t>0.7</w:t>
            </w:r>
          </w:p>
        </w:tc>
      </w:tr>
      <w:tr w:rsidR="00A2153D" w14:paraId="1FE7F1B2" w14:textId="77777777" w:rsidTr="00A2153D">
        <w:trPr>
          <w:cnfStyle w:val="000000100000" w:firstRow="0" w:lastRow="0" w:firstColumn="0" w:lastColumn="0" w:oddVBand="0" w:evenVBand="0" w:oddHBand="1" w:evenHBand="0" w:firstRowFirstColumn="0" w:firstRowLastColumn="0" w:lastRowFirstColumn="0" w:lastRowLastColumn="0"/>
        </w:trPr>
        <w:tc>
          <w:tcPr>
            <w:tcW w:w="1361" w:type="dxa"/>
            <w:noWrap/>
            <w:vAlign w:val="top"/>
            <w:hideMark/>
          </w:tcPr>
          <w:p w14:paraId="5B67E1E7" w14:textId="77777777" w:rsidR="00A2153D" w:rsidRDefault="00A2153D">
            <w:pPr>
              <w:pStyle w:val="TableText"/>
            </w:pPr>
            <w:r>
              <w:t>2011-12</w:t>
            </w:r>
          </w:p>
        </w:tc>
        <w:tc>
          <w:tcPr>
            <w:tcW w:w="1927" w:type="dxa"/>
            <w:noWrap/>
            <w:hideMark/>
          </w:tcPr>
          <w:p w14:paraId="3B523FD9" w14:textId="77777777" w:rsidR="00A2153D" w:rsidRDefault="00A2153D">
            <w:pPr>
              <w:pStyle w:val="TableText"/>
              <w:jc w:val="right"/>
            </w:pPr>
            <w:r>
              <w:t>302.3</w:t>
            </w:r>
          </w:p>
        </w:tc>
        <w:tc>
          <w:tcPr>
            <w:tcW w:w="1927" w:type="dxa"/>
            <w:noWrap/>
            <w:hideMark/>
          </w:tcPr>
          <w:p w14:paraId="5D683502" w14:textId="77777777" w:rsidR="00A2153D" w:rsidRDefault="00A2153D">
            <w:pPr>
              <w:pStyle w:val="TableText"/>
              <w:jc w:val="right"/>
            </w:pPr>
            <w:r>
              <w:t>16.6</w:t>
            </w:r>
          </w:p>
        </w:tc>
        <w:tc>
          <w:tcPr>
            <w:tcW w:w="1927" w:type="dxa"/>
            <w:noWrap/>
            <w:hideMark/>
          </w:tcPr>
          <w:p w14:paraId="01C66B04" w14:textId="77777777" w:rsidR="00A2153D" w:rsidRDefault="00A2153D">
            <w:pPr>
              <w:pStyle w:val="TableText"/>
              <w:jc w:val="right"/>
            </w:pPr>
            <w:r>
              <w:t>24.1</w:t>
            </w:r>
          </w:p>
        </w:tc>
        <w:tc>
          <w:tcPr>
            <w:tcW w:w="1928" w:type="dxa"/>
            <w:noWrap/>
            <w:hideMark/>
          </w:tcPr>
          <w:p w14:paraId="34043166" w14:textId="77777777" w:rsidR="00A2153D" w:rsidRDefault="00A2153D">
            <w:pPr>
              <w:pStyle w:val="TableText"/>
              <w:jc w:val="right"/>
            </w:pPr>
            <w:r>
              <w:t>2.2</w:t>
            </w:r>
          </w:p>
        </w:tc>
      </w:tr>
      <w:tr w:rsidR="00A2153D" w14:paraId="25372FA3" w14:textId="77777777" w:rsidTr="00A2153D">
        <w:trPr>
          <w:cnfStyle w:val="000000010000" w:firstRow="0" w:lastRow="0" w:firstColumn="0" w:lastColumn="0" w:oddVBand="0" w:evenVBand="0" w:oddHBand="0" w:evenHBand="1" w:firstRowFirstColumn="0" w:firstRowLastColumn="0" w:lastRowFirstColumn="0" w:lastRowLastColumn="0"/>
        </w:trPr>
        <w:tc>
          <w:tcPr>
            <w:tcW w:w="1361" w:type="dxa"/>
            <w:tcBorders>
              <w:top w:val="nil"/>
              <w:left w:val="nil"/>
              <w:right w:val="nil"/>
            </w:tcBorders>
            <w:noWrap/>
            <w:vAlign w:val="top"/>
            <w:hideMark/>
          </w:tcPr>
          <w:p w14:paraId="203009C4" w14:textId="77777777" w:rsidR="00A2153D" w:rsidRDefault="00A2153D">
            <w:pPr>
              <w:pStyle w:val="TableText"/>
            </w:pPr>
            <w:r>
              <w:t>2012-13</w:t>
            </w:r>
          </w:p>
        </w:tc>
        <w:tc>
          <w:tcPr>
            <w:tcW w:w="1927" w:type="dxa"/>
            <w:tcBorders>
              <w:top w:val="nil"/>
              <w:left w:val="nil"/>
              <w:right w:val="nil"/>
            </w:tcBorders>
            <w:noWrap/>
            <w:hideMark/>
          </w:tcPr>
          <w:p w14:paraId="6DF35E58" w14:textId="77777777" w:rsidR="00A2153D" w:rsidRDefault="00A2153D">
            <w:pPr>
              <w:pStyle w:val="TableText"/>
              <w:jc w:val="right"/>
            </w:pPr>
            <w:r>
              <w:t>65.4</w:t>
            </w:r>
          </w:p>
        </w:tc>
        <w:tc>
          <w:tcPr>
            <w:tcW w:w="1927" w:type="dxa"/>
            <w:tcBorders>
              <w:top w:val="nil"/>
              <w:left w:val="nil"/>
              <w:right w:val="nil"/>
            </w:tcBorders>
            <w:noWrap/>
            <w:hideMark/>
          </w:tcPr>
          <w:p w14:paraId="2C775460" w14:textId="77777777" w:rsidR="00A2153D" w:rsidRDefault="00A2153D">
            <w:pPr>
              <w:pStyle w:val="TableText"/>
              <w:jc w:val="right"/>
            </w:pPr>
            <w:r>
              <w:t>30.5</w:t>
            </w:r>
          </w:p>
        </w:tc>
        <w:tc>
          <w:tcPr>
            <w:tcW w:w="1927" w:type="dxa"/>
            <w:tcBorders>
              <w:top w:val="nil"/>
              <w:left w:val="nil"/>
              <w:right w:val="nil"/>
            </w:tcBorders>
            <w:noWrap/>
            <w:hideMark/>
          </w:tcPr>
          <w:p w14:paraId="78ECAAD5" w14:textId="77777777" w:rsidR="00A2153D" w:rsidRDefault="00A2153D">
            <w:pPr>
              <w:pStyle w:val="TableText"/>
              <w:jc w:val="right"/>
            </w:pPr>
            <w:r>
              <w:t>42.5</w:t>
            </w:r>
          </w:p>
        </w:tc>
        <w:tc>
          <w:tcPr>
            <w:tcW w:w="1928" w:type="dxa"/>
            <w:tcBorders>
              <w:top w:val="nil"/>
              <w:left w:val="nil"/>
              <w:right w:val="nil"/>
            </w:tcBorders>
            <w:noWrap/>
            <w:hideMark/>
          </w:tcPr>
          <w:p w14:paraId="2A62A3EB" w14:textId="77777777" w:rsidR="00A2153D" w:rsidRDefault="00A2153D">
            <w:pPr>
              <w:pStyle w:val="TableText"/>
              <w:jc w:val="right"/>
            </w:pPr>
            <w:r>
              <w:t>3.5</w:t>
            </w:r>
          </w:p>
        </w:tc>
      </w:tr>
      <w:tr w:rsidR="00A2153D" w14:paraId="15CF3B3B" w14:textId="77777777" w:rsidTr="00A2153D">
        <w:trPr>
          <w:cnfStyle w:val="000000100000" w:firstRow="0" w:lastRow="0" w:firstColumn="0" w:lastColumn="0" w:oddVBand="0" w:evenVBand="0" w:oddHBand="1" w:evenHBand="0" w:firstRowFirstColumn="0" w:firstRowLastColumn="0" w:lastRowFirstColumn="0" w:lastRowLastColumn="0"/>
        </w:trPr>
        <w:tc>
          <w:tcPr>
            <w:tcW w:w="1361" w:type="dxa"/>
            <w:noWrap/>
            <w:vAlign w:val="top"/>
            <w:hideMark/>
          </w:tcPr>
          <w:p w14:paraId="512B3BB5" w14:textId="77777777" w:rsidR="00A2153D" w:rsidRDefault="00A2153D">
            <w:pPr>
              <w:pStyle w:val="TableText"/>
            </w:pPr>
            <w:r>
              <w:t>2013-14</w:t>
            </w:r>
          </w:p>
        </w:tc>
        <w:tc>
          <w:tcPr>
            <w:tcW w:w="1927" w:type="dxa"/>
            <w:noWrap/>
            <w:hideMark/>
          </w:tcPr>
          <w:p w14:paraId="029E7124" w14:textId="77777777" w:rsidR="00A2153D" w:rsidRDefault="00A2153D">
            <w:pPr>
              <w:pStyle w:val="TableText"/>
              <w:jc w:val="right"/>
            </w:pPr>
            <w:r>
              <w:t>21.3</w:t>
            </w:r>
          </w:p>
        </w:tc>
        <w:tc>
          <w:tcPr>
            <w:tcW w:w="1927" w:type="dxa"/>
            <w:noWrap/>
            <w:hideMark/>
          </w:tcPr>
          <w:p w14:paraId="13671227" w14:textId="77777777" w:rsidR="00A2153D" w:rsidRDefault="00A2153D">
            <w:pPr>
              <w:pStyle w:val="TableText"/>
              <w:jc w:val="right"/>
            </w:pPr>
            <w:r>
              <w:t>37.0</w:t>
            </w:r>
          </w:p>
        </w:tc>
        <w:tc>
          <w:tcPr>
            <w:tcW w:w="1927" w:type="dxa"/>
            <w:noWrap/>
            <w:hideMark/>
          </w:tcPr>
          <w:p w14:paraId="74300BC1" w14:textId="77777777" w:rsidR="00A2153D" w:rsidRDefault="00A2153D">
            <w:pPr>
              <w:pStyle w:val="TableText"/>
              <w:jc w:val="right"/>
            </w:pPr>
            <w:r>
              <w:t>26.7</w:t>
            </w:r>
          </w:p>
        </w:tc>
        <w:tc>
          <w:tcPr>
            <w:tcW w:w="1928" w:type="dxa"/>
            <w:noWrap/>
            <w:hideMark/>
          </w:tcPr>
          <w:p w14:paraId="723FD4AF" w14:textId="77777777" w:rsidR="00A2153D" w:rsidRDefault="00A2153D">
            <w:pPr>
              <w:pStyle w:val="TableText"/>
              <w:jc w:val="right"/>
            </w:pPr>
            <w:r>
              <w:t>173.9</w:t>
            </w:r>
          </w:p>
        </w:tc>
      </w:tr>
      <w:tr w:rsidR="00A2153D" w14:paraId="4B497E55" w14:textId="77777777" w:rsidTr="00A2153D">
        <w:trPr>
          <w:cnfStyle w:val="000000010000" w:firstRow="0" w:lastRow="0" w:firstColumn="0" w:lastColumn="0" w:oddVBand="0" w:evenVBand="0" w:oddHBand="0" w:evenHBand="1" w:firstRowFirstColumn="0" w:firstRowLastColumn="0" w:lastRowFirstColumn="0" w:lastRowLastColumn="0"/>
        </w:trPr>
        <w:tc>
          <w:tcPr>
            <w:tcW w:w="1361" w:type="dxa"/>
            <w:tcBorders>
              <w:top w:val="nil"/>
              <w:left w:val="nil"/>
              <w:right w:val="nil"/>
            </w:tcBorders>
            <w:noWrap/>
            <w:vAlign w:val="top"/>
            <w:hideMark/>
          </w:tcPr>
          <w:p w14:paraId="4A201170" w14:textId="77777777" w:rsidR="00A2153D" w:rsidRDefault="00A2153D">
            <w:pPr>
              <w:pStyle w:val="TableText"/>
            </w:pPr>
            <w:r>
              <w:t>2014-15</w:t>
            </w:r>
          </w:p>
        </w:tc>
        <w:tc>
          <w:tcPr>
            <w:tcW w:w="1927" w:type="dxa"/>
            <w:tcBorders>
              <w:top w:val="nil"/>
              <w:left w:val="nil"/>
              <w:right w:val="nil"/>
            </w:tcBorders>
            <w:noWrap/>
            <w:hideMark/>
          </w:tcPr>
          <w:p w14:paraId="4B49C8B5" w14:textId="77777777" w:rsidR="00A2153D" w:rsidRDefault="00A2153D">
            <w:pPr>
              <w:pStyle w:val="TableText"/>
              <w:jc w:val="right"/>
            </w:pPr>
            <w:r>
              <w:t>2.8</w:t>
            </w:r>
          </w:p>
        </w:tc>
        <w:tc>
          <w:tcPr>
            <w:tcW w:w="1927" w:type="dxa"/>
            <w:tcBorders>
              <w:top w:val="nil"/>
              <w:left w:val="nil"/>
              <w:right w:val="nil"/>
            </w:tcBorders>
            <w:noWrap/>
            <w:hideMark/>
          </w:tcPr>
          <w:p w14:paraId="68A5AB7B" w14:textId="77777777" w:rsidR="00A2153D" w:rsidRDefault="00A2153D">
            <w:pPr>
              <w:pStyle w:val="TableText"/>
              <w:jc w:val="right"/>
            </w:pPr>
            <w:r>
              <w:t>50.8</w:t>
            </w:r>
          </w:p>
        </w:tc>
        <w:tc>
          <w:tcPr>
            <w:tcW w:w="1927" w:type="dxa"/>
            <w:tcBorders>
              <w:top w:val="nil"/>
              <w:left w:val="nil"/>
              <w:right w:val="nil"/>
            </w:tcBorders>
            <w:noWrap/>
            <w:hideMark/>
          </w:tcPr>
          <w:p w14:paraId="36B084D2" w14:textId="77777777" w:rsidR="00A2153D" w:rsidRDefault="00A2153D">
            <w:pPr>
              <w:pStyle w:val="TableText"/>
              <w:jc w:val="right"/>
            </w:pPr>
            <w:r>
              <w:t>34.6</w:t>
            </w:r>
          </w:p>
        </w:tc>
        <w:tc>
          <w:tcPr>
            <w:tcW w:w="1928" w:type="dxa"/>
            <w:tcBorders>
              <w:top w:val="nil"/>
              <w:left w:val="nil"/>
              <w:right w:val="nil"/>
            </w:tcBorders>
            <w:noWrap/>
            <w:hideMark/>
          </w:tcPr>
          <w:p w14:paraId="2CE43EC9" w14:textId="77777777" w:rsidR="00A2153D" w:rsidRDefault="00A2153D">
            <w:pPr>
              <w:pStyle w:val="TableText"/>
              <w:jc w:val="right"/>
            </w:pPr>
            <w:r>
              <w:t> </w:t>
            </w:r>
          </w:p>
        </w:tc>
      </w:tr>
      <w:tr w:rsidR="00A2153D" w14:paraId="17CE01A8" w14:textId="77777777" w:rsidTr="00A2153D">
        <w:trPr>
          <w:cnfStyle w:val="000000100000" w:firstRow="0" w:lastRow="0" w:firstColumn="0" w:lastColumn="0" w:oddVBand="0" w:evenVBand="0" w:oddHBand="1" w:evenHBand="0" w:firstRowFirstColumn="0" w:firstRowLastColumn="0" w:lastRowFirstColumn="0" w:lastRowLastColumn="0"/>
        </w:trPr>
        <w:tc>
          <w:tcPr>
            <w:tcW w:w="1361" w:type="dxa"/>
            <w:noWrap/>
            <w:vAlign w:val="top"/>
            <w:hideMark/>
          </w:tcPr>
          <w:p w14:paraId="5D80707F" w14:textId="77777777" w:rsidR="00A2153D" w:rsidRDefault="00A2153D">
            <w:pPr>
              <w:pStyle w:val="TableText"/>
            </w:pPr>
            <w:r>
              <w:t>2015-16</w:t>
            </w:r>
          </w:p>
        </w:tc>
        <w:tc>
          <w:tcPr>
            <w:tcW w:w="1927" w:type="dxa"/>
            <w:noWrap/>
            <w:hideMark/>
          </w:tcPr>
          <w:p w14:paraId="2368AE60" w14:textId="77777777" w:rsidR="00A2153D" w:rsidRDefault="00A2153D">
            <w:pPr>
              <w:pStyle w:val="TableText"/>
              <w:jc w:val="right"/>
            </w:pPr>
            <w:r>
              <w:t>8.3</w:t>
            </w:r>
          </w:p>
        </w:tc>
        <w:tc>
          <w:tcPr>
            <w:tcW w:w="1927" w:type="dxa"/>
            <w:noWrap/>
            <w:hideMark/>
          </w:tcPr>
          <w:p w14:paraId="01F6647B" w14:textId="77777777" w:rsidR="00A2153D" w:rsidRDefault="00A2153D">
            <w:pPr>
              <w:pStyle w:val="TableText"/>
              <w:jc w:val="right"/>
            </w:pPr>
            <w:r>
              <w:t>40.6</w:t>
            </w:r>
          </w:p>
        </w:tc>
        <w:tc>
          <w:tcPr>
            <w:tcW w:w="1927" w:type="dxa"/>
            <w:noWrap/>
            <w:hideMark/>
          </w:tcPr>
          <w:p w14:paraId="647980B9" w14:textId="77777777" w:rsidR="00A2153D" w:rsidRDefault="00A2153D">
            <w:pPr>
              <w:pStyle w:val="TableText"/>
              <w:jc w:val="right"/>
            </w:pPr>
            <w:r>
              <w:t>41.9</w:t>
            </w:r>
          </w:p>
        </w:tc>
        <w:tc>
          <w:tcPr>
            <w:tcW w:w="1928" w:type="dxa"/>
            <w:noWrap/>
            <w:hideMark/>
          </w:tcPr>
          <w:p w14:paraId="244C2256" w14:textId="77777777" w:rsidR="00A2153D" w:rsidRDefault="00A2153D">
            <w:pPr>
              <w:pStyle w:val="TableText"/>
              <w:jc w:val="right"/>
            </w:pPr>
            <w:r>
              <w:t>5.3</w:t>
            </w:r>
          </w:p>
        </w:tc>
      </w:tr>
      <w:tr w:rsidR="00A2153D" w14:paraId="2A6EAD20" w14:textId="77777777" w:rsidTr="00A2153D">
        <w:trPr>
          <w:cnfStyle w:val="000000010000" w:firstRow="0" w:lastRow="0" w:firstColumn="0" w:lastColumn="0" w:oddVBand="0" w:evenVBand="0" w:oddHBand="0" w:evenHBand="1" w:firstRowFirstColumn="0" w:firstRowLastColumn="0" w:lastRowFirstColumn="0" w:lastRowLastColumn="0"/>
        </w:trPr>
        <w:tc>
          <w:tcPr>
            <w:tcW w:w="1361" w:type="dxa"/>
            <w:tcBorders>
              <w:top w:val="nil"/>
              <w:left w:val="nil"/>
              <w:right w:val="nil"/>
            </w:tcBorders>
            <w:noWrap/>
            <w:vAlign w:val="top"/>
            <w:hideMark/>
          </w:tcPr>
          <w:p w14:paraId="55223749" w14:textId="77777777" w:rsidR="00A2153D" w:rsidRDefault="00A2153D">
            <w:pPr>
              <w:pStyle w:val="TableText"/>
            </w:pPr>
            <w:r>
              <w:t>2016-17</w:t>
            </w:r>
          </w:p>
        </w:tc>
        <w:tc>
          <w:tcPr>
            <w:tcW w:w="1927" w:type="dxa"/>
            <w:tcBorders>
              <w:top w:val="nil"/>
              <w:left w:val="nil"/>
              <w:right w:val="nil"/>
            </w:tcBorders>
            <w:noWrap/>
            <w:hideMark/>
          </w:tcPr>
          <w:p w14:paraId="1CAFE0A3" w14:textId="77777777" w:rsidR="00A2153D" w:rsidRDefault="00A2153D">
            <w:pPr>
              <w:pStyle w:val="TableText"/>
              <w:jc w:val="right"/>
            </w:pPr>
            <w:r>
              <w:t>33.8</w:t>
            </w:r>
          </w:p>
        </w:tc>
        <w:tc>
          <w:tcPr>
            <w:tcW w:w="1927" w:type="dxa"/>
            <w:tcBorders>
              <w:top w:val="nil"/>
              <w:left w:val="nil"/>
              <w:right w:val="nil"/>
            </w:tcBorders>
            <w:noWrap/>
            <w:hideMark/>
          </w:tcPr>
          <w:p w14:paraId="22497D05" w14:textId="77777777" w:rsidR="00A2153D" w:rsidRDefault="00A2153D">
            <w:pPr>
              <w:pStyle w:val="TableText"/>
              <w:jc w:val="right"/>
            </w:pPr>
            <w:r>
              <w:t>35.6</w:t>
            </w:r>
          </w:p>
        </w:tc>
        <w:tc>
          <w:tcPr>
            <w:tcW w:w="1927" w:type="dxa"/>
            <w:tcBorders>
              <w:top w:val="nil"/>
              <w:left w:val="nil"/>
              <w:right w:val="nil"/>
            </w:tcBorders>
            <w:noWrap/>
            <w:hideMark/>
          </w:tcPr>
          <w:p w14:paraId="784DFE4E" w14:textId="77777777" w:rsidR="00A2153D" w:rsidRDefault="00A2153D">
            <w:pPr>
              <w:pStyle w:val="TableText"/>
              <w:jc w:val="right"/>
            </w:pPr>
            <w:r>
              <w:t>6.9</w:t>
            </w:r>
          </w:p>
        </w:tc>
        <w:tc>
          <w:tcPr>
            <w:tcW w:w="1928" w:type="dxa"/>
            <w:tcBorders>
              <w:top w:val="nil"/>
              <w:left w:val="nil"/>
              <w:right w:val="nil"/>
            </w:tcBorders>
            <w:noWrap/>
            <w:hideMark/>
          </w:tcPr>
          <w:p w14:paraId="63220034" w14:textId="77777777" w:rsidR="00A2153D" w:rsidRDefault="00A2153D">
            <w:pPr>
              <w:pStyle w:val="TableText"/>
              <w:jc w:val="right"/>
            </w:pPr>
            <w:r>
              <w:t>1.4</w:t>
            </w:r>
          </w:p>
        </w:tc>
      </w:tr>
      <w:tr w:rsidR="00A2153D" w14:paraId="2C007003" w14:textId="77777777" w:rsidTr="00A2153D">
        <w:trPr>
          <w:cnfStyle w:val="000000100000" w:firstRow="0" w:lastRow="0" w:firstColumn="0" w:lastColumn="0" w:oddVBand="0" w:evenVBand="0" w:oddHBand="1" w:evenHBand="0" w:firstRowFirstColumn="0" w:firstRowLastColumn="0" w:lastRowFirstColumn="0" w:lastRowLastColumn="0"/>
        </w:trPr>
        <w:tc>
          <w:tcPr>
            <w:tcW w:w="1361" w:type="dxa"/>
            <w:noWrap/>
            <w:vAlign w:val="top"/>
            <w:hideMark/>
          </w:tcPr>
          <w:p w14:paraId="72F45D1E" w14:textId="77777777" w:rsidR="00A2153D" w:rsidRDefault="00A2153D">
            <w:pPr>
              <w:pStyle w:val="TableText"/>
            </w:pPr>
            <w:r>
              <w:t>2017-18</w:t>
            </w:r>
          </w:p>
        </w:tc>
        <w:tc>
          <w:tcPr>
            <w:tcW w:w="1927" w:type="dxa"/>
            <w:noWrap/>
            <w:hideMark/>
          </w:tcPr>
          <w:p w14:paraId="23A54674" w14:textId="77777777" w:rsidR="00A2153D" w:rsidRDefault="00A2153D">
            <w:pPr>
              <w:pStyle w:val="TableText"/>
              <w:jc w:val="right"/>
            </w:pPr>
            <w:r>
              <w:t>27.2</w:t>
            </w:r>
          </w:p>
        </w:tc>
        <w:tc>
          <w:tcPr>
            <w:tcW w:w="1927" w:type="dxa"/>
            <w:noWrap/>
            <w:hideMark/>
          </w:tcPr>
          <w:p w14:paraId="168CA20A" w14:textId="77777777" w:rsidR="00A2153D" w:rsidRDefault="00A2153D">
            <w:pPr>
              <w:pStyle w:val="TableText"/>
              <w:jc w:val="right"/>
            </w:pPr>
            <w:r>
              <w:t>11.4</w:t>
            </w:r>
          </w:p>
        </w:tc>
        <w:tc>
          <w:tcPr>
            <w:tcW w:w="1927" w:type="dxa"/>
            <w:noWrap/>
            <w:hideMark/>
          </w:tcPr>
          <w:p w14:paraId="2C312191" w14:textId="77777777" w:rsidR="00A2153D" w:rsidRDefault="00A2153D">
            <w:pPr>
              <w:pStyle w:val="TableText"/>
              <w:jc w:val="right"/>
            </w:pPr>
            <w:r>
              <w:t>27.8</w:t>
            </w:r>
          </w:p>
        </w:tc>
        <w:tc>
          <w:tcPr>
            <w:tcW w:w="1928" w:type="dxa"/>
            <w:noWrap/>
            <w:hideMark/>
          </w:tcPr>
          <w:p w14:paraId="73E17989" w14:textId="77777777" w:rsidR="00A2153D" w:rsidRDefault="00A2153D">
            <w:pPr>
              <w:pStyle w:val="TableText"/>
              <w:jc w:val="right"/>
            </w:pPr>
            <w:r>
              <w:t>0.7</w:t>
            </w:r>
          </w:p>
        </w:tc>
      </w:tr>
      <w:tr w:rsidR="00A2153D" w14:paraId="1A8D37A8" w14:textId="77777777" w:rsidTr="00A2153D">
        <w:trPr>
          <w:cnfStyle w:val="000000010000" w:firstRow="0" w:lastRow="0" w:firstColumn="0" w:lastColumn="0" w:oddVBand="0" w:evenVBand="0" w:oddHBand="0" w:evenHBand="1" w:firstRowFirstColumn="0" w:firstRowLastColumn="0" w:lastRowFirstColumn="0" w:lastRowLastColumn="0"/>
        </w:trPr>
        <w:tc>
          <w:tcPr>
            <w:tcW w:w="1361" w:type="dxa"/>
            <w:tcBorders>
              <w:top w:val="nil"/>
              <w:left w:val="nil"/>
              <w:right w:val="nil"/>
            </w:tcBorders>
            <w:noWrap/>
            <w:vAlign w:val="top"/>
            <w:hideMark/>
          </w:tcPr>
          <w:p w14:paraId="27D5E4A7" w14:textId="77777777" w:rsidR="00A2153D" w:rsidRDefault="00A2153D">
            <w:pPr>
              <w:pStyle w:val="TableText"/>
            </w:pPr>
            <w:r>
              <w:t>2018-19</w:t>
            </w:r>
          </w:p>
        </w:tc>
        <w:tc>
          <w:tcPr>
            <w:tcW w:w="1927" w:type="dxa"/>
            <w:tcBorders>
              <w:top w:val="nil"/>
              <w:left w:val="nil"/>
              <w:right w:val="nil"/>
            </w:tcBorders>
            <w:noWrap/>
            <w:hideMark/>
          </w:tcPr>
          <w:p w14:paraId="53B1B209" w14:textId="77777777" w:rsidR="00A2153D" w:rsidRDefault="00A2153D">
            <w:pPr>
              <w:pStyle w:val="TableText"/>
              <w:jc w:val="right"/>
            </w:pPr>
            <w:r>
              <w:t>32.1</w:t>
            </w:r>
          </w:p>
        </w:tc>
        <w:tc>
          <w:tcPr>
            <w:tcW w:w="1927" w:type="dxa"/>
            <w:tcBorders>
              <w:top w:val="nil"/>
              <w:left w:val="nil"/>
              <w:right w:val="nil"/>
            </w:tcBorders>
            <w:noWrap/>
            <w:hideMark/>
          </w:tcPr>
          <w:p w14:paraId="6307D52A" w14:textId="77777777" w:rsidR="00A2153D" w:rsidRDefault="00A2153D">
            <w:pPr>
              <w:pStyle w:val="TableText"/>
              <w:jc w:val="right"/>
            </w:pPr>
            <w:r>
              <w:t>8.5</w:t>
            </w:r>
          </w:p>
        </w:tc>
        <w:tc>
          <w:tcPr>
            <w:tcW w:w="1927" w:type="dxa"/>
            <w:tcBorders>
              <w:top w:val="nil"/>
              <w:left w:val="nil"/>
              <w:right w:val="nil"/>
            </w:tcBorders>
            <w:noWrap/>
            <w:hideMark/>
          </w:tcPr>
          <w:p w14:paraId="3E899A8D" w14:textId="77777777" w:rsidR="00A2153D" w:rsidRDefault="00A2153D">
            <w:pPr>
              <w:pStyle w:val="TableText"/>
              <w:jc w:val="right"/>
            </w:pPr>
            <w:r>
              <w:t>41.4</w:t>
            </w:r>
          </w:p>
        </w:tc>
        <w:tc>
          <w:tcPr>
            <w:tcW w:w="1928" w:type="dxa"/>
            <w:tcBorders>
              <w:top w:val="nil"/>
              <w:left w:val="nil"/>
              <w:right w:val="nil"/>
            </w:tcBorders>
            <w:noWrap/>
            <w:hideMark/>
          </w:tcPr>
          <w:p w14:paraId="3FFAFB73" w14:textId="77777777" w:rsidR="00A2153D" w:rsidRDefault="00A2153D">
            <w:pPr>
              <w:pStyle w:val="TableText"/>
              <w:jc w:val="right"/>
            </w:pPr>
            <w:r>
              <w:t> </w:t>
            </w:r>
          </w:p>
        </w:tc>
      </w:tr>
      <w:tr w:rsidR="00A2153D" w14:paraId="6C7500B1" w14:textId="77777777" w:rsidTr="00A2153D">
        <w:trPr>
          <w:cnfStyle w:val="000000100000" w:firstRow="0" w:lastRow="0" w:firstColumn="0" w:lastColumn="0" w:oddVBand="0" w:evenVBand="0" w:oddHBand="1" w:evenHBand="0" w:firstRowFirstColumn="0" w:firstRowLastColumn="0" w:lastRowFirstColumn="0" w:lastRowLastColumn="0"/>
        </w:trPr>
        <w:tc>
          <w:tcPr>
            <w:tcW w:w="1361" w:type="dxa"/>
            <w:noWrap/>
            <w:vAlign w:val="top"/>
            <w:hideMark/>
          </w:tcPr>
          <w:p w14:paraId="369CE972" w14:textId="77777777" w:rsidR="00A2153D" w:rsidRDefault="00A2153D">
            <w:pPr>
              <w:pStyle w:val="TableText"/>
            </w:pPr>
            <w:r>
              <w:t>2019-20</w:t>
            </w:r>
          </w:p>
        </w:tc>
        <w:tc>
          <w:tcPr>
            <w:tcW w:w="1927" w:type="dxa"/>
            <w:noWrap/>
            <w:hideMark/>
          </w:tcPr>
          <w:p w14:paraId="3CB483D8" w14:textId="77777777" w:rsidR="00A2153D" w:rsidRDefault="00A2153D">
            <w:pPr>
              <w:pStyle w:val="TableText"/>
              <w:jc w:val="right"/>
            </w:pPr>
            <w:r>
              <w:t>5.1</w:t>
            </w:r>
          </w:p>
        </w:tc>
        <w:tc>
          <w:tcPr>
            <w:tcW w:w="1927" w:type="dxa"/>
            <w:noWrap/>
            <w:hideMark/>
          </w:tcPr>
          <w:p w14:paraId="7432CF9B" w14:textId="77777777" w:rsidR="00A2153D" w:rsidRDefault="00A2153D">
            <w:pPr>
              <w:pStyle w:val="TableText"/>
              <w:jc w:val="right"/>
            </w:pPr>
            <w:r>
              <w:t>1.4</w:t>
            </w:r>
          </w:p>
        </w:tc>
        <w:tc>
          <w:tcPr>
            <w:tcW w:w="1927" w:type="dxa"/>
            <w:noWrap/>
            <w:hideMark/>
          </w:tcPr>
          <w:p w14:paraId="5C535ADA" w14:textId="77777777" w:rsidR="00A2153D" w:rsidRDefault="00A2153D">
            <w:pPr>
              <w:pStyle w:val="TableText"/>
              <w:jc w:val="right"/>
            </w:pPr>
            <w:r>
              <w:t>7.8</w:t>
            </w:r>
          </w:p>
        </w:tc>
        <w:tc>
          <w:tcPr>
            <w:tcW w:w="1928" w:type="dxa"/>
            <w:noWrap/>
            <w:hideMark/>
          </w:tcPr>
          <w:p w14:paraId="04D14C9E" w14:textId="77777777" w:rsidR="00A2153D" w:rsidRDefault="00A2153D">
            <w:pPr>
              <w:pStyle w:val="TableText"/>
              <w:jc w:val="right"/>
            </w:pPr>
            <w:r>
              <w:t> </w:t>
            </w:r>
          </w:p>
        </w:tc>
      </w:tr>
      <w:tr w:rsidR="00A2153D" w14:paraId="3CDBB93D" w14:textId="77777777" w:rsidTr="00A2153D">
        <w:trPr>
          <w:cnfStyle w:val="000000010000" w:firstRow="0" w:lastRow="0" w:firstColumn="0" w:lastColumn="0" w:oddVBand="0" w:evenVBand="0" w:oddHBand="0" w:evenHBand="1" w:firstRowFirstColumn="0" w:firstRowLastColumn="0" w:lastRowFirstColumn="0" w:lastRowLastColumn="0"/>
        </w:trPr>
        <w:tc>
          <w:tcPr>
            <w:tcW w:w="1361" w:type="dxa"/>
            <w:tcBorders>
              <w:top w:val="nil"/>
              <w:left w:val="nil"/>
              <w:right w:val="nil"/>
            </w:tcBorders>
            <w:noWrap/>
            <w:vAlign w:val="top"/>
            <w:hideMark/>
          </w:tcPr>
          <w:p w14:paraId="5FA88873" w14:textId="77777777" w:rsidR="00A2153D" w:rsidRDefault="00A2153D">
            <w:pPr>
              <w:pStyle w:val="TableText"/>
            </w:pPr>
            <w:r>
              <w:t>2020-21</w:t>
            </w:r>
          </w:p>
        </w:tc>
        <w:tc>
          <w:tcPr>
            <w:tcW w:w="1927" w:type="dxa"/>
            <w:tcBorders>
              <w:top w:val="nil"/>
              <w:left w:val="nil"/>
              <w:right w:val="nil"/>
            </w:tcBorders>
            <w:noWrap/>
            <w:hideMark/>
          </w:tcPr>
          <w:p w14:paraId="5F87913F" w14:textId="77777777" w:rsidR="00A2153D" w:rsidRDefault="00A2153D">
            <w:pPr>
              <w:pStyle w:val="TableText"/>
              <w:jc w:val="right"/>
            </w:pPr>
            <w:r>
              <w:t> </w:t>
            </w:r>
          </w:p>
        </w:tc>
        <w:tc>
          <w:tcPr>
            <w:tcW w:w="1927" w:type="dxa"/>
            <w:tcBorders>
              <w:top w:val="nil"/>
              <w:left w:val="nil"/>
              <w:right w:val="nil"/>
            </w:tcBorders>
            <w:noWrap/>
            <w:hideMark/>
          </w:tcPr>
          <w:p w14:paraId="6EDC062F" w14:textId="77777777" w:rsidR="00A2153D" w:rsidRDefault="00A2153D">
            <w:pPr>
              <w:pStyle w:val="TableText"/>
              <w:jc w:val="right"/>
            </w:pPr>
            <w:r>
              <w:t>0.0</w:t>
            </w:r>
          </w:p>
        </w:tc>
        <w:tc>
          <w:tcPr>
            <w:tcW w:w="1927" w:type="dxa"/>
            <w:tcBorders>
              <w:top w:val="nil"/>
              <w:left w:val="nil"/>
              <w:right w:val="nil"/>
            </w:tcBorders>
            <w:noWrap/>
            <w:hideMark/>
          </w:tcPr>
          <w:p w14:paraId="09E63349" w14:textId="77777777" w:rsidR="00A2153D" w:rsidRDefault="00A2153D">
            <w:pPr>
              <w:pStyle w:val="TableText"/>
              <w:jc w:val="right"/>
            </w:pPr>
            <w:r>
              <w:t> </w:t>
            </w:r>
          </w:p>
        </w:tc>
        <w:tc>
          <w:tcPr>
            <w:tcW w:w="1928" w:type="dxa"/>
            <w:tcBorders>
              <w:top w:val="nil"/>
              <w:left w:val="nil"/>
              <w:right w:val="nil"/>
            </w:tcBorders>
            <w:noWrap/>
            <w:hideMark/>
          </w:tcPr>
          <w:p w14:paraId="5F4A34E2" w14:textId="77777777" w:rsidR="00A2153D" w:rsidRDefault="00A2153D">
            <w:pPr>
              <w:pStyle w:val="TableText"/>
              <w:jc w:val="right"/>
            </w:pPr>
            <w:r>
              <w:t> </w:t>
            </w:r>
          </w:p>
        </w:tc>
      </w:tr>
      <w:tr w:rsidR="00A2153D" w14:paraId="18E54EEB" w14:textId="77777777" w:rsidTr="00A2153D">
        <w:trPr>
          <w:cnfStyle w:val="000000100000" w:firstRow="0" w:lastRow="0" w:firstColumn="0" w:lastColumn="0" w:oddVBand="0" w:evenVBand="0" w:oddHBand="1" w:evenHBand="0" w:firstRowFirstColumn="0" w:firstRowLastColumn="0" w:lastRowFirstColumn="0" w:lastRowLastColumn="0"/>
        </w:trPr>
        <w:tc>
          <w:tcPr>
            <w:tcW w:w="1361" w:type="dxa"/>
            <w:noWrap/>
            <w:vAlign w:val="top"/>
            <w:hideMark/>
          </w:tcPr>
          <w:p w14:paraId="545E2BA8" w14:textId="77777777" w:rsidR="00A2153D" w:rsidRDefault="00A2153D">
            <w:pPr>
              <w:pStyle w:val="TableText"/>
            </w:pPr>
            <w:r>
              <w:t>2021-22^</w:t>
            </w:r>
          </w:p>
        </w:tc>
        <w:tc>
          <w:tcPr>
            <w:tcW w:w="1927" w:type="dxa"/>
            <w:noWrap/>
            <w:hideMark/>
          </w:tcPr>
          <w:p w14:paraId="3BBDA559" w14:textId="77777777" w:rsidR="00A2153D" w:rsidRDefault="00A2153D">
            <w:pPr>
              <w:pStyle w:val="TableText"/>
              <w:jc w:val="right"/>
            </w:pPr>
            <w:r>
              <w:t> </w:t>
            </w:r>
          </w:p>
        </w:tc>
        <w:tc>
          <w:tcPr>
            <w:tcW w:w="1927" w:type="dxa"/>
            <w:noWrap/>
            <w:hideMark/>
          </w:tcPr>
          <w:p w14:paraId="757D0E96" w14:textId="77777777" w:rsidR="00A2153D" w:rsidRDefault="00A2153D">
            <w:pPr>
              <w:pStyle w:val="TableText"/>
              <w:jc w:val="right"/>
            </w:pPr>
            <w:r>
              <w:t>0.1</w:t>
            </w:r>
          </w:p>
        </w:tc>
        <w:tc>
          <w:tcPr>
            <w:tcW w:w="1927" w:type="dxa"/>
            <w:noWrap/>
            <w:hideMark/>
          </w:tcPr>
          <w:p w14:paraId="59A586BA" w14:textId="77777777" w:rsidR="00A2153D" w:rsidRDefault="00A2153D">
            <w:pPr>
              <w:pStyle w:val="TableText"/>
              <w:jc w:val="right"/>
            </w:pPr>
            <w:r>
              <w:t> </w:t>
            </w:r>
          </w:p>
        </w:tc>
        <w:tc>
          <w:tcPr>
            <w:tcW w:w="1928" w:type="dxa"/>
            <w:noWrap/>
            <w:hideMark/>
          </w:tcPr>
          <w:p w14:paraId="3E2E7FB0" w14:textId="77777777" w:rsidR="00A2153D" w:rsidRDefault="00A2153D">
            <w:pPr>
              <w:pStyle w:val="TableText"/>
              <w:jc w:val="right"/>
            </w:pPr>
            <w:r>
              <w:t> </w:t>
            </w:r>
          </w:p>
        </w:tc>
      </w:tr>
      <w:tr w:rsidR="00A2153D" w14:paraId="4B04AAD8" w14:textId="77777777" w:rsidTr="00A2153D">
        <w:trPr>
          <w:cnfStyle w:val="000000010000" w:firstRow="0" w:lastRow="0" w:firstColumn="0" w:lastColumn="0" w:oddVBand="0" w:evenVBand="0" w:oddHBand="0" w:evenHBand="1" w:firstRowFirstColumn="0" w:firstRowLastColumn="0" w:lastRowFirstColumn="0" w:lastRowLastColumn="0"/>
        </w:trPr>
        <w:tc>
          <w:tcPr>
            <w:tcW w:w="1361" w:type="dxa"/>
            <w:tcBorders>
              <w:top w:val="nil"/>
              <w:left w:val="nil"/>
              <w:right w:val="nil"/>
            </w:tcBorders>
            <w:noWrap/>
            <w:vAlign w:val="top"/>
            <w:hideMark/>
          </w:tcPr>
          <w:p w14:paraId="301147E4" w14:textId="77777777" w:rsidR="00A2153D" w:rsidRDefault="00A2153D">
            <w:pPr>
              <w:pStyle w:val="TableText"/>
              <w:rPr>
                <w:b/>
                <w:bCs/>
              </w:rPr>
            </w:pPr>
            <w:r>
              <w:rPr>
                <w:b/>
                <w:bCs/>
              </w:rPr>
              <w:t>Total</w:t>
            </w:r>
          </w:p>
        </w:tc>
        <w:tc>
          <w:tcPr>
            <w:tcW w:w="1927" w:type="dxa"/>
            <w:tcBorders>
              <w:top w:val="nil"/>
              <w:left w:val="nil"/>
              <w:right w:val="nil"/>
            </w:tcBorders>
            <w:noWrap/>
            <w:vAlign w:val="top"/>
            <w:hideMark/>
          </w:tcPr>
          <w:p w14:paraId="21FFCA59" w14:textId="77777777" w:rsidR="00A2153D" w:rsidRDefault="00A2153D">
            <w:pPr>
              <w:pStyle w:val="TableText"/>
              <w:jc w:val="right"/>
              <w:rPr>
                <w:b/>
                <w:bCs/>
              </w:rPr>
            </w:pPr>
            <w:r>
              <w:rPr>
                <w:b/>
                <w:bCs/>
              </w:rPr>
              <w:t>1266.4</w:t>
            </w:r>
          </w:p>
        </w:tc>
        <w:tc>
          <w:tcPr>
            <w:tcW w:w="1927" w:type="dxa"/>
            <w:tcBorders>
              <w:top w:val="nil"/>
              <w:left w:val="nil"/>
              <w:right w:val="nil"/>
            </w:tcBorders>
            <w:noWrap/>
            <w:vAlign w:val="top"/>
            <w:hideMark/>
          </w:tcPr>
          <w:p w14:paraId="6D028DF9" w14:textId="77777777" w:rsidR="00A2153D" w:rsidRDefault="00A2153D">
            <w:pPr>
              <w:pStyle w:val="TableText"/>
              <w:jc w:val="right"/>
              <w:rPr>
                <w:b/>
                <w:bCs/>
              </w:rPr>
            </w:pPr>
            <w:r>
              <w:rPr>
                <w:b/>
                <w:bCs/>
              </w:rPr>
              <w:t>257.4</w:t>
            </w:r>
          </w:p>
        </w:tc>
        <w:tc>
          <w:tcPr>
            <w:tcW w:w="1927" w:type="dxa"/>
            <w:tcBorders>
              <w:top w:val="nil"/>
              <w:left w:val="nil"/>
              <w:right w:val="nil"/>
            </w:tcBorders>
            <w:noWrap/>
            <w:vAlign w:val="top"/>
            <w:hideMark/>
          </w:tcPr>
          <w:p w14:paraId="160D7AE7" w14:textId="77777777" w:rsidR="00A2153D" w:rsidRDefault="00A2153D">
            <w:pPr>
              <w:pStyle w:val="TableText"/>
              <w:jc w:val="right"/>
              <w:rPr>
                <w:b/>
                <w:bCs/>
              </w:rPr>
            </w:pPr>
            <w:r>
              <w:rPr>
                <w:b/>
                <w:bCs/>
              </w:rPr>
              <w:t>262.7</w:t>
            </w:r>
          </w:p>
        </w:tc>
        <w:tc>
          <w:tcPr>
            <w:tcW w:w="1928" w:type="dxa"/>
            <w:tcBorders>
              <w:top w:val="nil"/>
              <w:left w:val="nil"/>
              <w:right w:val="nil"/>
            </w:tcBorders>
            <w:noWrap/>
            <w:vAlign w:val="top"/>
            <w:hideMark/>
          </w:tcPr>
          <w:p w14:paraId="1E30A3B2" w14:textId="77777777" w:rsidR="00A2153D" w:rsidRDefault="00A2153D">
            <w:pPr>
              <w:pStyle w:val="TableText"/>
              <w:jc w:val="right"/>
              <w:rPr>
                <w:b/>
                <w:bCs/>
              </w:rPr>
            </w:pPr>
            <w:r>
              <w:rPr>
                <w:b/>
                <w:bCs/>
              </w:rPr>
              <w:t>187.6</w:t>
            </w:r>
          </w:p>
        </w:tc>
      </w:tr>
    </w:tbl>
    <w:p w14:paraId="0D1B0FBE" w14:textId="23AAF611" w:rsidR="00A2153D" w:rsidRDefault="00A2153D" w:rsidP="00A2153D">
      <w:pPr>
        <w:spacing w:after="320"/>
        <w:rPr>
          <w:color w:val="9BA1A5"/>
        </w:rPr>
      </w:pPr>
      <w:r>
        <w:rPr>
          <w:i/>
          <w:color w:val="9BA1A5"/>
          <w:sz w:val="16"/>
          <w:szCs w:val="16"/>
        </w:rPr>
        <w:t>Note</w:t>
      </w:r>
      <w:r w:rsidR="00830F4A">
        <w:rPr>
          <w:i/>
          <w:color w:val="9BA1A5"/>
          <w:sz w:val="16"/>
          <w:szCs w:val="16"/>
        </w:rPr>
        <w:t xml:space="preserve">s: </w:t>
      </w:r>
      <w:r w:rsidR="002B1808">
        <w:rPr>
          <w:i/>
          <w:color w:val="9BA1A5"/>
          <w:sz w:val="16"/>
          <w:szCs w:val="16"/>
        </w:rPr>
        <w:t xml:space="preserve">Includes gap bridging, non-gap bridging surface and groundwater. Also includes registered efficiency measures. </w:t>
      </w:r>
      <w:r>
        <w:rPr>
          <w:i/>
          <w:color w:val="9BA1A5"/>
          <w:sz w:val="16"/>
          <w:szCs w:val="16"/>
        </w:rPr>
        <w:t>* ‘Other Infrastructure’ includes Nimmie-Caira recovery due to its unique entitlement properties. It also includes non-gap bridging recovery including groundwater in NSW, and Wetlands (Class 9) entitlements in SA</w:t>
      </w:r>
      <w:r w:rsidR="00CB4BE8">
        <w:rPr>
          <w:i/>
          <w:color w:val="9BA1A5"/>
          <w:sz w:val="16"/>
          <w:szCs w:val="16"/>
        </w:rPr>
        <w:t>: ^ Data to 31 May 2022</w:t>
      </w:r>
      <w:r w:rsidR="00C35EE7">
        <w:rPr>
          <w:i/>
          <w:color w:val="9BA1A5"/>
          <w:sz w:val="16"/>
          <w:szCs w:val="16"/>
        </w:rPr>
        <w:t xml:space="preserve">, </w:t>
      </w:r>
      <w:r w:rsidR="00A745A7" w:rsidRPr="00A745A7">
        <w:rPr>
          <w:i/>
          <w:color w:val="9BA1A5"/>
          <w:sz w:val="16"/>
          <w:szCs w:val="16"/>
        </w:rPr>
        <w:t>1.0 GL from Mitiamo and district domestic and stock pipeline project in Victoria</w:t>
      </w:r>
      <w:r w:rsidR="00C35EE7">
        <w:rPr>
          <w:i/>
          <w:color w:val="9BA1A5"/>
          <w:sz w:val="16"/>
          <w:szCs w:val="16"/>
        </w:rPr>
        <w:t xml:space="preserve"> not included</w:t>
      </w:r>
      <w:r w:rsidR="00CB4BE8">
        <w:rPr>
          <w:i/>
          <w:color w:val="9BA1A5"/>
          <w:sz w:val="16"/>
          <w:szCs w:val="16"/>
        </w:rPr>
        <w:t>.</w:t>
      </w:r>
      <w:r>
        <w:rPr>
          <w:i/>
          <w:color w:val="9BA1A5"/>
          <w:sz w:val="16"/>
          <w:szCs w:val="16"/>
        </w:rPr>
        <w:tab/>
      </w:r>
      <w:r>
        <w:rPr>
          <w:i/>
          <w:color w:val="9BA1A5"/>
          <w:sz w:val="16"/>
          <w:szCs w:val="16"/>
        </w:rPr>
        <w:br/>
        <w:t>Source: DCCEEW internal database, as at 25 July 2022.</w:t>
      </w:r>
    </w:p>
    <w:p w14:paraId="2056F007" w14:textId="70AEB361" w:rsidR="00CD0E71" w:rsidRDefault="002B1808" w:rsidP="00A2153D">
      <w:pPr>
        <w:pStyle w:val="BodyText"/>
      </w:pPr>
      <w:r>
        <w:t xml:space="preserve">Commonwealth </w:t>
      </w:r>
      <w:r w:rsidR="000F119C">
        <w:t xml:space="preserve">water recovery has secured a total of </w:t>
      </w:r>
      <w:r w:rsidR="000F119C" w:rsidRPr="000F119C">
        <w:t>1974.1</w:t>
      </w:r>
      <w:r w:rsidR="000F119C">
        <w:t xml:space="preserve"> GL </w:t>
      </w:r>
      <w:r w:rsidR="00EF1AC7">
        <w:t>across</w:t>
      </w:r>
      <w:r w:rsidR="000F119C">
        <w:t xml:space="preserve"> the </w:t>
      </w:r>
      <w:r w:rsidR="00EF1AC7">
        <w:t>entire</w:t>
      </w:r>
      <w:r w:rsidR="000F119C">
        <w:t xml:space="preserve"> MDB</w:t>
      </w:r>
      <w:r w:rsidR="00EF1AC7">
        <w:t xml:space="preserve"> </w:t>
      </w:r>
      <w:r w:rsidR="0098305C">
        <w:t>(across surface and ground water resource)</w:t>
      </w:r>
      <w:r w:rsidR="008108D7">
        <w:t>. This i</w:t>
      </w:r>
      <w:r w:rsidR="00EF1AC7">
        <w:t>nclud</w:t>
      </w:r>
      <w:r w:rsidR="008108D7">
        <w:t>es</w:t>
      </w:r>
      <w:r w:rsidR="00EF1AC7">
        <w:t xml:space="preserve"> </w:t>
      </w:r>
      <w:r w:rsidR="00EF1AC7" w:rsidRPr="00EF1AC7">
        <w:t>1595.8</w:t>
      </w:r>
      <w:r w:rsidR="00EF1AC7">
        <w:t> GL in the southern MDB</w:t>
      </w:r>
      <w:r w:rsidR="008108D7">
        <w:t xml:space="preserve"> — t</w:t>
      </w:r>
      <w:r w:rsidR="005E4C71">
        <w:t xml:space="preserve">he vast majority of </w:t>
      </w:r>
      <w:r w:rsidR="008108D7">
        <w:t>which</w:t>
      </w:r>
      <w:r w:rsidR="005E4C71">
        <w:t xml:space="preserve"> is surface water (</w:t>
      </w:r>
      <w:r w:rsidR="008108D7" w:rsidRPr="008108D7">
        <w:t>1589.2</w:t>
      </w:r>
      <w:r w:rsidR="008108D7">
        <w:t> GL</w:t>
      </w:r>
      <w:r w:rsidR="005E4C71">
        <w:t>).</w:t>
      </w:r>
    </w:p>
    <w:p w14:paraId="14049F64" w14:textId="64AAFA55" w:rsidR="00EF1AC7" w:rsidRDefault="00EF1AC7" w:rsidP="00A2153D">
      <w:pPr>
        <w:pStyle w:val="BodyText"/>
      </w:pPr>
      <w:r>
        <w:t xml:space="preserve">The mix of </w:t>
      </w:r>
      <w:r w:rsidR="00786A01">
        <w:t xml:space="preserve">Commonwealth </w:t>
      </w:r>
      <w:r w:rsidR="00CD0E71">
        <w:t xml:space="preserve">surface water </w:t>
      </w:r>
      <w:r>
        <w:t>recovery</w:t>
      </w:r>
      <w:r w:rsidR="00786A01">
        <w:t xml:space="preserve"> in the southern MDB differs between the States </w:t>
      </w:r>
      <w:r>
        <w:t>(</w:t>
      </w:r>
      <w:r>
        <w:fldChar w:fldCharType="begin"/>
      </w:r>
      <w:r>
        <w:instrText xml:space="preserve"> REF _Ref110804616 \h </w:instrText>
      </w:r>
      <w:r>
        <w:fldChar w:fldCharType="separate"/>
      </w:r>
      <w:r w:rsidR="00D4298A">
        <w:rPr>
          <w:rStyle w:val="Bold"/>
        </w:rPr>
        <w:t xml:space="preserve">Table </w:t>
      </w:r>
      <w:r w:rsidR="00D4298A">
        <w:rPr>
          <w:rStyle w:val="Bold"/>
          <w:noProof/>
        </w:rPr>
        <w:t>4</w:t>
      </w:r>
      <w:r>
        <w:fldChar w:fldCharType="end"/>
      </w:r>
      <w:r>
        <w:t>).</w:t>
      </w:r>
    </w:p>
    <w:p w14:paraId="6109F58C" w14:textId="0A1B7BC8" w:rsidR="000F119C" w:rsidRDefault="000F119C" w:rsidP="000F119C">
      <w:pPr>
        <w:pStyle w:val="Caption"/>
      </w:pPr>
      <w:bookmarkStart w:id="90" w:name="_Ref110804616"/>
      <w:bookmarkStart w:id="91" w:name="_Toc113621691"/>
      <w:bookmarkStart w:id="92" w:name="_Hlk110781907"/>
      <w:r>
        <w:rPr>
          <w:rStyle w:val="Bold"/>
        </w:rPr>
        <w:lastRenderedPageBreak/>
        <w:t xml:space="preserve">Table </w:t>
      </w:r>
      <w:r>
        <w:fldChar w:fldCharType="begin"/>
      </w:r>
      <w:r>
        <w:rPr>
          <w:rStyle w:val="Bold"/>
        </w:rPr>
        <w:instrText xml:space="preserve"> SEQ Table \* ARABIC </w:instrText>
      </w:r>
      <w:r>
        <w:fldChar w:fldCharType="separate"/>
      </w:r>
      <w:r w:rsidR="00D4298A">
        <w:rPr>
          <w:rStyle w:val="Bold"/>
          <w:noProof/>
        </w:rPr>
        <w:t>4</w:t>
      </w:r>
      <w:r>
        <w:fldChar w:fldCharType="end"/>
      </w:r>
      <w:bookmarkEnd w:id="90"/>
      <w:r>
        <w:rPr>
          <w:rStyle w:val="Bold"/>
        </w:rPr>
        <w:t>:</w:t>
      </w:r>
      <w:r>
        <w:t xml:space="preserve"> </w:t>
      </w:r>
      <w:r w:rsidR="0022724B">
        <w:t xml:space="preserve">Commonwealth </w:t>
      </w:r>
      <w:r w:rsidR="005B0D67">
        <w:t xml:space="preserve">southern MDB </w:t>
      </w:r>
      <w:r w:rsidR="0022724B">
        <w:t>s</w:t>
      </w:r>
      <w:r w:rsidR="00E30665">
        <w:t>urface w</w:t>
      </w:r>
      <w:r>
        <w:t>ater recovery methods, by State</w:t>
      </w:r>
      <w:r w:rsidR="000A4342">
        <w:t xml:space="preserve"> (GL LTAAY)</w:t>
      </w:r>
      <w:bookmarkEnd w:id="91"/>
    </w:p>
    <w:tbl>
      <w:tblPr>
        <w:tblStyle w:val="FETableStyle"/>
        <w:tblW w:w="5000" w:type="pct"/>
        <w:tblLayout w:type="fixed"/>
        <w:tblLook w:val="0420" w:firstRow="1" w:lastRow="0" w:firstColumn="0" w:lastColumn="0" w:noHBand="0" w:noVBand="1"/>
      </w:tblPr>
      <w:tblGrid>
        <w:gridCol w:w="2268"/>
        <w:gridCol w:w="1276"/>
        <w:gridCol w:w="1842"/>
        <w:gridCol w:w="1842"/>
        <w:gridCol w:w="1842"/>
      </w:tblGrid>
      <w:tr w:rsidR="000F119C" w14:paraId="3397E4A1" w14:textId="77777777" w:rsidTr="00235CB7">
        <w:trPr>
          <w:cnfStyle w:val="100000000000" w:firstRow="1" w:lastRow="0" w:firstColumn="0" w:lastColumn="0" w:oddVBand="0" w:evenVBand="0" w:oddHBand="0" w:evenHBand="0" w:firstRowFirstColumn="0" w:firstRowLastColumn="0" w:lastRowFirstColumn="0" w:lastRowLastColumn="0"/>
        </w:trPr>
        <w:tc>
          <w:tcPr>
            <w:tcW w:w="2268" w:type="dxa"/>
            <w:tcBorders>
              <w:top w:val="nil"/>
              <w:left w:val="nil"/>
              <w:bottom w:val="nil"/>
              <w:right w:val="nil"/>
            </w:tcBorders>
            <w:noWrap/>
            <w:hideMark/>
          </w:tcPr>
          <w:p w14:paraId="561DEF66" w14:textId="4397C904" w:rsidR="000F119C" w:rsidRDefault="000F119C" w:rsidP="00AE61BE">
            <w:pPr>
              <w:pStyle w:val="TableHeading"/>
              <w:rPr>
                <w:b/>
              </w:rPr>
            </w:pPr>
          </w:p>
        </w:tc>
        <w:tc>
          <w:tcPr>
            <w:tcW w:w="1276" w:type="dxa"/>
            <w:tcBorders>
              <w:top w:val="nil"/>
              <w:left w:val="nil"/>
              <w:bottom w:val="nil"/>
              <w:right w:val="nil"/>
            </w:tcBorders>
            <w:noWrap/>
            <w:hideMark/>
          </w:tcPr>
          <w:p w14:paraId="5575F957" w14:textId="77777777" w:rsidR="000F119C" w:rsidRDefault="000F119C" w:rsidP="00AE61BE">
            <w:pPr>
              <w:pStyle w:val="TableHeading"/>
              <w:jc w:val="right"/>
              <w:rPr>
                <w:b/>
              </w:rPr>
            </w:pPr>
            <w:r>
              <w:rPr>
                <w:b/>
              </w:rPr>
              <w:t>Buyback</w:t>
            </w:r>
          </w:p>
        </w:tc>
        <w:tc>
          <w:tcPr>
            <w:tcW w:w="1842" w:type="dxa"/>
            <w:tcBorders>
              <w:top w:val="nil"/>
              <w:left w:val="nil"/>
              <w:bottom w:val="nil"/>
              <w:right w:val="nil"/>
            </w:tcBorders>
            <w:noWrap/>
            <w:hideMark/>
          </w:tcPr>
          <w:p w14:paraId="29EB5DEA" w14:textId="77777777" w:rsidR="000F119C" w:rsidRDefault="000F119C" w:rsidP="00AE61BE">
            <w:pPr>
              <w:pStyle w:val="TableHeading"/>
              <w:jc w:val="right"/>
              <w:rPr>
                <w:b/>
              </w:rPr>
            </w:pPr>
            <w:r>
              <w:rPr>
                <w:b/>
              </w:rPr>
              <w:t>Infrastructure - On-Farm</w:t>
            </w:r>
          </w:p>
        </w:tc>
        <w:tc>
          <w:tcPr>
            <w:tcW w:w="1842" w:type="dxa"/>
            <w:tcBorders>
              <w:top w:val="nil"/>
              <w:left w:val="nil"/>
              <w:bottom w:val="nil"/>
              <w:right w:val="nil"/>
            </w:tcBorders>
            <w:noWrap/>
            <w:hideMark/>
          </w:tcPr>
          <w:p w14:paraId="457EB5A5" w14:textId="77777777" w:rsidR="000F119C" w:rsidRDefault="000F119C" w:rsidP="00AE61BE">
            <w:pPr>
              <w:pStyle w:val="TableHeading"/>
              <w:jc w:val="right"/>
              <w:rPr>
                <w:b/>
              </w:rPr>
            </w:pPr>
            <w:r>
              <w:rPr>
                <w:b/>
              </w:rPr>
              <w:t>Infrastructure - Off-Farm</w:t>
            </w:r>
          </w:p>
        </w:tc>
        <w:tc>
          <w:tcPr>
            <w:tcW w:w="1842" w:type="dxa"/>
            <w:tcBorders>
              <w:top w:val="nil"/>
              <w:left w:val="nil"/>
              <w:bottom w:val="nil"/>
              <w:right w:val="nil"/>
            </w:tcBorders>
            <w:noWrap/>
            <w:hideMark/>
          </w:tcPr>
          <w:p w14:paraId="290B5A67" w14:textId="77777777" w:rsidR="000F119C" w:rsidRDefault="000F119C" w:rsidP="00AE61BE">
            <w:pPr>
              <w:pStyle w:val="TableHeading"/>
              <w:jc w:val="right"/>
              <w:rPr>
                <w:b/>
              </w:rPr>
            </w:pPr>
            <w:r>
              <w:rPr>
                <w:b/>
              </w:rPr>
              <w:t>Infrastructure – Other*</w:t>
            </w:r>
          </w:p>
        </w:tc>
      </w:tr>
      <w:tr w:rsidR="000F119C" w14:paraId="209F830C" w14:textId="77777777" w:rsidTr="00235CB7">
        <w:trPr>
          <w:cnfStyle w:val="000000100000" w:firstRow="0" w:lastRow="0" w:firstColumn="0" w:lastColumn="0" w:oddVBand="0" w:evenVBand="0" w:oddHBand="1" w:evenHBand="0" w:firstRowFirstColumn="0" w:firstRowLastColumn="0" w:lastRowFirstColumn="0" w:lastRowLastColumn="0"/>
        </w:trPr>
        <w:tc>
          <w:tcPr>
            <w:tcW w:w="2268" w:type="dxa"/>
            <w:noWrap/>
            <w:vAlign w:val="top"/>
            <w:hideMark/>
          </w:tcPr>
          <w:p w14:paraId="652ACBB4" w14:textId="27B45CDA" w:rsidR="000F119C" w:rsidRDefault="000F119C" w:rsidP="000F119C">
            <w:pPr>
              <w:pStyle w:val="TableText"/>
            </w:pPr>
            <w:r w:rsidRPr="005B3CB9">
              <w:t>NSW</w:t>
            </w:r>
          </w:p>
        </w:tc>
        <w:tc>
          <w:tcPr>
            <w:tcW w:w="1276" w:type="dxa"/>
            <w:noWrap/>
            <w:vAlign w:val="top"/>
            <w:hideMark/>
          </w:tcPr>
          <w:p w14:paraId="35D5A2B7" w14:textId="311AC344" w:rsidR="000F119C" w:rsidRDefault="000F119C" w:rsidP="000F119C">
            <w:pPr>
              <w:pStyle w:val="TableText"/>
              <w:jc w:val="right"/>
            </w:pPr>
            <w:r w:rsidRPr="005B3CB9">
              <w:t>348.5</w:t>
            </w:r>
          </w:p>
        </w:tc>
        <w:tc>
          <w:tcPr>
            <w:tcW w:w="1842" w:type="dxa"/>
            <w:noWrap/>
            <w:vAlign w:val="top"/>
            <w:hideMark/>
          </w:tcPr>
          <w:p w14:paraId="5FD016A7" w14:textId="2AD104DA" w:rsidR="000F119C" w:rsidRDefault="000F119C" w:rsidP="000F119C">
            <w:pPr>
              <w:pStyle w:val="TableText"/>
              <w:jc w:val="right"/>
            </w:pPr>
            <w:r w:rsidRPr="005B3CB9">
              <w:t>99.0</w:t>
            </w:r>
          </w:p>
        </w:tc>
        <w:tc>
          <w:tcPr>
            <w:tcW w:w="1842" w:type="dxa"/>
            <w:noWrap/>
            <w:vAlign w:val="top"/>
            <w:hideMark/>
          </w:tcPr>
          <w:p w14:paraId="4D01EC25" w14:textId="22DC28AE" w:rsidR="000F119C" w:rsidRDefault="000F119C" w:rsidP="000F119C">
            <w:pPr>
              <w:pStyle w:val="TableText"/>
              <w:jc w:val="right"/>
            </w:pPr>
            <w:r w:rsidRPr="005B3CB9">
              <w:t>110.9</w:t>
            </w:r>
          </w:p>
        </w:tc>
        <w:tc>
          <w:tcPr>
            <w:tcW w:w="1842" w:type="dxa"/>
            <w:noWrap/>
            <w:vAlign w:val="top"/>
            <w:hideMark/>
          </w:tcPr>
          <w:p w14:paraId="5DCD1B5C" w14:textId="67EF3945" w:rsidR="000F119C" w:rsidRDefault="000F119C" w:rsidP="000F119C">
            <w:pPr>
              <w:pStyle w:val="TableText"/>
              <w:jc w:val="right"/>
            </w:pPr>
            <w:r w:rsidRPr="005B3CB9">
              <w:t>1</w:t>
            </w:r>
            <w:r w:rsidR="00E30665">
              <w:t>73</w:t>
            </w:r>
            <w:r w:rsidRPr="005B3CB9">
              <w:t>.</w:t>
            </w:r>
            <w:r w:rsidR="00E30665">
              <w:t>7</w:t>
            </w:r>
          </w:p>
        </w:tc>
      </w:tr>
      <w:tr w:rsidR="000F119C" w14:paraId="2D8DB0C8" w14:textId="77777777" w:rsidTr="00235CB7">
        <w:trPr>
          <w:cnfStyle w:val="000000010000" w:firstRow="0" w:lastRow="0" w:firstColumn="0" w:lastColumn="0" w:oddVBand="0" w:evenVBand="0" w:oddHBand="0" w:evenHBand="1" w:firstRowFirstColumn="0" w:firstRowLastColumn="0" w:lastRowFirstColumn="0" w:lastRowLastColumn="0"/>
        </w:trPr>
        <w:tc>
          <w:tcPr>
            <w:tcW w:w="2268" w:type="dxa"/>
            <w:tcBorders>
              <w:top w:val="nil"/>
              <w:left w:val="nil"/>
              <w:right w:val="nil"/>
            </w:tcBorders>
            <w:noWrap/>
            <w:vAlign w:val="top"/>
          </w:tcPr>
          <w:p w14:paraId="124257EA" w14:textId="1DF3AD75" w:rsidR="000F119C" w:rsidRDefault="000F119C" w:rsidP="000F119C">
            <w:pPr>
              <w:pStyle w:val="TableText"/>
            </w:pPr>
            <w:r w:rsidRPr="005B3CB9">
              <w:t>VIC</w:t>
            </w:r>
            <w:r w:rsidR="00CC3E06">
              <w:t>^</w:t>
            </w:r>
          </w:p>
        </w:tc>
        <w:tc>
          <w:tcPr>
            <w:tcW w:w="1276" w:type="dxa"/>
            <w:tcBorders>
              <w:top w:val="nil"/>
              <w:left w:val="nil"/>
              <w:right w:val="nil"/>
            </w:tcBorders>
            <w:noWrap/>
            <w:vAlign w:val="top"/>
          </w:tcPr>
          <w:p w14:paraId="16335991" w14:textId="2928AAC1" w:rsidR="000F119C" w:rsidRDefault="000F119C" w:rsidP="000F119C">
            <w:pPr>
              <w:pStyle w:val="TableText"/>
              <w:jc w:val="right"/>
            </w:pPr>
            <w:r w:rsidRPr="005B3CB9">
              <w:t>529.5</w:t>
            </w:r>
          </w:p>
        </w:tc>
        <w:tc>
          <w:tcPr>
            <w:tcW w:w="1842" w:type="dxa"/>
            <w:tcBorders>
              <w:top w:val="nil"/>
              <w:left w:val="nil"/>
              <w:right w:val="nil"/>
            </w:tcBorders>
            <w:noWrap/>
            <w:vAlign w:val="top"/>
          </w:tcPr>
          <w:p w14:paraId="4AFFD3EF" w14:textId="182B833C" w:rsidR="000F119C" w:rsidRDefault="000F119C" w:rsidP="000F119C">
            <w:pPr>
              <w:pStyle w:val="TableText"/>
              <w:jc w:val="right"/>
            </w:pPr>
            <w:r w:rsidRPr="005B3CB9">
              <w:t>70.0</w:t>
            </w:r>
          </w:p>
        </w:tc>
        <w:tc>
          <w:tcPr>
            <w:tcW w:w="1842" w:type="dxa"/>
            <w:tcBorders>
              <w:top w:val="nil"/>
              <w:left w:val="nil"/>
              <w:right w:val="nil"/>
            </w:tcBorders>
            <w:noWrap/>
            <w:vAlign w:val="top"/>
          </w:tcPr>
          <w:p w14:paraId="537263DF" w14:textId="58565575" w:rsidR="000F119C" w:rsidRDefault="000F119C" w:rsidP="000F119C">
            <w:pPr>
              <w:pStyle w:val="TableText"/>
              <w:jc w:val="right"/>
            </w:pPr>
            <w:r w:rsidRPr="005B3CB9">
              <w:t>113.6</w:t>
            </w:r>
          </w:p>
        </w:tc>
        <w:tc>
          <w:tcPr>
            <w:tcW w:w="1842" w:type="dxa"/>
            <w:tcBorders>
              <w:top w:val="nil"/>
              <w:left w:val="nil"/>
              <w:right w:val="nil"/>
            </w:tcBorders>
            <w:noWrap/>
            <w:vAlign w:val="top"/>
          </w:tcPr>
          <w:p w14:paraId="666E3900" w14:textId="03196058" w:rsidR="000F119C" w:rsidRDefault="000F119C" w:rsidP="000F119C">
            <w:pPr>
              <w:pStyle w:val="TableText"/>
              <w:jc w:val="right"/>
            </w:pPr>
            <w:r w:rsidRPr="005B3CB9">
              <w:t>0.0</w:t>
            </w:r>
          </w:p>
        </w:tc>
      </w:tr>
      <w:tr w:rsidR="000F119C" w14:paraId="5B32C363" w14:textId="77777777" w:rsidTr="00235CB7">
        <w:trPr>
          <w:cnfStyle w:val="000000100000" w:firstRow="0" w:lastRow="0" w:firstColumn="0" w:lastColumn="0" w:oddVBand="0" w:evenVBand="0" w:oddHBand="1" w:evenHBand="0" w:firstRowFirstColumn="0" w:firstRowLastColumn="0" w:lastRowFirstColumn="0" w:lastRowLastColumn="0"/>
        </w:trPr>
        <w:tc>
          <w:tcPr>
            <w:tcW w:w="2268" w:type="dxa"/>
            <w:noWrap/>
            <w:vAlign w:val="top"/>
            <w:hideMark/>
          </w:tcPr>
          <w:p w14:paraId="2273290B" w14:textId="167C78A9" w:rsidR="000F119C" w:rsidRDefault="000F119C" w:rsidP="000F119C">
            <w:pPr>
              <w:pStyle w:val="TableText"/>
            </w:pPr>
            <w:r w:rsidRPr="005B3CB9">
              <w:t>SA</w:t>
            </w:r>
          </w:p>
        </w:tc>
        <w:tc>
          <w:tcPr>
            <w:tcW w:w="1276" w:type="dxa"/>
            <w:noWrap/>
            <w:vAlign w:val="top"/>
            <w:hideMark/>
          </w:tcPr>
          <w:p w14:paraId="36FA61FD" w14:textId="31A79D83" w:rsidR="000F119C" w:rsidRDefault="000F119C" w:rsidP="000F119C">
            <w:pPr>
              <w:pStyle w:val="TableText"/>
              <w:jc w:val="right"/>
            </w:pPr>
            <w:r w:rsidRPr="005B3CB9">
              <w:t>87.4</w:t>
            </w:r>
          </w:p>
        </w:tc>
        <w:tc>
          <w:tcPr>
            <w:tcW w:w="1842" w:type="dxa"/>
            <w:noWrap/>
            <w:vAlign w:val="top"/>
            <w:hideMark/>
          </w:tcPr>
          <w:p w14:paraId="3E8DFC54" w14:textId="24E91611" w:rsidR="000F119C" w:rsidRDefault="000F119C" w:rsidP="000F119C">
            <w:pPr>
              <w:pStyle w:val="TableText"/>
              <w:jc w:val="right"/>
            </w:pPr>
            <w:r w:rsidRPr="005B3CB9">
              <w:t>46.7</w:t>
            </w:r>
          </w:p>
        </w:tc>
        <w:tc>
          <w:tcPr>
            <w:tcW w:w="1842" w:type="dxa"/>
            <w:noWrap/>
            <w:vAlign w:val="top"/>
            <w:hideMark/>
          </w:tcPr>
          <w:p w14:paraId="6815FF0D" w14:textId="32D041B6" w:rsidR="000F119C" w:rsidRDefault="000F119C" w:rsidP="000F119C">
            <w:pPr>
              <w:pStyle w:val="TableText"/>
              <w:jc w:val="right"/>
            </w:pPr>
            <w:r w:rsidRPr="005B3CB9">
              <w:t>2.7</w:t>
            </w:r>
          </w:p>
        </w:tc>
        <w:tc>
          <w:tcPr>
            <w:tcW w:w="1842" w:type="dxa"/>
            <w:noWrap/>
            <w:vAlign w:val="top"/>
            <w:hideMark/>
          </w:tcPr>
          <w:p w14:paraId="2EE67C13" w14:textId="12A80BA0" w:rsidR="000F119C" w:rsidRDefault="000F119C" w:rsidP="000F119C">
            <w:pPr>
              <w:pStyle w:val="TableText"/>
              <w:jc w:val="right"/>
            </w:pPr>
            <w:r w:rsidRPr="005B3CB9">
              <w:t>7.2</w:t>
            </w:r>
          </w:p>
        </w:tc>
      </w:tr>
      <w:tr w:rsidR="00235CB7" w14:paraId="03659F83" w14:textId="77777777" w:rsidTr="00235CB7">
        <w:trPr>
          <w:cnfStyle w:val="000000010000" w:firstRow="0" w:lastRow="0" w:firstColumn="0" w:lastColumn="0" w:oddVBand="0" w:evenVBand="0" w:oddHBand="0" w:evenHBand="1" w:firstRowFirstColumn="0" w:firstRowLastColumn="0" w:lastRowFirstColumn="0" w:lastRowLastColumn="0"/>
        </w:trPr>
        <w:tc>
          <w:tcPr>
            <w:tcW w:w="2268" w:type="dxa"/>
            <w:tcBorders>
              <w:top w:val="nil"/>
              <w:left w:val="nil"/>
              <w:right w:val="nil"/>
            </w:tcBorders>
            <w:noWrap/>
            <w:vAlign w:val="top"/>
            <w:hideMark/>
          </w:tcPr>
          <w:p w14:paraId="25714921" w14:textId="559155DC" w:rsidR="00235CB7" w:rsidRDefault="00235CB7" w:rsidP="00235CB7">
            <w:pPr>
              <w:pStyle w:val="TableText"/>
              <w:rPr>
                <w:b/>
                <w:bCs/>
              </w:rPr>
            </w:pPr>
            <w:r>
              <w:rPr>
                <w:b/>
                <w:bCs/>
              </w:rPr>
              <w:t>Total southern MDB</w:t>
            </w:r>
          </w:p>
        </w:tc>
        <w:tc>
          <w:tcPr>
            <w:tcW w:w="1276" w:type="dxa"/>
            <w:tcBorders>
              <w:top w:val="nil"/>
              <w:left w:val="nil"/>
              <w:right w:val="nil"/>
            </w:tcBorders>
            <w:noWrap/>
            <w:vAlign w:val="top"/>
            <w:hideMark/>
          </w:tcPr>
          <w:p w14:paraId="060F4943" w14:textId="3F83E7DF" w:rsidR="00235CB7" w:rsidRPr="00235CB7" w:rsidRDefault="00235CB7" w:rsidP="00235CB7">
            <w:pPr>
              <w:pStyle w:val="TableText"/>
              <w:jc w:val="right"/>
              <w:rPr>
                <w:b/>
                <w:bCs/>
              </w:rPr>
            </w:pPr>
            <w:r w:rsidRPr="00235CB7">
              <w:rPr>
                <w:b/>
                <w:bCs/>
              </w:rPr>
              <w:t>965.4</w:t>
            </w:r>
          </w:p>
        </w:tc>
        <w:tc>
          <w:tcPr>
            <w:tcW w:w="1842" w:type="dxa"/>
            <w:tcBorders>
              <w:top w:val="nil"/>
              <w:left w:val="nil"/>
              <w:right w:val="nil"/>
            </w:tcBorders>
            <w:noWrap/>
            <w:vAlign w:val="top"/>
            <w:hideMark/>
          </w:tcPr>
          <w:p w14:paraId="137A53C1" w14:textId="6F35D223" w:rsidR="00235CB7" w:rsidRPr="00235CB7" w:rsidRDefault="00235CB7" w:rsidP="00235CB7">
            <w:pPr>
              <w:pStyle w:val="TableText"/>
              <w:jc w:val="right"/>
              <w:rPr>
                <w:b/>
                <w:bCs/>
              </w:rPr>
            </w:pPr>
            <w:r w:rsidRPr="00235CB7">
              <w:rPr>
                <w:b/>
                <w:bCs/>
              </w:rPr>
              <w:t>215.6</w:t>
            </w:r>
          </w:p>
        </w:tc>
        <w:tc>
          <w:tcPr>
            <w:tcW w:w="1842" w:type="dxa"/>
            <w:tcBorders>
              <w:top w:val="nil"/>
              <w:left w:val="nil"/>
              <w:right w:val="nil"/>
            </w:tcBorders>
            <w:noWrap/>
            <w:vAlign w:val="top"/>
            <w:hideMark/>
          </w:tcPr>
          <w:p w14:paraId="56EBC05E" w14:textId="5E2E7520" w:rsidR="00235CB7" w:rsidRPr="00235CB7" w:rsidRDefault="00235CB7" w:rsidP="00235CB7">
            <w:pPr>
              <w:pStyle w:val="TableText"/>
              <w:jc w:val="right"/>
              <w:rPr>
                <w:b/>
                <w:bCs/>
              </w:rPr>
            </w:pPr>
            <w:r w:rsidRPr="00235CB7">
              <w:rPr>
                <w:b/>
                <w:bCs/>
              </w:rPr>
              <w:t>227.2</w:t>
            </w:r>
          </w:p>
        </w:tc>
        <w:tc>
          <w:tcPr>
            <w:tcW w:w="1842" w:type="dxa"/>
            <w:tcBorders>
              <w:top w:val="nil"/>
              <w:left w:val="nil"/>
              <w:right w:val="nil"/>
            </w:tcBorders>
            <w:noWrap/>
            <w:vAlign w:val="top"/>
            <w:hideMark/>
          </w:tcPr>
          <w:p w14:paraId="2D3FCB43" w14:textId="3C5AA171" w:rsidR="00235CB7" w:rsidRPr="00235CB7" w:rsidRDefault="00235CB7" w:rsidP="00235CB7">
            <w:pPr>
              <w:pStyle w:val="TableText"/>
              <w:jc w:val="right"/>
              <w:rPr>
                <w:b/>
                <w:bCs/>
              </w:rPr>
            </w:pPr>
            <w:r w:rsidRPr="00235CB7">
              <w:rPr>
                <w:b/>
                <w:bCs/>
              </w:rPr>
              <w:t>18</w:t>
            </w:r>
            <w:r w:rsidR="0022724B">
              <w:rPr>
                <w:b/>
                <w:bCs/>
              </w:rPr>
              <w:t>1</w:t>
            </w:r>
            <w:r w:rsidRPr="00235CB7">
              <w:rPr>
                <w:b/>
                <w:bCs/>
              </w:rPr>
              <w:t>.</w:t>
            </w:r>
            <w:r w:rsidR="0022724B">
              <w:rPr>
                <w:b/>
                <w:bCs/>
              </w:rPr>
              <w:t>0</w:t>
            </w:r>
          </w:p>
        </w:tc>
      </w:tr>
    </w:tbl>
    <w:p w14:paraId="7A6ED74F" w14:textId="0226D6E2" w:rsidR="000F119C" w:rsidRDefault="000F119C" w:rsidP="00A2153D">
      <w:pPr>
        <w:pStyle w:val="BodyText"/>
      </w:pPr>
      <w:r>
        <w:rPr>
          <w:i/>
          <w:color w:val="9BA1A5"/>
          <w:sz w:val="16"/>
          <w:szCs w:val="16"/>
        </w:rPr>
        <w:t>Note: Data to 31 May 2022. * ‘Other Infrastructure’ includes Nimmie-Caira recovery due to its unique entitlement properties. It also includes non-gap bridging recovery including groundwater in NSW, and Wetlands (Class 9) entitlements in SA.</w:t>
      </w:r>
      <w:r w:rsidR="00CC3E06">
        <w:rPr>
          <w:i/>
          <w:color w:val="9BA1A5"/>
          <w:sz w:val="16"/>
          <w:szCs w:val="16"/>
        </w:rPr>
        <w:t xml:space="preserve"> ^ </w:t>
      </w:r>
      <w:r w:rsidR="00CF2DEC" w:rsidRPr="00CF2DEC">
        <w:rPr>
          <w:i/>
          <w:color w:val="9BA1A5"/>
          <w:sz w:val="16"/>
          <w:szCs w:val="16"/>
        </w:rPr>
        <w:t xml:space="preserve">Connections stage 2 </w:t>
      </w:r>
      <w:r w:rsidR="00595CE8">
        <w:rPr>
          <w:i/>
          <w:color w:val="9BA1A5"/>
          <w:sz w:val="16"/>
          <w:szCs w:val="16"/>
        </w:rPr>
        <w:t>contributed</w:t>
      </w:r>
      <w:r w:rsidR="00CF2DEC" w:rsidRPr="00CF2DEC">
        <w:rPr>
          <w:i/>
          <w:color w:val="9BA1A5"/>
          <w:sz w:val="16"/>
          <w:szCs w:val="16"/>
        </w:rPr>
        <w:t xml:space="preserve"> 211.8 GL </w:t>
      </w:r>
      <w:r w:rsidR="00595CE8">
        <w:rPr>
          <w:i/>
          <w:color w:val="9BA1A5"/>
          <w:sz w:val="16"/>
          <w:szCs w:val="16"/>
        </w:rPr>
        <w:t>to Commonwealth</w:t>
      </w:r>
      <w:r w:rsidR="00CF2DEC" w:rsidRPr="00CF2DEC">
        <w:rPr>
          <w:i/>
          <w:color w:val="9BA1A5"/>
          <w:sz w:val="16"/>
          <w:szCs w:val="16"/>
        </w:rPr>
        <w:t xml:space="preserve"> water recovery (105.4 GL of which </w:t>
      </w:r>
      <w:r w:rsidR="00A53D45">
        <w:rPr>
          <w:i/>
          <w:color w:val="9BA1A5"/>
          <w:sz w:val="16"/>
          <w:szCs w:val="16"/>
        </w:rPr>
        <w:t xml:space="preserve">the </w:t>
      </w:r>
      <w:r w:rsidR="00CF2DEC" w:rsidRPr="00CF2DEC">
        <w:rPr>
          <w:i/>
          <w:color w:val="9BA1A5"/>
          <w:sz w:val="16"/>
          <w:szCs w:val="16"/>
        </w:rPr>
        <w:t>C</w:t>
      </w:r>
      <w:r w:rsidR="00A53D45">
        <w:rPr>
          <w:i/>
          <w:color w:val="9BA1A5"/>
          <w:sz w:val="16"/>
          <w:szCs w:val="16"/>
        </w:rPr>
        <w:t>ommonweal</w:t>
      </w:r>
      <w:r w:rsidR="00CF2DEC" w:rsidRPr="00CF2DEC">
        <w:rPr>
          <w:i/>
          <w:color w:val="9BA1A5"/>
          <w:sz w:val="16"/>
          <w:szCs w:val="16"/>
        </w:rPr>
        <w:t>th has reported as ‘Purchase’ rather than ‘Infrastructure’)</w:t>
      </w:r>
      <w:r w:rsidR="00906017">
        <w:rPr>
          <w:i/>
          <w:color w:val="9BA1A5"/>
          <w:sz w:val="16"/>
          <w:szCs w:val="16"/>
        </w:rPr>
        <w:t xml:space="preserve">. </w:t>
      </w:r>
      <w:r w:rsidR="00906017" w:rsidRPr="00906017">
        <w:rPr>
          <w:i/>
          <w:color w:val="9BA1A5"/>
          <w:sz w:val="16"/>
          <w:szCs w:val="16"/>
        </w:rPr>
        <w:t xml:space="preserve">Table does not include water recovery from the Connections Project </w:t>
      </w:r>
      <w:r w:rsidR="00906017">
        <w:rPr>
          <w:i/>
          <w:color w:val="9BA1A5"/>
          <w:sz w:val="16"/>
          <w:szCs w:val="16"/>
        </w:rPr>
        <w:t>provided</w:t>
      </w:r>
      <w:r w:rsidR="00906017" w:rsidRPr="00906017">
        <w:rPr>
          <w:i/>
          <w:color w:val="9BA1A5"/>
          <w:sz w:val="16"/>
          <w:szCs w:val="16"/>
        </w:rPr>
        <w:t xml:space="preserve"> to the Victorian Environmental Water Holder (VEWH)</w:t>
      </w:r>
      <w:r w:rsidR="00906017">
        <w:rPr>
          <w:i/>
          <w:color w:val="9BA1A5"/>
          <w:sz w:val="16"/>
          <w:szCs w:val="16"/>
        </w:rPr>
        <w:t>.</w:t>
      </w:r>
      <w:r w:rsidR="00CC3E06">
        <w:rPr>
          <w:i/>
          <w:color w:val="9BA1A5"/>
          <w:sz w:val="16"/>
          <w:szCs w:val="16"/>
        </w:rPr>
        <w:t>.</w:t>
      </w:r>
      <w:r w:rsidR="00E75AEA">
        <w:rPr>
          <w:i/>
          <w:color w:val="9BA1A5"/>
          <w:sz w:val="16"/>
          <w:szCs w:val="16"/>
        </w:rPr>
        <w:br/>
        <w:t>Source: DCCEEW internal database, as at 25 July 2022.</w:t>
      </w:r>
    </w:p>
    <w:bookmarkEnd w:id="92"/>
    <w:p w14:paraId="5CF04520" w14:textId="5ED8ECB8" w:rsidR="0026232B" w:rsidRDefault="008D4CC4" w:rsidP="00A2153D">
      <w:pPr>
        <w:pStyle w:val="BodyText"/>
      </w:pPr>
      <w:r>
        <w:t>To date, on-farm water recovery has been used to provide an annual average of more than 215GL in the southern MDB — which is 14% of all water recovery. The proportional role of on-farm projects in water recovery differs between States, with 10% in Victoria, 13% in NSW and 32% in SA</w:t>
      </w:r>
      <w:r w:rsidR="000A4342">
        <w:t xml:space="preserve"> (</w:t>
      </w:r>
      <w:r w:rsidR="000A4342">
        <w:fldChar w:fldCharType="begin"/>
      </w:r>
      <w:r w:rsidR="000A4342">
        <w:instrText xml:space="preserve"> REF _Ref110782002 \h </w:instrText>
      </w:r>
      <w:r w:rsidR="000A4342">
        <w:fldChar w:fldCharType="separate"/>
      </w:r>
      <w:r w:rsidR="00D4298A">
        <w:rPr>
          <w:rStyle w:val="Bold"/>
        </w:rPr>
        <w:t xml:space="preserve">Table </w:t>
      </w:r>
      <w:r w:rsidR="00D4298A">
        <w:rPr>
          <w:rStyle w:val="Bold"/>
          <w:noProof/>
        </w:rPr>
        <w:t>5</w:t>
      </w:r>
      <w:r w:rsidR="000A4342">
        <w:fldChar w:fldCharType="end"/>
      </w:r>
      <w:r w:rsidR="000A4342">
        <w:t>).</w:t>
      </w:r>
    </w:p>
    <w:p w14:paraId="360070B7" w14:textId="5C8C5D21" w:rsidR="000A4342" w:rsidRDefault="000A4342" w:rsidP="000A4342">
      <w:pPr>
        <w:pStyle w:val="Caption"/>
      </w:pPr>
      <w:bookmarkStart w:id="93" w:name="_Ref110782002"/>
      <w:bookmarkStart w:id="94" w:name="_Toc113621692"/>
      <w:r>
        <w:rPr>
          <w:rStyle w:val="Bold"/>
        </w:rPr>
        <w:t xml:space="preserve">Table </w:t>
      </w:r>
      <w:r>
        <w:fldChar w:fldCharType="begin"/>
      </w:r>
      <w:r>
        <w:rPr>
          <w:rStyle w:val="Bold"/>
        </w:rPr>
        <w:instrText xml:space="preserve"> SEQ Table \* ARABIC </w:instrText>
      </w:r>
      <w:r>
        <w:fldChar w:fldCharType="separate"/>
      </w:r>
      <w:r w:rsidR="00D4298A">
        <w:rPr>
          <w:rStyle w:val="Bold"/>
          <w:noProof/>
        </w:rPr>
        <w:t>5</w:t>
      </w:r>
      <w:r>
        <w:fldChar w:fldCharType="end"/>
      </w:r>
      <w:bookmarkEnd w:id="93"/>
      <w:r>
        <w:rPr>
          <w:rStyle w:val="Bold"/>
        </w:rPr>
        <w:t>:</w:t>
      </w:r>
      <w:r>
        <w:t xml:space="preserve"> </w:t>
      </w:r>
      <w:r w:rsidR="00A2606A">
        <w:t xml:space="preserve">Commonwealth </w:t>
      </w:r>
      <w:r w:rsidR="004D75AA">
        <w:t xml:space="preserve">southern MDB </w:t>
      </w:r>
      <w:r w:rsidR="00A2606A">
        <w:t>surface water recovery methods</w:t>
      </w:r>
      <w:r>
        <w:t>, proportion of State LTAAY</w:t>
      </w:r>
      <w:bookmarkEnd w:id="94"/>
    </w:p>
    <w:tbl>
      <w:tblPr>
        <w:tblStyle w:val="FETableStyle"/>
        <w:tblW w:w="5000" w:type="pct"/>
        <w:tblLayout w:type="fixed"/>
        <w:tblLook w:val="0420" w:firstRow="1" w:lastRow="0" w:firstColumn="0" w:lastColumn="0" w:noHBand="0" w:noVBand="1"/>
      </w:tblPr>
      <w:tblGrid>
        <w:gridCol w:w="2127"/>
        <w:gridCol w:w="1161"/>
        <w:gridCol w:w="1927"/>
        <w:gridCol w:w="1927"/>
        <w:gridCol w:w="1928"/>
      </w:tblGrid>
      <w:tr w:rsidR="000A4342" w14:paraId="47B94E4E" w14:textId="77777777" w:rsidTr="00235CB7">
        <w:trPr>
          <w:cnfStyle w:val="100000000000" w:firstRow="1" w:lastRow="0" w:firstColumn="0" w:lastColumn="0" w:oddVBand="0" w:evenVBand="0" w:oddHBand="0" w:evenHBand="0" w:firstRowFirstColumn="0" w:firstRowLastColumn="0" w:lastRowFirstColumn="0" w:lastRowLastColumn="0"/>
        </w:trPr>
        <w:tc>
          <w:tcPr>
            <w:tcW w:w="2127" w:type="dxa"/>
            <w:tcBorders>
              <w:top w:val="nil"/>
              <w:left w:val="nil"/>
              <w:bottom w:val="nil"/>
              <w:right w:val="nil"/>
            </w:tcBorders>
            <w:noWrap/>
            <w:hideMark/>
          </w:tcPr>
          <w:p w14:paraId="49F0EF80" w14:textId="3EABC3F9" w:rsidR="000A4342" w:rsidRDefault="00235CB7" w:rsidP="00AE61BE">
            <w:pPr>
              <w:pStyle w:val="TableHeading"/>
              <w:rPr>
                <w:b/>
              </w:rPr>
            </w:pPr>
            <w:r>
              <w:rPr>
                <w:b/>
              </w:rPr>
              <w:t>Region</w:t>
            </w:r>
          </w:p>
        </w:tc>
        <w:tc>
          <w:tcPr>
            <w:tcW w:w="1161" w:type="dxa"/>
            <w:tcBorders>
              <w:top w:val="nil"/>
              <w:left w:val="nil"/>
              <w:bottom w:val="nil"/>
              <w:right w:val="nil"/>
            </w:tcBorders>
            <w:noWrap/>
            <w:hideMark/>
          </w:tcPr>
          <w:p w14:paraId="3B20E53B" w14:textId="77777777" w:rsidR="000A4342" w:rsidRDefault="000A4342" w:rsidP="00AE61BE">
            <w:pPr>
              <w:pStyle w:val="TableHeading"/>
              <w:jc w:val="right"/>
              <w:rPr>
                <w:b/>
              </w:rPr>
            </w:pPr>
            <w:r>
              <w:rPr>
                <w:b/>
              </w:rPr>
              <w:t>Buyback</w:t>
            </w:r>
          </w:p>
        </w:tc>
        <w:tc>
          <w:tcPr>
            <w:tcW w:w="1927" w:type="dxa"/>
            <w:tcBorders>
              <w:top w:val="nil"/>
              <w:left w:val="nil"/>
              <w:bottom w:val="nil"/>
              <w:right w:val="nil"/>
            </w:tcBorders>
            <w:noWrap/>
            <w:hideMark/>
          </w:tcPr>
          <w:p w14:paraId="7806D934" w14:textId="77777777" w:rsidR="000A4342" w:rsidRDefault="000A4342" w:rsidP="00AE61BE">
            <w:pPr>
              <w:pStyle w:val="TableHeading"/>
              <w:jc w:val="right"/>
              <w:rPr>
                <w:b/>
              </w:rPr>
            </w:pPr>
            <w:r>
              <w:rPr>
                <w:b/>
              </w:rPr>
              <w:t>Infrastructure - On-Farm</w:t>
            </w:r>
          </w:p>
        </w:tc>
        <w:tc>
          <w:tcPr>
            <w:tcW w:w="1927" w:type="dxa"/>
            <w:tcBorders>
              <w:top w:val="nil"/>
              <w:left w:val="nil"/>
              <w:bottom w:val="nil"/>
              <w:right w:val="nil"/>
            </w:tcBorders>
            <w:noWrap/>
            <w:hideMark/>
          </w:tcPr>
          <w:p w14:paraId="39C798C0" w14:textId="77777777" w:rsidR="000A4342" w:rsidRDefault="000A4342" w:rsidP="00AE61BE">
            <w:pPr>
              <w:pStyle w:val="TableHeading"/>
              <w:jc w:val="right"/>
              <w:rPr>
                <w:b/>
              </w:rPr>
            </w:pPr>
            <w:r>
              <w:rPr>
                <w:b/>
              </w:rPr>
              <w:t>Infrastructure - Off-Farm</w:t>
            </w:r>
          </w:p>
        </w:tc>
        <w:tc>
          <w:tcPr>
            <w:tcW w:w="1928" w:type="dxa"/>
            <w:tcBorders>
              <w:top w:val="nil"/>
              <w:left w:val="nil"/>
              <w:bottom w:val="nil"/>
              <w:right w:val="nil"/>
            </w:tcBorders>
            <w:noWrap/>
            <w:hideMark/>
          </w:tcPr>
          <w:p w14:paraId="393BD724" w14:textId="77777777" w:rsidR="000A4342" w:rsidRDefault="000A4342" w:rsidP="00AE61BE">
            <w:pPr>
              <w:pStyle w:val="TableHeading"/>
              <w:jc w:val="right"/>
              <w:rPr>
                <w:b/>
              </w:rPr>
            </w:pPr>
            <w:r>
              <w:rPr>
                <w:b/>
              </w:rPr>
              <w:t>Infrastructure – Other*</w:t>
            </w:r>
          </w:p>
        </w:tc>
      </w:tr>
      <w:tr w:rsidR="000A4342" w14:paraId="3B826854" w14:textId="77777777" w:rsidTr="00235CB7">
        <w:trPr>
          <w:cnfStyle w:val="000000100000" w:firstRow="0" w:lastRow="0" w:firstColumn="0" w:lastColumn="0" w:oddVBand="0" w:evenVBand="0" w:oddHBand="1" w:evenHBand="0" w:firstRowFirstColumn="0" w:firstRowLastColumn="0" w:lastRowFirstColumn="0" w:lastRowLastColumn="0"/>
        </w:trPr>
        <w:tc>
          <w:tcPr>
            <w:tcW w:w="2127" w:type="dxa"/>
            <w:noWrap/>
            <w:vAlign w:val="top"/>
            <w:hideMark/>
          </w:tcPr>
          <w:p w14:paraId="2AFDD217" w14:textId="77777777" w:rsidR="000A4342" w:rsidRDefault="000A4342" w:rsidP="000A4342">
            <w:pPr>
              <w:pStyle w:val="TableText"/>
            </w:pPr>
            <w:r w:rsidRPr="005B3CB9">
              <w:t>NSW</w:t>
            </w:r>
          </w:p>
        </w:tc>
        <w:tc>
          <w:tcPr>
            <w:tcW w:w="1161" w:type="dxa"/>
            <w:noWrap/>
            <w:vAlign w:val="top"/>
            <w:hideMark/>
          </w:tcPr>
          <w:p w14:paraId="66718855" w14:textId="1DB1CA71" w:rsidR="000A4342" w:rsidRDefault="000A4342" w:rsidP="000A4342">
            <w:pPr>
              <w:pStyle w:val="TableText"/>
              <w:jc w:val="right"/>
            </w:pPr>
            <w:r w:rsidRPr="00251BF7">
              <w:t>4</w:t>
            </w:r>
            <w:r w:rsidR="00A2606A">
              <w:t>8</w:t>
            </w:r>
            <w:r w:rsidRPr="00251BF7">
              <w:t>%</w:t>
            </w:r>
          </w:p>
        </w:tc>
        <w:tc>
          <w:tcPr>
            <w:tcW w:w="1927" w:type="dxa"/>
            <w:noWrap/>
            <w:vAlign w:val="top"/>
            <w:hideMark/>
          </w:tcPr>
          <w:p w14:paraId="2C8805C3" w14:textId="26FF9688" w:rsidR="000A4342" w:rsidRDefault="000A4342" w:rsidP="000A4342">
            <w:pPr>
              <w:pStyle w:val="TableText"/>
              <w:jc w:val="right"/>
            </w:pPr>
            <w:r w:rsidRPr="00251BF7">
              <w:t>1</w:t>
            </w:r>
            <w:r w:rsidR="00A2606A">
              <w:t>4</w:t>
            </w:r>
            <w:r w:rsidRPr="00251BF7">
              <w:t>%</w:t>
            </w:r>
          </w:p>
        </w:tc>
        <w:tc>
          <w:tcPr>
            <w:tcW w:w="1927" w:type="dxa"/>
            <w:noWrap/>
            <w:vAlign w:val="top"/>
            <w:hideMark/>
          </w:tcPr>
          <w:p w14:paraId="7951DE5B" w14:textId="170EB105" w:rsidR="000A4342" w:rsidRDefault="000A4342" w:rsidP="000A4342">
            <w:pPr>
              <w:pStyle w:val="TableText"/>
              <w:jc w:val="right"/>
            </w:pPr>
            <w:r w:rsidRPr="00251BF7">
              <w:t>15%</w:t>
            </w:r>
          </w:p>
        </w:tc>
        <w:tc>
          <w:tcPr>
            <w:tcW w:w="1928" w:type="dxa"/>
            <w:noWrap/>
            <w:vAlign w:val="top"/>
            <w:hideMark/>
          </w:tcPr>
          <w:p w14:paraId="54CC4510" w14:textId="72E65086" w:rsidR="000A4342" w:rsidRDefault="000A4342" w:rsidP="000A4342">
            <w:pPr>
              <w:pStyle w:val="TableText"/>
              <w:jc w:val="right"/>
            </w:pPr>
            <w:r w:rsidRPr="00251BF7">
              <w:t>24%</w:t>
            </w:r>
          </w:p>
        </w:tc>
      </w:tr>
      <w:tr w:rsidR="000A4342" w14:paraId="4574C95D" w14:textId="77777777" w:rsidTr="00235CB7">
        <w:trPr>
          <w:cnfStyle w:val="000000010000" w:firstRow="0" w:lastRow="0" w:firstColumn="0" w:lastColumn="0" w:oddVBand="0" w:evenVBand="0" w:oddHBand="0" w:evenHBand="1" w:firstRowFirstColumn="0" w:firstRowLastColumn="0" w:lastRowFirstColumn="0" w:lastRowLastColumn="0"/>
        </w:trPr>
        <w:tc>
          <w:tcPr>
            <w:tcW w:w="2127" w:type="dxa"/>
            <w:tcBorders>
              <w:top w:val="nil"/>
              <w:left w:val="nil"/>
              <w:right w:val="nil"/>
            </w:tcBorders>
            <w:noWrap/>
            <w:vAlign w:val="top"/>
          </w:tcPr>
          <w:p w14:paraId="14E93F7A" w14:textId="77777777" w:rsidR="000A4342" w:rsidRDefault="000A4342" w:rsidP="000A4342">
            <w:pPr>
              <w:pStyle w:val="TableText"/>
            </w:pPr>
            <w:r w:rsidRPr="005B3CB9">
              <w:t>VIC</w:t>
            </w:r>
          </w:p>
        </w:tc>
        <w:tc>
          <w:tcPr>
            <w:tcW w:w="1161" w:type="dxa"/>
            <w:tcBorders>
              <w:top w:val="nil"/>
              <w:left w:val="nil"/>
              <w:right w:val="nil"/>
            </w:tcBorders>
            <w:noWrap/>
            <w:vAlign w:val="top"/>
          </w:tcPr>
          <w:p w14:paraId="5334E072" w14:textId="4D9734B7" w:rsidR="000A4342" w:rsidRDefault="000A4342" w:rsidP="000A4342">
            <w:pPr>
              <w:pStyle w:val="TableText"/>
              <w:jc w:val="right"/>
            </w:pPr>
            <w:r w:rsidRPr="00251BF7">
              <w:t>74%</w:t>
            </w:r>
          </w:p>
        </w:tc>
        <w:tc>
          <w:tcPr>
            <w:tcW w:w="1927" w:type="dxa"/>
            <w:tcBorders>
              <w:top w:val="nil"/>
              <w:left w:val="nil"/>
              <w:right w:val="nil"/>
            </w:tcBorders>
            <w:noWrap/>
            <w:vAlign w:val="top"/>
          </w:tcPr>
          <w:p w14:paraId="2E9346F0" w14:textId="4C937974" w:rsidR="000A4342" w:rsidRDefault="000A4342" w:rsidP="000A4342">
            <w:pPr>
              <w:pStyle w:val="TableText"/>
              <w:jc w:val="right"/>
            </w:pPr>
            <w:r w:rsidRPr="00251BF7">
              <w:t>10%</w:t>
            </w:r>
          </w:p>
        </w:tc>
        <w:tc>
          <w:tcPr>
            <w:tcW w:w="1927" w:type="dxa"/>
            <w:tcBorders>
              <w:top w:val="nil"/>
              <w:left w:val="nil"/>
              <w:right w:val="nil"/>
            </w:tcBorders>
            <w:noWrap/>
            <w:vAlign w:val="top"/>
          </w:tcPr>
          <w:p w14:paraId="631530A3" w14:textId="3717D57D" w:rsidR="000A4342" w:rsidRDefault="000A4342" w:rsidP="000A4342">
            <w:pPr>
              <w:pStyle w:val="TableText"/>
              <w:jc w:val="right"/>
            </w:pPr>
            <w:r w:rsidRPr="00251BF7">
              <w:t>16%</w:t>
            </w:r>
          </w:p>
        </w:tc>
        <w:tc>
          <w:tcPr>
            <w:tcW w:w="1928" w:type="dxa"/>
            <w:tcBorders>
              <w:top w:val="nil"/>
              <w:left w:val="nil"/>
              <w:right w:val="nil"/>
            </w:tcBorders>
            <w:noWrap/>
            <w:vAlign w:val="top"/>
          </w:tcPr>
          <w:p w14:paraId="3EF7DA0C" w14:textId="696B7504" w:rsidR="000A4342" w:rsidRDefault="000A4342" w:rsidP="000A4342">
            <w:pPr>
              <w:pStyle w:val="TableText"/>
              <w:jc w:val="right"/>
            </w:pPr>
            <w:r w:rsidRPr="00251BF7">
              <w:t>0%</w:t>
            </w:r>
          </w:p>
        </w:tc>
      </w:tr>
      <w:tr w:rsidR="000A4342" w14:paraId="2857F6A5" w14:textId="77777777" w:rsidTr="00235CB7">
        <w:trPr>
          <w:cnfStyle w:val="000000100000" w:firstRow="0" w:lastRow="0" w:firstColumn="0" w:lastColumn="0" w:oddVBand="0" w:evenVBand="0" w:oddHBand="1" w:evenHBand="0" w:firstRowFirstColumn="0" w:firstRowLastColumn="0" w:lastRowFirstColumn="0" w:lastRowLastColumn="0"/>
        </w:trPr>
        <w:tc>
          <w:tcPr>
            <w:tcW w:w="2127" w:type="dxa"/>
            <w:noWrap/>
            <w:vAlign w:val="top"/>
            <w:hideMark/>
          </w:tcPr>
          <w:p w14:paraId="2C5DC7CF" w14:textId="77777777" w:rsidR="000A4342" w:rsidRDefault="000A4342" w:rsidP="000A4342">
            <w:pPr>
              <w:pStyle w:val="TableText"/>
            </w:pPr>
            <w:r w:rsidRPr="005B3CB9">
              <w:t>SA</w:t>
            </w:r>
          </w:p>
        </w:tc>
        <w:tc>
          <w:tcPr>
            <w:tcW w:w="1161" w:type="dxa"/>
            <w:noWrap/>
            <w:vAlign w:val="top"/>
            <w:hideMark/>
          </w:tcPr>
          <w:p w14:paraId="24C70D91" w14:textId="57CEE4BF" w:rsidR="000A4342" w:rsidRDefault="000A4342" w:rsidP="000A4342">
            <w:pPr>
              <w:pStyle w:val="TableText"/>
              <w:jc w:val="right"/>
            </w:pPr>
            <w:r w:rsidRPr="00251BF7">
              <w:t>61%</w:t>
            </w:r>
          </w:p>
        </w:tc>
        <w:tc>
          <w:tcPr>
            <w:tcW w:w="1927" w:type="dxa"/>
            <w:noWrap/>
            <w:vAlign w:val="top"/>
            <w:hideMark/>
          </w:tcPr>
          <w:p w14:paraId="03604474" w14:textId="708D7173" w:rsidR="000A4342" w:rsidRDefault="000A4342" w:rsidP="000A4342">
            <w:pPr>
              <w:pStyle w:val="TableText"/>
              <w:jc w:val="right"/>
            </w:pPr>
            <w:r w:rsidRPr="00251BF7">
              <w:t>32%</w:t>
            </w:r>
          </w:p>
        </w:tc>
        <w:tc>
          <w:tcPr>
            <w:tcW w:w="1927" w:type="dxa"/>
            <w:noWrap/>
            <w:vAlign w:val="top"/>
            <w:hideMark/>
          </w:tcPr>
          <w:p w14:paraId="1F2EC247" w14:textId="0B9E800B" w:rsidR="000A4342" w:rsidRDefault="000A4342" w:rsidP="000A4342">
            <w:pPr>
              <w:pStyle w:val="TableText"/>
              <w:jc w:val="right"/>
            </w:pPr>
            <w:r w:rsidRPr="00251BF7">
              <w:t>2%</w:t>
            </w:r>
          </w:p>
        </w:tc>
        <w:tc>
          <w:tcPr>
            <w:tcW w:w="1928" w:type="dxa"/>
            <w:noWrap/>
            <w:vAlign w:val="top"/>
            <w:hideMark/>
          </w:tcPr>
          <w:p w14:paraId="5FDFD0BE" w14:textId="324A61FA" w:rsidR="000A4342" w:rsidRDefault="000A4342" w:rsidP="000A4342">
            <w:pPr>
              <w:pStyle w:val="TableText"/>
              <w:jc w:val="right"/>
            </w:pPr>
            <w:r w:rsidRPr="00251BF7">
              <w:t>5%</w:t>
            </w:r>
          </w:p>
        </w:tc>
      </w:tr>
      <w:tr w:rsidR="00235CB7" w14:paraId="6AF2E89A" w14:textId="77777777" w:rsidTr="00235CB7">
        <w:trPr>
          <w:cnfStyle w:val="000000010000" w:firstRow="0" w:lastRow="0" w:firstColumn="0" w:lastColumn="0" w:oddVBand="0" w:evenVBand="0" w:oddHBand="0" w:evenHBand="1" w:firstRowFirstColumn="0" w:firstRowLastColumn="0" w:lastRowFirstColumn="0" w:lastRowLastColumn="0"/>
        </w:trPr>
        <w:tc>
          <w:tcPr>
            <w:tcW w:w="2127" w:type="dxa"/>
            <w:tcBorders>
              <w:top w:val="nil"/>
              <w:left w:val="nil"/>
              <w:right w:val="nil"/>
            </w:tcBorders>
            <w:noWrap/>
            <w:vAlign w:val="top"/>
            <w:hideMark/>
          </w:tcPr>
          <w:p w14:paraId="519DE7D0" w14:textId="76819801" w:rsidR="000A4342" w:rsidRPr="000A4342" w:rsidRDefault="000A4342" w:rsidP="000A4342">
            <w:pPr>
              <w:pStyle w:val="TableText"/>
            </w:pPr>
            <w:r w:rsidRPr="000A4342">
              <w:t>Total</w:t>
            </w:r>
            <w:r w:rsidR="00235CB7">
              <w:t xml:space="preserve"> southern MDB</w:t>
            </w:r>
          </w:p>
        </w:tc>
        <w:tc>
          <w:tcPr>
            <w:tcW w:w="1161" w:type="dxa"/>
            <w:tcBorders>
              <w:top w:val="nil"/>
              <w:left w:val="nil"/>
              <w:right w:val="nil"/>
            </w:tcBorders>
            <w:noWrap/>
            <w:vAlign w:val="top"/>
            <w:hideMark/>
          </w:tcPr>
          <w:p w14:paraId="31D30888" w14:textId="2787543B" w:rsidR="000A4342" w:rsidRDefault="000A4342" w:rsidP="000A4342">
            <w:pPr>
              <w:pStyle w:val="TableText"/>
              <w:jc w:val="right"/>
              <w:rPr>
                <w:b/>
                <w:bCs/>
              </w:rPr>
            </w:pPr>
            <w:r w:rsidRPr="00251BF7">
              <w:t>6</w:t>
            </w:r>
            <w:r w:rsidR="00A2606A">
              <w:t>1</w:t>
            </w:r>
            <w:r w:rsidRPr="00251BF7">
              <w:t>%</w:t>
            </w:r>
          </w:p>
        </w:tc>
        <w:tc>
          <w:tcPr>
            <w:tcW w:w="1927" w:type="dxa"/>
            <w:tcBorders>
              <w:top w:val="nil"/>
              <w:left w:val="nil"/>
              <w:right w:val="nil"/>
            </w:tcBorders>
            <w:noWrap/>
            <w:vAlign w:val="top"/>
            <w:hideMark/>
          </w:tcPr>
          <w:p w14:paraId="07FB0773" w14:textId="78C6EC5C" w:rsidR="000A4342" w:rsidRDefault="000A4342" w:rsidP="000A4342">
            <w:pPr>
              <w:pStyle w:val="TableText"/>
              <w:jc w:val="right"/>
              <w:rPr>
                <w:b/>
                <w:bCs/>
              </w:rPr>
            </w:pPr>
            <w:r w:rsidRPr="00251BF7">
              <w:t>14%</w:t>
            </w:r>
          </w:p>
        </w:tc>
        <w:tc>
          <w:tcPr>
            <w:tcW w:w="1927" w:type="dxa"/>
            <w:tcBorders>
              <w:top w:val="nil"/>
              <w:left w:val="nil"/>
              <w:right w:val="nil"/>
            </w:tcBorders>
            <w:noWrap/>
            <w:vAlign w:val="top"/>
            <w:hideMark/>
          </w:tcPr>
          <w:p w14:paraId="4459898A" w14:textId="2FE7F67B" w:rsidR="000A4342" w:rsidRDefault="000A4342" w:rsidP="000A4342">
            <w:pPr>
              <w:pStyle w:val="TableText"/>
              <w:jc w:val="right"/>
              <w:rPr>
                <w:b/>
                <w:bCs/>
              </w:rPr>
            </w:pPr>
            <w:r w:rsidRPr="00251BF7">
              <w:t>14%</w:t>
            </w:r>
          </w:p>
        </w:tc>
        <w:tc>
          <w:tcPr>
            <w:tcW w:w="1928" w:type="dxa"/>
            <w:tcBorders>
              <w:top w:val="nil"/>
              <w:left w:val="nil"/>
              <w:right w:val="nil"/>
            </w:tcBorders>
            <w:noWrap/>
            <w:vAlign w:val="top"/>
            <w:hideMark/>
          </w:tcPr>
          <w:p w14:paraId="39FE46E7" w14:textId="42F78FFD" w:rsidR="000A4342" w:rsidRDefault="000A4342" w:rsidP="000A4342">
            <w:pPr>
              <w:pStyle w:val="TableText"/>
              <w:jc w:val="right"/>
              <w:rPr>
                <w:b/>
                <w:bCs/>
              </w:rPr>
            </w:pPr>
            <w:r w:rsidRPr="00251BF7">
              <w:t>1</w:t>
            </w:r>
            <w:r w:rsidR="00A2606A">
              <w:t>1</w:t>
            </w:r>
            <w:r w:rsidRPr="00251BF7">
              <w:t>%</w:t>
            </w:r>
          </w:p>
        </w:tc>
      </w:tr>
    </w:tbl>
    <w:p w14:paraId="03D2503D" w14:textId="7AA63E9A" w:rsidR="000A4342" w:rsidRDefault="000A4342" w:rsidP="000A4342">
      <w:pPr>
        <w:pStyle w:val="BodyText"/>
      </w:pPr>
      <w:r>
        <w:rPr>
          <w:i/>
          <w:color w:val="9BA1A5"/>
          <w:sz w:val="16"/>
          <w:szCs w:val="16"/>
        </w:rPr>
        <w:t>Note: Data to 31 May 2022. * ‘Other Infrastructure’ includes Nimmie-Caira recovery due to its unique entitlement properties. It also includes non-gap bridging recovery including groundwater in NSW, and Wetlands (Class 9) entitlements in SA.</w:t>
      </w:r>
      <w:r w:rsidR="00E75AEA">
        <w:rPr>
          <w:i/>
          <w:color w:val="9BA1A5"/>
          <w:sz w:val="16"/>
          <w:szCs w:val="16"/>
        </w:rPr>
        <w:br/>
        <w:t>Source: DCCEEW internal database, as at 25 July 2022.</w:t>
      </w:r>
    </w:p>
    <w:p w14:paraId="43A61DEA" w14:textId="1B5375B7" w:rsidR="000A4342" w:rsidRDefault="000A4342" w:rsidP="00A2153D">
      <w:pPr>
        <w:pStyle w:val="BodyText"/>
      </w:pPr>
    </w:p>
    <w:p w14:paraId="26C45847" w14:textId="33E00DF2" w:rsidR="00235CB7" w:rsidRDefault="0027191F" w:rsidP="00235CB7">
      <w:pPr>
        <w:pStyle w:val="BodyText"/>
      </w:pPr>
      <w:r>
        <w:t>The mix of Commonwealth recovery approaches also differ in the reliability of the water entitlements secured (</w:t>
      </w:r>
      <w:r>
        <w:fldChar w:fldCharType="begin"/>
      </w:r>
      <w:r>
        <w:instrText xml:space="preserve"> REF _Ref110805027 \h </w:instrText>
      </w:r>
      <w:r>
        <w:fldChar w:fldCharType="separate"/>
      </w:r>
      <w:r w:rsidR="00D4298A">
        <w:rPr>
          <w:rStyle w:val="Bold"/>
        </w:rPr>
        <w:t xml:space="preserve">Table </w:t>
      </w:r>
      <w:r w:rsidR="00D4298A">
        <w:rPr>
          <w:rStyle w:val="Bold"/>
          <w:noProof/>
        </w:rPr>
        <w:t>6</w:t>
      </w:r>
      <w:r>
        <w:fldChar w:fldCharType="end"/>
      </w:r>
      <w:r>
        <w:t xml:space="preserve">). Nearly two-thirds of buyback volumes (by long-term equivalent) was of higher reliability entitlements such as high reliability and conveyance entitlements (and 82% of this was Victorian HRWS). </w:t>
      </w:r>
    </w:p>
    <w:p w14:paraId="774B4315" w14:textId="77777777" w:rsidR="0027191F" w:rsidRDefault="0027191F" w:rsidP="00235CB7">
      <w:pPr>
        <w:pStyle w:val="BodyText"/>
      </w:pPr>
    </w:p>
    <w:p w14:paraId="557B678B" w14:textId="35A0E2B5" w:rsidR="00235CB7" w:rsidRDefault="00235CB7" w:rsidP="00235CB7">
      <w:pPr>
        <w:pStyle w:val="Caption"/>
      </w:pPr>
      <w:bookmarkStart w:id="95" w:name="_Ref110805027"/>
      <w:bookmarkStart w:id="96" w:name="_Toc113621693"/>
      <w:r>
        <w:rPr>
          <w:rStyle w:val="Bold"/>
        </w:rPr>
        <w:lastRenderedPageBreak/>
        <w:t xml:space="preserve">Table </w:t>
      </w:r>
      <w:r>
        <w:fldChar w:fldCharType="begin"/>
      </w:r>
      <w:r>
        <w:rPr>
          <w:rStyle w:val="Bold"/>
        </w:rPr>
        <w:instrText xml:space="preserve"> SEQ Table \* ARABIC </w:instrText>
      </w:r>
      <w:r>
        <w:fldChar w:fldCharType="separate"/>
      </w:r>
      <w:r w:rsidR="00D4298A">
        <w:rPr>
          <w:rStyle w:val="Bold"/>
          <w:noProof/>
        </w:rPr>
        <w:t>6</w:t>
      </w:r>
      <w:r>
        <w:fldChar w:fldCharType="end"/>
      </w:r>
      <w:bookmarkEnd w:id="95"/>
      <w:r>
        <w:rPr>
          <w:rStyle w:val="Bold"/>
        </w:rPr>
        <w:t>:</w:t>
      </w:r>
      <w:r>
        <w:t xml:space="preserve"> </w:t>
      </w:r>
      <w:r w:rsidR="00221440">
        <w:t xml:space="preserve">Commonwealth </w:t>
      </w:r>
      <w:r w:rsidR="002C16E8">
        <w:t xml:space="preserve">southern MDB </w:t>
      </w:r>
      <w:r w:rsidR="00221440">
        <w:t>surface water</w:t>
      </w:r>
      <w:r>
        <w:t xml:space="preserve"> recovery methods, disaggregating by reliability</w:t>
      </w:r>
      <w:r w:rsidR="0027191F">
        <w:t xml:space="preserve"> (GL LTAAY)</w:t>
      </w:r>
      <w:bookmarkEnd w:id="96"/>
    </w:p>
    <w:tbl>
      <w:tblPr>
        <w:tblStyle w:val="FETableStyle"/>
        <w:tblW w:w="5000" w:type="pct"/>
        <w:tblLayout w:type="fixed"/>
        <w:tblLook w:val="0420" w:firstRow="1" w:lastRow="0" w:firstColumn="0" w:lastColumn="0" w:noHBand="0" w:noVBand="1"/>
      </w:tblPr>
      <w:tblGrid>
        <w:gridCol w:w="2835"/>
        <w:gridCol w:w="1134"/>
        <w:gridCol w:w="1700"/>
        <w:gridCol w:w="1700"/>
        <w:gridCol w:w="1701"/>
      </w:tblGrid>
      <w:tr w:rsidR="00235CB7" w14:paraId="29AE584F" w14:textId="77777777" w:rsidTr="008E1E49">
        <w:trPr>
          <w:cnfStyle w:val="100000000000" w:firstRow="1" w:lastRow="0" w:firstColumn="0" w:lastColumn="0" w:oddVBand="0" w:evenVBand="0" w:oddHBand="0" w:evenHBand="0" w:firstRowFirstColumn="0" w:firstRowLastColumn="0" w:lastRowFirstColumn="0" w:lastRowLastColumn="0"/>
        </w:trPr>
        <w:tc>
          <w:tcPr>
            <w:tcW w:w="2835" w:type="dxa"/>
            <w:tcBorders>
              <w:top w:val="nil"/>
              <w:left w:val="nil"/>
              <w:bottom w:val="nil"/>
              <w:right w:val="nil"/>
            </w:tcBorders>
            <w:noWrap/>
            <w:hideMark/>
          </w:tcPr>
          <w:p w14:paraId="7A4031D5" w14:textId="30CFA8CF" w:rsidR="00235CB7" w:rsidRDefault="00235CB7" w:rsidP="00AE61BE">
            <w:pPr>
              <w:pStyle w:val="TableHeading"/>
              <w:rPr>
                <w:b/>
              </w:rPr>
            </w:pPr>
          </w:p>
        </w:tc>
        <w:tc>
          <w:tcPr>
            <w:tcW w:w="1134" w:type="dxa"/>
            <w:tcBorders>
              <w:top w:val="nil"/>
              <w:left w:val="nil"/>
              <w:bottom w:val="nil"/>
              <w:right w:val="nil"/>
            </w:tcBorders>
            <w:noWrap/>
            <w:hideMark/>
          </w:tcPr>
          <w:p w14:paraId="0BC4BFA1" w14:textId="77777777" w:rsidR="00235CB7" w:rsidRDefault="00235CB7" w:rsidP="00AE61BE">
            <w:pPr>
              <w:pStyle w:val="TableHeading"/>
              <w:jc w:val="right"/>
              <w:rPr>
                <w:b/>
              </w:rPr>
            </w:pPr>
            <w:r>
              <w:rPr>
                <w:b/>
              </w:rPr>
              <w:t>Buyback</w:t>
            </w:r>
          </w:p>
        </w:tc>
        <w:tc>
          <w:tcPr>
            <w:tcW w:w="1700" w:type="dxa"/>
            <w:tcBorders>
              <w:top w:val="nil"/>
              <w:left w:val="nil"/>
              <w:bottom w:val="nil"/>
              <w:right w:val="nil"/>
            </w:tcBorders>
            <w:noWrap/>
            <w:hideMark/>
          </w:tcPr>
          <w:p w14:paraId="15F831B9" w14:textId="77777777" w:rsidR="00235CB7" w:rsidRDefault="00235CB7" w:rsidP="00AE61BE">
            <w:pPr>
              <w:pStyle w:val="TableHeading"/>
              <w:jc w:val="right"/>
              <w:rPr>
                <w:b/>
              </w:rPr>
            </w:pPr>
            <w:r>
              <w:rPr>
                <w:b/>
              </w:rPr>
              <w:t>Infrastructure - On-Farm</w:t>
            </w:r>
          </w:p>
        </w:tc>
        <w:tc>
          <w:tcPr>
            <w:tcW w:w="1700" w:type="dxa"/>
            <w:tcBorders>
              <w:top w:val="nil"/>
              <w:left w:val="nil"/>
              <w:bottom w:val="nil"/>
              <w:right w:val="nil"/>
            </w:tcBorders>
            <w:noWrap/>
            <w:hideMark/>
          </w:tcPr>
          <w:p w14:paraId="6D983C74" w14:textId="77777777" w:rsidR="00235CB7" w:rsidRDefault="00235CB7" w:rsidP="00AE61BE">
            <w:pPr>
              <w:pStyle w:val="TableHeading"/>
              <w:jc w:val="right"/>
              <w:rPr>
                <w:b/>
              </w:rPr>
            </w:pPr>
            <w:r>
              <w:rPr>
                <w:b/>
              </w:rPr>
              <w:t>Infrastructure - Off-Farm</w:t>
            </w:r>
          </w:p>
        </w:tc>
        <w:tc>
          <w:tcPr>
            <w:tcW w:w="1701" w:type="dxa"/>
            <w:tcBorders>
              <w:top w:val="nil"/>
              <w:left w:val="nil"/>
              <w:bottom w:val="nil"/>
              <w:right w:val="nil"/>
            </w:tcBorders>
            <w:noWrap/>
            <w:hideMark/>
          </w:tcPr>
          <w:p w14:paraId="04541B77" w14:textId="7C5C2712" w:rsidR="00235CB7" w:rsidRDefault="00235CB7" w:rsidP="00AE61BE">
            <w:pPr>
              <w:pStyle w:val="TableHeading"/>
              <w:jc w:val="right"/>
              <w:rPr>
                <w:b/>
              </w:rPr>
            </w:pPr>
            <w:r>
              <w:rPr>
                <w:b/>
              </w:rPr>
              <w:t>Infrastructure – Other</w:t>
            </w:r>
          </w:p>
        </w:tc>
      </w:tr>
      <w:tr w:rsidR="00786A01" w14:paraId="0ACBAA29" w14:textId="77777777" w:rsidTr="008E1E49">
        <w:trPr>
          <w:cnfStyle w:val="000000100000" w:firstRow="0" w:lastRow="0" w:firstColumn="0" w:lastColumn="0" w:oddVBand="0" w:evenVBand="0" w:oddHBand="1" w:evenHBand="0" w:firstRowFirstColumn="0" w:firstRowLastColumn="0" w:lastRowFirstColumn="0" w:lastRowLastColumn="0"/>
        </w:trPr>
        <w:tc>
          <w:tcPr>
            <w:tcW w:w="2835" w:type="dxa"/>
            <w:noWrap/>
            <w:vAlign w:val="top"/>
            <w:hideMark/>
          </w:tcPr>
          <w:p w14:paraId="207E8B65" w14:textId="25078E71" w:rsidR="00786A01" w:rsidRDefault="00786A01" w:rsidP="00786A01">
            <w:pPr>
              <w:pStyle w:val="TableText"/>
            </w:pPr>
            <w:r w:rsidRPr="001135F6">
              <w:t>Higher</w:t>
            </w:r>
            <w:r w:rsidR="008E1E49">
              <w:t xml:space="preserve"> reliability entitlements^</w:t>
            </w:r>
          </w:p>
        </w:tc>
        <w:tc>
          <w:tcPr>
            <w:tcW w:w="1134" w:type="dxa"/>
            <w:noWrap/>
            <w:vAlign w:val="top"/>
            <w:hideMark/>
          </w:tcPr>
          <w:p w14:paraId="31B65A1D" w14:textId="7BE7812E" w:rsidR="00786A01" w:rsidRDefault="00786A01" w:rsidP="00786A01">
            <w:pPr>
              <w:pStyle w:val="TableText"/>
              <w:jc w:val="right"/>
            </w:pPr>
            <w:r w:rsidRPr="00420CB0">
              <w:t>612.9</w:t>
            </w:r>
          </w:p>
        </w:tc>
        <w:tc>
          <w:tcPr>
            <w:tcW w:w="1700" w:type="dxa"/>
            <w:noWrap/>
            <w:vAlign w:val="top"/>
            <w:hideMark/>
          </w:tcPr>
          <w:p w14:paraId="3BABDBC2" w14:textId="583A34A2" w:rsidR="00786A01" w:rsidRDefault="00786A01" w:rsidP="00786A01">
            <w:pPr>
              <w:pStyle w:val="TableText"/>
              <w:jc w:val="right"/>
            </w:pPr>
            <w:r w:rsidRPr="00420CB0">
              <w:t>126.4</w:t>
            </w:r>
          </w:p>
        </w:tc>
        <w:tc>
          <w:tcPr>
            <w:tcW w:w="1700" w:type="dxa"/>
            <w:noWrap/>
            <w:vAlign w:val="top"/>
            <w:hideMark/>
          </w:tcPr>
          <w:p w14:paraId="4B1A776B" w14:textId="04191060" w:rsidR="00786A01" w:rsidRDefault="00786A01" w:rsidP="00786A01">
            <w:pPr>
              <w:pStyle w:val="TableText"/>
              <w:jc w:val="right"/>
            </w:pPr>
            <w:r w:rsidRPr="00420CB0">
              <w:t>161.1</w:t>
            </w:r>
          </w:p>
        </w:tc>
        <w:tc>
          <w:tcPr>
            <w:tcW w:w="1701" w:type="dxa"/>
            <w:noWrap/>
            <w:vAlign w:val="top"/>
            <w:hideMark/>
          </w:tcPr>
          <w:p w14:paraId="51642AD2" w14:textId="1FA1F42A" w:rsidR="00786A01" w:rsidRDefault="00786A01" w:rsidP="00786A01">
            <w:pPr>
              <w:pStyle w:val="TableText"/>
              <w:jc w:val="right"/>
            </w:pPr>
            <w:r w:rsidRPr="00420CB0">
              <w:t>7.2</w:t>
            </w:r>
          </w:p>
        </w:tc>
      </w:tr>
      <w:tr w:rsidR="00786A01" w14:paraId="3D08FCE1" w14:textId="77777777" w:rsidTr="008E1E49">
        <w:trPr>
          <w:cnfStyle w:val="000000010000" w:firstRow="0" w:lastRow="0" w:firstColumn="0" w:lastColumn="0" w:oddVBand="0" w:evenVBand="0" w:oddHBand="0" w:evenHBand="1" w:firstRowFirstColumn="0" w:firstRowLastColumn="0" w:lastRowFirstColumn="0" w:lastRowLastColumn="0"/>
        </w:trPr>
        <w:tc>
          <w:tcPr>
            <w:tcW w:w="2835" w:type="dxa"/>
            <w:tcBorders>
              <w:top w:val="nil"/>
              <w:left w:val="nil"/>
              <w:right w:val="nil"/>
            </w:tcBorders>
            <w:noWrap/>
            <w:vAlign w:val="top"/>
          </w:tcPr>
          <w:p w14:paraId="424BA1A3" w14:textId="71ABDDB8" w:rsidR="00786A01" w:rsidRDefault="00786A01" w:rsidP="00786A01">
            <w:pPr>
              <w:pStyle w:val="TableText"/>
            </w:pPr>
            <w:r w:rsidRPr="001135F6">
              <w:t>Lower</w:t>
            </w:r>
            <w:r w:rsidR="008E1E49">
              <w:t xml:space="preserve"> reliability entitlements*</w:t>
            </w:r>
          </w:p>
        </w:tc>
        <w:tc>
          <w:tcPr>
            <w:tcW w:w="1134" w:type="dxa"/>
            <w:tcBorders>
              <w:top w:val="nil"/>
              <w:left w:val="nil"/>
              <w:right w:val="nil"/>
            </w:tcBorders>
            <w:noWrap/>
            <w:vAlign w:val="top"/>
          </w:tcPr>
          <w:p w14:paraId="6A84D3A3" w14:textId="3A65660D" w:rsidR="00786A01" w:rsidRDefault="00786A01" w:rsidP="00786A01">
            <w:pPr>
              <w:pStyle w:val="TableText"/>
              <w:jc w:val="right"/>
            </w:pPr>
            <w:r w:rsidRPr="00420CB0">
              <w:t>352.5</w:t>
            </w:r>
          </w:p>
        </w:tc>
        <w:tc>
          <w:tcPr>
            <w:tcW w:w="1700" w:type="dxa"/>
            <w:tcBorders>
              <w:top w:val="nil"/>
              <w:left w:val="nil"/>
              <w:right w:val="nil"/>
            </w:tcBorders>
            <w:noWrap/>
            <w:vAlign w:val="top"/>
          </w:tcPr>
          <w:p w14:paraId="04B803DD" w14:textId="6EF8378A" w:rsidR="00786A01" w:rsidRDefault="00786A01" w:rsidP="00786A01">
            <w:pPr>
              <w:pStyle w:val="TableText"/>
              <w:jc w:val="right"/>
            </w:pPr>
            <w:r w:rsidRPr="00420CB0">
              <w:t>89.3</w:t>
            </w:r>
          </w:p>
        </w:tc>
        <w:tc>
          <w:tcPr>
            <w:tcW w:w="1700" w:type="dxa"/>
            <w:tcBorders>
              <w:top w:val="nil"/>
              <w:left w:val="nil"/>
              <w:right w:val="nil"/>
            </w:tcBorders>
            <w:noWrap/>
            <w:vAlign w:val="top"/>
          </w:tcPr>
          <w:p w14:paraId="2278DB20" w14:textId="5C0D8F03" w:rsidR="00786A01" w:rsidRDefault="00786A01" w:rsidP="00786A01">
            <w:pPr>
              <w:pStyle w:val="TableText"/>
              <w:jc w:val="right"/>
            </w:pPr>
            <w:r w:rsidRPr="00420CB0">
              <w:t>66.1</w:t>
            </w:r>
          </w:p>
        </w:tc>
        <w:tc>
          <w:tcPr>
            <w:tcW w:w="1701" w:type="dxa"/>
            <w:tcBorders>
              <w:top w:val="nil"/>
              <w:left w:val="nil"/>
              <w:right w:val="nil"/>
            </w:tcBorders>
            <w:noWrap/>
            <w:vAlign w:val="top"/>
          </w:tcPr>
          <w:p w14:paraId="117B2A0D" w14:textId="4B56F9EC" w:rsidR="00786A01" w:rsidRDefault="00786A01" w:rsidP="00786A01">
            <w:pPr>
              <w:pStyle w:val="TableText"/>
              <w:jc w:val="right"/>
            </w:pPr>
            <w:r w:rsidRPr="00420CB0">
              <w:t>1</w:t>
            </w:r>
            <w:r w:rsidR="00381949">
              <w:t>73</w:t>
            </w:r>
            <w:r w:rsidRPr="00420CB0">
              <w:t>.</w:t>
            </w:r>
            <w:r w:rsidR="00381949">
              <w:t>7</w:t>
            </w:r>
          </w:p>
        </w:tc>
      </w:tr>
      <w:tr w:rsidR="00786A01" w14:paraId="57394FDB" w14:textId="77777777" w:rsidTr="008E1E49">
        <w:trPr>
          <w:cnfStyle w:val="000000100000" w:firstRow="0" w:lastRow="0" w:firstColumn="0" w:lastColumn="0" w:oddVBand="0" w:evenVBand="0" w:oddHBand="1" w:evenHBand="0" w:firstRowFirstColumn="0" w:firstRowLastColumn="0" w:lastRowFirstColumn="0" w:lastRowLastColumn="0"/>
        </w:trPr>
        <w:tc>
          <w:tcPr>
            <w:tcW w:w="2835" w:type="dxa"/>
            <w:noWrap/>
            <w:vAlign w:val="top"/>
            <w:hideMark/>
          </w:tcPr>
          <w:p w14:paraId="1CDA1A82" w14:textId="74511D27" w:rsidR="00786A01" w:rsidRPr="0027191F" w:rsidRDefault="00786A01" w:rsidP="00786A01">
            <w:pPr>
              <w:pStyle w:val="TableText"/>
              <w:rPr>
                <w:b/>
                <w:bCs/>
              </w:rPr>
            </w:pPr>
            <w:r w:rsidRPr="0027191F">
              <w:rPr>
                <w:b/>
                <w:bCs/>
              </w:rPr>
              <w:t>Total</w:t>
            </w:r>
          </w:p>
        </w:tc>
        <w:tc>
          <w:tcPr>
            <w:tcW w:w="1134" w:type="dxa"/>
            <w:noWrap/>
            <w:vAlign w:val="top"/>
            <w:hideMark/>
          </w:tcPr>
          <w:p w14:paraId="7637ADBD" w14:textId="34CC915A" w:rsidR="00786A01" w:rsidRPr="0027191F" w:rsidRDefault="00786A01" w:rsidP="00786A01">
            <w:pPr>
              <w:pStyle w:val="TableText"/>
              <w:jc w:val="right"/>
              <w:rPr>
                <w:b/>
                <w:bCs/>
              </w:rPr>
            </w:pPr>
            <w:r w:rsidRPr="0027191F">
              <w:rPr>
                <w:b/>
                <w:bCs/>
              </w:rPr>
              <w:t>965.4</w:t>
            </w:r>
          </w:p>
        </w:tc>
        <w:tc>
          <w:tcPr>
            <w:tcW w:w="1700" w:type="dxa"/>
            <w:noWrap/>
            <w:vAlign w:val="top"/>
            <w:hideMark/>
          </w:tcPr>
          <w:p w14:paraId="5111148F" w14:textId="04FC6926" w:rsidR="00786A01" w:rsidRPr="0027191F" w:rsidRDefault="00786A01" w:rsidP="00786A01">
            <w:pPr>
              <w:pStyle w:val="TableText"/>
              <w:jc w:val="right"/>
              <w:rPr>
                <w:b/>
                <w:bCs/>
              </w:rPr>
            </w:pPr>
            <w:r w:rsidRPr="0027191F">
              <w:rPr>
                <w:b/>
                <w:bCs/>
              </w:rPr>
              <w:t>215.6</w:t>
            </w:r>
          </w:p>
        </w:tc>
        <w:tc>
          <w:tcPr>
            <w:tcW w:w="1700" w:type="dxa"/>
            <w:noWrap/>
            <w:vAlign w:val="top"/>
            <w:hideMark/>
          </w:tcPr>
          <w:p w14:paraId="174E972E" w14:textId="43A07E8C" w:rsidR="00786A01" w:rsidRPr="0027191F" w:rsidRDefault="00786A01" w:rsidP="00786A01">
            <w:pPr>
              <w:pStyle w:val="TableText"/>
              <w:jc w:val="right"/>
              <w:rPr>
                <w:b/>
                <w:bCs/>
              </w:rPr>
            </w:pPr>
            <w:r w:rsidRPr="0027191F">
              <w:rPr>
                <w:b/>
                <w:bCs/>
              </w:rPr>
              <w:t>227.2</w:t>
            </w:r>
          </w:p>
        </w:tc>
        <w:tc>
          <w:tcPr>
            <w:tcW w:w="1701" w:type="dxa"/>
            <w:noWrap/>
            <w:vAlign w:val="top"/>
            <w:hideMark/>
          </w:tcPr>
          <w:p w14:paraId="3D0A8266" w14:textId="0ADD702F" w:rsidR="00786A01" w:rsidRPr="0027191F" w:rsidRDefault="00786A01" w:rsidP="00786A01">
            <w:pPr>
              <w:pStyle w:val="TableText"/>
              <w:jc w:val="right"/>
              <w:rPr>
                <w:b/>
                <w:bCs/>
              </w:rPr>
            </w:pPr>
            <w:r w:rsidRPr="0027191F">
              <w:rPr>
                <w:b/>
                <w:bCs/>
              </w:rPr>
              <w:t>18</w:t>
            </w:r>
            <w:r w:rsidR="00221440">
              <w:rPr>
                <w:b/>
                <w:bCs/>
              </w:rPr>
              <w:t>1</w:t>
            </w:r>
            <w:r w:rsidRPr="0027191F">
              <w:rPr>
                <w:b/>
                <w:bCs/>
              </w:rPr>
              <w:t>.</w:t>
            </w:r>
            <w:r w:rsidR="00221440">
              <w:rPr>
                <w:b/>
                <w:bCs/>
              </w:rPr>
              <w:t>0</w:t>
            </w:r>
          </w:p>
        </w:tc>
      </w:tr>
      <w:tr w:rsidR="008E1E49" w14:paraId="26489C3E" w14:textId="77777777" w:rsidTr="008E1E49">
        <w:trPr>
          <w:cnfStyle w:val="000000010000" w:firstRow="0" w:lastRow="0" w:firstColumn="0" w:lastColumn="0" w:oddVBand="0" w:evenVBand="0" w:oddHBand="0" w:evenHBand="1" w:firstRowFirstColumn="0" w:firstRowLastColumn="0" w:lastRowFirstColumn="0" w:lastRowLastColumn="0"/>
        </w:trPr>
        <w:tc>
          <w:tcPr>
            <w:tcW w:w="2835" w:type="dxa"/>
            <w:tcBorders>
              <w:top w:val="nil"/>
              <w:left w:val="nil"/>
              <w:right w:val="nil"/>
            </w:tcBorders>
            <w:noWrap/>
            <w:vAlign w:val="top"/>
          </w:tcPr>
          <w:p w14:paraId="5A28964B" w14:textId="30396A67" w:rsidR="008E1E49" w:rsidRPr="005C744A" w:rsidRDefault="008E1E49" w:rsidP="008E1E49">
            <w:pPr>
              <w:pStyle w:val="TableText"/>
              <w:rPr>
                <w:i/>
                <w:iCs/>
              </w:rPr>
            </w:pPr>
            <w:r w:rsidRPr="005C744A">
              <w:rPr>
                <w:i/>
                <w:iCs/>
              </w:rPr>
              <w:t>Higher reliability entitlements^</w:t>
            </w:r>
          </w:p>
        </w:tc>
        <w:tc>
          <w:tcPr>
            <w:tcW w:w="1134" w:type="dxa"/>
            <w:tcBorders>
              <w:top w:val="nil"/>
              <w:left w:val="nil"/>
              <w:right w:val="nil"/>
            </w:tcBorders>
            <w:noWrap/>
            <w:vAlign w:val="top"/>
          </w:tcPr>
          <w:p w14:paraId="621AB201" w14:textId="79ED5332" w:rsidR="008E1E49" w:rsidRPr="005C744A" w:rsidRDefault="008E1E49" w:rsidP="008E1E49">
            <w:pPr>
              <w:pStyle w:val="TableText"/>
              <w:jc w:val="right"/>
              <w:rPr>
                <w:i/>
                <w:iCs/>
              </w:rPr>
            </w:pPr>
            <w:r w:rsidRPr="005C744A">
              <w:rPr>
                <w:i/>
                <w:iCs/>
              </w:rPr>
              <w:t>63%</w:t>
            </w:r>
          </w:p>
        </w:tc>
        <w:tc>
          <w:tcPr>
            <w:tcW w:w="1700" w:type="dxa"/>
            <w:tcBorders>
              <w:top w:val="nil"/>
              <w:left w:val="nil"/>
              <w:right w:val="nil"/>
            </w:tcBorders>
            <w:noWrap/>
            <w:vAlign w:val="top"/>
          </w:tcPr>
          <w:p w14:paraId="352BCCBF" w14:textId="209D9A34" w:rsidR="008E1E49" w:rsidRPr="005C744A" w:rsidRDefault="008E1E49" w:rsidP="008E1E49">
            <w:pPr>
              <w:pStyle w:val="TableText"/>
              <w:jc w:val="right"/>
              <w:rPr>
                <w:i/>
                <w:iCs/>
              </w:rPr>
            </w:pPr>
            <w:r w:rsidRPr="005C744A">
              <w:rPr>
                <w:i/>
                <w:iCs/>
              </w:rPr>
              <w:t>59%</w:t>
            </w:r>
          </w:p>
        </w:tc>
        <w:tc>
          <w:tcPr>
            <w:tcW w:w="1700" w:type="dxa"/>
            <w:tcBorders>
              <w:top w:val="nil"/>
              <w:left w:val="nil"/>
              <w:right w:val="nil"/>
            </w:tcBorders>
            <w:noWrap/>
            <w:vAlign w:val="top"/>
          </w:tcPr>
          <w:p w14:paraId="6C5A82F1" w14:textId="59318C3D" w:rsidR="008E1E49" w:rsidRPr="005C744A" w:rsidRDefault="008E1E49" w:rsidP="008E1E49">
            <w:pPr>
              <w:pStyle w:val="TableText"/>
              <w:jc w:val="right"/>
              <w:rPr>
                <w:i/>
                <w:iCs/>
              </w:rPr>
            </w:pPr>
            <w:r w:rsidRPr="005C744A">
              <w:rPr>
                <w:i/>
                <w:iCs/>
              </w:rPr>
              <w:t>71%</w:t>
            </w:r>
          </w:p>
        </w:tc>
        <w:tc>
          <w:tcPr>
            <w:tcW w:w="1701" w:type="dxa"/>
            <w:tcBorders>
              <w:top w:val="nil"/>
              <w:left w:val="nil"/>
              <w:right w:val="nil"/>
            </w:tcBorders>
            <w:noWrap/>
            <w:vAlign w:val="top"/>
          </w:tcPr>
          <w:p w14:paraId="675E434C" w14:textId="5CDDE7B6" w:rsidR="008E1E49" w:rsidRPr="005C744A" w:rsidRDefault="008E1E49" w:rsidP="008E1E49">
            <w:pPr>
              <w:pStyle w:val="TableText"/>
              <w:jc w:val="right"/>
              <w:rPr>
                <w:i/>
                <w:iCs/>
              </w:rPr>
            </w:pPr>
            <w:r w:rsidRPr="005C744A">
              <w:rPr>
                <w:i/>
                <w:iCs/>
              </w:rPr>
              <w:t>4%</w:t>
            </w:r>
          </w:p>
        </w:tc>
      </w:tr>
      <w:tr w:rsidR="008E1E49" w14:paraId="3F5263AA" w14:textId="77777777" w:rsidTr="008E1E49">
        <w:trPr>
          <w:cnfStyle w:val="000000100000" w:firstRow="0" w:lastRow="0" w:firstColumn="0" w:lastColumn="0" w:oddVBand="0" w:evenVBand="0" w:oddHBand="1" w:evenHBand="0" w:firstRowFirstColumn="0" w:firstRowLastColumn="0" w:lastRowFirstColumn="0" w:lastRowLastColumn="0"/>
        </w:trPr>
        <w:tc>
          <w:tcPr>
            <w:tcW w:w="2835" w:type="dxa"/>
            <w:noWrap/>
            <w:vAlign w:val="top"/>
            <w:hideMark/>
          </w:tcPr>
          <w:p w14:paraId="4CB9655E" w14:textId="7A5079C3" w:rsidR="008E1E49" w:rsidRPr="005C744A" w:rsidRDefault="008E1E49" w:rsidP="008E1E49">
            <w:pPr>
              <w:pStyle w:val="TableText"/>
              <w:rPr>
                <w:i/>
                <w:iCs/>
              </w:rPr>
            </w:pPr>
            <w:r w:rsidRPr="005C744A">
              <w:rPr>
                <w:i/>
                <w:iCs/>
              </w:rPr>
              <w:t>Lower reliability entitlements*</w:t>
            </w:r>
          </w:p>
        </w:tc>
        <w:tc>
          <w:tcPr>
            <w:tcW w:w="1134" w:type="dxa"/>
            <w:noWrap/>
            <w:vAlign w:val="top"/>
            <w:hideMark/>
          </w:tcPr>
          <w:p w14:paraId="7F7294B2" w14:textId="044C68DF" w:rsidR="008E1E49" w:rsidRPr="005C744A" w:rsidRDefault="008E1E49" w:rsidP="008E1E49">
            <w:pPr>
              <w:pStyle w:val="TableText"/>
              <w:jc w:val="right"/>
              <w:rPr>
                <w:b/>
                <w:bCs/>
                <w:i/>
                <w:iCs/>
              </w:rPr>
            </w:pPr>
            <w:r w:rsidRPr="005C744A">
              <w:rPr>
                <w:i/>
                <w:iCs/>
              </w:rPr>
              <w:t>37%</w:t>
            </w:r>
          </w:p>
        </w:tc>
        <w:tc>
          <w:tcPr>
            <w:tcW w:w="1700" w:type="dxa"/>
            <w:noWrap/>
            <w:vAlign w:val="top"/>
            <w:hideMark/>
          </w:tcPr>
          <w:p w14:paraId="69BF70CA" w14:textId="31233D3A" w:rsidR="008E1E49" w:rsidRPr="005C744A" w:rsidRDefault="008E1E49" w:rsidP="008E1E49">
            <w:pPr>
              <w:pStyle w:val="TableText"/>
              <w:jc w:val="right"/>
              <w:rPr>
                <w:b/>
                <w:bCs/>
                <w:i/>
                <w:iCs/>
              </w:rPr>
            </w:pPr>
            <w:r w:rsidRPr="005C744A">
              <w:rPr>
                <w:i/>
                <w:iCs/>
              </w:rPr>
              <w:t>41%</w:t>
            </w:r>
          </w:p>
        </w:tc>
        <w:tc>
          <w:tcPr>
            <w:tcW w:w="1700" w:type="dxa"/>
            <w:noWrap/>
            <w:vAlign w:val="top"/>
            <w:hideMark/>
          </w:tcPr>
          <w:p w14:paraId="7056E699" w14:textId="3C72C584" w:rsidR="008E1E49" w:rsidRPr="005C744A" w:rsidRDefault="008E1E49" w:rsidP="008E1E49">
            <w:pPr>
              <w:pStyle w:val="TableText"/>
              <w:jc w:val="right"/>
              <w:rPr>
                <w:b/>
                <w:bCs/>
                <w:i/>
                <w:iCs/>
              </w:rPr>
            </w:pPr>
            <w:r w:rsidRPr="005C744A">
              <w:rPr>
                <w:i/>
                <w:iCs/>
              </w:rPr>
              <w:t>29%</w:t>
            </w:r>
          </w:p>
        </w:tc>
        <w:tc>
          <w:tcPr>
            <w:tcW w:w="1701" w:type="dxa"/>
            <w:noWrap/>
            <w:vAlign w:val="top"/>
            <w:hideMark/>
          </w:tcPr>
          <w:p w14:paraId="50D96707" w14:textId="785A1FDB" w:rsidR="008E1E49" w:rsidRPr="005C744A" w:rsidRDefault="008E1E49" w:rsidP="008E1E49">
            <w:pPr>
              <w:pStyle w:val="TableText"/>
              <w:jc w:val="right"/>
              <w:rPr>
                <w:b/>
                <w:bCs/>
                <w:i/>
                <w:iCs/>
              </w:rPr>
            </w:pPr>
            <w:r w:rsidRPr="005C744A">
              <w:rPr>
                <w:i/>
                <w:iCs/>
              </w:rPr>
              <w:t>96%</w:t>
            </w:r>
          </w:p>
        </w:tc>
      </w:tr>
    </w:tbl>
    <w:p w14:paraId="56C64EB8" w14:textId="56BC9367" w:rsidR="00235CB7" w:rsidRDefault="00235CB7" w:rsidP="00235CB7">
      <w:pPr>
        <w:pStyle w:val="BodyText"/>
      </w:pPr>
      <w:r>
        <w:rPr>
          <w:i/>
          <w:color w:val="9BA1A5"/>
          <w:sz w:val="16"/>
          <w:szCs w:val="16"/>
        </w:rPr>
        <w:t xml:space="preserve">Note: Data to 31 May 2022. </w:t>
      </w:r>
      <w:r w:rsidR="008E1E49">
        <w:rPr>
          <w:i/>
          <w:color w:val="9BA1A5"/>
          <w:sz w:val="16"/>
          <w:szCs w:val="16"/>
        </w:rPr>
        <w:t>^</w:t>
      </w:r>
      <w:r w:rsidR="008E1E49" w:rsidRPr="008E1E49">
        <w:t xml:space="preserve"> </w:t>
      </w:r>
      <w:r w:rsidR="008E1E49" w:rsidRPr="008E1E49">
        <w:rPr>
          <w:i/>
          <w:color w:val="9BA1A5"/>
          <w:sz w:val="16"/>
          <w:szCs w:val="16"/>
        </w:rPr>
        <w:t>Higher reliability entitlements</w:t>
      </w:r>
      <w:r w:rsidR="008E1E49">
        <w:rPr>
          <w:i/>
          <w:color w:val="9BA1A5"/>
          <w:sz w:val="16"/>
          <w:szCs w:val="16"/>
        </w:rPr>
        <w:t xml:space="preserve"> include</w:t>
      </w:r>
      <w:r w:rsidR="005C744A">
        <w:rPr>
          <w:i/>
          <w:color w:val="9BA1A5"/>
          <w:sz w:val="16"/>
          <w:szCs w:val="16"/>
        </w:rPr>
        <w:t xml:space="preserve"> high reliability/security entitlements and conveyance entitlements</w:t>
      </w:r>
      <w:r w:rsidR="008E1E49">
        <w:rPr>
          <w:i/>
          <w:color w:val="9BA1A5"/>
          <w:sz w:val="16"/>
          <w:szCs w:val="16"/>
        </w:rPr>
        <w:t xml:space="preserve"> </w:t>
      </w:r>
      <w:r>
        <w:rPr>
          <w:i/>
          <w:color w:val="9BA1A5"/>
          <w:sz w:val="16"/>
          <w:szCs w:val="16"/>
        </w:rPr>
        <w:t xml:space="preserve">* </w:t>
      </w:r>
      <w:r w:rsidR="008E1E49">
        <w:rPr>
          <w:i/>
          <w:color w:val="9BA1A5"/>
          <w:sz w:val="16"/>
          <w:szCs w:val="16"/>
        </w:rPr>
        <w:t xml:space="preserve">Lower </w:t>
      </w:r>
      <w:r w:rsidR="008E1E49" w:rsidRPr="008E1E49">
        <w:rPr>
          <w:i/>
          <w:color w:val="9BA1A5"/>
          <w:sz w:val="16"/>
          <w:szCs w:val="16"/>
        </w:rPr>
        <w:t>reliability entitlements</w:t>
      </w:r>
      <w:r w:rsidR="008E1E49">
        <w:rPr>
          <w:i/>
          <w:color w:val="9BA1A5"/>
          <w:sz w:val="16"/>
          <w:szCs w:val="16"/>
        </w:rPr>
        <w:t xml:space="preserve"> include</w:t>
      </w:r>
      <w:r w:rsidR="005C744A">
        <w:rPr>
          <w:i/>
          <w:color w:val="9BA1A5"/>
          <w:sz w:val="16"/>
          <w:szCs w:val="16"/>
        </w:rPr>
        <w:t xml:space="preserve"> general security and low reliability entitlements as well as supplementary</w:t>
      </w:r>
      <w:r w:rsidR="00335386">
        <w:rPr>
          <w:i/>
          <w:color w:val="9BA1A5"/>
          <w:sz w:val="16"/>
          <w:szCs w:val="16"/>
        </w:rPr>
        <w:t xml:space="preserve">, </w:t>
      </w:r>
      <w:r w:rsidR="003140A9">
        <w:rPr>
          <w:i/>
          <w:color w:val="9BA1A5"/>
          <w:sz w:val="16"/>
          <w:szCs w:val="16"/>
        </w:rPr>
        <w:t xml:space="preserve">and </w:t>
      </w:r>
      <w:r w:rsidR="00335386">
        <w:rPr>
          <w:i/>
          <w:color w:val="9BA1A5"/>
          <w:sz w:val="16"/>
          <w:szCs w:val="16"/>
        </w:rPr>
        <w:t>unregulated</w:t>
      </w:r>
      <w:r>
        <w:rPr>
          <w:i/>
          <w:color w:val="9BA1A5"/>
          <w:sz w:val="16"/>
          <w:szCs w:val="16"/>
        </w:rPr>
        <w:t>.</w:t>
      </w:r>
      <w:r w:rsidR="00290ECC">
        <w:rPr>
          <w:i/>
          <w:color w:val="9BA1A5"/>
          <w:sz w:val="16"/>
          <w:szCs w:val="16"/>
        </w:rPr>
        <w:br/>
        <w:t>Source: DCCEEW internal database, as at 25 July 2022.</w:t>
      </w:r>
    </w:p>
    <w:p w14:paraId="4A6D9F92" w14:textId="3595C7FA" w:rsidR="00D34441" w:rsidRDefault="00A2153D" w:rsidP="00A2153D">
      <w:pPr>
        <w:pStyle w:val="BodyText"/>
      </w:pPr>
      <w:r>
        <w:t xml:space="preserve">As at 30 </w:t>
      </w:r>
      <w:r w:rsidR="00C56E4E">
        <w:t xml:space="preserve">June </w:t>
      </w:r>
      <w:r>
        <w:t>2022, a total of 2,10</w:t>
      </w:r>
      <w:r w:rsidR="00C56E4E">
        <w:t>7</w:t>
      </w:r>
      <w:r>
        <w:t>.4 GL (long</w:t>
      </w:r>
      <w:r w:rsidR="00AE14B2">
        <w:t>-</w:t>
      </w:r>
      <w:r>
        <w:t xml:space="preserve">term equivalent) </w:t>
      </w:r>
      <w:r w:rsidR="00606A1B">
        <w:t xml:space="preserve">of surface water </w:t>
      </w:r>
      <w:r>
        <w:t>had been recovered under the ‘Bridging the Gap’ water recovery across the MDB. Of this 1,93</w:t>
      </w:r>
      <w:r w:rsidR="00606A1B">
        <w:t>9</w:t>
      </w:r>
      <w:r>
        <w:t>.4 GL came from Commonwealth water recovery, and 168.0GL from State Government Recoveries</w:t>
      </w:r>
      <w:r w:rsidR="00AB3743">
        <w:t xml:space="preserve"> (recall </w:t>
      </w:r>
      <w:r w:rsidR="00AB3743">
        <w:fldChar w:fldCharType="begin"/>
      </w:r>
      <w:r w:rsidR="00AB3743">
        <w:instrText xml:space="preserve"> REF _Ref112242670 \h </w:instrText>
      </w:r>
      <w:r w:rsidR="00AB3743">
        <w:fldChar w:fldCharType="separate"/>
      </w:r>
      <w:r w:rsidR="00D4298A" w:rsidRPr="00603BC1">
        <w:rPr>
          <w:rStyle w:val="Bold"/>
        </w:rPr>
        <w:t xml:space="preserve">Table </w:t>
      </w:r>
      <w:r w:rsidR="00D4298A">
        <w:rPr>
          <w:rStyle w:val="Bold"/>
          <w:noProof/>
        </w:rPr>
        <w:t>2</w:t>
      </w:r>
      <w:r w:rsidR="00AB3743">
        <w:fldChar w:fldCharType="end"/>
      </w:r>
      <w:r w:rsidR="00AB3743">
        <w:t>).</w:t>
      </w:r>
      <w:r w:rsidR="00D34441">
        <w:t xml:space="preserve"> </w:t>
      </w:r>
    </w:p>
    <w:p w14:paraId="2F0D99C8" w14:textId="2E50D49D" w:rsidR="00977B9C" w:rsidRDefault="00977B9C" w:rsidP="00A2153D">
      <w:pPr>
        <w:pStyle w:val="BodyText"/>
      </w:pPr>
      <w:r>
        <w:t>Although t</w:t>
      </w:r>
      <w:r w:rsidRPr="00977B9C">
        <w:t>his is higher than the target of 2,075 GL, there are some local and shared water recovery targets that have not yet been met</w:t>
      </w:r>
      <w:r w:rsidR="00757E81">
        <w:t xml:space="preserve"> — 27.1GL in New South Wales, 4.9GL in the ACT and 14GL in Queensland (</w:t>
      </w:r>
      <w:r w:rsidR="00757E81">
        <w:fldChar w:fldCharType="begin"/>
      </w:r>
      <w:r w:rsidR="00757E81">
        <w:instrText xml:space="preserve"> REF _Ref110780714 \h </w:instrText>
      </w:r>
      <w:r w:rsidR="00757E81">
        <w:fldChar w:fldCharType="separate"/>
      </w:r>
      <w:r w:rsidR="00D4298A" w:rsidRPr="00603BC1">
        <w:rPr>
          <w:rStyle w:val="Bold"/>
        </w:rPr>
        <w:t xml:space="preserve">Table </w:t>
      </w:r>
      <w:r w:rsidR="00D4298A">
        <w:rPr>
          <w:rStyle w:val="Bold"/>
          <w:noProof/>
        </w:rPr>
        <w:t>7</w:t>
      </w:r>
      <w:r w:rsidR="00757E81">
        <w:fldChar w:fldCharType="end"/>
      </w:r>
      <w:r w:rsidR="00757E81">
        <w:t>).</w:t>
      </w:r>
      <w:r w:rsidR="00B57539">
        <w:t xml:space="preserve"> Targets have been met in Victoria and South Australia.</w:t>
      </w:r>
    </w:p>
    <w:p w14:paraId="75DECC82" w14:textId="172B3806" w:rsidR="00757E81" w:rsidRDefault="00757E81" w:rsidP="00757E81">
      <w:pPr>
        <w:pStyle w:val="Caption"/>
      </w:pPr>
      <w:bookmarkStart w:id="97" w:name="_Ref110780714"/>
      <w:bookmarkStart w:id="98" w:name="_Toc113621694"/>
      <w:r w:rsidRPr="00603BC1">
        <w:rPr>
          <w:rStyle w:val="Bold"/>
        </w:rPr>
        <w:t xml:space="preserve">Table </w:t>
      </w:r>
      <w:r w:rsidRPr="00603BC1">
        <w:rPr>
          <w:rStyle w:val="Bold"/>
        </w:rPr>
        <w:fldChar w:fldCharType="begin"/>
      </w:r>
      <w:r w:rsidRPr="00603BC1">
        <w:rPr>
          <w:rStyle w:val="Bold"/>
        </w:rPr>
        <w:instrText xml:space="preserve"> SEQ Table \* ARABIC </w:instrText>
      </w:r>
      <w:r w:rsidRPr="00603BC1">
        <w:rPr>
          <w:rStyle w:val="Bold"/>
        </w:rPr>
        <w:fldChar w:fldCharType="separate"/>
      </w:r>
      <w:r w:rsidR="00D4298A">
        <w:rPr>
          <w:rStyle w:val="Bold"/>
          <w:noProof/>
        </w:rPr>
        <w:t>7</w:t>
      </w:r>
      <w:r w:rsidRPr="00603BC1">
        <w:rPr>
          <w:rStyle w:val="Bold"/>
        </w:rPr>
        <w:fldChar w:fldCharType="end"/>
      </w:r>
      <w:bookmarkEnd w:id="97"/>
      <w:r w:rsidRPr="00603BC1">
        <w:rPr>
          <w:rStyle w:val="Bold"/>
        </w:rPr>
        <w:t>:</w:t>
      </w:r>
      <w:r>
        <w:t xml:space="preserve"> ‘Bridging the Gap’ remaining recovery task</w:t>
      </w:r>
      <w:bookmarkEnd w:id="98"/>
    </w:p>
    <w:tbl>
      <w:tblPr>
        <w:tblStyle w:val="FETableStyle"/>
        <w:tblW w:w="5000" w:type="pct"/>
        <w:tblLook w:val="0420" w:firstRow="1" w:lastRow="0" w:firstColumn="0" w:lastColumn="0" w:noHBand="0" w:noVBand="1"/>
      </w:tblPr>
      <w:tblGrid>
        <w:gridCol w:w="4536"/>
        <w:gridCol w:w="4534"/>
      </w:tblGrid>
      <w:tr w:rsidR="00757E81" w:rsidRPr="00757E81" w14:paraId="5B6928E2" w14:textId="77777777" w:rsidTr="00757E81">
        <w:trPr>
          <w:cnfStyle w:val="100000000000" w:firstRow="1" w:lastRow="0" w:firstColumn="0" w:lastColumn="0" w:oddVBand="0" w:evenVBand="0" w:oddHBand="0" w:evenHBand="0" w:firstRowFirstColumn="0" w:firstRowLastColumn="0" w:lastRowFirstColumn="0" w:lastRowLastColumn="0"/>
        </w:trPr>
        <w:tc>
          <w:tcPr>
            <w:tcW w:w="4536" w:type="dxa"/>
            <w:noWrap/>
          </w:tcPr>
          <w:p w14:paraId="0B183AA3" w14:textId="1E1D2D74" w:rsidR="00757E81" w:rsidRPr="00757E81" w:rsidRDefault="00757E81" w:rsidP="00757E81">
            <w:pPr>
              <w:pStyle w:val="TableHeading"/>
              <w:rPr>
                <w:b/>
              </w:rPr>
            </w:pPr>
            <w:r>
              <w:rPr>
                <w:b/>
              </w:rPr>
              <w:t>Region</w:t>
            </w:r>
          </w:p>
        </w:tc>
        <w:tc>
          <w:tcPr>
            <w:tcW w:w="4534" w:type="dxa"/>
            <w:noWrap/>
          </w:tcPr>
          <w:p w14:paraId="3B8E413A" w14:textId="37046E3E" w:rsidR="00757E81" w:rsidRPr="00757E81" w:rsidRDefault="00757E81" w:rsidP="00757E81">
            <w:pPr>
              <w:pStyle w:val="TableHeading"/>
              <w:jc w:val="center"/>
              <w:rPr>
                <w:b/>
              </w:rPr>
            </w:pPr>
            <w:r>
              <w:rPr>
                <w:b/>
              </w:rPr>
              <w:t>R</w:t>
            </w:r>
            <w:r w:rsidRPr="00757E81">
              <w:rPr>
                <w:b/>
              </w:rPr>
              <w:t>emaining recovery task</w:t>
            </w:r>
            <w:r>
              <w:rPr>
                <w:b/>
              </w:rPr>
              <w:t xml:space="preserve"> (GL)</w:t>
            </w:r>
          </w:p>
        </w:tc>
      </w:tr>
      <w:tr w:rsidR="00757E81" w:rsidRPr="00757E81" w14:paraId="0B4C710E" w14:textId="77777777" w:rsidTr="00757E81">
        <w:trPr>
          <w:cnfStyle w:val="000000100000" w:firstRow="0" w:lastRow="0" w:firstColumn="0" w:lastColumn="0" w:oddVBand="0" w:evenVBand="0" w:oddHBand="1" w:evenHBand="0" w:firstRowFirstColumn="0" w:firstRowLastColumn="0" w:lastRowFirstColumn="0" w:lastRowLastColumn="0"/>
        </w:trPr>
        <w:tc>
          <w:tcPr>
            <w:tcW w:w="4536" w:type="dxa"/>
            <w:noWrap/>
            <w:hideMark/>
          </w:tcPr>
          <w:p w14:paraId="5CDCD2CC" w14:textId="77777777" w:rsidR="00757E81" w:rsidRPr="00757E81" w:rsidRDefault="00757E81" w:rsidP="00757E81">
            <w:pPr>
              <w:pStyle w:val="TableText"/>
            </w:pPr>
            <w:r w:rsidRPr="00757E81">
              <w:t>Northern Basin NSW Zone</w:t>
            </w:r>
          </w:p>
        </w:tc>
        <w:tc>
          <w:tcPr>
            <w:tcW w:w="4534" w:type="dxa"/>
            <w:noWrap/>
            <w:hideMark/>
          </w:tcPr>
          <w:p w14:paraId="1E8FBCD8" w14:textId="77777777" w:rsidR="00757E81" w:rsidRPr="00757E81" w:rsidRDefault="00757E81" w:rsidP="00757E81">
            <w:pPr>
              <w:pStyle w:val="TableText"/>
              <w:jc w:val="center"/>
            </w:pPr>
            <w:r w:rsidRPr="00757E81">
              <w:t>16.2</w:t>
            </w:r>
          </w:p>
        </w:tc>
      </w:tr>
      <w:tr w:rsidR="00757E81" w:rsidRPr="00757E81" w14:paraId="478A0508" w14:textId="77777777" w:rsidTr="00757E81">
        <w:trPr>
          <w:cnfStyle w:val="000000010000" w:firstRow="0" w:lastRow="0" w:firstColumn="0" w:lastColumn="0" w:oddVBand="0" w:evenVBand="0" w:oddHBand="0" w:evenHBand="1" w:firstRowFirstColumn="0" w:firstRowLastColumn="0" w:lastRowFirstColumn="0" w:lastRowLastColumn="0"/>
        </w:trPr>
        <w:tc>
          <w:tcPr>
            <w:tcW w:w="4536" w:type="dxa"/>
            <w:noWrap/>
            <w:hideMark/>
          </w:tcPr>
          <w:p w14:paraId="0E99DD9C" w14:textId="77777777" w:rsidR="00757E81" w:rsidRPr="00757E81" w:rsidRDefault="00757E81" w:rsidP="00757E81">
            <w:pPr>
              <w:pStyle w:val="TableText"/>
            </w:pPr>
            <w:r w:rsidRPr="00757E81">
              <w:t>Southern Basin NSW Zone</w:t>
            </w:r>
          </w:p>
        </w:tc>
        <w:tc>
          <w:tcPr>
            <w:tcW w:w="4534" w:type="dxa"/>
            <w:noWrap/>
            <w:hideMark/>
          </w:tcPr>
          <w:p w14:paraId="3FD77400" w14:textId="77777777" w:rsidR="00757E81" w:rsidRPr="00757E81" w:rsidRDefault="00757E81" w:rsidP="00757E81">
            <w:pPr>
              <w:pStyle w:val="TableText"/>
              <w:jc w:val="center"/>
            </w:pPr>
            <w:r w:rsidRPr="00757E81">
              <w:t>10.0</w:t>
            </w:r>
          </w:p>
        </w:tc>
      </w:tr>
      <w:tr w:rsidR="00757E81" w:rsidRPr="00757E81" w14:paraId="13023C45" w14:textId="77777777" w:rsidTr="00757E81">
        <w:trPr>
          <w:cnfStyle w:val="000000100000" w:firstRow="0" w:lastRow="0" w:firstColumn="0" w:lastColumn="0" w:oddVBand="0" w:evenVBand="0" w:oddHBand="1" w:evenHBand="0" w:firstRowFirstColumn="0" w:firstRowLastColumn="0" w:lastRowFirstColumn="0" w:lastRowLastColumn="0"/>
        </w:trPr>
        <w:tc>
          <w:tcPr>
            <w:tcW w:w="4536" w:type="dxa"/>
            <w:noWrap/>
            <w:hideMark/>
          </w:tcPr>
          <w:p w14:paraId="14EFE65D" w14:textId="77777777" w:rsidR="00757E81" w:rsidRPr="00757E81" w:rsidRDefault="00757E81" w:rsidP="00757E81">
            <w:pPr>
              <w:pStyle w:val="TableText"/>
            </w:pPr>
            <w:r w:rsidRPr="00757E81">
              <w:t>Lachlan</w:t>
            </w:r>
          </w:p>
        </w:tc>
        <w:tc>
          <w:tcPr>
            <w:tcW w:w="4534" w:type="dxa"/>
            <w:noWrap/>
            <w:hideMark/>
          </w:tcPr>
          <w:p w14:paraId="52654B2F" w14:textId="77777777" w:rsidR="00757E81" w:rsidRPr="00757E81" w:rsidRDefault="00757E81" w:rsidP="00757E81">
            <w:pPr>
              <w:pStyle w:val="TableText"/>
              <w:jc w:val="center"/>
            </w:pPr>
            <w:r w:rsidRPr="00757E81">
              <w:t>0.9</w:t>
            </w:r>
          </w:p>
        </w:tc>
      </w:tr>
      <w:tr w:rsidR="00757E81" w:rsidRPr="00757E81" w14:paraId="23069112" w14:textId="77777777" w:rsidTr="00757E81">
        <w:trPr>
          <w:cnfStyle w:val="000000010000" w:firstRow="0" w:lastRow="0" w:firstColumn="0" w:lastColumn="0" w:oddVBand="0" w:evenVBand="0" w:oddHBand="0" w:evenHBand="1" w:firstRowFirstColumn="0" w:firstRowLastColumn="0" w:lastRowFirstColumn="0" w:lastRowLastColumn="0"/>
        </w:trPr>
        <w:tc>
          <w:tcPr>
            <w:tcW w:w="4536" w:type="dxa"/>
            <w:noWrap/>
            <w:hideMark/>
          </w:tcPr>
          <w:p w14:paraId="57CECFA6" w14:textId="77777777" w:rsidR="00757E81" w:rsidRPr="00757E81" w:rsidRDefault="00757E81" w:rsidP="00757E81">
            <w:pPr>
              <w:pStyle w:val="TableText"/>
            </w:pPr>
            <w:r w:rsidRPr="00757E81">
              <w:t>Southern Basin ACT Zone (13)</w:t>
            </w:r>
          </w:p>
        </w:tc>
        <w:tc>
          <w:tcPr>
            <w:tcW w:w="4534" w:type="dxa"/>
            <w:noWrap/>
            <w:hideMark/>
          </w:tcPr>
          <w:p w14:paraId="3400F011" w14:textId="77777777" w:rsidR="00757E81" w:rsidRPr="00757E81" w:rsidRDefault="00757E81" w:rsidP="00757E81">
            <w:pPr>
              <w:pStyle w:val="TableText"/>
              <w:jc w:val="center"/>
            </w:pPr>
            <w:r w:rsidRPr="00757E81">
              <w:t>4.9</w:t>
            </w:r>
          </w:p>
        </w:tc>
      </w:tr>
      <w:tr w:rsidR="00757E81" w:rsidRPr="00757E81" w14:paraId="26209C4C" w14:textId="77777777" w:rsidTr="00757E81">
        <w:trPr>
          <w:cnfStyle w:val="000000100000" w:firstRow="0" w:lastRow="0" w:firstColumn="0" w:lastColumn="0" w:oddVBand="0" w:evenVBand="0" w:oddHBand="1" w:evenHBand="0" w:firstRowFirstColumn="0" w:firstRowLastColumn="0" w:lastRowFirstColumn="0" w:lastRowLastColumn="0"/>
        </w:trPr>
        <w:tc>
          <w:tcPr>
            <w:tcW w:w="4536" w:type="dxa"/>
            <w:noWrap/>
            <w:hideMark/>
          </w:tcPr>
          <w:p w14:paraId="4DF831A9" w14:textId="77777777" w:rsidR="00757E81" w:rsidRPr="00757E81" w:rsidRDefault="00757E81" w:rsidP="00757E81">
            <w:pPr>
              <w:pStyle w:val="TableText"/>
            </w:pPr>
            <w:r w:rsidRPr="00757E81">
              <w:t>Northern Basin QLD Zone</w:t>
            </w:r>
          </w:p>
        </w:tc>
        <w:tc>
          <w:tcPr>
            <w:tcW w:w="4534" w:type="dxa"/>
            <w:noWrap/>
            <w:hideMark/>
          </w:tcPr>
          <w:p w14:paraId="4595FD3B" w14:textId="77777777" w:rsidR="00757E81" w:rsidRPr="00757E81" w:rsidRDefault="00757E81" w:rsidP="00757E81">
            <w:pPr>
              <w:pStyle w:val="TableText"/>
              <w:jc w:val="center"/>
            </w:pPr>
            <w:r w:rsidRPr="00757E81">
              <w:t>14.0</w:t>
            </w:r>
          </w:p>
        </w:tc>
      </w:tr>
      <w:tr w:rsidR="00757E81" w:rsidRPr="00757E81" w14:paraId="56156471" w14:textId="77777777" w:rsidTr="00757E81">
        <w:trPr>
          <w:cnfStyle w:val="000000010000" w:firstRow="0" w:lastRow="0" w:firstColumn="0" w:lastColumn="0" w:oddVBand="0" w:evenVBand="0" w:oddHBand="0" w:evenHBand="1" w:firstRowFirstColumn="0" w:firstRowLastColumn="0" w:lastRowFirstColumn="0" w:lastRowLastColumn="0"/>
        </w:trPr>
        <w:tc>
          <w:tcPr>
            <w:tcW w:w="4536" w:type="dxa"/>
            <w:noWrap/>
            <w:hideMark/>
          </w:tcPr>
          <w:p w14:paraId="4C18DD9C" w14:textId="77777777" w:rsidR="00757E81" w:rsidRPr="00757E81" w:rsidRDefault="00757E81" w:rsidP="00757E81">
            <w:pPr>
              <w:pStyle w:val="TableText"/>
              <w:rPr>
                <w:b/>
                <w:bCs/>
              </w:rPr>
            </w:pPr>
            <w:r w:rsidRPr="00757E81">
              <w:rPr>
                <w:b/>
                <w:bCs/>
              </w:rPr>
              <w:t>Total remaining recovery task</w:t>
            </w:r>
          </w:p>
        </w:tc>
        <w:tc>
          <w:tcPr>
            <w:tcW w:w="4534" w:type="dxa"/>
            <w:noWrap/>
            <w:hideMark/>
          </w:tcPr>
          <w:p w14:paraId="70FA86E1" w14:textId="77777777" w:rsidR="00757E81" w:rsidRPr="00757E81" w:rsidRDefault="00757E81" w:rsidP="00757E81">
            <w:pPr>
              <w:pStyle w:val="TableText"/>
              <w:jc w:val="center"/>
              <w:rPr>
                <w:b/>
                <w:bCs/>
              </w:rPr>
            </w:pPr>
            <w:r w:rsidRPr="00757E81">
              <w:rPr>
                <w:b/>
                <w:bCs/>
              </w:rPr>
              <w:t>46.0</w:t>
            </w:r>
          </w:p>
        </w:tc>
      </w:tr>
    </w:tbl>
    <w:p w14:paraId="0238056C" w14:textId="41D1CEB9" w:rsidR="00757E81" w:rsidRPr="00885B0A" w:rsidRDefault="00757E81" w:rsidP="000A0868">
      <w:pPr>
        <w:pStyle w:val="BodyText"/>
        <w:rPr>
          <w:color w:val="9BA1A5"/>
        </w:rPr>
      </w:pPr>
      <w:r w:rsidRPr="00885B0A">
        <w:rPr>
          <w:i/>
          <w:color w:val="9BA1A5"/>
          <w:sz w:val="16"/>
          <w:szCs w:val="16"/>
        </w:rPr>
        <w:t xml:space="preserve">Source: </w:t>
      </w:r>
      <w:r w:rsidR="004908B1">
        <w:rPr>
          <w:i/>
          <w:color w:val="9BA1A5"/>
          <w:sz w:val="16"/>
          <w:szCs w:val="16"/>
        </w:rPr>
        <w:t xml:space="preserve">DCCEWW, </w:t>
      </w:r>
      <w:r w:rsidR="004908B1" w:rsidRPr="004908B1">
        <w:rPr>
          <w:i/>
          <w:color w:val="9BA1A5"/>
          <w:sz w:val="16"/>
          <w:szCs w:val="16"/>
        </w:rPr>
        <w:t>Surface water recovery required under the Basin Plan including the Sustainable Diversion Limit Adjustment Mechanism</w:t>
      </w:r>
      <w:r w:rsidR="00DA2F87">
        <w:rPr>
          <w:i/>
          <w:color w:val="9BA1A5"/>
          <w:sz w:val="16"/>
          <w:szCs w:val="16"/>
        </w:rPr>
        <w:t xml:space="preserve">, </w:t>
      </w:r>
      <w:r w:rsidR="00DA2F87" w:rsidRPr="00DA2F87">
        <w:rPr>
          <w:i/>
          <w:color w:val="9BA1A5"/>
          <w:sz w:val="16"/>
          <w:szCs w:val="16"/>
        </w:rPr>
        <w:t xml:space="preserve">as at 30 </w:t>
      </w:r>
      <w:r w:rsidR="002651BF">
        <w:rPr>
          <w:i/>
          <w:color w:val="9BA1A5"/>
          <w:sz w:val="16"/>
          <w:szCs w:val="16"/>
        </w:rPr>
        <w:t>June</w:t>
      </w:r>
      <w:r w:rsidR="00DA2F87" w:rsidRPr="00DA2F87">
        <w:rPr>
          <w:i/>
          <w:color w:val="9BA1A5"/>
          <w:sz w:val="16"/>
          <w:szCs w:val="16"/>
        </w:rPr>
        <w:t xml:space="preserve"> 2022</w:t>
      </w:r>
      <w:r w:rsidR="00DA2F87">
        <w:rPr>
          <w:i/>
          <w:color w:val="9BA1A5"/>
          <w:sz w:val="16"/>
          <w:szCs w:val="16"/>
        </w:rPr>
        <w:t xml:space="preserve">. </w:t>
      </w:r>
      <w:r w:rsidR="00DA2F87" w:rsidRPr="00DA2F87">
        <w:rPr>
          <w:i/>
          <w:color w:val="9BA1A5"/>
          <w:sz w:val="16"/>
          <w:szCs w:val="16"/>
        </w:rPr>
        <w:t>https://www.dcceew.gov.au/sites/default/files/documents/surface-water-recoveries-including-sdlam.pdf</w:t>
      </w:r>
    </w:p>
    <w:p w14:paraId="79C64681" w14:textId="77C99327" w:rsidR="00A2153D" w:rsidRDefault="00A2153D" w:rsidP="00A2153D">
      <w:pPr>
        <w:pStyle w:val="BodyText"/>
      </w:pPr>
      <w:r>
        <w:lastRenderedPageBreak/>
        <w:t>The vast majority (over 80%) has been recovered in the southern MDB. Of this, the proportion between Victorian and NSW (as measured in long term equivalent volumes) is roughly equal (4</w:t>
      </w:r>
      <w:r w:rsidR="009C2D3F">
        <w:t>7</w:t>
      </w:r>
      <w:r>
        <w:t>% and 4</w:t>
      </w:r>
      <w:r w:rsidR="009C2D3F">
        <w:t>5</w:t>
      </w:r>
      <w:r>
        <w:t xml:space="preserve">%, respectively) and </w:t>
      </w:r>
      <w:r w:rsidR="009C2D3F">
        <w:t>8</w:t>
      </w:r>
      <w:r>
        <w:t>% has been recovered in SA (</w:t>
      </w:r>
      <w:r>
        <w:fldChar w:fldCharType="begin"/>
      </w:r>
      <w:r>
        <w:instrText xml:space="preserve"> REF _Ref108010527 \h </w:instrText>
      </w:r>
      <w:r>
        <w:fldChar w:fldCharType="separate"/>
      </w:r>
      <w:r w:rsidR="00D4298A">
        <w:rPr>
          <w:rStyle w:val="Bold"/>
        </w:rPr>
        <w:t xml:space="preserve">Figure </w:t>
      </w:r>
      <w:r w:rsidR="00D4298A">
        <w:rPr>
          <w:rStyle w:val="Bold"/>
          <w:noProof/>
        </w:rPr>
        <w:t>7</w:t>
      </w:r>
      <w:r>
        <w:fldChar w:fldCharType="end"/>
      </w:r>
      <w:r>
        <w:t>).</w:t>
      </w:r>
    </w:p>
    <w:p w14:paraId="468BBF05" w14:textId="6FCD5C6A" w:rsidR="00A2153D" w:rsidRDefault="00A2153D" w:rsidP="00A2153D">
      <w:pPr>
        <w:pStyle w:val="Caption"/>
      </w:pPr>
      <w:bookmarkStart w:id="99" w:name="_Ref108010527"/>
      <w:bookmarkStart w:id="100" w:name="_Toc104933287"/>
      <w:bookmarkStart w:id="101" w:name="_Toc110262439"/>
      <w:bookmarkStart w:id="102" w:name="_Toc113621719"/>
      <w:r>
        <w:rPr>
          <w:rStyle w:val="Bold"/>
        </w:rPr>
        <w:t xml:space="preserve">Figure </w:t>
      </w:r>
      <w:r>
        <w:fldChar w:fldCharType="begin"/>
      </w:r>
      <w:r>
        <w:rPr>
          <w:rStyle w:val="Bold"/>
        </w:rPr>
        <w:instrText xml:space="preserve"> SEQ Figure \* ARABIC </w:instrText>
      </w:r>
      <w:r>
        <w:fldChar w:fldCharType="separate"/>
      </w:r>
      <w:r w:rsidR="00D4298A">
        <w:rPr>
          <w:rStyle w:val="Bold"/>
          <w:noProof/>
        </w:rPr>
        <w:t>7</w:t>
      </w:r>
      <w:r>
        <w:fldChar w:fldCharType="end"/>
      </w:r>
      <w:bookmarkEnd w:id="99"/>
      <w:r>
        <w:t xml:space="preserve">: Surface water recovery under the Basin Plan (%) – as at 30 </w:t>
      </w:r>
      <w:r w:rsidR="00A723D5">
        <w:t>June</w:t>
      </w:r>
      <w:r>
        <w:t xml:space="preserve"> 2022</w:t>
      </w:r>
      <w:bookmarkEnd w:id="100"/>
      <w:r>
        <w:t xml:space="preserve"> (LTAAY)</w:t>
      </w:r>
      <w:bookmarkEnd w:id="101"/>
      <w:bookmarkEnd w:id="102"/>
    </w:p>
    <w:p w14:paraId="7A2BFBE7" w14:textId="31A79D9A" w:rsidR="00A2153D" w:rsidRDefault="00A2153D" w:rsidP="00A2153D">
      <w:pPr>
        <w:pStyle w:val="Image-Page1fullwidth"/>
        <w:keepNext/>
        <w:framePr w:w="0" w:hSpace="0" w:wrap="auto" w:vAnchor="margin" w:yAlign="inline"/>
        <w:spacing w:after="0" w:line="240" w:lineRule="auto"/>
      </w:pPr>
      <w:r>
        <mc:AlternateContent>
          <mc:Choice Requires="wps">
            <w:drawing>
              <wp:anchor distT="0" distB="0" distL="114300" distR="114300" simplePos="0" relativeHeight="251661319" behindDoc="0" locked="0" layoutInCell="1" allowOverlap="1" wp14:anchorId="6639B17D" wp14:editId="2085374F">
                <wp:simplePos x="0" y="0"/>
                <wp:positionH relativeFrom="column">
                  <wp:posOffset>2118360</wp:posOffset>
                </wp:positionH>
                <wp:positionV relativeFrom="paragraph">
                  <wp:posOffset>1186815</wp:posOffset>
                </wp:positionV>
                <wp:extent cx="1057275" cy="0"/>
                <wp:effectExtent l="0" t="19050" r="47625" b="38100"/>
                <wp:wrapNone/>
                <wp:docPr id="248" name="Straight Connector 248"/>
                <wp:cNvGraphicFramePr/>
                <a:graphic xmlns:a="http://schemas.openxmlformats.org/drawingml/2006/main">
                  <a:graphicData uri="http://schemas.microsoft.com/office/word/2010/wordprocessingShape">
                    <wps:wsp>
                      <wps:cNvCnPr/>
                      <wps:spPr>
                        <a:xfrm>
                          <a:off x="0" y="0"/>
                          <a:ext cx="1057275" cy="0"/>
                        </a:xfrm>
                        <a:prstGeom prst="line">
                          <a:avLst/>
                        </a:prstGeom>
                        <a:ln w="50800"/>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B40C37" id="Straight Connector 248" o:spid="_x0000_s1026" style="position:absolute;z-index:251661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8pt,93.45pt" to="250.05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" strokecolor="#c4c6c7 [3049]" strokeweight="4pt"/>
            </w:pict>
          </mc:Fallback>
        </mc:AlternateContent>
      </w:r>
      <w:r>
        <mc:AlternateContent>
          <mc:Choice Requires="wps">
            <w:drawing>
              <wp:anchor distT="0" distB="0" distL="114300" distR="114300" simplePos="0" relativeHeight="251660295" behindDoc="0" locked="0" layoutInCell="1" allowOverlap="1" wp14:anchorId="4E5B005F" wp14:editId="4025A8C8">
                <wp:simplePos x="0" y="0"/>
                <wp:positionH relativeFrom="column">
                  <wp:posOffset>3176270</wp:posOffset>
                </wp:positionH>
                <wp:positionV relativeFrom="paragraph">
                  <wp:posOffset>110490</wp:posOffset>
                </wp:positionV>
                <wp:extent cx="361950" cy="2085975"/>
                <wp:effectExtent l="19050" t="19050" r="19050" b="47625"/>
                <wp:wrapNone/>
                <wp:docPr id="247" name="Left Bracket 247"/>
                <wp:cNvGraphicFramePr/>
                <a:graphic xmlns:a="http://schemas.openxmlformats.org/drawingml/2006/main">
                  <a:graphicData uri="http://schemas.microsoft.com/office/word/2010/wordprocessingShape">
                    <wps:wsp>
                      <wps:cNvSpPr/>
                      <wps:spPr>
                        <a:xfrm>
                          <a:off x="0" y="0"/>
                          <a:ext cx="361950" cy="2085975"/>
                        </a:xfrm>
                        <a:prstGeom prst="leftBracket">
                          <a:avLst/>
                        </a:prstGeom>
                        <a:ln w="50800"/>
                      </wps:spPr>
                      <wps:style>
                        <a:lnRef idx="1">
                          <a:schemeClr val="accent6"/>
                        </a:lnRef>
                        <a:fillRef idx="0">
                          <a:schemeClr val="accent6"/>
                        </a:fillRef>
                        <a:effectRef idx="0">
                          <a:schemeClr val="accent6"/>
                        </a:effectRef>
                        <a:fontRef idx="minor">
                          <a:schemeClr val="tx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1E2E3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47" o:spid="_x0000_s1026" type="#_x0000_t85" style="position:absolute;margin-left:250.1pt;margin-top:8.7pt;width:28.5pt;height:164.25pt;z-index:251660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" adj="312" strokecolor="#c4c6c7 [3049]" strokeweight="4pt"/>
            </w:pict>
          </mc:Fallback>
        </mc:AlternateContent>
      </w:r>
      <w:r>
        <w:drawing>
          <wp:inline distT="0" distB="0" distL="0" distR="0" wp14:anchorId="0E4B188D" wp14:editId="47F05EB9">
            <wp:extent cx="3038475" cy="2743200"/>
            <wp:effectExtent l="0" t="0" r="9525" b="0"/>
            <wp:docPr id="236" name="Picture 23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hart, pie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l="21663" r="11887"/>
                    <a:stretch>
                      <a:fillRect/>
                    </a:stretch>
                  </pic:blipFill>
                  <pic:spPr bwMode="auto">
                    <a:xfrm>
                      <a:off x="0" y="0"/>
                      <a:ext cx="3038475" cy="2743200"/>
                    </a:xfrm>
                    <a:prstGeom prst="rect">
                      <a:avLst/>
                    </a:prstGeom>
                    <a:noFill/>
                    <a:ln>
                      <a:noFill/>
                    </a:ln>
                  </pic:spPr>
                </pic:pic>
              </a:graphicData>
            </a:graphic>
          </wp:inline>
        </w:drawing>
      </w:r>
      <w:r>
        <w:drawing>
          <wp:inline distT="0" distB="0" distL="0" distR="0" wp14:anchorId="71F998AF" wp14:editId="4B4E788E">
            <wp:extent cx="2628900" cy="2743200"/>
            <wp:effectExtent l="0" t="0" r="0" b="0"/>
            <wp:docPr id="235" name="Picture 23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hart, pie 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l="17081" r="25427"/>
                    <a:stretch>
                      <a:fillRect/>
                    </a:stretch>
                  </pic:blipFill>
                  <pic:spPr bwMode="auto">
                    <a:xfrm>
                      <a:off x="0" y="0"/>
                      <a:ext cx="2628900" cy="2743200"/>
                    </a:xfrm>
                    <a:prstGeom prst="rect">
                      <a:avLst/>
                    </a:prstGeom>
                    <a:noFill/>
                    <a:ln>
                      <a:noFill/>
                    </a:ln>
                  </pic:spPr>
                </pic:pic>
              </a:graphicData>
            </a:graphic>
          </wp:inline>
        </w:drawing>
      </w:r>
    </w:p>
    <w:p w14:paraId="046BCC00" w14:textId="77777777" w:rsidR="00A2153D" w:rsidRDefault="00A2153D" w:rsidP="00A2153D">
      <w:pPr>
        <w:pStyle w:val="Source"/>
        <w:rPr>
          <w:color w:val="9BA1A5"/>
        </w:rPr>
      </w:pPr>
      <w:r>
        <w:rPr>
          <w:color w:val="9BA1A5"/>
        </w:rPr>
        <w:t>Source: Frontier Economics using data from DCCEEW 2022.</w:t>
      </w:r>
      <w:r>
        <w:rPr>
          <w:color w:val="9BA1A5"/>
        </w:rPr>
        <w:tab/>
      </w:r>
      <w:r>
        <w:rPr>
          <w:color w:val="9BA1A5"/>
        </w:rPr>
        <w:br/>
        <w:t>https://www.dcceew.gov.au/sites/default/files/documents/surface-water-recoveries-registered-to-the-cewh.xlsx</w:t>
      </w:r>
    </w:p>
    <w:p w14:paraId="367DD1E0" w14:textId="77777777" w:rsidR="00A2153D" w:rsidRDefault="00A2153D" w:rsidP="00A2153D">
      <w:pPr>
        <w:pStyle w:val="BodyText"/>
      </w:pPr>
    </w:p>
    <w:p w14:paraId="13E948DB" w14:textId="77777777" w:rsidR="00A2153D" w:rsidRDefault="00A2153D" w:rsidP="00A2153D">
      <w:pPr>
        <w:pStyle w:val="BodyText"/>
      </w:pPr>
      <w:r>
        <w:t>Although the volumes of water recovered from NSW and Victoria are similar, their composition is profoundly different — in terms of both their reliability and the mechanisms by which they were recovered.</w:t>
      </w:r>
    </w:p>
    <w:p w14:paraId="779CC229" w14:textId="4E34BAF3" w:rsidR="00A2153D" w:rsidRDefault="00A42FA2" w:rsidP="00A2153D">
      <w:pPr>
        <w:pStyle w:val="BodyText"/>
      </w:pPr>
      <w:r>
        <w:fldChar w:fldCharType="begin"/>
      </w:r>
      <w:r>
        <w:instrText xml:space="preserve"> REF _Ref112252761 \h </w:instrText>
      </w:r>
      <w:r>
        <w:fldChar w:fldCharType="separate"/>
      </w:r>
      <w:r w:rsidR="00D4298A" w:rsidRPr="00603BC1">
        <w:rPr>
          <w:rStyle w:val="Bold"/>
        </w:rPr>
        <w:t xml:space="preserve">Table </w:t>
      </w:r>
      <w:r w:rsidR="00D4298A">
        <w:rPr>
          <w:rStyle w:val="Bold"/>
          <w:noProof/>
        </w:rPr>
        <w:t>8</w:t>
      </w:r>
      <w:r>
        <w:fldChar w:fldCharType="end"/>
      </w:r>
      <w:r>
        <w:t xml:space="preserve"> </w:t>
      </w:r>
      <w:r w:rsidR="00A2153D">
        <w:t xml:space="preserve">shows that Victorian water recovery was dominated by water </w:t>
      </w:r>
      <w:r w:rsidR="00AE14B2">
        <w:t>buybacks</w:t>
      </w:r>
      <w:r w:rsidR="00A2153D">
        <w:t>, whereas NSW water recovery involved more efficiency savings through infrastructure projects than purchases (via open tender or limited tender).</w:t>
      </w:r>
    </w:p>
    <w:p w14:paraId="53D19F78" w14:textId="68995BDB" w:rsidR="00A2153D" w:rsidRDefault="00A2153D" w:rsidP="00A2153D">
      <w:pPr>
        <w:pStyle w:val="BodyText"/>
      </w:pPr>
      <w:r>
        <w:t>As discussed throughout this report, the impact of water recovery differs depending on the mechanism. Importantly, ma</w:t>
      </w:r>
      <w:r w:rsidR="008944A8">
        <w:t>n</w:t>
      </w:r>
      <w:r>
        <w:t>y infrastructure projects allowed for some savings to be retained in the region as well as savings being transferred to the Commonwealth as part of water recovery.</w:t>
      </w:r>
    </w:p>
    <w:p w14:paraId="5E65C363" w14:textId="01059D36" w:rsidR="005B2628" w:rsidRDefault="005B2628" w:rsidP="00A2153D">
      <w:pPr>
        <w:pStyle w:val="BodyText"/>
      </w:pPr>
    </w:p>
    <w:p w14:paraId="7F67966B" w14:textId="77A0DD0B" w:rsidR="005B2628" w:rsidRDefault="005B2628" w:rsidP="008276F9">
      <w:pPr>
        <w:pStyle w:val="Caption"/>
      </w:pPr>
      <w:bookmarkStart w:id="103" w:name="_Ref112252761"/>
      <w:bookmarkStart w:id="104" w:name="_Toc113621695"/>
      <w:r w:rsidRPr="00603BC1">
        <w:rPr>
          <w:rStyle w:val="Bold"/>
        </w:rPr>
        <w:lastRenderedPageBreak/>
        <w:t xml:space="preserve">Table </w:t>
      </w:r>
      <w:r w:rsidRPr="00603BC1">
        <w:rPr>
          <w:rStyle w:val="Bold"/>
        </w:rPr>
        <w:fldChar w:fldCharType="begin"/>
      </w:r>
      <w:r w:rsidRPr="00603BC1">
        <w:rPr>
          <w:rStyle w:val="Bold"/>
        </w:rPr>
        <w:instrText xml:space="preserve"> SEQ Table \* ARABIC </w:instrText>
      </w:r>
      <w:r w:rsidRPr="00603BC1">
        <w:rPr>
          <w:rStyle w:val="Bold"/>
        </w:rPr>
        <w:fldChar w:fldCharType="separate"/>
      </w:r>
      <w:r w:rsidR="00D4298A">
        <w:rPr>
          <w:rStyle w:val="Bold"/>
          <w:noProof/>
        </w:rPr>
        <w:t>8</w:t>
      </w:r>
      <w:r w:rsidRPr="00603BC1">
        <w:rPr>
          <w:rStyle w:val="Bold"/>
        </w:rPr>
        <w:fldChar w:fldCharType="end"/>
      </w:r>
      <w:bookmarkEnd w:id="103"/>
      <w:r w:rsidRPr="00603BC1">
        <w:rPr>
          <w:rStyle w:val="Bold"/>
        </w:rPr>
        <w:t>:</w:t>
      </w:r>
      <w:r>
        <w:t xml:space="preserve"> </w:t>
      </w:r>
      <w:r w:rsidR="009773AB" w:rsidRPr="009773AB">
        <w:t>Southern MDB surface water recovery, by project type (GL LTAAY)</w:t>
      </w:r>
      <w:bookmarkEnd w:id="104"/>
    </w:p>
    <w:tbl>
      <w:tblPr>
        <w:tblStyle w:val="FETableStyle"/>
        <w:tblW w:w="5001" w:type="pct"/>
        <w:tblLayout w:type="fixed"/>
        <w:tblLook w:val="0420" w:firstRow="1" w:lastRow="0" w:firstColumn="0" w:lastColumn="0" w:noHBand="0" w:noVBand="1"/>
      </w:tblPr>
      <w:tblGrid>
        <w:gridCol w:w="1134"/>
        <w:gridCol w:w="1276"/>
        <w:gridCol w:w="1701"/>
        <w:gridCol w:w="1276"/>
        <w:gridCol w:w="850"/>
        <w:gridCol w:w="1418"/>
        <w:gridCol w:w="1417"/>
      </w:tblGrid>
      <w:tr w:rsidR="00A5603F" w14:paraId="6EBD3E08" w14:textId="77777777" w:rsidTr="0008562F">
        <w:trPr>
          <w:cnfStyle w:val="100000000000" w:firstRow="1" w:lastRow="0" w:firstColumn="0" w:lastColumn="0" w:oddVBand="0" w:evenVBand="0" w:oddHBand="0" w:evenHBand="0" w:firstRowFirstColumn="0" w:firstRowLastColumn="0" w:lastRowFirstColumn="0" w:lastRowLastColumn="0"/>
        </w:trPr>
        <w:tc>
          <w:tcPr>
            <w:tcW w:w="1134" w:type="dxa"/>
            <w:tcBorders>
              <w:top w:val="nil"/>
              <w:left w:val="nil"/>
              <w:bottom w:val="nil"/>
              <w:right w:val="nil"/>
            </w:tcBorders>
            <w:noWrap/>
          </w:tcPr>
          <w:p w14:paraId="24A869CC" w14:textId="77777777" w:rsidR="00A5603F" w:rsidRDefault="00A5603F" w:rsidP="00C1258A"/>
        </w:tc>
        <w:tc>
          <w:tcPr>
            <w:tcW w:w="5103" w:type="dxa"/>
            <w:gridSpan w:val="4"/>
            <w:tcBorders>
              <w:top w:val="nil"/>
              <w:left w:val="nil"/>
              <w:bottom w:val="nil"/>
              <w:right w:val="nil"/>
            </w:tcBorders>
            <w:noWrap/>
          </w:tcPr>
          <w:p w14:paraId="1335D231" w14:textId="7B3A07D2" w:rsidR="00A5603F" w:rsidRPr="00A5603F" w:rsidRDefault="00A5603F" w:rsidP="00A5603F">
            <w:pPr>
              <w:pStyle w:val="TableHeading"/>
              <w:jc w:val="center"/>
              <w:rPr>
                <w:b/>
                <w:u w:val="single"/>
              </w:rPr>
            </w:pPr>
            <w:r w:rsidRPr="00A5603F">
              <w:rPr>
                <w:b/>
                <w:u w:val="single"/>
              </w:rPr>
              <w:t>‘Bridging the Gap’ Recovery Progress</w:t>
            </w:r>
          </w:p>
        </w:tc>
        <w:tc>
          <w:tcPr>
            <w:tcW w:w="2835" w:type="dxa"/>
            <w:gridSpan w:val="2"/>
            <w:tcBorders>
              <w:top w:val="nil"/>
              <w:left w:val="nil"/>
              <w:bottom w:val="nil"/>
              <w:right w:val="nil"/>
            </w:tcBorders>
            <w:vAlign w:val="top"/>
          </w:tcPr>
          <w:p w14:paraId="6C36007A" w14:textId="2F604EBE" w:rsidR="00A5603F" w:rsidRPr="00A5603F" w:rsidRDefault="00A5603F" w:rsidP="001A6611">
            <w:pPr>
              <w:pStyle w:val="TableHeading"/>
              <w:jc w:val="center"/>
              <w:rPr>
                <w:b/>
                <w:u w:val="single"/>
              </w:rPr>
            </w:pPr>
            <w:r w:rsidRPr="00A5603F">
              <w:rPr>
                <w:b/>
                <w:u w:val="single"/>
              </w:rPr>
              <w:t>Efficiency Measures</w:t>
            </w:r>
          </w:p>
        </w:tc>
      </w:tr>
      <w:tr w:rsidR="001A6611" w14:paraId="49E2C777" w14:textId="77777777" w:rsidTr="00A5603F">
        <w:trPr>
          <w:cnfStyle w:val="000000100000" w:firstRow="0" w:lastRow="0" w:firstColumn="0" w:lastColumn="0" w:oddVBand="0" w:evenVBand="0" w:oddHBand="1" w:evenHBand="0" w:firstRowFirstColumn="0" w:firstRowLastColumn="0" w:lastRowFirstColumn="0" w:lastRowLastColumn="0"/>
        </w:trPr>
        <w:tc>
          <w:tcPr>
            <w:tcW w:w="1134" w:type="dxa"/>
            <w:tcBorders>
              <w:bottom w:val="nil"/>
            </w:tcBorders>
            <w:shd w:val="clear" w:color="auto" w:fill="207BA1" w:themeFill="accent2"/>
            <w:noWrap/>
            <w:hideMark/>
          </w:tcPr>
          <w:p w14:paraId="542639AD" w14:textId="77777777" w:rsidR="00C1258A" w:rsidRDefault="00C1258A" w:rsidP="00C1258A"/>
        </w:tc>
        <w:tc>
          <w:tcPr>
            <w:tcW w:w="1276" w:type="dxa"/>
            <w:tcBorders>
              <w:bottom w:val="nil"/>
            </w:tcBorders>
            <w:shd w:val="clear" w:color="auto" w:fill="207BA1" w:themeFill="accent2"/>
            <w:noWrap/>
            <w:hideMark/>
          </w:tcPr>
          <w:p w14:paraId="597F9264" w14:textId="77777777" w:rsidR="00C1258A" w:rsidRDefault="00C1258A" w:rsidP="00C1258A">
            <w:pPr>
              <w:pStyle w:val="TableHeading"/>
              <w:jc w:val="right"/>
              <w:rPr>
                <w:b/>
              </w:rPr>
            </w:pPr>
            <w:r>
              <w:rPr>
                <w:b/>
              </w:rPr>
              <w:t>Purchase</w:t>
            </w:r>
          </w:p>
        </w:tc>
        <w:tc>
          <w:tcPr>
            <w:tcW w:w="1701" w:type="dxa"/>
            <w:tcBorders>
              <w:bottom w:val="nil"/>
            </w:tcBorders>
            <w:shd w:val="clear" w:color="auto" w:fill="207BA1" w:themeFill="accent2"/>
            <w:noWrap/>
            <w:hideMark/>
          </w:tcPr>
          <w:p w14:paraId="0E1FD96D" w14:textId="77777777" w:rsidR="00C1258A" w:rsidRDefault="00C1258A" w:rsidP="00C1258A">
            <w:pPr>
              <w:pStyle w:val="TableHeading"/>
              <w:jc w:val="right"/>
              <w:rPr>
                <w:b/>
              </w:rPr>
            </w:pPr>
            <w:r>
              <w:rPr>
                <w:b/>
              </w:rPr>
              <w:t>Infrastructure (on &amp; off-farm)</w:t>
            </w:r>
          </w:p>
        </w:tc>
        <w:tc>
          <w:tcPr>
            <w:tcW w:w="1276" w:type="dxa"/>
            <w:tcBorders>
              <w:bottom w:val="nil"/>
            </w:tcBorders>
            <w:shd w:val="clear" w:color="auto" w:fill="207BA1" w:themeFill="accent2"/>
            <w:noWrap/>
            <w:hideMark/>
          </w:tcPr>
          <w:p w14:paraId="76E4EEEE" w14:textId="77777777" w:rsidR="00C1258A" w:rsidRDefault="00C1258A" w:rsidP="00C1258A">
            <w:pPr>
              <w:pStyle w:val="TableHeading"/>
              <w:jc w:val="right"/>
              <w:rPr>
                <w:b/>
              </w:rPr>
            </w:pPr>
            <w:r>
              <w:rPr>
                <w:b/>
              </w:rPr>
              <w:t>State Govt recoveries</w:t>
            </w:r>
          </w:p>
        </w:tc>
        <w:tc>
          <w:tcPr>
            <w:tcW w:w="850" w:type="dxa"/>
            <w:tcBorders>
              <w:bottom w:val="nil"/>
            </w:tcBorders>
            <w:shd w:val="clear" w:color="auto" w:fill="207BA1" w:themeFill="accent2"/>
          </w:tcPr>
          <w:p w14:paraId="672AC37F" w14:textId="68FBF04C" w:rsidR="00C1258A" w:rsidRDefault="00C1258A" w:rsidP="00C1258A">
            <w:pPr>
              <w:pStyle w:val="TableHeading"/>
              <w:jc w:val="right"/>
              <w:rPr>
                <w:b/>
              </w:rPr>
            </w:pPr>
            <w:r>
              <w:rPr>
                <w:b/>
              </w:rPr>
              <w:t>Total</w:t>
            </w:r>
          </w:p>
        </w:tc>
        <w:tc>
          <w:tcPr>
            <w:tcW w:w="1418" w:type="dxa"/>
            <w:tcBorders>
              <w:bottom w:val="nil"/>
            </w:tcBorders>
            <w:shd w:val="clear" w:color="auto" w:fill="207BA1" w:themeFill="accent2"/>
            <w:hideMark/>
          </w:tcPr>
          <w:p w14:paraId="47AF137A" w14:textId="7A0A96B8" w:rsidR="00C1258A" w:rsidRDefault="00DD5AFC" w:rsidP="00C1258A">
            <w:pPr>
              <w:pStyle w:val="TableHeading"/>
              <w:jc w:val="right"/>
              <w:rPr>
                <w:b/>
              </w:rPr>
            </w:pPr>
            <w:r>
              <w:rPr>
                <w:b/>
              </w:rPr>
              <w:t>Registered</w:t>
            </w:r>
          </w:p>
        </w:tc>
        <w:tc>
          <w:tcPr>
            <w:tcW w:w="1417" w:type="dxa"/>
            <w:tcBorders>
              <w:bottom w:val="nil"/>
            </w:tcBorders>
            <w:shd w:val="clear" w:color="auto" w:fill="207BA1" w:themeFill="accent2"/>
            <w:noWrap/>
            <w:hideMark/>
          </w:tcPr>
          <w:p w14:paraId="228B0245" w14:textId="417572E3" w:rsidR="00C1258A" w:rsidRDefault="00DD5AFC" w:rsidP="00C1258A">
            <w:pPr>
              <w:pStyle w:val="TableHeading"/>
              <w:jc w:val="right"/>
              <w:rPr>
                <w:b/>
              </w:rPr>
            </w:pPr>
            <w:r>
              <w:rPr>
                <w:b/>
              </w:rPr>
              <w:t>Contracted</w:t>
            </w:r>
          </w:p>
        </w:tc>
      </w:tr>
      <w:tr w:rsidR="00F66B6B" w14:paraId="4DA743E7" w14:textId="77777777" w:rsidTr="001A6611">
        <w:trPr>
          <w:cnfStyle w:val="000000010000" w:firstRow="0" w:lastRow="0" w:firstColumn="0" w:lastColumn="0" w:oddVBand="0" w:evenVBand="0" w:oddHBand="0" w:evenHBand="1" w:firstRowFirstColumn="0" w:firstRowLastColumn="0" w:lastRowFirstColumn="0" w:lastRowLastColumn="0"/>
        </w:trPr>
        <w:tc>
          <w:tcPr>
            <w:tcW w:w="1134" w:type="dxa"/>
            <w:noWrap/>
            <w:hideMark/>
          </w:tcPr>
          <w:p w14:paraId="1C0AF520" w14:textId="77777777" w:rsidR="00F66B6B" w:rsidRDefault="00F66B6B" w:rsidP="00F66B6B">
            <w:pPr>
              <w:pStyle w:val="TableText"/>
            </w:pPr>
            <w:r>
              <w:t>NSW^</w:t>
            </w:r>
          </w:p>
        </w:tc>
        <w:tc>
          <w:tcPr>
            <w:tcW w:w="1276" w:type="dxa"/>
            <w:noWrap/>
            <w:hideMark/>
          </w:tcPr>
          <w:p w14:paraId="6B6A9EBE" w14:textId="77777777" w:rsidR="00F66B6B" w:rsidRDefault="00F66B6B" w:rsidP="00F66B6B">
            <w:pPr>
              <w:pStyle w:val="TableText"/>
              <w:jc w:val="right"/>
            </w:pPr>
            <w:r>
              <w:t>348.5</w:t>
            </w:r>
          </w:p>
        </w:tc>
        <w:tc>
          <w:tcPr>
            <w:tcW w:w="1701" w:type="dxa"/>
            <w:noWrap/>
            <w:hideMark/>
          </w:tcPr>
          <w:p w14:paraId="7458E238" w14:textId="77777777" w:rsidR="00F66B6B" w:rsidRDefault="00F66B6B" w:rsidP="00F66B6B">
            <w:pPr>
              <w:pStyle w:val="TableText"/>
              <w:jc w:val="right"/>
            </w:pPr>
            <w:r>
              <w:t>383.6</w:t>
            </w:r>
          </w:p>
        </w:tc>
        <w:tc>
          <w:tcPr>
            <w:tcW w:w="1276" w:type="dxa"/>
            <w:noWrap/>
            <w:hideMark/>
          </w:tcPr>
          <w:p w14:paraId="10EB80A6" w14:textId="77777777" w:rsidR="00F66B6B" w:rsidRDefault="00F66B6B" w:rsidP="00F66B6B">
            <w:pPr>
              <w:pStyle w:val="TableText"/>
              <w:jc w:val="right"/>
            </w:pPr>
            <w:r>
              <w:t>26.4</w:t>
            </w:r>
          </w:p>
        </w:tc>
        <w:tc>
          <w:tcPr>
            <w:tcW w:w="850" w:type="dxa"/>
          </w:tcPr>
          <w:p w14:paraId="275E1968" w14:textId="1442A6A2" w:rsidR="00F66B6B" w:rsidRDefault="00F66B6B" w:rsidP="00F66B6B">
            <w:pPr>
              <w:pStyle w:val="TableText"/>
              <w:jc w:val="right"/>
            </w:pPr>
            <w:r w:rsidRPr="00B60C8F">
              <w:t>758.5</w:t>
            </w:r>
          </w:p>
        </w:tc>
        <w:tc>
          <w:tcPr>
            <w:tcW w:w="1418" w:type="dxa"/>
            <w:vAlign w:val="top"/>
            <w:hideMark/>
          </w:tcPr>
          <w:p w14:paraId="35B30EFC" w14:textId="33B79BC8" w:rsidR="00F66B6B" w:rsidRDefault="00F66B6B" w:rsidP="00F66B6B">
            <w:pPr>
              <w:pStyle w:val="TableText"/>
              <w:jc w:val="right"/>
            </w:pPr>
            <w:r>
              <w:t>0</w:t>
            </w:r>
            <w:r w:rsidR="009773AB">
              <w:t>.0</w:t>
            </w:r>
          </w:p>
        </w:tc>
        <w:tc>
          <w:tcPr>
            <w:tcW w:w="1417" w:type="dxa"/>
            <w:noWrap/>
            <w:hideMark/>
          </w:tcPr>
          <w:p w14:paraId="3152B99B" w14:textId="7BA2F723" w:rsidR="00F66B6B" w:rsidRDefault="00F66B6B" w:rsidP="00F66B6B">
            <w:pPr>
              <w:pStyle w:val="TableText"/>
              <w:jc w:val="right"/>
            </w:pPr>
            <w:r>
              <w:t>5.5</w:t>
            </w:r>
          </w:p>
        </w:tc>
      </w:tr>
      <w:tr w:rsidR="00F66B6B" w14:paraId="018B3F51" w14:textId="77777777" w:rsidTr="001A6611">
        <w:trPr>
          <w:cnfStyle w:val="000000100000" w:firstRow="0" w:lastRow="0" w:firstColumn="0" w:lastColumn="0" w:oddVBand="0" w:evenVBand="0" w:oddHBand="1" w:evenHBand="0" w:firstRowFirstColumn="0" w:firstRowLastColumn="0" w:lastRowFirstColumn="0" w:lastRowLastColumn="0"/>
        </w:trPr>
        <w:tc>
          <w:tcPr>
            <w:tcW w:w="1134" w:type="dxa"/>
            <w:noWrap/>
            <w:hideMark/>
          </w:tcPr>
          <w:p w14:paraId="24E4D188" w14:textId="77777777" w:rsidR="00F66B6B" w:rsidRDefault="00F66B6B" w:rsidP="00F66B6B">
            <w:pPr>
              <w:pStyle w:val="TableText"/>
            </w:pPr>
            <w:r>
              <w:t>VIC*</w:t>
            </w:r>
          </w:p>
        </w:tc>
        <w:tc>
          <w:tcPr>
            <w:tcW w:w="1276" w:type="dxa"/>
            <w:noWrap/>
            <w:hideMark/>
          </w:tcPr>
          <w:p w14:paraId="7947155C" w14:textId="77777777" w:rsidR="00F66B6B" w:rsidRDefault="00F66B6B" w:rsidP="00F66B6B">
            <w:pPr>
              <w:pStyle w:val="TableText"/>
              <w:jc w:val="right"/>
            </w:pPr>
            <w:r>
              <w:t>529.5</w:t>
            </w:r>
          </w:p>
        </w:tc>
        <w:tc>
          <w:tcPr>
            <w:tcW w:w="1701" w:type="dxa"/>
            <w:noWrap/>
            <w:hideMark/>
          </w:tcPr>
          <w:p w14:paraId="370B6B26" w14:textId="77777777" w:rsidR="00F66B6B" w:rsidRDefault="00F66B6B" w:rsidP="00F66B6B">
            <w:pPr>
              <w:pStyle w:val="TableText"/>
              <w:jc w:val="right"/>
            </w:pPr>
            <w:r>
              <w:t>184.5</w:t>
            </w:r>
          </w:p>
        </w:tc>
        <w:tc>
          <w:tcPr>
            <w:tcW w:w="1276" w:type="dxa"/>
            <w:noWrap/>
            <w:hideMark/>
          </w:tcPr>
          <w:p w14:paraId="4C1A6D0A" w14:textId="77777777" w:rsidR="00F66B6B" w:rsidRDefault="00F66B6B" w:rsidP="00F66B6B">
            <w:pPr>
              <w:pStyle w:val="TableText"/>
              <w:jc w:val="right"/>
            </w:pPr>
            <w:r>
              <w:t>89.3</w:t>
            </w:r>
          </w:p>
        </w:tc>
        <w:tc>
          <w:tcPr>
            <w:tcW w:w="850" w:type="dxa"/>
          </w:tcPr>
          <w:p w14:paraId="0488D9B9" w14:textId="6BCB8D15" w:rsidR="00F66B6B" w:rsidRDefault="00F66B6B" w:rsidP="00F66B6B">
            <w:pPr>
              <w:pStyle w:val="TableText"/>
              <w:jc w:val="right"/>
            </w:pPr>
            <w:r w:rsidRPr="00B60C8F">
              <w:t>803.3</w:t>
            </w:r>
          </w:p>
        </w:tc>
        <w:tc>
          <w:tcPr>
            <w:tcW w:w="1418" w:type="dxa"/>
            <w:vAlign w:val="top"/>
            <w:hideMark/>
          </w:tcPr>
          <w:p w14:paraId="2CD6097A" w14:textId="2049EFA4" w:rsidR="00F66B6B" w:rsidRDefault="00F66B6B" w:rsidP="00F66B6B">
            <w:pPr>
              <w:pStyle w:val="TableText"/>
              <w:jc w:val="right"/>
            </w:pPr>
            <w:r>
              <w:t>0</w:t>
            </w:r>
            <w:r w:rsidR="009773AB">
              <w:t>.0</w:t>
            </w:r>
          </w:p>
        </w:tc>
        <w:tc>
          <w:tcPr>
            <w:tcW w:w="1417" w:type="dxa"/>
            <w:noWrap/>
            <w:hideMark/>
          </w:tcPr>
          <w:p w14:paraId="2A3655ED" w14:textId="1E31C569" w:rsidR="00F66B6B" w:rsidRDefault="00F66B6B" w:rsidP="00F66B6B">
            <w:pPr>
              <w:pStyle w:val="TableText"/>
              <w:jc w:val="right"/>
            </w:pPr>
            <w:r>
              <w:t>17.7</w:t>
            </w:r>
          </w:p>
        </w:tc>
      </w:tr>
      <w:tr w:rsidR="00F66B6B" w14:paraId="48377F2A" w14:textId="77777777" w:rsidTr="001A6611">
        <w:trPr>
          <w:cnfStyle w:val="000000010000" w:firstRow="0" w:lastRow="0" w:firstColumn="0" w:lastColumn="0" w:oddVBand="0" w:evenVBand="0" w:oddHBand="0" w:evenHBand="1" w:firstRowFirstColumn="0" w:firstRowLastColumn="0" w:lastRowFirstColumn="0" w:lastRowLastColumn="0"/>
        </w:trPr>
        <w:tc>
          <w:tcPr>
            <w:tcW w:w="1134" w:type="dxa"/>
            <w:noWrap/>
            <w:hideMark/>
          </w:tcPr>
          <w:p w14:paraId="5608AE36" w14:textId="77777777" w:rsidR="00F66B6B" w:rsidRDefault="00F66B6B" w:rsidP="00F66B6B">
            <w:pPr>
              <w:pStyle w:val="TableText"/>
            </w:pPr>
            <w:r>
              <w:t>SA</w:t>
            </w:r>
            <w:r>
              <w:rPr>
                <w:vertAlign w:val="superscript"/>
              </w:rPr>
              <w:t>#</w:t>
            </w:r>
          </w:p>
        </w:tc>
        <w:tc>
          <w:tcPr>
            <w:tcW w:w="1276" w:type="dxa"/>
            <w:noWrap/>
            <w:hideMark/>
          </w:tcPr>
          <w:p w14:paraId="261038C5" w14:textId="77777777" w:rsidR="00F66B6B" w:rsidRDefault="00F66B6B" w:rsidP="00F66B6B">
            <w:pPr>
              <w:pStyle w:val="TableText"/>
              <w:jc w:val="right"/>
            </w:pPr>
            <w:r>
              <w:t>87.4</w:t>
            </w:r>
          </w:p>
        </w:tc>
        <w:tc>
          <w:tcPr>
            <w:tcW w:w="1701" w:type="dxa"/>
            <w:noWrap/>
            <w:hideMark/>
          </w:tcPr>
          <w:p w14:paraId="575E92C4" w14:textId="77777777" w:rsidR="00F66B6B" w:rsidRDefault="00F66B6B" w:rsidP="00F66B6B">
            <w:pPr>
              <w:pStyle w:val="TableText"/>
              <w:jc w:val="right"/>
            </w:pPr>
            <w:r>
              <w:t>47.3</w:t>
            </w:r>
          </w:p>
        </w:tc>
        <w:tc>
          <w:tcPr>
            <w:tcW w:w="1276" w:type="dxa"/>
            <w:noWrap/>
            <w:hideMark/>
          </w:tcPr>
          <w:p w14:paraId="623141B1" w14:textId="77777777" w:rsidR="00F66B6B" w:rsidRDefault="00F66B6B" w:rsidP="00F66B6B">
            <w:pPr>
              <w:pStyle w:val="TableText"/>
              <w:jc w:val="right"/>
            </w:pPr>
            <w:r>
              <w:t>6.3</w:t>
            </w:r>
          </w:p>
        </w:tc>
        <w:tc>
          <w:tcPr>
            <w:tcW w:w="850" w:type="dxa"/>
          </w:tcPr>
          <w:p w14:paraId="64A84017" w14:textId="6F0ECA2E" w:rsidR="00F66B6B" w:rsidRDefault="00F66B6B" w:rsidP="00F66B6B">
            <w:pPr>
              <w:pStyle w:val="TableText"/>
              <w:jc w:val="right"/>
            </w:pPr>
            <w:r w:rsidRPr="00B60C8F">
              <w:t>141</w:t>
            </w:r>
          </w:p>
        </w:tc>
        <w:tc>
          <w:tcPr>
            <w:tcW w:w="1418" w:type="dxa"/>
            <w:vAlign w:val="top"/>
            <w:hideMark/>
          </w:tcPr>
          <w:p w14:paraId="16B21100" w14:textId="4429F426" w:rsidR="00F66B6B" w:rsidRDefault="00F66B6B" w:rsidP="00F66B6B">
            <w:pPr>
              <w:pStyle w:val="TableText"/>
              <w:jc w:val="right"/>
            </w:pPr>
            <w:r>
              <w:t>2</w:t>
            </w:r>
            <w:r w:rsidR="009773AB">
              <w:t>.0</w:t>
            </w:r>
          </w:p>
        </w:tc>
        <w:tc>
          <w:tcPr>
            <w:tcW w:w="1417" w:type="dxa"/>
            <w:noWrap/>
            <w:vAlign w:val="top"/>
            <w:hideMark/>
          </w:tcPr>
          <w:p w14:paraId="4842DD7A" w14:textId="5F8F98F8" w:rsidR="00F66B6B" w:rsidRDefault="00F66B6B" w:rsidP="00F66B6B">
            <w:pPr>
              <w:pStyle w:val="TableText"/>
              <w:jc w:val="right"/>
            </w:pPr>
            <w:r>
              <w:t>0.6</w:t>
            </w:r>
          </w:p>
        </w:tc>
      </w:tr>
      <w:tr w:rsidR="00F66B6B" w14:paraId="4F66F93D" w14:textId="77777777" w:rsidTr="001A6611">
        <w:trPr>
          <w:cnfStyle w:val="000000100000" w:firstRow="0" w:lastRow="0" w:firstColumn="0" w:lastColumn="0" w:oddVBand="0" w:evenVBand="0" w:oddHBand="1" w:evenHBand="0" w:firstRowFirstColumn="0" w:firstRowLastColumn="0" w:lastRowFirstColumn="0" w:lastRowLastColumn="0"/>
        </w:trPr>
        <w:tc>
          <w:tcPr>
            <w:tcW w:w="1134" w:type="dxa"/>
            <w:noWrap/>
            <w:hideMark/>
          </w:tcPr>
          <w:p w14:paraId="1416530A" w14:textId="77777777" w:rsidR="00F66B6B" w:rsidRDefault="00F66B6B" w:rsidP="00F66B6B">
            <w:pPr>
              <w:pStyle w:val="TableText"/>
            </w:pPr>
            <w:r>
              <w:t>Southern MDB</w:t>
            </w:r>
          </w:p>
        </w:tc>
        <w:tc>
          <w:tcPr>
            <w:tcW w:w="1276" w:type="dxa"/>
            <w:noWrap/>
            <w:hideMark/>
          </w:tcPr>
          <w:p w14:paraId="377C65E0" w14:textId="77777777" w:rsidR="00F66B6B" w:rsidRDefault="00F66B6B" w:rsidP="00F66B6B">
            <w:pPr>
              <w:pStyle w:val="TableText"/>
              <w:jc w:val="right"/>
            </w:pPr>
            <w:r>
              <w:t>965.4</w:t>
            </w:r>
          </w:p>
        </w:tc>
        <w:tc>
          <w:tcPr>
            <w:tcW w:w="1701" w:type="dxa"/>
            <w:noWrap/>
            <w:hideMark/>
          </w:tcPr>
          <w:p w14:paraId="3A5D018A" w14:textId="0FFE81DF" w:rsidR="00F66B6B" w:rsidRDefault="00F66B6B" w:rsidP="00F66B6B">
            <w:pPr>
              <w:pStyle w:val="TableText"/>
              <w:jc w:val="right"/>
            </w:pPr>
            <w:r>
              <w:t>615.4</w:t>
            </w:r>
          </w:p>
        </w:tc>
        <w:tc>
          <w:tcPr>
            <w:tcW w:w="1276" w:type="dxa"/>
            <w:noWrap/>
            <w:hideMark/>
          </w:tcPr>
          <w:p w14:paraId="1D10E9B2" w14:textId="77777777" w:rsidR="00F66B6B" w:rsidRDefault="00F66B6B" w:rsidP="00F66B6B">
            <w:pPr>
              <w:pStyle w:val="TableText"/>
              <w:jc w:val="right"/>
            </w:pPr>
            <w:r>
              <w:t>122.0</w:t>
            </w:r>
          </w:p>
        </w:tc>
        <w:tc>
          <w:tcPr>
            <w:tcW w:w="850" w:type="dxa"/>
          </w:tcPr>
          <w:p w14:paraId="73F46D94" w14:textId="36C72A5D" w:rsidR="00F66B6B" w:rsidRDefault="00F66B6B" w:rsidP="00F66B6B">
            <w:pPr>
              <w:pStyle w:val="TableText"/>
              <w:jc w:val="right"/>
            </w:pPr>
            <w:r w:rsidRPr="00B60C8F">
              <w:t>1702.8</w:t>
            </w:r>
          </w:p>
        </w:tc>
        <w:tc>
          <w:tcPr>
            <w:tcW w:w="1418" w:type="dxa"/>
            <w:hideMark/>
          </w:tcPr>
          <w:p w14:paraId="2CE20DFC" w14:textId="3D140D8B" w:rsidR="00F66B6B" w:rsidRDefault="00045052" w:rsidP="00F66B6B">
            <w:pPr>
              <w:pStyle w:val="TableText"/>
              <w:jc w:val="right"/>
            </w:pPr>
            <w:r>
              <w:t>2</w:t>
            </w:r>
            <w:r w:rsidR="009773AB">
              <w:t>.0</w:t>
            </w:r>
          </w:p>
        </w:tc>
        <w:tc>
          <w:tcPr>
            <w:tcW w:w="1417" w:type="dxa"/>
            <w:noWrap/>
            <w:hideMark/>
          </w:tcPr>
          <w:p w14:paraId="773F387D" w14:textId="477919EA" w:rsidR="00F66B6B" w:rsidRDefault="00045052" w:rsidP="00F66B6B">
            <w:pPr>
              <w:pStyle w:val="TableText"/>
              <w:jc w:val="right"/>
            </w:pPr>
            <w:r>
              <w:t>23.8</w:t>
            </w:r>
          </w:p>
        </w:tc>
      </w:tr>
    </w:tbl>
    <w:p w14:paraId="3C746D4E" w14:textId="294AE04D" w:rsidR="007B506C" w:rsidRDefault="007B506C" w:rsidP="009B6297">
      <w:pPr>
        <w:spacing w:after="320"/>
        <w:rPr>
          <w:i/>
          <w:color w:val="9BA1A5"/>
          <w:sz w:val="16"/>
          <w:szCs w:val="16"/>
        </w:rPr>
      </w:pPr>
      <w:r>
        <w:rPr>
          <w:i/>
          <w:color w:val="9BA1A5"/>
          <w:sz w:val="16"/>
          <w:szCs w:val="16"/>
        </w:rPr>
        <w:t>Notes: E</w:t>
      </w:r>
      <w:r w:rsidRPr="0029487B">
        <w:rPr>
          <w:i/>
          <w:color w:val="9BA1A5"/>
          <w:sz w:val="16"/>
          <w:szCs w:val="16"/>
        </w:rPr>
        <w:t>xclude</w:t>
      </w:r>
      <w:r>
        <w:rPr>
          <w:i/>
          <w:color w:val="9BA1A5"/>
          <w:sz w:val="16"/>
          <w:szCs w:val="16"/>
        </w:rPr>
        <w:t>s</w:t>
      </w:r>
      <w:r w:rsidRPr="0029487B">
        <w:rPr>
          <w:i/>
          <w:color w:val="9BA1A5"/>
          <w:sz w:val="16"/>
          <w:szCs w:val="16"/>
        </w:rPr>
        <w:t xml:space="preserve"> NSW northern valleys and Lachlan </w:t>
      </w:r>
      <w:r>
        <w:rPr>
          <w:i/>
          <w:color w:val="9BA1A5"/>
          <w:sz w:val="16"/>
          <w:szCs w:val="16"/>
        </w:rPr>
        <w:t>and Victorian</w:t>
      </w:r>
      <w:r w:rsidRPr="0029487B">
        <w:rPr>
          <w:i/>
          <w:color w:val="9BA1A5"/>
          <w:sz w:val="16"/>
          <w:szCs w:val="16"/>
        </w:rPr>
        <w:t xml:space="preserve"> Wimmera Mallee </w:t>
      </w:r>
      <w:r>
        <w:rPr>
          <w:i/>
          <w:color w:val="9BA1A5"/>
          <w:sz w:val="16"/>
          <w:szCs w:val="16"/>
        </w:rPr>
        <w:t>^ Includes NSW Murrumbidgee recovery under the Nimmie-Caira agreement. The 5.5GL efficiency measure aligns with the NSW Murrumbidgee Irrigation Automation Finalisation Project. *</w:t>
      </w:r>
      <w:r w:rsidR="009B6297">
        <w:rPr>
          <w:i/>
          <w:color w:val="9BA1A5"/>
          <w:sz w:val="16"/>
          <w:szCs w:val="16"/>
        </w:rPr>
        <w:t xml:space="preserve"> </w:t>
      </w:r>
      <w:r w:rsidR="009B6297" w:rsidRPr="009B6297">
        <w:rPr>
          <w:i/>
          <w:color w:val="9BA1A5"/>
          <w:sz w:val="16"/>
          <w:szCs w:val="16"/>
        </w:rPr>
        <w:t>Connections Stage 1</w:t>
      </w:r>
      <w:r w:rsidR="009B6297">
        <w:rPr>
          <w:i/>
          <w:color w:val="9BA1A5"/>
          <w:sz w:val="16"/>
          <w:szCs w:val="16"/>
        </w:rPr>
        <w:t xml:space="preserve"> was </w:t>
      </w:r>
      <w:r w:rsidR="009B6297" w:rsidRPr="009B6297">
        <w:rPr>
          <w:i/>
          <w:color w:val="9BA1A5"/>
          <w:sz w:val="16"/>
          <w:szCs w:val="16"/>
        </w:rPr>
        <w:t>Vic</w:t>
      </w:r>
      <w:r w:rsidR="009B6297">
        <w:rPr>
          <w:i/>
          <w:color w:val="9BA1A5"/>
          <w:sz w:val="16"/>
          <w:szCs w:val="16"/>
        </w:rPr>
        <w:t>torian</w:t>
      </w:r>
      <w:r w:rsidR="009B6297" w:rsidRPr="009B6297">
        <w:rPr>
          <w:i/>
          <w:color w:val="9BA1A5"/>
          <w:sz w:val="16"/>
          <w:szCs w:val="16"/>
        </w:rPr>
        <w:t xml:space="preserve"> - Infrastructure (NVIRP Stage 1)</w:t>
      </w:r>
      <w:r w:rsidR="009B6297">
        <w:rPr>
          <w:i/>
          <w:color w:val="9BA1A5"/>
          <w:sz w:val="16"/>
          <w:szCs w:val="16"/>
        </w:rPr>
        <w:t xml:space="preserve"> of </w:t>
      </w:r>
      <w:r w:rsidR="009B6297" w:rsidRPr="009B6297">
        <w:rPr>
          <w:i/>
          <w:color w:val="9BA1A5"/>
          <w:sz w:val="16"/>
          <w:szCs w:val="16"/>
        </w:rPr>
        <w:t>67.2</w:t>
      </w:r>
      <w:r w:rsidR="009B6297">
        <w:rPr>
          <w:i/>
          <w:color w:val="9BA1A5"/>
          <w:sz w:val="16"/>
          <w:szCs w:val="16"/>
        </w:rPr>
        <w:t xml:space="preserve">GL, </w:t>
      </w:r>
      <w:r w:rsidR="002E513B" w:rsidRPr="002E513B">
        <w:rPr>
          <w:i/>
          <w:color w:val="9BA1A5"/>
          <w:sz w:val="16"/>
          <w:szCs w:val="16"/>
        </w:rPr>
        <w:t>Connections stage 2 contributed 211.8 GL to Commonwealth water recovery (105.4 GL of which the Commonwealth has reported as ‘Purchase’ rather than ‘Infrastructure’).</w:t>
      </w:r>
      <w:r w:rsidR="009B6297">
        <w:rPr>
          <w:i/>
          <w:color w:val="9BA1A5"/>
          <w:sz w:val="16"/>
          <w:szCs w:val="16"/>
        </w:rPr>
        <w:t>.</w:t>
      </w:r>
      <w:r>
        <w:rPr>
          <w:i/>
          <w:color w:val="9BA1A5"/>
          <w:sz w:val="16"/>
          <w:szCs w:val="16"/>
        </w:rPr>
        <w:t xml:space="preserve"> Includes contracted volumes of GMW Water Efficiency Project entitlement. Transfer to the CEWH is scheduled for April 2023 and 2024. </w:t>
      </w:r>
      <w:r w:rsidR="008942B6">
        <w:rPr>
          <w:i/>
          <w:color w:val="9BA1A5"/>
          <w:sz w:val="16"/>
          <w:szCs w:val="16"/>
        </w:rPr>
        <w:t>I</w:t>
      </w:r>
      <w:r>
        <w:rPr>
          <w:i/>
          <w:color w:val="9BA1A5"/>
          <w:sz w:val="16"/>
          <w:szCs w:val="16"/>
        </w:rPr>
        <w:t>nclude</w:t>
      </w:r>
      <w:r w:rsidR="008942B6">
        <w:rPr>
          <w:i/>
          <w:color w:val="9BA1A5"/>
          <w:sz w:val="16"/>
          <w:szCs w:val="16"/>
        </w:rPr>
        <w:t>s</w:t>
      </w:r>
      <w:r>
        <w:rPr>
          <w:i/>
          <w:color w:val="9BA1A5"/>
          <w:sz w:val="16"/>
          <w:szCs w:val="16"/>
        </w:rPr>
        <w:t xml:space="preserve"> the Lower Murray Water (LMW) Water Efficiency Project — 2.5 GL LTAAY of water savings with 1.8 GL LTAAY towards the 450 GL environmental water target under the Basin plan and the remaining to be shared between First Nations Peoples and securing urban water supply. # </w:t>
      </w:r>
      <w:r w:rsidR="002C15B1">
        <w:rPr>
          <w:i/>
          <w:color w:val="9BA1A5"/>
          <w:sz w:val="16"/>
          <w:szCs w:val="16"/>
        </w:rPr>
        <w:t>I</w:t>
      </w:r>
      <w:r>
        <w:rPr>
          <w:i/>
          <w:color w:val="9BA1A5"/>
          <w:sz w:val="16"/>
          <w:szCs w:val="16"/>
        </w:rPr>
        <w:t>nclude the estimated 126.56 ML LTAAY from SA Marion Water Efficiency Project.</w:t>
      </w:r>
      <w:r>
        <w:rPr>
          <w:rStyle w:val="FootnoteReference"/>
          <w:i/>
          <w:color w:val="9BA1A5"/>
          <w:sz w:val="16"/>
          <w:szCs w:val="16"/>
        </w:rPr>
        <w:footnoteReference w:id="15"/>
      </w:r>
      <w:r w:rsidR="00CC3E06">
        <w:rPr>
          <w:i/>
          <w:color w:val="9BA1A5"/>
          <w:sz w:val="16"/>
          <w:szCs w:val="16"/>
        </w:rPr>
        <w:tab/>
      </w:r>
      <w:r>
        <w:rPr>
          <w:i/>
          <w:color w:val="9BA1A5"/>
          <w:sz w:val="16"/>
          <w:szCs w:val="16"/>
        </w:rPr>
        <w:br/>
        <w:t xml:space="preserve">Source: Frontier Economics using data from DCCEEW </w:t>
      </w:r>
      <w:r w:rsidR="0013776E">
        <w:rPr>
          <w:i/>
          <w:color w:val="9BA1A5"/>
          <w:sz w:val="16"/>
          <w:szCs w:val="16"/>
        </w:rPr>
        <w:t>to</w:t>
      </w:r>
      <w:r w:rsidR="0013776E" w:rsidRPr="0013776E">
        <w:rPr>
          <w:i/>
          <w:color w:val="9BA1A5"/>
          <w:sz w:val="16"/>
          <w:szCs w:val="16"/>
        </w:rPr>
        <w:t xml:space="preserve"> 30 June 2022</w:t>
      </w:r>
      <w:r w:rsidR="00B773B6">
        <w:rPr>
          <w:i/>
          <w:color w:val="9BA1A5"/>
          <w:sz w:val="16"/>
          <w:szCs w:val="16"/>
        </w:rPr>
        <w:t xml:space="preserve">, and </w:t>
      </w:r>
      <w:r w:rsidR="00B773B6" w:rsidRPr="00B773B6">
        <w:rPr>
          <w:i/>
          <w:color w:val="9BA1A5"/>
          <w:sz w:val="16"/>
          <w:szCs w:val="16"/>
        </w:rPr>
        <w:t>Off-farm Efficiency Program</w:t>
      </w:r>
      <w:r w:rsidR="00B773B6">
        <w:rPr>
          <w:i/>
          <w:color w:val="9BA1A5"/>
          <w:sz w:val="16"/>
          <w:szCs w:val="16"/>
        </w:rPr>
        <w:t xml:space="preserve"> </w:t>
      </w:r>
      <w:r w:rsidR="00846696">
        <w:rPr>
          <w:i/>
          <w:color w:val="9BA1A5"/>
          <w:sz w:val="16"/>
          <w:szCs w:val="16"/>
        </w:rPr>
        <w:t>approvals to 7 July</w:t>
      </w:r>
      <w:r w:rsidR="0013776E">
        <w:rPr>
          <w:i/>
          <w:color w:val="9BA1A5"/>
          <w:sz w:val="16"/>
          <w:szCs w:val="16"/>
        </w:rPr>
        <w:t xml:space="preserve"> 2022</w:t>
      </w:r>
      <w:r>
        <w:rPr>
          <w:i/>
          <w:color w:val="9BA1A5"/>
          <w:sz w:val="16"/>
          <w:szCs w:val="16"/>
        </w:rPr>
        <w:t>.</w:t>
      </w:r>
    </w:p>
    <w:p w14:paraId="0B57BF4A" w14:textId="77777777" w:rsidR="007B506C" w:rsidRDefault="007B506C" w:rsidP="00B5648D">
      <w:pPr>
        <w:pStyle w:val="BodyText"/>
      </w:pPr>
    </w:p>
    <w:p w14:paraId="17B51050" w14:textId="2EF1289B" w:rsidR="00B5648D" w:rsidRPr="00B5648D" w:rsidRDefault="00B5648D" w:rsidP="00B5648D">
      <w:pPr>
        <w:pStyle w:val="BodyText"/>
      </w:pPr>
      <w:r>
        <w:t xml:space="preserve">The </w:t>
      </w:r>
      <w:r w:rsidR="00583A1B">
        <w:t>buyback was spread across most of the entitlement types that exist in the southern MDB (</w:t>
      </w:r>
      <w:r w:rsidR="00583A1B">
        <w:fldChar w:fldCharType="begin"/>
      </w:r>
      <w:r w:rsidR="00583A1B">
        <w:instrText xml:space="preserve"> REF _Ref110851687 \h </w:instrText>
      </w:r>
      <w:r w:rsidR="00583A1B">
        <w:fldChar w:fldCharType="separate"/>
      </w:r>
      <w:r w:rsidR="00D4298A" w:rsidRPr="007C5D2E">
        <w:rPr>
          <w:rStyle w:val="Bold"/>
        </w:rPr>
        <w:t xml:space="preserve">Figure </w:t>
      </w:r>
      <w:r w:rsidR="00D4298A">
        <w:rPr>
          <w:rStyle w:val="Bold"/>
          <w:noProof/>
        </w:rPr>
        <w:t>8</w:t>
      </w:r>
      <w:r w:rsidR="00583A1B">
        <w:fldChar w:fldCharType="end"/>
      </w:r>
      <w:r w:rsidR="00583A1B">
        <w:t>), with a focus on Victorian HRWS (Murray and Goulburn) and NSW GS (Murray and Murrumbidgee).</w:t>
      </w:r>
    </w:p>
    <w:p w14:paraId="7BD04566" w14:textId="388BA970" w:rsidR="00B5648D" w:rsidRDefault="00B5648D" w:rsidP="00B5648D">
      <w:pPr>
        <w:pStyle w:val="BodyText"/>
      </w:pPr>
      <w:r>
        <w:t>Overall, the use of buyback changed the characteristics of the water that remained for consumptive use.</w:t>
      </w:r>
      <w:r w:rsidR="00583A1B">
        <w:t xml:space="preserve"> The</w:t>
      </w:r>
      <w:r w:rsidR="004D090D">
        <w:t>re is a significant difference between the volume of buyback (</w:t>
      </w:r>
      <w:r w:rsidR="00583A1B">
        <w:t xml:space="preserve">volume of entitlement that has been </w:t>
      </w:r>
      <w:r w:rsidR="004D090D">
        <w:t>bought back</w:t>
      </w:r>
      <w:r w:rsidR="001D08E6">
        <w:t xml:space="preserve"> to date</w:t>
      </w:r>
      <w:r w:rsidR="004D090D">
        <w:t xml:space="preserve">) and the volume of entitlement </w:t>
      </w:r>
      <w:r w:rsidR="00A73D66">
        <w:t>remaining for consumption (</w:t>
      </w:r>
      <w:r w:rsidR="00E164E0">
        <w:t>i.e.,</w:t>
      </w:r>
      <w:r w:rsidR="00A73D66">
        <w:t xml:space="preserve"> not </w:t>
      </w:r>
      <w:r w:rsidR="004D090D">
        <w:t>held by environmental water users</w:t>
      </w:r>
      <w:r w:rsidR="00A73D66">
        <w:t>)</w:t>
      </w:r>
      <w:r w:rsidR="004D090D">
        <w:rPr>
          <w:rStyle w:val="FootnoteReference"/>
        </w:rPr>
        <w:footnoteReference w:id="16"/>
      </w:r>
      <w:r w:rsidR="004D090D">
        <w:t>. For example:</w:t>
      </w:r>
    </w:p>
    <w:p w14:paraId="0DEB98BE" w14:textId="7F19F130" w:rsidR="004D090D" w:rsidRDefault="0091396A" w:rsidP="00301ACA">
      <w:pPr>
        <w:pStyle w:val="ParaBullet1"/>
        <w:numPr>
          <w:ilvl w:val="0"/>
          <w:numId w:val="14"/>
        </w:numPr>
      </w:pPr>
      <w:r>
        <w:t>The volume of b</w:t>
      </w:r>
      <w:r w:rsidR="004D090D">
        <w:t xml:space="preserve">uyback </w:t>
      </w:r>
      <w:r>
        <w:t xml:space="preserve">to date </w:t>
      </w:r>
      <w:r w:rsidR="004D090D">
        <w:t xml:space="preserve">is </w:t>
      </w:r>
      <w:r w:rsidR="00A73D66">
        <w:t xml:space="preserve">equal to </w:t>
      </w:r>
      <w:r w:rsidR="004D090D">
        <w:t>32%</w:t>
      </w:r>
      <w:r w:rsidR="00005FFA">
        <w:t xml:space="preserve"> and </w:t>
      </w:r>
      <w:r w:rsidR="004D090D">
        <w:t xml:space="preserve">35% </w:t>
      </w:r>
      <w:r w:rsidR="000C63BB">
        <w:t xml:space="preserve">of remaining consumptive (non-environmental) </w:t>
      </w:r>
      <w:r w:rsidR="004D090D" w:rsidRPr="004D090D">
        <w:t xml:space="preserve">Victorian HRWS </w:t>
      </w:r>
      <w:r w:rsidR="000C63BB">
        <w:t xml:space="preserve">in the </w:t>
      </w:r>
      <w:r w:rsidR="004D090D" w:rsidRPr="004D090D">
        <w:t>Murray and Goulburn</w:t>
      </w:r>
      <w:r w:rsidR="00005FFA">
        <w:t>, respectively</w:t>
      </w:r>
      <w:r w:rsidR="000C63BB">
        <w:t>.</w:t>
      </w:r>
      <w:r w:rsidR="0069368D">
        <w:t xml:space="preserve"> </w:t>
      </w:r>
      <w:r w:rsidR="00435124">
        <w:t>In contrast, buyback is</w:t>
      </w:r>
      <w:r w:rsidR="00005FFA">
        <w:t xml:space="preserve"> 21% and 14% of </w:t>
      </w:r>
      <w:r w:rsidR="007562BC">
        <w:t xml:space="preserve">remaining </w:t>
      </w:r>
      <w:r w:rsidR="00005FFA" w:rsidRPr="00005FFA">
        <w:t xml:space="preserve">NSW GS </w:t>
      </w:r>
      <w:r w:rsidR="007562BC">
        <w:t xml:space="preserve">in the </w:t>
      </w:r>
      <w:r w:rsidR="00005FFA" w:rsidRPr="00005FFA">
        <w:t>Murray and Murrumbidgee</w:t>
      </w:r>
      <w:r w:rsidR="00005FFA">
        <w:t>, respectively.</w:t>
      </w:r>
    </w:p>
    <w:p w14:paraId="4CE66C55" w14:textId="2EBC7167" w:rsidR="004D090D" w:rsidRDefault="00005FFA" w:rsidP="00301ACA">
      <w:pPr>
        <w:pStyle w:val="ParaBullet1"/>
        <w:numPr>
          <w:ilvl w:val="0"/>
          <w:numId w:val="14"/>
        </w:numPr>
      </w:pPr>
      <w:r>
        <w:t xml:space="preserve">Across the southern MDB, </w:t>
      </w:r>
      <w:r w:rsidR="004F54CC">
        <w:t xml:space="preserve">the volume of </w:t>
      </w:r>
      <w:r>
        <w:t>b</w:t>
      </w:r>
      <w:r w:rsidR="004D090D">
        <w:t xml:space="preserve">uyback is </w:t>
      </w:r>
      <w:r w:rsidR="004F54CC">
        <w:t xml:space="preserve">equal to </w:t>
      </w:r>
      <w:r w:rsidR="004D090D">
        <w:t xml:space="preserve">26% of </w:t>
      </w:r>
      <w:r w:rsidR="004F54CC">
        <w:t xml:space="preserve">the </w:t>
      </w:r>
      <w:r w:rsidR="004D090D">
        <w:t>higher reliability entitlements</w:t>
      </w:r>
      <w:r w:rsidR="008B6A59">
        <w:t xml:space="preserve"> </w:t>
      </w:r>
      <w:r w:rsidR="004F54CC">
        <w:t xml:space="preserve">that remain held </w:t>
      </w:r>
      <w:r w:rsidR="00B641FA">
        <w:t>in the consumptive pool (non-environmental)</w:t>
      </w:r>
      <w:r w:rsidR="004D090D">
        <w:t xml:space="preserve">, </w:t>
      </w:r>
      <w:r w:rsidR="00173D94">
        <w:t>and</w:t>
      </w:r>
      <w:r>
        <w:t xml:space="preserve"> </w:t>
      </w:r>
      <w:r w:rsidR="004D090D">
        <w:t xml:space="preserve">15% </w:t>
      </w:r>
      <w:r w:rsidR="00B641FA">
        <w:t xml:space="preserve">in the case </w:t>
      </w:r>
      <w:r w:rsidR="004D090D">
        <w:t>of lower reliability entitlements.</w:t>
      </w:r>
      <w:r>
        <w:rPr>
          <w:rStyle w:val="FootnoteReference"/>
        </w:rPr>
        <w:footnoteReference w:id="17"/>
      </w:r>
    </w:p>
    <w:p w14:paraId="28805AB0" w14:textId="0C768FA5" w:rsidR="00B5648D" w:rsidRDefault="00B5648D" w:rsidP="008276F9">
      <w:pPr>
        <w:pStyle w:val="Caption"/>
      </w:pPr>
      <w:bookmarkStart w:id="105" w:name="_Ref110851687"/>
      <w:bookmarkStart w:id="106" w:name="_Toc113621720"/>
      <w:r w:rsidRPr="007C5D2E">
        <w:rPr>
          <w:rStyle w:val="Bold"/>
        </w:rPr>
        <w:lastRenderedPageBreak/>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D4298A">
        <w:rPr>
          <w:rStyle w:val="Bold"/>
          <w:noProof/>
        </w:rPr>
        <w:t>8</w:t>
      </w:r>
      <w:r w:rsidRPr="007C5D2E">
        <w:rPr>
          <w:rStyle w:val="Bold"/>
        </w:rPr>
        <w:fldChar w:fldCharType="end"/>
      </w:r>
      <w:bookmarkEnd w:id="105"/>
      <w:r w:rsidRPr="00BE496A">
        <w:t xml:space="preserve">: </w:t>
      </w:r>
      <w:r w:rsidR="00583A1B">
        <w:t xml:space="preserve">Buyback </w:t>
      </w:r>
      <w:r w:rsidR="00497D74">
        <w:t xml:space="preserve">of </w:t>
      </w:r>
      <w:r w:rsidR="00583A1B">
        <w:t>entitlements (GL LTAAY)</w:t>
      </w:r>
      <w:bookmarkEnd w:id="106"/>
    </w:p>
    <w:p w14:paraId="1DE3804B" w14:textId="337923CD" w:rsidR="00B5648D" w:rsidRDefault="00B5648D" w:rsidP="008276F9">
      <w:pPr>
        <w:pStyle w:val="Image-Page1fullwidth"/>
        <w:keepNext/>
        <w:framePr w:w="0" w:hSpace="0" w:wrap="auto" w:vAnchor="margin" w:yAlign="inline"/>
        <w:spacing w:after="0" w:line="240" w:lineRule="auto"/>
      </w:pPr>
      <w:r>
        <w:drawing>
          <wp:inline distT="0" distB="0" distL="0" distR="0" wp14:anchorId="6E2434AB" wp14:editId="20214E95">
            <wp:extent cx="5391150" cy="32188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17261" r="10373"/>
                    <a:stretch/>
                  </pic:blipFill>
                  <pic:spPr bwMode="auto">
                    <a:xfrm>
                      <a:off x="0" y="0"/>
                      <a:ext cx="5391150" cy="3218815"/>
                    </a:xfrm>
                    <a:prstGeom prst="rect">
                      <a:avLst/>
                    </a:prstGeom>
                    <a:noFill/>
                    <a:ln>
                      <a:noFill/>
                    </a:ln>
                    <a:extLst>
                      <a:ext uri="{53640926-AAD7-44D8-BBD7-CCE9431645EC}">
                        <a14:shadowObscured xmlns:a14="http://schemas.microsoft.com/office/drawing/2010/main"/>
                      </a:ext>
                    </a:extLst>
                  </pic:spPr>
                </pic:pic>
              </a:graphicData>
            </a:graphic>
          </wp:inline>
        </w:drawing>
      </w:r>
    </w:p>
    <w:p w14:paraId="7DFC9B46" w14:textId="0233C04B" w:rsidR="00B5648D" w:rsidRPr="00202F17" w:rsidRDefault="00583A1B" w:rsidP="008276F9">
      <w:pPr>
        <w:pStyle w:val="Source"/>
        <w:rPr>
          <w:color w:val="9BA1A5"/>
        </w:rPr>
      </w:pPr>
      <w:r>
        <w:rPr>
          <w:color w:val="9BA1A5"/>
        </w:rPr>
        <w:t>Note: Only entitlements representing 2% or more of buyback are labelled.</w:t>
      </w:r>
      <w:r>
        <w:rPr>
          <w:color w:val="9BA1A5"/>
        </w:rPr>
        <w:tab/>
      </w:r>
      <w:r>
        <w:rPr>
          <w:color w:val="9BA1A5"/>
        </w:rPr>
        <w:br/>
      </w:r>
      <w:r w:rsidR="00B5648D" w:rsidRPr="00202F17">
        <w:rPr>
          <w:color w:val="9BA1A5"/>
        </w:rPr>
        <w:t xml:space="preserve">Source: </w:t>
      </w:r>
      <w:r w:rsidR="00B5648D">
        <w:rPr>
          <w:color w:val="9BA1A5"/>
        </w:rPr>
        <w:t>Frontier Economics analysis of DCCEEW data.</w:t>
      </w:r>
    </w:p>
    <w:p w14:paraId="282C8E73" w14:textId="364C975B" w:rsidR="00B5648D" w:rsidRDefault="00B5648D" w:rsidP="00B5648D">
      <w:pPr>
        <w:pStyle w:val="BodyText"/>
      </w:pPr>
    </w:p>
    <w:p w14:paraId="33573C53" w14:textId="2181404D" w:rsidR="000F642F" w:rsidRDefault="007C6CC8" w:rsidP="00B5648D">
      <w:pPr>
        <w:pStyle w:val="BodyText"/>
      </w:pPr>
      <w:r>
        <w:t xml:space="preserve">Buyback and on-farm infrastructure projects </w:t>
      </w:r>
      <w:r w:rsidR="00BF2AF6">
        <w:t xml:space="preserve">by the Commonwealth </w:t>
      </w:r>
      <w:r>
        <w:t xml:space="preserve">involve the transfer of water entitlements </w:t>
      </w:r>
      <w:r w:rsidR="00B903EC">
        <w:t xml:space="preserve">that are currently in the consumptive pool, from consumptive water users and </w:t>
      </w:r>
      <w:r w:rsidR="00C44DF7">
        <w:t xml:space="preserve">to the environment. </w:t>
      </w:r>
    </w:p>
    <w:p w14:paraId="53684112" w14:textId="40F9F4B5" w:rsidR="00C44DF7" w:rsidRDefault="006C48D6" w:rsidP="00B5648D">
      <w:pPr>
        <w:pStyle w:val="BodyText"/>
      </w:pPr>
      <w:r>
        <w:fldChar w:fldCharType="begin"/>
      </w:r>
      <w:r>
        <w:instrText xml:space="preserve"> REF _Ref112245347 \h </w:instrText>
      </w:r>
      <w:r>
        <w:fldChar w:fldCharType="separate"/>
      </w:r>
      <w:r w:rsidR="00D4298A" w:rsidRPr="00603BC1">
        <w:rPr>
          <w:rStyle w:val="Bold"/>
        </w:rPr>
        <w:t xml:space="preserve">Table </w:t>
      </w:r>
      <w:r w:rsidR="00D4298A">
        <w:rPr>
          <w:rStyle w:val="Bold"/>
          <w:noProof/>
        </w:rPr>
        <w:t>9</w:t>
      </w:r>
      <w:r>
        <w:fldChar w:fldCharType="end"/>
      </w:r>
      <w:r w:rsidR="00723E70">
        <w:t xml:space="preserve"> sets out </w:t>
      </w:r>
      <w:r w:rsidR="00BF2AF6">
        <w:t xml:space="preserve">the Commonwealth’s </w:t>
      </w:r>
      <w:r w:rsidR="008A70BB">
        <w:t>s</w:t>
      </w:r>
      <w:r w:rsidR="008A70BB" w:rsidRPr="008A70BB">
        <w:t xml:space="preserve">outhern MDB water recovery </w:t>
      </w:r>
      <w:r w:rsidR="00E811DB">
        <w:t xml:space="preserve">of surface water </w:t>
      </w:r>
      <w:r w:rsidR="008A70BB" w:rsidRPr="008A70BB">
        <w:t>from the consumptive pool and outside the consumptive pool</w:t>
      </w:r>
      <w:r w:rsidR="008A70BB">
        <w:t xml:space="preserve"> by each </w:t>
      </w:r>
      <w:r w:rsidR="00333D39">
        <w:t>SDL resource unit (valley).</w:t>
      </w:r>
      <w:r w:rsidR="00F208EE">
        <w:t xml:space="preserve"> </w:t>
      </w:r>
      <w:r w:rsidR="00100CB1">
        <w:t xml:space="preserve">Across the </w:t>
      </w:r>
      <w:r w:rsidR="00D07010">
        <w:t xml:space="preserve">southern MDB, 1181 GL has been recovered from the consumptive pool — which is 74% of the </w:t>
      </w:r>
      <w:r w:rsidR="00B56362">
        <w:t xml:space="preserve">long-term equivalent </w:t>
      </w:r>
      <w:r w:rsidR="00D07010">
        <w:t>volume recovered</w:t>
      </w:r>
      <w:r w:rsidR="00B56362">
        <w:t>.</w:t>
      </w:r>
    </w:p>
    <w:p w14:paraId="7D92BA71" w14:textId="76C773F3" w:rsidR="00AB72A2" w:rsidRDefault="00AB72A2" w:rsidP="008276F9">
      <w:pPr>
        <w:pStyle w:val="Caption"/>
      </w:pPr>
      <w:bookmarkStart w:id="107" w:name="_Ref112245347"/>
      <w:bookmarkStart w:id="108" w:name="_Toc113621696"/>
      <w:r w:rsidRPr="00603BC1">
        <w:rPr>
          <w:rStyle w:val="Bold"/>
        </w:rPr>
        <w:lastRenderedPageBreak/>
        <w:t xml:space="preserve">Table </w:t>
      </w:r>
      <w:r w:rsidRPr="00603BC1">
        <w:rPr>
          <w:rStyle w:val="Bold"/>
        </w:rPr>
        <w:fldChar w:fldCharType="begin"/>
      </w:r>
      <w:r w:rsidRPr="00603BC1">
        <w:rPr>
          <w:rStyle w:val="Bold"/>
        </w:rPr>
        <w:instrText xml:space="preserve"> SEQ Table \* ARABIC </w:instrText>
      </w:r>
      <w:r w:rsidRPr="00603BC1">
        <w:rPr>
          <w:rStyle w:val="Bold"/>
        </w:rPr>
        <w:fldChar w:fldCharType="separate"/>
      </w:r>
      <w:r w:rsidR="00D4298A">
        <w:rPr>
          <w:rStyle w:val="Bold"/>
          <w:noProof/>
        </w:rPr>
        <w:t>9</w:t>
      </w:r>
      <w:r w:rsidRPr="00603BC1">
        <w:rPr>
          <w:rStyle w:val="Bold"/>
        </w:rPr>
        <w:fldChar w:fldCharType="end"/>
      </w:r>
      <w:bookmarkEnd w:id="107"/>
      <w:r w:rsidRPr="00603BC1">
        <w:rPr>
          <w:rStyle w:val="Bold"/>
        </w:rPr>
        <w:t>:</w:t>
      </w:r>
      <w:r>
        <w:t xml:space="preserve"> </w:t>
      </w:r>
      <w:r w:rsidR="009B585B">
        <w:t xml:space="preserve">Southern MDB </w:t>
      </w:r>
      <w:r w:rsidR="00EF7161">
        <w:t xml:space="preserve">Commonwealth </w:t>
      </w:r>
      <w:r w:rsidR="009B585B">
        <w:t>w</w:t>
      </w:r>
      <w:r w:rsidR="006C48D6">
        <w:t>ater recovery from the cons</w:t>
      </w:r>
      <w:r w:rsidR="007E1075">
        <w:t>umptive pool, GL LTAAY</w:t>
      </w:r>
      <w:bookmarkEnd w:id="108"/>
    </w:p>
    <w:tbl>
      <w:tblPr>
        <w:tblStyle w:val="FETableStyle"/>
        <w:tblW w:w="5000" w:type="pct"/>
        <w:tblLayout w:type="fixed"/>
        <w:tblLook w:val="0420" w:firstRow="1" w:lastRow="0" w:firstColumn="0" w:lastColumn="0" w:noHBand="0" w:noVBand="1"/>
      </w:tblPr>
      <w:tblGrid>
        <w:gridCol w:w="1843"/>
        <w:gridCol w:w="1098"/>
        <w:gridCol w:w="1099"/>
        <w:gridCol w:w="1098"/>
        <w:gridCol w:w="816"/>
        <w:gridCol w:w="1558"/>
        <w:gridCol w:w="1558"/>
      </w:tblGrid>
      <w:tr w:rsidR="00AB72A2" w:rsidRPr="00AB72A2" w14:paraId="186C3D94" w14:textId="77777777" w:rsidTr="006B6099">
        <w:trPr>
          <w:cnfStyle w:val="100000000000" w:firstRow="1" w:lastRow="0" w:firstColumn="0" w:lastColumn="0" w:oddVBand="0" w:evenVBand="0" w:oddHBand="0" w:evenHBand="0" w:firstRowFirstColumn="0" w:firstRowLastColumn="0" w:lastRowFirstColumn="0" w:lastRowLastColumn="0"/>
        </w:trPr>
        <w:tc>
          <w:tcPr>
            <w:tcW w:w="1843" w:type="dxa"/>
            <w:noWrap/>
            <w:hideMark/>
          </w:tcPr>
          <w:p w14:paraId="7C104135" w14:textId="77777777" w:rsidR="00AB72A2" w:rsidRPr="00AB72A2" w:rsidRDefault="00AB72A2" w:rsidP="00AB72A2">
            <w:pPr>
              <w:pStyle w:val="TableHeading"/>
              <w:rPr>
                <w:b/>
              </w:rPr>
            </w:pPr>
          </w:p>
        </w:tc>
        <w:tc>
          <w:tcPr>
            <w:tcW w:w="1098" w:type="dxa"/>
            <w:noWrap/>
            <w:hideMark/>
          </w:tcPr>
          <w:p w14:paraId="16A28611" w14:textId="65557912" w:rsidR="00AB72A2" w:rsidRPr="00AB72A2" w:rsidRDefault="00AB72A2" w:rsidP="00FA042B">
            <w:pPr>
              <w:pStyle w:val="TableHeading"/>
              <w:jc w:val="right"/>
              <w:rPr>
                <w:b/>
              </w:rPr>
            </w:pPr>
            <w:r w:rsidRPr="00AB72A2">
              <w:rPr>
                <w:b/>
              </w:rPr>
              <w:t>Buyback</w:t>
            </w:r>
          </w:p>
        </w:tc>
        <w:tc>
          <w:tcPr>
            <w:tcW w:w="1099" w:type="dxa"/>
            <w:noWrap/>
            <w:hideMark/>
          </w:tcPr>
          <w:p w14:paraId="73FDFEBB" w14:textId="77777777" w:rsidR="00AB72A2" w:rsidRPr="00AB72A2" w:rsidRDefault="00AB72A2" w:rsidP="00FA042B">
            <w:pPr>
              <w:pStyle w:val="TableHeading"/>
              <w:jc w:val="right"/>
              <w:rPr>
                <w:b/>
              </w:rPr>
            </w:pPr>
            <w:r w:rsidRPr="00AB72A2">
              <w:rPr>
                <w:b/>
              </w:rPr>
              <w:t>On-farm</w:t>
            </w:r>
          </w:p>
        </w:tc>
        <w:tc>
          <w:tcPr>
            <w:tcW w:w="1098" w:type="dxa"/>
            <w:noWrap/>
            <w:hideMark/>
          </w:tcPr>
          <w:p w14:paraId="722253DA" w14:textId="77777777" w:rsidR="00AB72A2" w:rsidRPr="00AB72A2" w:rsidRDefault="00AB72A2" w:rsidP="00FA042B">
            <w:pPr>
              <w:pStyle w:val="TableHeading"/>
              <w:jc w:val="right"/>
              <w:rPr>
                <w:b/>
              </w:rPr>
            </w:pPr>
            <w:r w:rsidRPr="00AB72A2">
              <w:rPr>
                <w:b/>
              </w:rPr>
              <w:t>Off-farm</w:t>
            </w:r>
          </w:p>
        </w:tc>
        <w:tc>
          <w:tcPr>
            <w:tcW w:w="816" w:type="dxa"/>
            <w:noWrap/>
            <w:hideMark/>
          </w:tcPr>
          <w:p w14:paraId="29F7BF38" w14:textId="77777777" w:rsidR="00AB72A2" w:rsidRPr="00AB72A2" w:rsidRDefault="00AB72A2" w:rsidP="00FA042B">
            <w:pPr>
              <w:pStyle w:val="TableHeading"/>
              <w:jc w:val="right"/>
              <w:rPr>
                <w:b/>
              </w:rPr>
            </w:pPr>
            <w:r w:rsidRPr="00AB72A2">
              <w:rPr>
                <w:b/>
              </w:rPr>
              <w:t>Other</w:t>
            </w:r>
          </w:p>
        </w:tc>
        <w:tc>
          <w:tcPr>
            <w:tcW w:w="1558" w:type="dxa"/>
            <w:hideMark/>
          </w:tcPr>
          <w:p w14:paraId="206F85E9" w14:textId="42FE1604" w:rsidR="00AB72A2" w:rsidRPr="00AB72A2" w:rsidRDefault="00AB72A2" w:rsidP="0060738E">
            <w:pPr>
              <w:pStyle w:val="TableHeading"/>
              <w:jc w:val="right"/>
              <w:rPr>
                <w:b/>
                <w:i/>
                <w:iCs/>
              </w:rPr>
            </w:pPr>
            <w:r w:rsidRPr="00AB72A2">
              <w:rPr>
                <w:b/>
                <w:i/>
                <w:iCs/>
              </w:rPr>
              <w:t>Water recovery from consumptive pool</w:t>
            </w:r>
            <w:r w:rsidR="00EF1E0B">
              <w:rPr>
                <w:b/>
                <w:i/>
                <w:iCs/>
              </w:rPr>
              <w:t>*</w:t>
            </w:r>
          </w:p>
        </w:tc>
        <w:tc>
          <w:tcPr>
            <w:tcW w:w="1558" w:type="dxa"/>
            <w:hideMark/>
          </w:tcPr>
          <w:p w14:paraId="717108D1" w14:textId="16FDF137" w:rsidR="00AB72A2" w:rsidRPr="00AB72A2" w:rsidRDefault="00AB72A2" w:rsidP="0060738E">
            <w:pPr>
              <w:pStyle w:val="TableHeading"/>
              <w:jc w:val="right"/>
              <w:rPr>
                <w:b/>
                <w:i/>
                <w:iCs/>
              </w:rPr>
            </w:pPr>
            <w:r w:rsidRPr="00AB72A2">
              <w:rPr>
                <w:b/>
                <w:i/>
                <w:iCs/>
              </w:rPr>
              <w:t>Water recovery outside consumptive pool</w:t>
            </w:r>
            <w:r w:rsidR="00EF1E0B">
              <w:rPr>
                <w:b/>
                <w:i/>
                <w:iCs/>
              </w:rPr>
              <w:t>^</w:t>
            </w:r>
          </w:p>
        </w:tc>
      </w:tr>
      <w:tr w:rsidR="00626E23" w:rsidRPr="00AB72A2" w14:paraId="7B6122CC" w14:textId="77777777" w:rsidTr="00385BB5">
        <w:trPr>
          <w:cnfStyle w:val="000000100000" w:firstRow="0" w:lastRow="0" w:firstColumn="0" w:lastColumn="0" w:oddVBand="0" w:evenVBand="0" w:oddHBand="1" w:evenHBand="0" w:firstRowFirstColumn="0" w:firstRowLastColumn="0" w:lastRowFirstColumn="0" w:lastRowLastColumn="0"/>
        </w:trPr>
        <w:tc>
          <w:tcPr>
            <w:tcW w:w="1843" w:type="dxa"/>
            <w:noWrap/>
            <w:hideMark/>
          </w:tcPr>
          <w:p w14:paraId="0B830FCA" w14:textId="77777777" w:rsidR="00626E23" w:rsidRPr="00AB72A2" w:rsidRDefault="00626E23" w:rsidP="00626E23">
            <w:pPr>
              <w:pStyle w:val="TableText"/>
              <w:rPr>
                <w:b/>
                <w:bCs/>
              </w:rPr>
            </w:pPr>
            <w:r w:rsidRPr="00AB72A2">
              <w:rPr>
                <w:b/>
                <w:bCs/>
              </w:rPr>
              <w:t>NSW</w:t>
            </w:r>
          </w:p>
        </w:tc>
        <w:tc>
          <w:tcPr>
            <w:tcW w:w="1098" w:type="dxa"/>
            <w:noWrap/>
            <w:vAlign w:val="top"/>
            <w:hideMark/>
          </w:tcPr>
          <w:p w14:paraId="3E0174A0" w14:textId="6AB8A262" w:rsidR="00626E23" w:rsidRPr="00104CC7" w:rsidRDefault="00626E23" w:rsidP="00626E23">
            <w:pPr>
              <w:pStyle w:val="TableText"/>
              <w:jc w:val="right"/>
              <w:rPr>
                <w:b/>
                <w:bCs/>
              </w:rPr>
            </w:pPr>
            <w:r w:rsidRPr="00104CC7">
              <w:rPr>
                <w:b/>
                <w:bCs/>
              </w:rPr>
              <w:t>348.5</w:t>
            </w:r>
          </w:p>
        </w:tc>
        <w:tc>
          <w:tcPr>
            <w:tcW w:w="1099" w:type="dxa"/>
            <w:noWrap/>
            <w:vAlign w:val="top"/>
            <w:hideMark/>
          </w:tcPr>
          <w:p w14:paraId="58E3F976" w14:textId="483A6816" w:rsidR="00626E23" w:rsidRPr="00104CC7" w:rsidRDefault="00626E23" w:rsidP="00626E23">
            <w:pPr>
              <w:pStyle w:val="TableText"/>
              <w:jc w:val="right"/>
              <w:rPr>
                <w:b/>
                <w:bCs/>
              </w:rPr>
            </w:pPr>
            <w:r w:rsidRPr="00104CC7">
              <w:rPr>
                <w:b/>
                <w:bCs/>
              </w:rPr>
              <w:t>99.0</w:t>
            </w:r>
          </w:p>
        </w:tc>
        <w:tc>
          <w:tcPr>
            <w:tcW w:w="1098" w:type="dxa"/>
            <w:noWrap/>
            <w:vAlign w:val="top"/>
            <w:hideMark/>
          </w:tcPr>
          <w:p w14:paraId="3CE60DD1" w14:textId="03B7EFB5" w:rsidR="00626E23" w:rsidRPr="00104CC7" w:rsidRDefault="00626E23" w:rsidP="00626E23">
            <w:pPr>
              <w:pStyle w:val="TableText"/>
              <w:jc w:val="right"/>
              <w:rPr>
                <w:b/>
                <w:bCs/>
              </w:rPr>
            </w:pPr>
            <w:r w:rsidRPr="00104CC7">
              <w:rPr>
                <w:b/>
                <w:bCs/>
              </w:rPr>
              <w:t>110.9</w:t>
            </w:r>
          </w:p>
        </w:tc>
        <w:tc>
          <w:tcPr>
            <w:tcW w:w="816" w:type="dxa"/>
            <w:noWrap/>
            <w:vAlign w:val="top"/>
            <w:hideMark/>
          </w:tcPr>
          <w:p w14:paraId="60ACDE9E" w14:textId="1740A20B" w:rsidR="00626E23" w:rsidRPr="00626E23" w:rsidRDefault="00626E23" w:rsidP="00626E23">
            <w:pPr>
              <w:pStyle w:val="TableText"/>
              <w:jc w:val="right"/>
              <w:rPr>
                <w:b/>
                <w:bCs/>
              </w:rPr>
            </w:pPr>
            <w:r w:rsidRPr="00626E23">
              <w:rPr>
                <w:b/>
                <w:bCs/>
              </w:rPr>
              <w:t>173.7</w:t>
            </w:r>
          </w:p>
        </w:tc>
        <w:tc>
          <w:tcPr>
            <w:tcW w:w="1558" w:type="dxa"/>
            <w:noWrap/>
            <w:vAlign w:val="top"/>
            <w:hideMark/>
          </w:tcPr>
          <w:p w14:paraId="62E54F7A" w14:textId="67745FAC" w:rsidR="00626E23" w:rsidRPr="00626E23" w:rsidRDefault="00626E23" w:rsidP="00626E23">
            <w:pPr>
              <w:pStyle w:val="TableText"/>
              <w:jc w:val="right"/>
              <w:rPr>
                <w:b/>
                <w:bCs/>
                <w:i/>
                <w:iCs/>
              </w:rPr>
            </w:pPr>
            <w:r w:rsidRPr="00626E23">
              <w:rPr>
                <w:b/>
                <w:bCs/>
                <w:i/>
                <w:iCs/>
              </w:rPr>
              <w:t>447.5</w:t>
            </w:r>
          </w:p>
        </w:tc>
        <w:tc>
          <w:tcPr>
            <w:tcW w:w="1558" w:type="dxa"/>
            <w:noWrap/>
            <w:vAlign w:val="top"/>
            <w:hideMark/>
          </w:tcPr>
          <w:p w14:paraId="1226F3BC" w14:textId="3A688D0E" w:rsidR="00626E23" w:rsidRPr="00626E23" w:rsidRDefault="00626E23" w:rsidP="00626E23">
            <w:pPr>
              <w:pStyle w:val="TableText"/>
              <w:jc w:val="right"/>
              <w:rPr>
                <w:b/>
                <w:bCs/>
                <w:i/>
                <w:iCs/>
              </w:rPr>
            </w:pPr>
            <w:r w:rsidRPr="00626E23">
              <w:rPr>
                <w:b/>
                <w:bCs/>
                <w:i/>
                <w:iCs/>
              </w:rPr>
              <w:t>284.6</w:t>
            </w:r>
          </w:p>
        </w:tc>
      </w:tr>
      <w:tr w:rsidR="00626E23" w:rsidRPr="00AB72A2" w14:paraId="638A63D1" w14:textId="77777777" w:rsidTr="008E3477">
        <w:trPr>
          <w:cnfStyle w:val="000000010000" w:firstRow="0" w:lastRow="0" w:firstColumn="0" w:lastColumn="0" w:oddVBand="0" w:evenVBand="0" w:oddHBand="0" w:evenHBand="1" w:firstRowFirstColumn="0" w:firstRowLastColumn="0" w:lastRowFirstColumn="0" w:lastRowLastColumn="0"/>
        </w:trPr>
        <w:tc>
          <w:tcPr>
            <w:tcW w:w="1843" w:type="dxa"/>
            <w:noWrap/>
            <w:hideMark/>
          </w:tcPr>
          <w:p w14:paraId="5880F274" w14:textId="77777777" w:rsidR="00626E23" w:rsidRPr="00AB72A2" w:rsidRDefault="00626E23" w:rsidP="00626E23">
            <w:pPr>
              <w:pStyle w:val="TableText"/>
              <w:ind w:left="180"/>
            </w:pPr>
            <w:r w:rsidRPr="00AB72A2">
              <w:t>NSW Murray</w:t>
            </w:r>
          </w:p>
        </w:tc>
        <w:tc>
          <w:tcPr>
            <w:tcW w:w="1098" w:type="dxa"/>
            <w:noWrap/>
            <w:hideMark/>
          </w:tcPr>
          <w:p w14:paraId="65E24034" w14:textId="77777777" w:rsidR="00626E23" w:rsidRPr="00AB72A2" w:rsidRDefault="00626E23" w:rsidP="00626E23">
            <w:pPr>
              <w:pStyle w:val="TableText"/>
              <w:jc w:val="right"/>
            </w:pPr>
            <w:r w:rsidRPr="00AB72A2">
              <w:t>190.2</w:t>
            </w:r>
          </w:p>
        </w:tc>
        <w:tc>
          <w:tcPr>
            <w:tcW w:w="1099" w:type="dxa"/>
            <w:noWrap/>
            <w:hideMark/>
          </w:tcPr>
          <w:p w14:paraId="33C5F298" w14:textId="77777777" w:rsidR="00626E23" w:rsidRPr="00AB72A2" w:rsidRDefault="00626E23" w:rsidP="00626E23">
            <w:pPr>
              <w:pStyle w:val="TableText"/>
              <w:jc w:val="right"/>
            </w:pPr>
            <w:r w:rsidRPr="00AB72A2">
              <w:t>59.0</w:t>
            </w:r>
          </w:p>
        </w:tc>
        <w:tc>
          <w:tcPr>
            <w:tcW w:w="1098" w:type="dxa"/>
            <w:noWrap/>
            <w:hideMark/>
          </w:tcPr>
          <w:p w14:paraId="4BF873AE" w14:textId="77777777" w:rsidR="00626E23" w:rsidRPr="00AB72A2" w:rsidRDefault="00626E23" w:rsidP="00626E23">
            <w:pPr>
              <w:pStyle w:val="TableText"/>
              <w:jc w:val="right"/>
            </w:pPr>
            <w:r w:rsidRPr="00AB72A2">
              <w:t>43.6</w:t>
            </w:r>
          </w:p>
        </w:tc>
        <w:tc>
          <w:tcPr>
            <w:tcW w:w="816" w:type="dxa"/>
            <w:noWrap/>
            <w:vAlign w:val="top"/>
            <w:hideMark/>
          </w:tcPr>
          <w:p w14:paraId="157AB879" w14:textId="0B98FFEA" w:rsidR="00626E23" w:rsidRPr="00AB72A2" w:rsidRDefault="00626E23" w:rsidP="00626E23">
            <w:pPr>
              <w:pStyle w:val="TableText"/>
              <w:jc w:val="right"/>
            </w:pPr>
            <w:r w:rsidRPr="00082F55">
              <w:t>0.0</w:t>
            </w:r>
          </w:p>
        </w:tc>
        <w:tc>
          <w:tcPr>
            <w:tcW w:w="1558" w:type="dxa"/>
            <w:noWrap/>
            <w:vAlign w:val="top"/>
            <w:hideMark/>
          </w:tcPr>
          <w:p w14:paraId="2003C0C4" w14:textId="32E471F0" w:rsidR="00626E23" w:rsidRPr="005F2969" w:rsidRDefault="00626E23" w:rsidP="00626E23">
            <w:pPr>
              <w:pStyle w:val="TableText"/>
              <w:jc w:val="right"/>
              <w:rPr>
                <w:i/>
                <w:iCs/>
              </w:rPr>
            </w:pPr>
            <w:r w:rsidRPr="00516362">
              <w:t>249.2</w:t>
            </w:r>
          </w:p>
        </w:tc>
        <w:tc>
          <w:tcPr>
            <w:tcW w:w="1558" w:type="dxa"/>
            <w:noWrap/>
            <w:vAlign w:val="top"/>
            <w:hideMark/>
          </w:tcPr>
          <w:p w14:paraId="4B06EBA1" w14:textId="27517BF1" w:rsidR="00626E23" w:rsidRPr="005F2969" w:rsidRDefault="00626E23" w:rsidP="00626E23">
            <w:pPr>
              <w:pStyle w:val="TableText"/>
              <w:jc w:val="right"/>
              <w:rPr>
                <w:i/>
                <w:iCs/>
              </w:rPr>
            </w:pPr>
            <w:r w:rsidRPr="00516362">
              <w:t>43.6</w:t>
            </w:r>
          </w:p>
        </w:tc>
      </w:tr>
      <w:tr w:rsidR="00626E23" w:rsidRPr="00AB72A2" w14:paraId="506D7DF3" w14:textId="77777777" w:rsidTr="008E3477">
        <w:trPr>
          <w:cnfStyle w:val="000000100000" w:firstRow="0" w:lastRow="0" w:firstColumn="0" w:lastColumn="0" w:oddVBand="0" w:evenVBand="0" w:oddHBand="1" w:evenHBand="0" w:firstRowFirstColumn="0" w:firstRowLastColumn="0" w:lastRowFirstColumn="0" w:lastRowLastColumn="0"/>
        </w:trPr>
        <w:tc>
          <w:tcPr>
            <w:tcW w:w="1843" w:type="dxa"/>
            <w:noWrap/>
            <w:hideMark/>
          </w:tcPr>
          <w:p w14:paraId="4F242B15" w14:textId="77777777" w:rsidR="00626E23" w:rsidRPr="00AB72A2" w:rsidRDefault="00626E23" w:rsidP="00626E23">
            <w:pPr>
              <w:pStyle w:val="TableText"/>
              <w:ind w:left="180"/>
            </w:pPr>
            <w:r w:rsidRPr="00AB72A2">
              <w:t>Murrumbidgee</w:t>
            </w:r>
          </w:p>
        </w:tc>
        <w:tc>
          <w:tcPr>
            <w:tcW w:w="1098" w:type="dxa"/>
            <w:noWrap/>
            <w:hideMark/>
          </w:tcPr>
          <w:p w14:paraId="39959C85" w14:textId="77777777" w:rsidR="00626E23" w:rsidRPr="00AB72A2" w:rsidRDefault="00626E23" w:rsidP="00626E23">
            <w:pPr>
              <w:pStyle w:val="TableText"/>
              <w:jc w:val="right"/>
            </w:pPr>
            <w:r w:rsidRPr="00AB72A2">
              <w:t>136.6</w:t>
            </w:r>
          </w:p>
        </w:tc>
        <w:tc>
          <w:tcPr>
            <w:tcW w:w="1099" w:type="dxa"/>
            <w:noWrap/>
            <w:hideMark/>
          </w:tcPr>
          <w:p w14:paraId="3BA276A1" w14:textId="77777777" w:rsidR="00626E23" w:rsidRPr="00AB72A2" w:rsidRDefault="00626E23" w:rsidP="00626E23">
            <w:pPr>
              <w:pStyle w:val="TableText"/>
              <w:jc w:val="right"/>
            </w:pPr>
            <w:r w:rsidRPr="00AB72A2">
              <w:t>38.5</w:t>
            </w:r>
          </w:p>
        </w:tc>
        <w:tc>
          <w:tcPr>
            <w:tcW w:w="1098" w:type="dxa"/>
            <w:noWrap/>
            <w:hideMark/>
          </w:tcPr>
          <w:p w14:paraId="62ADCFEF" w14:textId="77777777" w:rsidR="00626E23" w:rsidRPr="00AB72A2" w:rsidRDefault="00626E23" w:rsidP="00626E23">
            <w:pPr>
              <w:pStyle w:val="TableText"/>
              <w:jc w:val="right"/>
            </w:pPr>
            <w:r w:rsidRPr="00AB72A2">
              <w:t>67.3</w:t>
            </w:r>
          </w:p>
        </w:tc>
        <w:tc>
          <w:tcPr>
            <w:tcW w:w="816" w:type="dxa"/>
            <w:noWrap/>
            <w:vAlign w:val="top"/>
            <w:hideMark/>
          </w:tcPr>
          <w:p w14:paraId="410EEEAC" w14:textId="66280CDC" w:rsidR="00626E23" w:rsidRPr="00AB72A2" w:rsidRDefault="00626E23" w:rsidP="00626E23">
            <w:pPr>
              <w:pStyle w:val="TableText"/>
              <w:jc w:val="right"/>
            </w:pPr>
            <w:r w:rsidRPr="00082F55">
              <w:t>173.7</w:t>
            </w:r>
          </w:p>
        </w:tc>
        <w:tc>
          <w:tcPr>
            <w:tcW w:w="1558" w:type="dxa"/>
            <w:noWrap/>
            <w:vAlign w:val="top"/>
            <w:hideMark/>
          </w:tcPr>
          <w:p w14:paraId="74E71712" w14:textId="073F2238" w:rsidR="00626E23" w:rsidRPr="005F2969" w:rsidRDefault="00626E23" w:rsidP="00626E23">
            <w:pPr>
              <w:pStyle w:val="TableText"/>
              <w:jc w:val="right"/>
              <w:rPr>
                <w:i/>
                <w:iCs/>
              </w:rPr>
            </w:pPr>
            <w:r w:rsidRPr="00516362">
              <w:t>175.1</w:t>
            </w:r>
          </w:p>
        </w:tc>
        <w:tc>
          <w:tcPr>
            <w:tcW w:w="1558" w:type="dxa"/>
            <w:noWrap/>
            <w:vAlign w:val="top"/>
            <w:hideMark/>
          </w:tcPr>
          <w:p w14:paraId="606CFE87" w14:textId="3EBA4DA6" w:rsidR="00626E23" w:rsidRPr="005F2969" w:rsidRDefault="00626E23" w:rsidP="00626E23">
            <w:pPr>
              <w:pStyle w:val="TableText"/>
              <w:jc w:val="right"/>
              <w:rPr>
                <w:i/>
                <w:iCs/>
              </w:rPr>
            </w:pPr>
            <w:r w:rsidRPr="00516362">
              <w:t>241.0</w:t>
            </w:r>
          </w:p>
        </w:tc>
      </w:tr>
      <w:tr w:rsidR="00AB72A2" w:rsidRPr="00AB72A2" w14:paraId="47E5B5F1" w14:textId="77777777" w:rsidTr="006B6099">
        <w:trPr>
          <w:cnfStyle w:val="000000010000" w:firstRow="0" w:lastRow="0" w:firstColumn="0" w:lastColumn="0" w:oddVBand="0" w:evenVBand="0" w:oddHBand="0" w:evenHBand="1" w:firstRowFirstColumn="0" w:firstRowLastColumn="0" w:lastRowFirstColumn="0" w:lastRowLastColumn="0"/>
        </w:trPr>
        <w:tc>
          <w:tcPr>
            <w:tcW w:w="1843" w:type="dxa"/>
            <w:noWrap/>
            <w:hideMark/>
          </w:tcPr>
          <w:p w14:paraId="1385A540" w14:textId="77777777" w:rsidR="00AB72A2" w:rsidRPr="00AB72A2" w:rsidRDefault="00AB72A2" w:rsidP="00AB72A2">
            <w:pPr>
              <w:pStyle w:val="TableText"/>
              <w:ind w:left="180"/>
            </w:pPr>
            <w:r w:rsidRPr="00AB72A2">
              <w:t>Lower Darling</w:t>
            </w:r>
          </w:p>
        </w:tc>
        <w:tc>
          <w:tcPr>
            <w:tcW w:w="1098" w:type="dxa"/>
            <w:noWrap/>
            <w:hideMark/>
          </w:tcPr>
          <w:p w14:paraId="09215727" w14:textId="77777777" w:rsidR="00AB72A2" w:rsidRPr="00AB72A2" w:rsidRDefault="00AB72A2" w:rsidP="00FA042B">
            <w:pPr>
              <w:pStyle w:val="TableText"/>
              <w:jc w:val="right"/>
            </w:pPr>
            <w:r w:rsidRPr="00AB72A2">
              <w:t>21.8</w:t>
            </w:r>
          </w:p>
        </w:tc>
        <w:tc>
          <w:tcPr>
            <w:tcW w:w="1099" w:type="dxa"/>
            <w:noWrap/>
            <w:hideMark/>
          </w:tcPr>
          <w:p w14:paraId="5F1930E8" w14:textId="77777777" w:rsidR="00AB72A2" w:rsidRPr="00AB72A2" w:rsidRDefault="00AB72A2" w:rsidP="00FA042B">
            <w:pPr>
              <w:pStyle w:val="TableText"/>
              <w:jc w:val="right"/>
            </w:pPr>
            <w:r w:rsidRPr="00AB72A2">
              <w:t>1.4</w:t>
            </w:r>
          </w:p>
        </w:tc>
        <w:tc>
          <w:tcPr>
            <w:tcW w:w="1098" w:type="dxa"/>
            <w:noWrap/>
            <w:hideMark/>
          </w:tcPr>
          <w:p w14:paraId="647627E5" w14:textId="77777777" w:rsidR="00AB72A2" w:rsidRPr="00AB72A2" w:rsidRDefault="00AB72A2" w:rsidP="00FA042B">
            <w:pPr>
              <w:pStyle w:val="TableText"/>
              <w:jc w:val="right"/>
            </w:pPr>
            <w:r w:rsidRPr="00AB72A2">
              <w:t>0.0</w:t>
            </w:r>
          </w:p>
        </w:tc>
        <w:tc>
          <w:tcPr>
            <w:tcW w:w="816" w:type="dxa"/>
            <w:noWrap/>
            <w:hideMark/>
          </w:tcPr>
          <w:p w14:paraId="23E56073" w14:textId="77777777" w:rsidR="00AB72A2" w:rsidRPr="00AB72A2" w:rsidRDefault="00AB72A2" w:rsidP="00FA042B">
            <w:pPr>
              <w:pStyle w:val="TableText"/>
              <w:jc w:val="right"/>
            </w:pPr>
            <w:r w:rsidRPr="00AB72A2">
              <w:t>0.0</w:t>
            </w:r>
          </w:p>
        </w:tc>
        <w:tc>
          <w:tcPr>
            <w:tcW w:w="1558" w:type="dxa"/>
            <w:noWrap/>
            <w:hideMark/>
          </w:tcPr>
          <w:p w14:paraId="31B1D09A" w14:textId="77777777" w:rsidR="00AB72A2" w:rsidRPr="005F2969" w:rsidRDefault="00AB72A2" w:rsidP="0060738E">
            <w:pPr>
              <w:pStyle w:val="TableText"/>
              <w:jc w:val="right"/>
              <w:rPr>
                <w:i/>
                <w:iCs/>
              </w:rPr>
            </w:pPr>
            <w:r w:rsidRPr="005F2969">
              <w:rPr>
                <w:i/>
                <w:iCs/>
              </w:rPr>
              <w:t>23.2</w:t>
            </w:r>
          </w:p>
        </w:tc>
        <w:tc>
          <w:tcPr>
            <w:tcW w:w="1558" w:type="dxa"/>
            <w:noWrap/>
            <w:hideMark/>
          </w:tcPr>
          <w:p w14:paraId="0D9C7FF6" w14:textId="77777777" w:rsidR="00AB72A2" w:rsidRPr="005F2969" w:rsidRDefault="00AB72A2" w:rsidP="0060738E">
            <w:pPr>
              <w:pStyle w:val="TableText"/>
              <w:jc w:val="right"/>
              <w:rPr>
                <w:i/>
                <w:iCs/>
              </w:rPr>
            </w:pPr>
            <w:r w:rsidRPr="005F2969">
              <w:rPr>
                <w:i/>
                <w:iCs/>
              </w:rPr>
              <w:t>0.0</w:t>
            </w:r>
          </w:p>
        </w:tc>
      </w:tr>
      <w:tr w:rsidR="005F2969" w:rsidRPr="00AB72A2" w14:paraId="4D80419B" w14:textId="77777777" w:rsidTr="00277B46">
        <w:trPr>
          <w:cnfStyle w:val="000000100000" w:firstRow="0" w:lastRow="0" w:firstColumn="0" w:lastColumn="0" w:oddVBand="0" w:evenVBand="0" w:oddHBand="1" w:evenHBand="0" w:firstRowFirstColumn="0" w:firstRowLastColumn="0" w:lastRowFirstColumn="0" w:lastRowLastColumn="0"/>
        </w:trPr>
        <w:tc>
          <w:tcPr>
            <w:tcW w:w="1843" w:type="dxa"/>
            <w:noWrap/>
            <w:hideMark/>
          </w:tcPr>
          <w:p w14:paraId="5281B385" w14:textId="2D55EC9C" w:rsidR="005F2969" w:rsidRPr="00AB72A2" w:rsidRDefault="005F2969" w:rsidP="005F2969">
            <w:pPr>
              <w:pStyle w:val="TableText"/>
              <w:rPr>
                <w:b/>
                <w:bCs/>
              </w:rPr>
            </w:pPr>
            <w:r w:rsidRPr="00AB72A2">
              <w:rPr>
                <w:b/>
                <w:bCs/>
              </w:rPr>
              <w:t>Victoria</w:t>
            </w:r>
            <w:r w:rsidR="00D55207" w:rsidRPr="00301ACA">
              <w:rPr>
                <w:b/>
                <w:bCs/>
                <w:vertAlign w:val="superscript"/>
              </w:rPr>
              <w:t>#</w:t>
            </w:r>
          </w:p>
        </w:tc>
        <w:tc>
          <w:tcPr>
            <w:tcW w:w="1098" w:type="dxa"/>
            <w:noWrap/>
            <w:vAlign w:val="top"/>
            <w:hideMark/>
          </w:tcPr>
          <w:p w14:paraId="54D0CE68" w14:textId="05E51888" w:rsidR="005F2969" w:rsidRPr="005F2969" w:rsidRDefault="005F2969" w:rsidP="005F2969">
            <w:pPr>
              <w:pStyle w:val="TableText"/>
              <w:jc w:val="right"/>
              <w:rPr>
                <w:b/>
                <w:bCs/>
              </w:rPr>
            </w:pPr>
            <w:r w:rsidRPr="005F2969">
              <w:rPr>
                <w:b/>
                <w:bCs/>
              </w:rPr>
              <w:t>529.5</w:t>
            </w:r>
          </w:p>
        </w:tc>
        <w:tc>
          <w:tcPr>
            <w:tcW w:w="1099" w:type="dxa"/>
            <w:noWrap/>
            <w:vAlign w:val="top"/>
            <w:hideMark/>
          </w:tcPr>
          <w:p w14:paraId="698B447E" w14:textId="40EADE91" w:rsidR="005F2969" w:rsidRPr="005F2969" w:rsidRDefault="005F2969" w:rsidP="005F2969">
            <w:pPr>
              <w:pStyle w:val="TableText"/>
              <w:jc w:val="right"/>
              <w:rPr>
                <w:b/>
                <w:bCs/>
              </w:rPr>
            </w:pPr>
            <w:r w:rsidRPr="005F2969">
              <w:rPr>
                <w:b/>
                <w:bCs/>
              </w:rPr>
              <w:t>70.0</w:t>
            </w:r>
          </w:p>
        </w:tc>
        <w:tc>
          <w:tcPr>
            <w:tcW w:w="1098" w:type="dxa"/>
            <w:noWrap/>
            <w:vAlign w:val="top"/>
            <w:hideMark/>
          </w:tcPr>
          <w:p w14:paraId="1ECF9860" w14:textId="0D692D42" w:rsidR="005F2969" w:rsidRPr="005F2969" w:rsidRDefault="005F2969" w:rsidP="005F2969">
            <w:pPr>
              <w:pStyle w:val="TableText"/>
              <w:jc w:val="right"/>
              <w:rPr>
                <w:b/>
                <w:bCs/>
              </w:rPr>
            </w:pPr>
            <w:r w:rsidRPr="005F2969">
              <w:rPr>
                <w:b/>
                <w:bCs/>
              </w:rPr>
              <w:t>113.6</w:t>
            </w:r>
          </w:p>
        </w:tc>
        <w:tc>
          <w:tcPr>
            <w:tcW w:w="816" w:type="dxa"/>
            <w:noWrap/>
            <w:vAlign w:val="top"/>
            <w:hideMark/>
          </w:tcPr>
          <w:p w14:paraId="1D15655B" w14:textId="16F9E285" w:rsidR="005F2969" w:rsidRPr="005F2969" w:rsidRDefault="005F2969" w:rsidP="005F2969">
            <w:pPr>
              <w:pStyle w:val="TableText"/>
              <w:jc w:val="right"/>
              <w:rPr>
                <w:b/>
                <w:bCs/>
              </w:rPr>
            </w:pPr>
            <w:r w:rsidRPr="005F2969">
              <w:rPr>
                <w:b/>
                <w:bCs/>
              </w:rPr>
              <w:t>0.0</w:t>
            </w:r>
          </w:p>
        </w:tc>
        <w:tc>
          <w:tcPr>
            <w:tcW w:w="1558" w:type="dxa"/>
            <w:noWrap/>
            <w:vAlign w:val="top"/>
            <w:hideMark/>
          </w:tcPr>
          <w:p w14:paraId="58DE1CAA" w14:textId="0B73BBDF" w:rsidR="005F2969" w:rsidRPr="005F2969" w:rsidRDefault="005F2969" w:rsidP="0060738E">
            <w:pPr>
              <w:pStyle w:val="TableText"/>
              <w:jc w:val="right"/>
              <w:rPr>
                <w:b/>
                <w:bCs/>
                <w:i/>
                <w:iCs/>
              </w:rPr>
            </w:pPr>
            <w:r w:rsidRPr="005F2969">
              <w:rPr>
                <w:b/>
                <w:bCs/>
                <w:i/>
                <w:iCs/>
              </w:rPr>
              <w:t>599.4</w:t>
            </w:r>
          </w:p>
        </w:tc>
        <w:tc>
          <w:tcPr>
            <w:tcW w:w="1558" w:type="dxa"/>
            <w:noWrap/>
            <w:vAlign w:val="top"/>
            <w:hideMark/>
          </w:tcPr>
          <w:p w14:paraId="5BFE7FF8" w14:textId="71FB0C49" w:rsidR="005F2969" w:rsidRPr="005F2969" w:rsidRDefault="005F2969" w:rsidP="0060738E">
            <w:pPr>
              <w:pStyle w:val="TableText"/>
              <w:jc w:val="right"/>
              <w:rPr>
                <w:b/>
                <w:bCs/>
                <w:i/>
                <w:iCs/>
              </w:rPr>
            </w:pPr>
            <w:r w:rsidRPr="005F2969">
              <w:rPr>
                <w:b/>
                <w:bCs/>
                <w:i/>
                <w:iCs/>
              </w:rPr>
              <w:t>113.6</w:t>
            </w:r>
          </w:p>
        </w:tc>
      </w:tr>
      <w:tr w:rsidR="00AB72A2" w:rsidRPr="00AB72A2" w14:paraId="27C378C3" w14:textId="77777777" w:rsidTr="006B6099">
        <w:trPr>
          <w:cnfStyle w:val="000000010000" w:firstRow="0" w:lastRow="0" w:firstColumn="0" w:lastColumn="0" w:oddVBand="0" w:evenVBand="0" w:oddHBand="0" w:evenHBand="1" w:firstRowFirstColumn="0" w:firstRowLastColumn="0" w:lastRowFirstColumn="0" w:lastRowLastColumn="0"/>
        </w:trPr>
        <w:tc>
          <w:tcPr>
            <w:tcW w:w="1843" w:type="dxa"/>
            <w:noWrap/>
            <w:hideMark/>
          </w:tcPr>
          <w:p w14:paraId="4C61C275" w14:textId="77777777" w:rsidR="00AB72A2" w:rsidRPr="00AB72A2" w:rsidRDefault="00AB72A2" w:rsidP="00AB72A2">
            <w:pPr>
              <w:pStyle w:val="TableText"/>
              <w:ind w:left="180"/>
            </w:pPr>
            <w:r w:rsidRPr="00AB72A2">
              <w:t>VIC Murray</w:t>
            </w:r>
          </w:p>
        </w:tc>
        <w:tc>
          <w:tcPr>
            <w:tcW w:w="1098" w:type="dxa"/>
            <w:noWrap/>
            <w:hideMark/>
          </w:tcPr>
          <w:p w14:paraId="5D6DD29A" w14:textId="77777777" w:rsidR="00AB72A2" w:rsidRPr="00AB72A2" w:rsidRDefault="00AB72A2" w:rsidP="00FA042B">
            <w:pPr>
              <w:pStyle w:val="TableText"/>
              <w:jc w:val="right"/>
            </w:pPr>
            <w:r w:rsidRPr="00AB72A2">
              <w:t>280.9</w:t>
            </w:r>
          </w:p>
        </w:tc>
        <w:tc>
          <w:tcPr>
            <w:tcW w:w="1099" w:type="dxa"/>
            <w:noWrap/>
            <w:hideMark/>
          </w:tcPr>
          <w:p w14:paraId="59353E74" w14:textId="77777777" w:rsidR="00AB72A2" w:rsidRPr="00AB72A2" w:rsidRDefault="00AB72A2" w:rsidP="00FA042B">
            <w:pPr>
              <w:pStyle w:val="TableText"/>
              <w:jc w:val="right"/>
            </w:pPr>
            <w:r w:rsidRPr="00AB72A2">
              <w:t>32.0</w:t>
            </w:r>
          </w:p>
        </w:tc>
        <w:tc>
          <w:tcPr>
            <w:tcW w:w="1098" w:type="dxa"/>
            <w:noWrap/>
            <w:hideMark/>
          </w:tcPr>
          <w:p w14:paraId="6AA9C02E" w14:textId="77777777" w:rsidR="00AB72A2" w:rsidRPr="00AB72A2" w:rsidRDefault="00AB72A2" w:rsidP="00FA042B">
            <w:pPr>
              <w:pStyle w:val="TableText"/>
              <w:jc w:val="right"/>
            </w:pPr>
            <w:r w:rsidRPr="00AB72A2">
              <w:t>59.3</w:t>
            </w:r>
          </w:p>
        </w:tc>
        <w:tc>
          <w:tcPr>
            <w:tcW w:w="816" w:type="dxa"/>
            <w:noWrap/>
            <w:hideMark/>
          </w:tcPr>
          <w:p w14:paraId="0D3E8EF6" w14:textId="77777777" w:rsidR="00AB72A2" w:rsidRPr="00AB72A2" w:rsidRDefault="00AB72A2" w:rsidP="00FA042B">
            <w:pPr>
              <w:pStyle w:val="TableText"/>
              <w:jc w:val="right"/>
            </w:pPr>
            <w:r w:rsidRPr="00AB72A2">
              <w:t>0.0</w:t>
            </w:r>
          </w:p>
        </w:tc>
        <w:tc>
          <w:tcPr>
            <w:tcW w:w="1558" w:type="dxa"/>
            <w:noWrap/>
            <w:hideMark/>
          </w:tcPr>
          <w:p w14:paraId="33FF3C93" w14:textId="77777777" w:rsidR="00AB72A2" w:rsidRPr="005F2969" w:rsidRDefault="00AB72A2" w:rsidP="0060738E">
            <w:pPr>
              <w:pStyle w:val="TableText"/>
              <w:jc w:val="right"/>
              <w:rPr>
                <w:i/>
                <w:iCs/>
              </w:rPr>
            </w:pPr>
            <w:r w:rsidRPr="005F2969">
              <w:rPr>
                <w:i/>
                <w:iCs/>
              </w:rPr>
              <w:t>312.9</w:t>
            </w:r>
          </w:p>
        </w:tc>
        <w:tc>
          <w:tcPr>
            <w:tcW w:w="1558" w:type="dxa"/>
            <w:noWrap/>
            <w:hideMark/>
          </w:tcPr>
          <w:p w14:paraId="61C398A2" w14:textId="77777777" w:rsidR="00AB72A2" w:rsidRPr="005F2969" w:rsidRDefault="00AB72A2" w:rsidP="0060738E">
            <w:pPr>
              <w:pStyle w:val="TableText"/>
              <w:jc w:val="right"/>
              <w:rPr>
                <w:i/>
                <w:iCs/>
              </w:rPr>
            </w:pPr>
            <w:r w:rsidRPr="005F2969">
              <w:rPr>
                <w:i/>
                <w:iCs/>
              </w:rPr>
              <w:t>59.3</w:t>
            </w:r>
          </w:p>
        </w:tc>
      </w:tr>
      <w:tr w:rsidR="00AB72A2" w:rsidRPr="00AB72A2" w14:paraId="42941536" w14:textId="77777777" w:rsidTr="006B6099">
        <w:trPr>
          <w:cnfStyle w:val="000000100000" w:firstRow="0" w:lastRow="0" w:firstColumn="0" w:lastColumn="0" w:oddVBand="0" w:evenVBand="0" w:oddHBand="1" w:evenHBand="0" w:firstRowFirstColumn="0" w:firstRowLastColumn="0" w:lastRowFirstColumn="0" w:lastRowLastColumn="0"/>
        </w:trPr>
        <w:tc>
          <w:tcPr>
            <w:tcW w:w="1843" w:type="dxa"/>
            <w:noWrap/>
            <w:hideMark/>
          </w:tcPr>
          <w:p w14:paraId="10FC98A0" w14:textId="77777777" w:rsidR="00AB72A2" w:rsidRPr="00AB72A2" w:rsidRDefault="00AB72A2" w:rsidP="00AB72A2">
            <w:pPr>
              <w:pStyle w:val="TableText"/>
              <w:ind w:left="180"/>
            </w:pPr>
            <w:r w:rsidRPr="00AB72A2">
              <w:t>Goulburn</w:t>
            </w:r>
          </w:p>
        </w:tc>
        <w:tc>
          <w:tcPr>
            <w:tcW w:w="1098" w:type="dxa"/>
            <w:noWrap/>
            <w:hideMark/>
          </w:tcPr>
          <w:p w14:paraId="4577E60D" w14:textId="77777777" w:rsidR="00AB72A2" w:rsidRPr="00AB72A2" w:rsidRDefault="00AB72A2" w:rsidP="00FA042B">
            <w:pPr>
              <w:pStyle w:val="TableText"/>
              <w:jc w:val="right"/>
            </w:pPr>
            <w:r w:rsidRPr="00AB72A2">
              <w:t>240.5</w:t>
            </w:r>
          </w:p>
        </w:tc>
        <w:tc>
          <w:tcPr>
            <w:tcW w:w="1099" w:type="dxa"/>
            <w:noWrap/>
            <w:hideMark/>
          </w:tcPr>
          <w:p w14:paraId="23C155D8" w14:textId="77777777" w:rsidR="00AB72A2" w:rsidRPr="00AB72A2" w:rsidRDefault="00AB72A2" w:rsidP="00FA042B">
            <w:pPr>
              <w:pStyle w:val="TableText"/>
              <w:jc w:val="right"/>
            </w:pPr>
            <w:r w:rsidRPr="00AB72A2">
              <w:t>37.1</w:t>
            </w:r>
          </w:p>
        </w:tc>
        <w:tc>
          <w:tcPr>
            <w:tcW w:w="1098" w:type="dxa"/>
            <w:noWrap/>
            <w:hideMark/>
          </w:tcPr>
          <w:p w14:paraId="4B070022" w14:textId="77777777" w:rsidR="00AB72A2" w:rsidRPr="00AB72A2" w:rsidRDefault="00AB72A2" w:rsidP="00FA042B">
            <w:pPr>
              <w:pStyle w:val="TableText"/>
              <w:jc w:val="right"/>
            </w:pPr>
            <w:r w:rsidRPr="00AB72A2">
              <w:t>54.3</w:t>
            </w:r>
          </w:p>
        </w:tc>
        <w:tc>
          <w:tcPr>
            <w:tcW w:w="816" w:type="dxa"/>
            <w:noWrap/>
            <w:hideMark/>
          </w:tcPr>
          <w:p w14:paraId="669CE8D3" w14:textId="77777777" w:rsidR="00AB72A2" w:rsidRPr="00AB72A2" w:rsidRDefault="00AB72A2" w:rsidP="00FA042B">
            <w:pPr>
              <w:pStyle w:val="TableText"/>
              <w:jc w:val="right"/>
            </w:pPr>
            <w:r w:rsidRPr="00AB72A2">
              <w:t>0.0</w:t>
            </w:r>
          </w:p>
        </w:tc>
        <w:tc>
          <w:tcPr>
            <w:tcW w:w="1558" w:type="dxa"/>
            <w:noWrap/>
            <w:hideMark/>
          </w:tcPr>
          <w:p w14:paraId="2C9CC3A4" w14:textId="77777777" w:rsidR="00AB72A2" w:rsidRPr="005F2969" w:rsidRDefault="00AB72A2" w:rsidP="0060738E">
            <w:pPr>
              <w:pStyle w:val="TableText"/>
              <w:jc w:val="right"/>
              <w:rPr>
                <w:i/>
                <w:iCs/>
              </w:rPr>
            </w:pPr>
            <w:r w:rsidRPr="005F2969">
              <w:rPr>
                <w:i/>
                <w:iCs/>
              </w:rPr>
              <w:t>277.5</w:t>
            </w:r>
          </w:p>
        </w:tc>
        <w:tc>
          <w:tcPr>
            <w:tcW w:w="1558" w:type="dxa"/>
            <w:noWrap/>
            <w:hideMark/>
          </w:tcPr>
          <w:p w14:paraId="150A2E04" w14:textId="77777777" w:rsidR="00AB72A2" w:rsidRPr="005F2969" w:rsidRDefault="00AB72A2" w:rsidP="0060738E">
            <w:pPr>
              <w:pStyle w:val="TableText"/>
              <w:jc w:val="right"/>
              <w:rPr>
                <w:i/>
                <w:iCs/>
              </w:rPr>
            </w:pPr>
            <w:r w:rsidRPr="005F2969">
              <w:rPr>
                <w:i/>
                <w:iCs/>
              </w:rPr>
              <w:t>54.3</w:t>
            </w:r>
          </w:p>
        </w:tc>
      </w:tr>
      <w:tr w:rsidR="00AB72A2" w:rsidRPr="00AB72A2" w14:paraId="30752D05" w14:textId="77777777" w:rsidTr="006B6099">
        <w:trPr>
          <w:cnfStyle w:val="000000010000" w:firstRow="0" w:lastRow="0" w:firstColumn="0" w:lastColumn="0" w:oddVBand="0" w:evenVBand="0" w:oddHBand="0" w:evenHBand="1" w:firstRowFirstColumn="0" w:firstRowLastColumn="0" w:lastRowFirstColumn="0" w:lastRowLastColumn="0"/>
        </w:trPr>
        <w:tc>
          <w:tcPr>
            <w:tcW w:w="1843" w:type="dxa"/>
            <w:noWrap/>
            <w:hideMark/>
          </w:tcPr>
          <w:p w14:paraId="45FE9694" w14:textId="77777777" w:rsidR="00AB72A2" w:rsidRPr="00AB72A2" w:rsidRDefault="00AB72A2" w:rsidP="00AB72A2">
            <w:pPr>
              <w:pStyle w:val="TableText"/>
              <w:ind w:left="180"/>
            </w:pPr>
            <w:r w:rsidRPr="00AB72A2">
              <w:t>Broken</w:t>
            </w:r>
          </w:p>
        </w:tc>
        <w:tc>
          <w:tcPr>
            <w:tcW w:w="1098" w:type="dxa"/>
            <w:noWrap/>
            <w:hideMark/>
          </w:tcPr>
          <w:p w14:paraId="52E37D10" w14:textId="77777777" w:rsidR="00AB72A2" w:rsidRPr="00AB72A2" w:rsidRDefault="00AB72A2" w:rsidP="00FA042B">
            <w:pPr>
              <w:pStyle w:val="TableText"/>
              <w:jc w:val="right"/>
            </w:pPr>
            <w:r w:rsidRPr="00AB72A2">
              <w:t>0.0</w:t>
            </w:r>
          </w:p>
        </w:tc>
        <w:tc>
          <w:tcPr>
            <w:tcW w:w="1099" w:type="dxa"/>
            <w:noWrap/>
            <w:hideMark/>
          </w:tcPr>
          <w:p w14:paraId="7C41ABB8" w14:textId="77777777" w:rsidR="00AB72A2" w:rsidRPr="00AB72A2" w:rsidRDefault="00AB72A2" w:rsidP="00FA042B">
            <w:pPr>
              <w:pStyle w:val="TableText"/>
              <w:jc w:val="right"/>
            </w:pPr>
            <w:r w:rsidRPr="00AB72A2">
              <w:t>0.3</w:t>
            </w:r>
          </w:p>
        </w:tc>
        <w:tc>
          <w:tcPr>
            <w:tcW w:w="1098" w:type="dxa"/>
            <w:noWrap/>
            <w:hideMark/>
          </w:tcPr>
          <w:p w14:paraId="7E65BB09" w14:textId="77777777" w:rsidR="00AB72A2" w:rsidRPr="00AB72A2" w:rsidRDefault="00AB72A2" w:rsidP="00FA042B">
            <w:pPr>
              <w:pStyle w:val="TableText"/>
              <w:jc w:val="right"/>
            </w:pPr>
            <w:r w:rsidRPr="00AB72A2">
              <w:t>0.0</w:t>
            </w:r>
          </w:p>
        </w:tc>
        <w:tc>
          <w:tcPr>
            <w:tcW w:w="816" w:type="dxa"/>
            <w:noWrap/>
            <w:hideMark/>
          </w:tcPr>
          <w:p w14:paraId="1FC53897" w14:textId="77777777" w:rsidR="00AB72A2" w:rsidRPr="00AB72A2" w:rsidRDefault="00AB72A2" w:rsidP="00FA042B">
            <w:pPr>
              <w:pStyle w:val="TableText"/>
              <w:jc w:val="right"/>
            </w:pPr>
            <w:r w:rsidRPr="00AB72A2">
              <w:t>0.0</w:t>
            </w:r>
          </w:p>
        </w:tc>
        <w:tc>
          <w:tcPr>
            <w:tcW w:w="1558" w:type="dxa"/>
            <w:noWrap/>
            <w:hideMark/>
          </w:tcPr>
          <w:p w14:paraId="6C18B71E" w14:textId="77777777" w:rsidR="00AB72A2" w:rsidRPr="005F2969" w:rsidRDefault="00AB72A2" w:rsidP="0060738E">
            <w:pPr>
              <w:pStyle w:val="TableText"/>
              <w:jc w:val="right"/>
              <w:rPr>
                <w:i/>
                <w:iCs/>
              </w:rPr>
            </w:pPr>
            <w:r w:rsidRPr="005F2969">
              <w:rPr>
                <w:i/>
                <w:iCs/>
              </w:rPr>
              <w:t>0.3</w:t>
            </w:r>
          </w:p>
        </w:tc>
        <w:tc>
          <w:tcPr>
            <w:tcW w:w="1558" w:type="dxa"/>
            <w:noWrap/>
            <w:hideMark/>
          </w:tcPr>
          <w:p w14:paraId="0B35F7EE" w14:textId="77777777" w:rsidR="00AB72A2" w:rsidRPr="005F2969" w:rsidRDefault="00AB72A2" w:rsidP="0060738E">
            <w:pPr>
              <w:pStyle w:val="TableText"/>
              <w:jc w:val="right"/>
              <w:rPr>
                <w:i/>
                <w:iCs/>
              </w:rPr>
            </w:pPr>
            <w:r w:rsidRPr="005F2969">
              <w:rPr>
                <w:i/>
                <w:iCs/>
              </w:rPr>
              <w:t>0.0</w:t>
            </w:r>
          </w:p>
        </w:tc>
      </w:tr>
      <w:tr w:rsidR="00AB72A2" w:rsidRPr="00AB72A2" w14:paraId="716A852D" w14:textId="77777777" w:rsidTr="006B6099">
        <w:trPr>
          <w:cnfStyle w:val="000000100000" w:firstRow="0" w:lastRow="0" w:firstColumn="0" w:lastColumn="0" w:oddVBand="0" w:evenVBand="0" w:oddHBand="1" w:evenHBand="0" w:firstRowFirstColumn="0" w:firstRowLastColumn="0" w:lastRowFirstColumn="0" w:lastRowLastColumn="0"/>
        </w:trPr>
        <w:tc>
          <w:tcPr>
            <w:tcW w:w="1843" w:type="dxa"/>
            <w:noWrap/>
            <w:hideMark/>
          </w:tcPr>
          <w:p w14:paraId="1A4CDE34" w14:textId="77777777" w:rsidR="00AB72A2" w:rsidRPr="00AB72A2" w:rsidRDefault="00AB72A2" w:rsidP="00AB72A2">
            <w:pPr>
              <w:pStyle w:val="TableText"/>
              <w:ind w:left="180"/>
            </w:pPr>
            <w:r w:rsidRPr="00AB72A2">
              <w:t>Campaspe</w:t>
            </w:r>
          </w:p>
        </w:tc>
        <w:tc>
          <w:tcPr>
            <w:tcW w:w="1098" w:type="dxa"/>
            <w:noWrap/>
            <w:hideMark/>
          </w:tcPr>
          <w:p w14:paraId="11F52C03" w14:textId="77777777" w:rsidR="00AB72A2" w:rsidRPr="00AB72A2" w:rsidRDefault="00AB72A2" w:rsidP="00FA042B">
            <w:pPr>
              <w:pStyle w:val="TableText"/>
              <w:jc w:val="right"/>
            </w:pPr>
            <w:r w:rsidRPr="00AB72A2">
              <w:t>6.3</w:t>
            </w:r>
          </w:p>
        </w:tc>
        <w:tc>
          <w:tcPr>
            <w:tcW w:w="1099" w:type="dxa"/>
            <w:noWrap/>
            <w:hideMark/>
          </w:tcPr>
          <w:p w14:paraId="05A62EA2" w14:textId="77777777" w:rsidR="00AB72A2" w:rsidRPr="00AB72A2" w:rsidRDefault="00AB72A2" w:rsidP="00FA042B">
            <w:pPr>
              <w:pStyle w:val="TableText"/>
              <w:jc w:val="right"/>
            </w:pPr>
            <w:r w:rsidRPr="00AB72A2">
              <w:t>0.2</w:t>
            </w:r>
          </w:p>
        </w:tc>
        <w:tc>
          <w:tcPr>
            <w:tcW w:w="1098" w:type="dxa"/>
            <w:noWrap/>
            <w:hideMark/>
          </w:tcPr>
          <w:p w14:paraId="5357B186" w14:textId="77777777" w:rsidR="00AB72A2" w:rsidRPr="00AB72A2" w:rsidRDefault="00AB72A2" w:rsidP="00FA042B">
            <w:pPr>
              <w:pStyle w:val="TableText"/>
              <w:jc w:val="right"/>
            </w:pPr>
            <w:r w:rsidRPr="00AB72A2">
              <w:t>0.0</w:t>
            </w:r>
          </w:p>
        </w:tc>
        <w:tc>
          <w:tcPr>
            <w:tcW w:w="816" w:type="dxa"/>
            <w:noWrap/>
            <w:hideMark/>
          </w:tcPr>
          <w:p w14:paraId="6642561E" w14:textId="77777777" w:rsidR="00AB72A2" w:rsidRPr="00AB72A2" w:rsidRDefault="00AB72A2" w:rsidP="00FA042B">
            <w:pPr>
              <w:pStyle w:val="TableText"/>
              <w:jc w:val="right"/>
            </w:pPr>
            <w:r w:rsidRPr="00AB72A2">
              <w:t>0.0</w:t>
            </w:r>
          </w:p>
        </w:tc>
        <w:tc>
          <w:tcPr>
            <w:tcW w:w="1558" w:type="dxa"/>
            <w:noWrap/>
            <w:hideMark/>
          </w:tcPr>
          <w:p w14:paraId="19EEA115" w14:textId="77777777" w:rsidR="00AB72A2" w:rsidRPr="005F2969" w:rsidRDefault="00AB72A2" w:rsidP="0060738E">
            <w:pPr>
              <w:pStyle w:val="TableText"/>
              <w:jc w:val="right"/>
              <w:rPr>
                <w:i/>
                <w:iCs/>
              </w:rPr>
            </w:pPr>
            <w:r w:rsidRPr="005F2969">
              <w:rPr>
                <w:i/>
                <w:iCs/>
              </w:rPr>
              <w:t>6.5</w:t>
            </w:r>
          </w:p>
        </w:tc>
        <w:tc>
          <w:tcPr>
            <w:tcW w:w="1558" w:type="dxa"/>
            <w:noWrap/>
            <w:hideMark/>
          </w:tcPr>
          <w:p w14:paraId="72A6507B" w14:textId="77777777" w:rsidR="00AB72A2" w:rsidRPr="005F2969" w:rsidRDefault="00AB72A2" w:rsidP="0060738E">
            <w:pPr>
              <w:pStyle w:val="TableText"/>
              <w:jc w:val="right"/>
              <w:rPr>
                <w:i/>
                <w:iCs/>
              </w:rPr>
            </w:pPr>
            <w:r w:rsidRPr="005F2969">
              <w:rPr>
                <w:i/>
                <w:iCs/>
              </w:rPr>
              <w:t>0.0</w:t>
            </w:r>
          </w:p>
        </w:tc>
      </w:tr>
      <w:tr w:rsidR="00AB72A2" w:rsidRPr="00AB72A2" w14:paraId="7EEB3D7B" w14:textId="77777777" w:rsidTr="006B6099">
        <w:trPr>
          <w:cnfStyle w:val="000000010000" w:firstRow="0" w:lastRow="0" w:firstColumn="0" w:lastColumn="0" w:oddVBand="0" w:evenVBand="0" w:oddHBand="0" w:evenHBand="1" w:firstRowFirstColumn="0" w:firstRowLastColumn="0" w:lastRowFirstColumn="0" w:lastRowLastColumn="0"/>
        </w:trPr>
        <w:tc>
          <w:tcPr>
            <w:tcW w:w="1843" w:type="dxa"/>
            <w:noWrap/>
            <w:hideMark/>
          </w:tcPr>
          <w:p w14:paraId="1E84115A" w14:textId="77777777" w:rsidR="00AB72A2" w:rsidRPr="00AB72A2" w:rsidRDefault="00AB72A2" w:rsidP="00AB72A2">
            <w:pPr>
              <w:pStyle w:val="TableText"/>
              <w:ind w:left="180"/>
            </w:pPr>
            <w:r w:rsidRPr="00AB72A2">
              <w:t>Loddon</w:t>
            </w:r>
          </w:p>
        </w:tc>
        <w:tc>
          <w:tcPr>
            <w:tcW w:w="1098" w:type="dxa"/>
            <w:noWrap/>
            <w:hideMark/>
          </w:tcPr>
          <w:p w14:paraId="4B9A62DD" w14:textId="77777777" w:rsidR="00AB72A2" w:rsidRPr="00AB72A2" w:rsidRDefault="00AB72A2" w:rsidP="00FA042B">
            <w:pPr>
              <w:pStyle w:val="TableText"/>
              <w:jc w:val="right"/>
            </w:pPr>
            <w:r w:rsidRPr="00AB72A2">
              <w:t>1.8</w:t>
            </w:r>
          </w:p>
        </w:tc>
        <w:tc>
          <w:tcPr>
            <w:tcW w:w="1099" w:type="dxa"/>
            <w:noWrap/>
            <w:hideMark/>
          </w:tcPr>
          <w:p w14:paraId="7CCFA8D3" w14:textId="77777777" w:rsidR="00AB72A2" w:rsidRPr="00AB72A2" w:rsidRDefault="00AB72A2" w:rsidP="00FA042B">
            <w:pPr>
              <w:pStyle w:val="TableText"/>
              <w:jc w:val="right"/>
            </w:pPr>
            <w:r w:rsidRPr="00AB72A2">
              <w:t>0.4</w:t>
            </w:r>
          </w:p>
        </w:tc>
        <w:tc>
          <w:tcPr>
            <w:tcW w:w="1098" w:type="dxa"/>
            <w:noWrap/>
            <w:hideMark/>
          </w:tcPr>
          <w:p w14:paraId="458CA01C" w14:textId="77777777" w:rsidR="00AB72A2" w:rsidRPr="00AB72A2" w:rsidRDefault="00AB72A2" w:rsidP="00FA042B">
            <w:pPr>
              <w:pStyle w:val="TableText"/>
              <w:jc w:val="right"/>
            </w:pPr>
            <w:r w:rsidRPr="00AB72A2">
              <w:t>0.0</w:t>
            </w:r>
          </w:p>
        </w:tc>
        <w:tc>
          <w:tcPr>
            <w:tcW w:w="816" w:type="dxa"/>
            <w:noWrap/>
            <w:hideMark/>
          </w:tcPr>
          <w:p w14:paraId="3EE73CF2" w14:textId="77777777" w:rsidR="00AB72A2" w:rsidRPr="00AB72A2" w:rsidRDefault="00AB72A2" w:rsidP="00FA042B">
            <w:pPr>
              <w:pStyle w:val="TableText"/>
              <w:jc w:val="right"/>
            </w:pPr>
            <w:r w:rsidRPr="00AB72A2">
              <w:t>0.0</w:t>
            </w:r>
          </w:p>
        </w:tc>
        <w:tc>
          <w:tcPr>
            <w:tcW w:w="1558" w:type="dxa"/>
            <w:noWrap/>
            <w:hideMark/>
          </w:tcPr>
          <w:p w14:paraId="4819E389" w14:textId="77777777" w:rsidR="00AB72A2" w:rsidRPr="005F2969" w:rsidRDefault="00AB72A2" w:rsidP="0060738E">
            <w:pPr>
              <w:pStyle w:val="TableText"/>
              <w:jc w:val="right"/>
              <w:rPr>
                <w:i/>
                <w:iCs/>
              </w:rPr>
            </w:pPr>
            <w:r w:rsidRPr="005F2969">
              <w:rPr>
                <w:i/>
                <w:iCs/>
              </w:rPr>
              <w:t>2.1</w:t>
            </w:r>
          </w:p>
        </w:tc>
        <w:tc>
          <w:tcPr>
            <w:tcW w:w="1558" w:type="dxa"/>
            <w:noWrap/>
            <w:hideMark/>
          </w:tcPr>
          <w:p w14:paraId="243ACD85" w14:textId="77777777" w:rsidR="00AB72A2" w:rsidRPr="005F2969" w:rsidRDefault="00AB72A2" w:rsidP="0060738E">
            <w:pPr>
              <w:pStyle w:val="TableText"/>
              <w:jc w:val="right"/>
              <w:rPr>
                <w:i/>
                <w:iCs/>
              </w:rPr>
            </w:pPr>
            <w:r w:rsidRPr="005F2969">
              <w:rPr>
                <w:i/>
                <w:iCs/>
              </w:rPr>
              <w:t>0.0</w:t>
            </w:r>
          </w:p>
        </w:tc>
      </w:tr>
      <w:tr w:rsidR="00AB72A2" w:rsidRPr="00AB72A2" w14:paraId="0F2D42A5" w14:textId="77777777" w:rsidTr="006B6099">
        <w:trPr>
          <w:cnfStyle w:val="000000100000" w:firstRow="0" w:lastRow="0" w:firstColumn="0" w:lastColumn="0" w:oddVBand="0" w:evenVBand="0" w:oddHBand="1" w:evenHBand="0" w:firstRowFirstColumn="0" w:firstRowLastColumn="0" w:lastRowFirstColumn="0" w:lastRowLastColumn="0"/>
        </w:trPr>
        <w:tc>
          <w:tcPr>
            <w:tcW w:w="1843" w:type="dxa"/>
            <w:noWrap/>
            <w:hideMark/>
          </w:tcPr>
          <w:p w14:paraId="21A2938B" w14:textId="77777777" w:rsidR="00AB72A2" w:rsidRPr="00AB72A2" w:rsidRDefault="00AB72A2" w:rsidP="00AB72A2">
            <w:pPr>
              <w:pStyle w:val="TableText"/>
              <w:ind w:left="180"/>
            </w:pPr>
            <w:r w:rsidRPr="00AB72A2">
              <w:t>Ovens</w:t>
            </w:r>
          </w:p>
        </w:tc>
        <w:tc>
          <w:tcPr>
            <w:tcW w:w="1098" w:type="dxa"/>
            <w:noWrap/>
            <w:hideMark/>
          </w:tcPr>
          <w:p w14:paraId="7502F8B6" w14:textId="77777777" w:rsidR="00AB72A2" w:rsidRPr="00AB72A2" w:rsidRDefault="00AB72A2" w:rsidP="00FA042B">
            <w:pPr>
              <w:pStyle w:val="TableText"/>
              <w:jc w:val="right"/>
            </w:pPr>
            <w:r w:rsidRPr="00AB72A2">
              <w:t>0.0</w:t>
            </w:r>
          </w:p>
        </w:tc>
        <w:tc>
          <w:tcPr>
            <w:tcW w:w="1099" w:type="dxa"/>
            <w:noWrap/>
            <w:hideMark/>
          </w:tcPr>
          <w:p w14:paraId="0E0C4752" w14:textId="77777777" w:rsidR="00AB72A2" w:rsidRPr="00AB72A2" w:rsidRDefault="00AB72A2" w:rsidP="00FA042B">
            <w:pPr>
              <w:pStyle w:val="TableText"/>
              <w:jc w:val="right"/>
            </w:pPr>
            <w:r w:rsidRPr="00AB72A2">
              <w:t>0.0</w:t>
            </w:r>
          </w:p>
        </w:tc>
        <w:tc>
          <w:tcPr>
            <w:tcW w:w="1098" w:type="dxa"/>
            <w:noWrap/>
            <w:hideMark/>
          </w:tcPr>
          <w:p w14:paraId="0818C92B" w14:textId="77777777" w:rsidR="00AB72A2" w:rsidRPr="00AB72A2" w:rsidRDefault="00AB72A2" w:rsidP="00FA042B">
            <w:pPr>
              <w:pStyle w:val="TableText"/>
              <w:jc w:val="right"/>
            </w:pPr>
            <w:r w:rsidRPr="00AB72A2">
              <w:t>0.0</w:t>
            </w:r>
          </w:p>
        </w:tc>
        <w:tc>
          <w:tcPr>
            <w:tcW w:w="816" w:type="dxa"/>
            <w:noWrap/>
            <w:hideMark/>
          </w:tcPr>
          <w:p w14:paraId="39EA28D3" w14:textId="77777777" w:rsidR="00AB72A2" w:rsidRPr="00AB72A2" w:rsidRDefault="00AB72A2" w:rsidP="00FA042B">
            <w:pPr>
              <w:pStyle w:val="TableText"/>
              <w:jc w:val="right"/>
            </w:pPr>
            <w:r w:rsidRPr="00AB72A2">
              <w:t>0.0</w:t>
            </w:r>
          </w:p>
        </w:tc>
        <w:tc>
          <w:tcPr>
            <w:tcW w:w="1558" w:type="dxa"/>
            <w:noWrap/>
            <w:hideMark/>
          </w:tcPr>
          <w:p w14:paraId="672CF4F3" w14:textId="77777777" w:rsidR="00AB72A2" w:rsidRPr="005F2969" w:rsidRDefault="00AB72A2" w:rsidP="0060738E">
            <w:pPr>
              <w:pStyle w:val="TableText"/>
              <w:jc w:val="right"/>
              <w:rPr>
                <w:i/>
                <w:iCs/>
              </w:rPr>
            </w:pPr>
            <w:r w:rsidRPr="005F2969">
              <w:rPr>
                <w:i/>
                <w:iCs/>
              </w:rPr>
              <w:t>0.1</w:t>
            </w:r>
          </w:p>
        </w:tc>
        <w:tc>
          <w:tcPr>
            <w:tcW w:w="1558" w:type="dxa"/>
            <w:noWrap/>
            <w:hideMark/>
          </w:tcPr>
          <w:p w14:paraId="42BE075D" w14:textId="77777777" w:rsidR="00AB72A2" w:rsidRPr="005F2969" w:rsidRDefault="00AB72A2" w:rsidP="0060738E">
            <w:pPr>
              <w:pStyle w:val="TableText"/>
              <w:jc w:val="right"/>
              <w:rPr>
                <w:i/>
                <w:iCs/>
              </w:rPr>
            </w:pPr>
            <w:r w:rsidRPr="005F2969">
              <w:rPr>
                <w:i/>
                <w:iCs/>
              </w:rPr>
              <w:t>0.0</w:t>
            </w:r>
          </w:p>
        </w:tc>
      </w:tr>
      <w:tr w:rsidR="005F2969" w:rsidRPr="00AB72A2" w14:paraId="0A0C413A" w14:textId="77777777" w:rsidTr="00E76938">
        <w:trPr>
          <w:cnfStyle w:val="000000010000" w:firstRow="0" w:lastRow="0" w:firstColumn="0" w:lastColumn="0" w:oddVBand="0" w:evenVBand="0" w:oddHBand="0" w:evenHBand="1" w:firstRowFirstColumn="0" w:firstRowLastColumn="0" w:lastRowFirstColumn="0" w:lastRowLastColumn="0"/>
        </w:trPr>
        <w:tc>
          <w:tcPr>
            <w:tcW w:w="1843" w:type="dxa"/>
            <w:noWrap/>
            <w:hideMark/>
          </w:tcPr>
          <w:p w14:paraId="56626ED6" w14:textId="77777777" w:rsidR="005F2969" w:rsidRPr="00AB72A2" w:rsidRDefault="005F2969" w:rsidP="005F2969">
            <w:pPr>
              <w:pStyle w:val="TableText"/>
              <w:rPr>
                <w:b/>
                <w:bCs/>
              </w:rPr>
            </w:pPr>
            <w:r w:rsidRPr="00AB72A2">
              <w:rPr>
                <w:b/>
                <w:bCs/>
              </w:rPr>
              <w:t>South Australia</w:t>
            </w:r>
          </w:p>
        </w:tc>
        <w:tc>
          <w:tcPr>
            <w:tcW w:w="1098" w:type="dxa"/>
            <w:noWrap/>
            <w:vAlign w:val="top"/>
            <w:hideMark/>
          </w:tcPr>
          <w:p w14:paraId="1942D8BE" w14:textId="7BEA2016" w:rsidR="005F2969" w:rsidRPr="005F2969" w:rsidRDefault="005F2969" w:rsidP="005F2969">
            <w:pPr>
              <w:pStyle w:val="TableText"/>
              <w:jc w:val="right"/>
              <w:rPr>
                <w:b/>
                <w:bCs/>
              </w:rPr>
            </w:pPr>
            <w:r w:rsidRPr="005F2969">
              <w:rPr>
                <w:b/>
                <w:bCs/>
              </w:rPr>
              <w:t>248.6</w:t>
            </w:r>
          </w:p>
        </w:tc>
        <w:tc>
          <w:tcPr>
            <w:tcW w:w="1099" w:type="dxa"/>
            <w:noWrap/>
            <w:vAlign w:val="top"/>
            <w:hideMark/>
          </w:tcPr>
          <w:p w14:paraId="3481B210" w14:textId="5EA43887" w:rsidR="005F2969" w:rsidRPr="005F2969" w:rsidRDefault="005F2969" w:rsidP="005F2969">
            <w:pPr>
              <w:pStyle w:val="TableText"/>
              <w:jc w:val="right"/>
              <w:rPr>
                <w:b/>
                <w:bCs/>
              </w:rPr>
            </w:pPr>
            <w:r w:rsidRPr="005F2969">
              <w:rPr>
                <w:b/>
                <w:bCs/>
              </w:rPr>
              <w:t>38.0</w:t>
            </w:r>
          </w:p>
        </w:tc>
        <w:tc>
          <w:tcPr>
            <w:tcW w:w="1098" w:type="dxa"/>
            <w:noWrap/>
            <w:vAlign w:val="top"/>
            <w:hideMark/>
          </w:tcPr>
          <w:p w14:paraId="6E98DCC3" w14:textId="37E258B1" w:rsidR="005F2969" w:rsidRPr="005F2969" w:rsidRDefault="005F2969" w:rsidP="005F2969">
            <w:pPr>
              <w:pStyle w:val="TableText"/>
              <w:jc w:val="right"/>
              <w:rPr>
                <w:b/>
                <w:bCs/>
              </w:rPr>
            </w:pPr>
            <w:r w:rsidRPr="005F2969">
              <w:rPr>
                <w:b/>
                <w:bCs/>
              </w:rPr>
              <w:t>54.3</w:t>
            </w:r>
          </w:p>
        </w:tc>
        <w:tc>
          <w:tcPr>
            <w:tcW w:w="816" w:type="dxa"/>
            <w:noWrap/>
            <w:vAlign w:val="top"/>
            <w:hideMark/>
          </w:tcPr>
          <w:p w14:paraId="795A1395" w14:textId="71C2AC1B" w:rsidR="005F2969" w:rsidRPr="005F2969" w:rsidRDefault="005F2969" w:rsidP="005F2969">
            <w:pPr>
              <w:pStyle w:val="TableText"/>
              <w:jc w:val="right"/>
              <w:rPr>
                <w:b/>
                <w:bCs/>
              </w:rPr>
            </w:pPr>
            <w:r w:rsidRPr="005F2969">
              <w:rPr>
                <w:b/>
                <w:bCs/>
              </w:rPr>
              <w:t>0.0</w:t>
            </w:r>
          </w:p>
        </w:tc>
        <w:tc>
          <w:tcPr>
            <w:tcW w:w="1558" w:type="dxa"/>
            <w:noWrap/>
            <w:vAlign w:val="top"/>
            <w:hideMark/>
          </w:tcPr>
          <w:p w14:paraId="0FAE26F4" w14:textId="534101D0" w:rsidR="005F2969" w:rsidRPr="005F2969" w:rsidRDefault="005F2969" w:rsidP="0060738E">
            <w:pPr>
              <w:pStyle w:val="TableText"/>
              <w:jc w:val="right"/>
              <w:rPr>
                <w:b/>
                <w:bCs/>
                <w:i/>
                <w:iCs/>
              </w:rPr>
            </w:pPr>
            <w:r w:rsidRPr="005F2969">
              <w:rPr>
                <w:b/>
                <w:bCs/>
                <w:i/>
                <w:iCs/>
              </w:rPr>
              <w:t>286.5</w:t>
            </w:r>
          </w:p>
        </w:tc>
        <w:tc>
          <w:tcPr>
            <w:tcW w:w="1558" w:type="dxa"/>
            <w:noWrap/>
            <w:vAlign w:val="top"/>
            <w:hideMark/>
          </w:tcPr>
          <w:p w14:paraId="271920CE" w14:textId="202B5DBC" w:rsidR="005F2969" w:rsidRPr="005F2969" w:rsidRDefault="005F2969" w:rsidP="0060738E">
            <w:pPr>
              <w:pStyle w:val="TableText"/>
              <w:jc w:val="right"/>
              <w:rPr>
                <w:b/>
                <w:bCs/>
                <w:i/>
                <w:iCs/>
              </w:rPr>
            </w:pPr>
            <w:r w:rsidRPr="005F2969">
              <w:rPr>
                <w:b/>
                <w:bCs/>
                <w:i/>
                <w:iCs/>
              </w:rPr>
              <w:t>54.3</w:t>
            </w:r>
          </w:p>
        </w:tc>
      </w:tr>
      <w:tr w:rsidR="00AB72A2" w:rsidRPr="00AB72A2" w14:paraId="28308A82" w14:textId="77777777" w:rsidTr="006B6099">
        <w:trPr>
          <w:cnfStyle w:val="000000100000" w:firstRow="0" w:lastRow="0" w:firstColumn="0" w:lastColumn="0" w:oddVBand="0" w:evenVBand="0" w:oddHBand="1" w:evenHBand="0" w:firstRowFirstColumn="0" w:firstRowLastColumn="0" w:lastRowFirstColumn="0" w:lastRowLastColumn="0"/>
        </w:trPr>
        <w:tc>
          <w:tcPr>
            <w:tcW w:w="1843" w:type="dxa"/>
            <w:noWrap/>
            <w:hideMark/>
          </w:tcPr>
          <w:p w14:paraId="132EFF00" w14:textId="77777777" w:rsidR="00AB72A2" w:rsidRPr="00AB72A2" w:rsidRDefault="00AB72A2" w:rsidP="00AB72A2">
            <w:pPr>
              <w:pStyle w:val="TableText"/>
              <w:ind w:left="180"/>
            </w:pPr>
            <w:r w:rsidRPr="00AB72A2">
              <w:t>SA Murray</w:t>
            </w:r>
          </w:p>
        </w:tc>
        <w:tc>
          <w:tcPr>
            <w:tcW w:w="1098" w:type="dxa"/>
            <w:noWrap/>
            <w:hideMark/>
          </w:tcPr>
          <w:p w14:paraId="0CF96DEF" w14:textId="77777777" w:rsidR="00AB72A2" w:rsidRPr="00AB72A2" w:rsidRDefault="00AB72A2" w:rsidP="00FA042B">
            <w:pPr>
              <w:pStyle w:val="TableText"/>
              <w:jc w:val="right"/>
            </w:pPr>
            <w:r w:rsidRPr="00AB72A2">
              <w:t>87.4</w:t>
            </w:r>
          </w:p>
        </w:tc>
        <w:tc>
          <w:tcPr>
            <w:tcW w:w="1099" w:type="dxa"/>
            <w:noWrap/>
            <w:hideMark/>
          </w:tcPr>
          <w:p w14:paraId="57FB0F83" w14:textId="77777777" w:rsidR="00AB72A2" w:rsidRPr="00AB72A2" w:rsidRDefault="00AB72A2" w:rsidP="00FA042B">
            <w:pPr>
              <w:pStyle w:val="TableText"/>
              <w:jc w:val="right"/>
            </w:pPr>
            <w:r w:rsidRPr="00AB72A2">
              <w:t>46.7</w:t>
            </w:r>
          </w:p>
        </w:tc>
        <w:tc>
          <w:tcPr>
            <w:tcW w:w="1098" w:type="dxa"/>
            <w:noWrap/>
            <w:hideMark/>
          </w:tcPr>
          <w:p w14:paraId="558EFC71" w14:textId="77777777" w:rsidR="00AB72A2" w:rsidRPr="00AB72A2" w:rsidRDefault="00AB72A2" w:rsidP="00FA042B">
            <w:pPr>
              <w:pStyle w:val="TableText"/>
              <w:jc w:val="right"/>
            </w:pPr>
            <w:r w:rsidRPr="00AB72A2">
              <w:t>2.7</w:t>
            </w:r>
          </w:p>
        </w:tc>
        <w:tc>
          <w:tcPr>
            <w:tcW w:w="816" w:type="dxa"/>
            <w:noWrap/>
            <w:hideMark/>
          </w:tcPr>
          <w:p w14:paraId="69774B72" w14:textId="77777777" w:rsidR="00AB72A2" w:rsidRPr="00AB72A2" w:rsidRDefault="00AB72A2" w:rsidP="00FA042B">
            <w:pPr>
              <w:pStyle w:val="TableText"/>
              <w:jc w:val="right"/>
            </w:pPr>
            <w:r w:rsidRPr="00AB72A2">
              <w:t>7.2</w:t>
            </w:r>
          </w:p>
        </w:tc>
        <w:tc>
          <w:tcPr>
            <w:tcW w:w="1558" w:type="dxa"/>
            <w:noWrap/>
            <w:hideMark/>
          </w:tcPr>
          <w:p w14:paraId="209650CC" w14:textId="77777777" w:rsidR="00AB72A2" w:rsidRPr="005F2969" w:rsidRDefault="00AB72A2" w:rsidP="0060738E">
            <w:pPr>
              <w:pStyle w:val="TableText"/>
              <w:jc w:val="right"/>
              <w:rPr>
                <w:i/>
                <w:iCs/>
              </w:rPr>
            </w:pPr>
            <w:r w:rsidRPr="005F2969">
              <w:rPr>
                <w:i/>
                <w:iCs/>
              </w:rPr>
              <w:t>134.1</w:t>
            </w:r>
          </w:p>
        </w:tc>
        <w:tc>
          <w:tcPr>
            <w:tcW w:w="1558" w:type="dxa"/>
            <w:noWrap/>
            <w:hideMark/>
          </w:tcPr>
          <w:p w14:paraId="41A669AB" w14:textId="77777777" w:rsidR="00AB72A2" w:rsidRPr="005F2969" w:rsidRDefault="00AB72A2" w:rsidP="0060738E">
            <w:pPr>
              <w:pStyle w:val="TableText"/>
              <w:jc w:val="right"/>
              <w:rPr>
                <w:i/>
                <w:iCs/>
              </w:rPr>
            </w:pPr>
            <w:r w:rsidRPr="005F2969">
              <w:rPr>
                <w:i/>
                <w:iCs/>
              </w:rPr>
              <w:t>9.9</w:t>
            </w:r>
          </w:p>
        </w:tc>
      </w:tr>
      <w:tr w:rsidR="00AB72A2" w:rsidRPr="00AB72A2" w14:paraId="4D333E67" w14:textId="77777777" w:rsidTr="006B6099">
        <w:trPr>
          <w:cnfStyle w:val="000000010000" w:firstRow="0" w:lastRow="0" w:firstColumn="0" w:lastColumn="0" w:oddVBand="0" w:evenVBand="0" w:oddHBand="0" w:evenHBand="1" w:firstRowFirstColumn="0" w:firstRowLastColumn="0" w:lastRowFirstColumn="0" w:lastRowLastColumn="0"/>
        </w:trPr>
        <w:tc>
          <w:tcPr>
            <w:tcW w:w="1843" w:type="dxa"/>
            <w:noWrap/>
            <w:hideMark/>
          </w:tcPr>
          <w:p w14:paraId="693E5858" w14:textId="1C2C3AFD" w:rsidR="00AB72A2" w:rsidRPr="00AB72A2" w:rsidRDefault="00AB72A2" w:rsidP="00AB72A2">
            <w:pPr>
              <w:pStyle w:val="TableText"/>
              <w:rPr>
                <w:b/>
                <w:bCs/>
              </w:rPr>
            </w:pPr>
            <w:r>
              <w:rPr>
                <w:b/>
                <w:bCs/>
              </w:rPr>
              <w:t xml:space="preserve">Southern </w:t>
            </w:r>
            <w:r w:rsidRPr="00AB72A2">
              <w:rPr>
                <w:b/>
                <w:bCs/>
              </w:rPr>
              <w:t>MDB</w:t>
            </w:r>
          </w:p>
        </w:tc>
        <w:tc>
          <w:tcPr>
            <w:tcW w:w="1098" w:type="dxa"/>
            <w:noWrap/>
            <w:hideMark/>
          </w:tcPr>
          <w:p w14:paraId="17D00DE0" w14:textId="77777777" w:rsidR="00AB72A2" w:rsidRPr="00AB72A2" w:rsidRDefault="00AB72A2" w:rsidP="00FA042B">
            <w:pPr>
              <w:pStyle w:val="TableText"/>
              <w:jc w:val="right"/>
              <w:rPr>
                <w:b/>
                <w:bCs/>
              </w:rPr>
            </w:pPr>
            <w:r w:rsidRPr="00AB72A2">
              <w:rPr>
                <w:b/>
                <w:bCs/>
              </w:rPr>
              <w:t>965.4</w:t>
            </w:r>
          </w:p>
        </w:tc>
        <w:tc>
          <w:tcPr>
            <w:tcW w:w="1099" w:type="dxa"/>
            <w:noWrap/>
            <w:hideMark/>
          </w:tcPr>
          <w:p w14:paraId="23B0FF0D" w14:textId="77777777" w:rsidR="00AB72A2" w:rsidRPr="00AB72A2" w:rsidRDefault="00AB72A2" w:rsidP="00FA042B">
            <w:pPr>
              <w:pStyle w:val="TableText"/>
              <w:jc w:val="right"/>
              <w:rPr>
                <w:b/>
                <w:bCs/>
              </w:rPr>
            </w:pPr>
            <w:r w:rsidRPr="00AB72A2">
              <w:rPr>
                <w:b/>
                <w:bCs/>
              </w:rPr>
              <w:t>215.6</w:t>
            </w:r>
          </w:p>
        </w:tc>
        <w:tc>
          <w:tcPr>
            <w:tcW w:w="1098" w:type="dxa"/>
            <w:noWrap/>
            <w:hideMark/>
          </w:tcPr>
          <w:p w14:paraId="583563CC" w14:textId="77777777" w:rsidR="00AB72A2" w:rsidRPr="00AB72A2" w:rsidRDefault="00AB72A2" w:rsidP="00FA042B">
            <w:pPr>
              <w:pStyle w:val="TableText"/>
              <w:jc w:val="right"/>
              <w:rPr>
                <w:b/>
                <w:bCs/>
              </w:rPr>
            </w:pPr>
            <w:r w:rsidRPr="00AB72A2">
              <w:rPr>
                <w:b/>
                <w:bCs/>
              </w:rPr>
              <w:t>227.2</w:t>
            </w:r>
          </w:p>
        </w:tc>
        <w:tc>
          <w:tcPr>
            <w:tcW w:w="816" w:type="dxa"/>
            <w:noWrap/>
            <w:hideMark/>
          </w:tcPr>
          <w:p w14:paraId="13426D4B" w14:textId="77777777" w:rsidR="00AB72A2" w:rsidRPr="00AB72A2" w:rsidRDefault="00AB72A2" w:rsidP="00FA042B">
            <w:pPr>
              <w:pStyle w:val="TableText"/>
              <w:jc w:val="right"/>
              <w:rPr>
                <w:b/>
                <w:bCs/>
              </w:rPr>
            </w:pPr>
            <w:r w:rsidRPr="00AB72A2">
              <w:rPr>
                <w:b/>
                <w:bCs/>
              </w:rPr>
              <w:t>187.6</w:t>
            </w:r>
          </w:p>
        </w:tc>
        <w:tc>
          <w:tcPr>
            <w:tcW w:w="1558" w:type="dxa"/>
            <w:noWrap/>
            <w:hideMark/>
          </w:tcPr>
          <w:p w14:paraId="76678419" w14:textId="77777777" w:rsidR="00AB72A2" w:rsidRPr="005F2969" w:rsidRDefault="00AB72A2" w:rsidP="0060738E">
            <w:pPr>
              <w:pStyle w:val="TableText"/>
              <w:jc w:val="right"/>
              <w:rPr>
                <w:b/>
                <w:bCs/>
                <w:i/>
                <w:iCs/>
              </w:rPr>
            </w:pPr>
            <w:r w:rsidRPr="005F2969">
              <w:rPr>
                <w:b/>
                <w:bCs/>
                <w:i/>
                <w:iCs/>
              </w:rPr>
              <w:t>1181.1</w:t>
            </w:r>
          </w:p>
        </w:tc>
        <w:tc>
          <w:tcPr>
            <w:tcW w:w="1558" w:type="dxa"/>
            <w:noWrap/>
            <w:hideMark/>
          </w:tcPr>
          <w:p w14:paraId="7C43B993" w14:textId="6959FBB0" w:rsidR="00AB72A2" w:rsidRPr="005F2969" w:rsidRDefault="00AB72A2" w:rsidP="0060738E">
            <w:pPr>
              <w:pStyle w:val="TableText"/>
              <w:jc w:val="right"/>
              <w:rPr>
                <w:b/>
                <w:bCs/>
                <w:i/>
                <w:iCs/>
              </w:rPr>
            </w:pPr>
            <w:r w:rsidRPr="005F2969">
              <w:rPr>
                <w:b/>
                <w:bCs/>
                <w:i/>
                <w:iCs/>
              </w:rPr>
              <w:t>4</w:t>
            </w:r>
            <w:r w:rsidR="00E811DB">
              <w:rPr>
                <w:b/>
                <w:bCs/>
                <w:i/>
                <w:iCs/>
              </w:rPr>
              <w:t>08.1</w:t>
            </w:r>
          </w:p>
        </w:tc>
      </w:tr>
    </w:tbl>
    <w:p w14:paraId="15E58429" w14:textId="2C9047A3" w:rsidR="00AB72A2" w:rsidRPr="00885B0A" w:rsidRDefault="00EF1E0B" w:rsidP="00827B51">
      <w:pPr>
        <w:spacing w:after="320"/>
        <w:rPr>
          <w:color w:val="9BA1A5"/>
        </w:rPr>
      </w:pPr>
      <w:r>
        <w:rPr>
          <w:i/>
          <w:color w:val="9BA1A5"/>
          <w:sz w:val="16"/>
          <w:szCs w:val="16"/>
        </w:rPr>
        <w:t xml:space="preserve">Notes: </w:t>
      </w:r>
      <w:r w:rsidR="00C25403">
        <w:rPr>
          <w:i/>
          <w:color w:val="9BA1A5"/>
          <w:sz w:val="16"/>
          <w:szCs w:val="16"/>
        </w:rPr>
        <w:t xml:space="preserve">Does not include water recovery in the northern MDB or State water recovery. </w:t>
      </w:r>
      <w:r>
        <w:rPr>
          <w:i/>
          <w:color w:val="9BA1A5"/>
          <w:sz w:val="16"/>
          <w:szCs w:val="16"/>
        </w:rPr>
        <w:t>*</w:t>
      </w:r>
      <w:r w:rsidR="00827B51" w:rsidRPr="00827B51">
        <w:t xml:space="preserve"> </w:t>
      </w:r>
      <w:r w:rsidR="00827B51" w:rsidRPr="00827B51">
        <w:rPr>
          <w:i/>
          <w:color w:val="9BA1A5"/>
          <w:sz w:val="16"/>
          <w:szCs w:val="16"/>
        </w:rPr>
        <w:t xml:space="preserve">Water recovery from consumptive pool </w:t>
      </w:r>
      <w:r w:rsidR="00827B51">
        <w:rPr>
          <w:i/>
          <w:color w:val="9BA1A5"/>
          <w:sz w:val="16"/>
          <w:szCs w:val="16"/>
        </w:rPr>
        <w:t>is calculated as the sum of</w:t>
      </w:r>
      <w:r w:rsidR="00827B51" w:rsidRPr="00827B51">
        <w:rPr>
          <w:i/>
          <w:color w:val="9BA1A5"/>
          <w:sz w:val="16"/>
          <w:szCs w:val="16"/>
        </w:rPr>
        <w:t xml:space="preserve"> Buyback </w:t>
      </w:r>
      <w:r w:rsidR="00827B51">
        <w:rPr>
          <w:i/>
          <w:color w:val="9BA1A5"/>
          <w:sz w:val="16"/>
          <w:szCs w:val="16"/>
        </w:rPr>
        <w:t xml:space="preserve">and </w:t>
      </w:r>
      <w:r w:rsidR="00827B51" w:rsidRPr="00827B51">
        <w:rPr>
          <w:i/>
          <w:color w:val="9BA1A5"/>
          <w:sz w:val="16"/>
          <w:szCs w:val="16"/>
        </w:rPr>
        <w:t>On-farm</w:t>
      </w:r>
      <w:r w:rsidR="00827B51">
        <w:rPr>
          <w:i/>
          <w:color w:val="9BA1A5"/>
          <w:sz w:val="16"/>
          <w:szCs w:val="16"/>
        </w:rPr>
        <w:t xml:space="preserve"> </w:t>
      </w:r>
      <w:r w:rsidR="00860842">
        <w:rPr>
          <w:i/>
          <w:color w:val="9BA1A5"/>
          <w:sz w:val="16"/>
          <w:szCs w:val="16"/>
        </w:rPr>
        <w:t xml:space="preserve">water </w:t>
      </w:r>
      <w:r w:rsidR="00827B51">
        <w:rPr>
          <w:i/>
          <w:color w:val="9BA1A5"/>
          <w:sz w:val="16"/>
          <w:szCs w:val="16"/>
        </w:rPr>
        <w:t>recovery</w:t>
      </w:r>
      <w:r w:rsidR="00860842">
        <w:rPr>
          <w:i/>
          <w:color w:val="9BA1A5"/>
          <w:sz w:val="16"/>
          <w:szCs w:val="16"/>
        </w:rPr>
        <w:t xml:space="preserve">. ^ </w:t>
      </w:r>
      <w:r w:rsidR="00827B51" w:rsidRPr="00827B51">
        <w:rPr>
          <w:i/>
          <w:color w:val="9BA1A5"/>
          <w:sz w:val="16"/>
          <w:szCs w:val="16"/>
        </w:rPr>
        <w:t xml:space="preserve">Water recovery outside consumptive pool </w:t>
      </w:r>
      <w:r w:rsidR="00860842">
        <w:rPr>
          <w:i/>
          <w:color w:val="9BA1A5"/>
          <w:sz w:val="16"/>
          <w:szCs w:val="16"/>
        </w:rPr>
        <w:t xml:space="preserve">is calculated as the sum of </w:t>
      </w:r>
      <w:r w:rsidR="00827B51" w:rsidRPr="00827B51">
        <w:rPr>
          <w:i/>
          <w:color w:val="9BA1A5"/>
          <w:sz w:val="16"/>
          <w:szCs w:val="16"/>
        </w:rPr>
        <w:t xml:space="preserve">Off-farm </w:t>
      </w:r>
      <w:r w:rsidR="00860842">
        <w:rPr>
          <w:i/>
          <w:color w:val="9BA1A5"/>
          <w:sz w:val="16"/>
          <w:szCs w:val="16"/>
        </w:rPr>
        <w:t>and</w:t>
      </w:r>
      <w:r w:rsidR="00827B51" w:rsidRPr="00827B51">
        <w:rPr>
          <w:i/>
          <w:color w:val="9BA1A5"/>
          <w:sz w:val="16"/>
          <w:szCs w:val="16"/>
        </w:rPr>
        <w:t xml:space="preserve"> Other</w:t>
      </w:r>
      <w:r w:rsidR="00860842">
        <w:rPr>
          <w:i/>
          <w:color w:val="9BA1A5"/>
          <w:sz w:val="16"/>
          <w:szCs w:val="16"/>
        </w:rPr>
        <w:t xml:space="preserve"> infrastructure water recovery.</w:t>
      </w:r>
      <w:r w:rsidR="00DE7633">
        <w:rPr>
          <w:i/>
          <w:color w:val="9BA1A5"/>
          <w:sz w:val="16"/>
          <w:szCs w:val="16"/>
        </w:rPr>
        <w:t xml:space="preserve"> </w:t>
      </w:r>
      <w:r w:rsidR="00DE7633" w:rsidRPr="00301ACA">
        <w:rPr>
          <w:i/>
          <w:color w:val="9BA1A5"/>
          <w:sz w:val="16"/>
          <w:szCs w:val="16"/>
          <w:vertAlign w:val="superscript"/>
        </w:rPr>
        <w:t>#</w:t>
      </w:r>
      <w:r w:rsidR="00DE7633">
        <w:rPr>
          <w:i/>
          <w:color w:val="9BA1A5"/>
          <w:sz w:val="16"/>
          <w:szCs w:val="16"/>
        </w:rPr>
        <w:t xml:space="preserve"> </w:t>
      </w:r>
      <w:r w:rsidR="00DE7633" w:rsidRPr="00DE7633">
        <w:rPr>
          <w:i/>
          <w:color w:val="9BA1A5"/>
          <w:sz w:val="16"/>
          <w:szCs w:val="16"/>
        </w:rPr>
        <w:t>Connections stage 2 contributed 211.8 GL to Commonwealth water recovery (105.4 GL of which the Commonwealth has reported as ‘</w:t>
      </w:r>
      <w:r w:rsidR="007525E6">
        <w:rPr>
          <w:i/>
          <w:color w:val="9BA1A5"/>
          <w:sz w:val="16"/>
          <w:szCs w:val="16"/>
        </w:rPr>
        <w:t>Buyback/</w:t>
      </w:r>
      <w:r w:rsidR="00DE7633" w:rsidRPr="00DE7633">
        <w:rPr>
          <w:i/>
          <w:color w:val="9BA1A5"/>
          <w:sz w:val="16"/>
          <w:szCs w:val="16"/>
        </w:rPr>
        <w:t>Purchase’ rather than ‘</w:t>
      </w:r>
      <w:r w:rsidR="007525E6">
        <w:rPr>
          <w:i/>
          <w:color w:val="9BA1A5"/>
          <w:sz w:val="16"/>
          <w:szCs w:val="16"/>
        </w:rPr>
        <w:t xml:space="preserve">Off-farm </w:t>
      </w:r>
      <w:r w:rsidR="00DE7633" w:rsidRPr="00DE7633">
        <w:rPr>
          <w:i/>
          <w:color w:val="9BA1A5"/>
          <w:sz w:val="16"/>
          <w:szCs w:val="16"/>
        </w:rPr>
        <w:t>Infrastructure’).</w:t>
      </w:r>
      <w:r>
        <w:rPr>
          <w:i/>
          <w:color w:val="9BA1A5"/>
          <w:sz w:val="16"/>
          <w:szCs w:val="16"/>
        </w:rPr>
        <w:tab/>
      </w:r>
      <w:r>
        <w:rPr>
          <w:i/>
          <w:color w:val="9BA1A5"/>
          <w:sz w:val="16"/>
          <w:szCs w:val="16"/>
        </w:rPr>
        <w:br/>
      </w:r>
      <w:r w:rsidR="00AB72A2" w:rsidRPr="00885B0A">
        <w:rPr>
          <w:i/>
          <w:color w:val="9BA1A5"/>
          <w:sz w:val="16"/>
          <w:szCs w:val="16"/>
        </w:rPr>
        <w:t xml:space="preserve">Source: </w:t>
      </w:r>
      <w:r w:rsidR="002D1EEB">
        <w:rPr>
          <w:i/>
          <w:color w:val="9BA1A5"/>
          <w:sz w:val="16"/>
          <w:szCs w:val="16"/>
        </w:rPr>
        <w:t>DCCEEW internal database, as at 25 July 2022.</w:t>
      </w:r>
    </w:p>
    <w:p w14:paraId="356C3CDD" w14:textId="77777777" w:rsidR="00C44DF7" w:rsidRDefault="00C44DF7" w:rsidP="00B5648D">
      <w:pPr>
        <w:pStyle w:val="BodyText"/>
      </w:pPr>
    </w:p>
    <w:p w14:paraId="2EAF26B2" w14:textId="77777777" w:rsidR="000F642F" w:rsidRPr="00B5648D" w:rsidRDefault="000F642F" w:rsidP="00B5648D">
      <w:pPr>
        <w:pStyle w:val="BodyText"/>
      </w:pPr>
    </w:p>
    <w:p w14:paraId="1877E50A" w14:textId="77777777" w:rsidR="00A2153D" w:rsidRDefault="00A2153D" w:rsidP="00597401">
      <w:pPr>
        <w:pStyle w:val="Heading2numbered"/>
        <w:numPr>
          <w:ilvl w:val="1"/>
          <w:numId w:val="12"/>
        </w:numPr>
        <w:tabs>
          <w:tab w:val="clear" w:pos="851"/>
        </w:tabs>
        <w:ind w:left="0" w:firstLine="0"/>
      </w:pPr>
      <w:bookmarkStart w:id="109" w:name="_Toc110262390"/>
      <w:bookmarkStart w:id="110" w:name="_Toc113621659"/>
      <w:r>
        <w:t>The CEWH portfolio</w:t>
      </w:r>
      <w:bookmarkEnd w:id="109"/>
      <w:bookmarkEnd w:id="110"/>
    </w:p>
    <w:p w14:paraId="4671D0C6" w14:textId="482D1C1D" w:rsidR="00977B9C" w:rsidRDefault="00A2153D" w:rsidP="00977B9C">
      <w:pPr>
        <w:pStyle w:val="BodyText"/>
      </w:pPr>
      <w:r>
        <w:t xml:space="preserve">The overall outcome of these water recovery efforts has been to provide a large portfolio of water to the </w:t>
      </w:r>
      <w:r w:rsidR="00C6698D" w:rsidRPr="00C6698D">
        <w:t>Commonwealth Environmental Water Holder (</w:t>
      </w:r>
      <w:r>
        <w:t>CEWH</w:t>
      </w:r>
      <w:r w:rsidR="00C6698D">
        <w:t>)</w:t>
      </w:r>
      <w:r>
        <w:t>.</w:t>
      </w:r>
      <w:r w:rsidR="00977B9C">
        <w:t xml:space="preserve"> The overall holdings of environmental water obtained from water recovery (the CEWH portfolio) also demonstrates the mix of entitlements and valley/State of water that has now been recovered. </w:t>
      </w:r>
    </w:p>
    <w:p w14:paraId="1FE29924" w14:textId="05F017E3" w:rsidR="00A2153D" w:rsidRDefault="00A2153D" w:rsidP="00A2153D">
      <w:pPr>
        <w:pStyle w:val="BodyText"/>
      </w:pPr>
      <w:r>
        <w:lastRenderedPageBreak/>
        <w:t>CEWH’s portfolio of recovered water recovery is dominated by Victorian high reliability entitlements and NSW general security entitlements (</w:t>
      </w:r>
      <w:r>
        <w:fldChar w:fldCharType="begin"/>
      </w:r>
      <w:r>
        <w:instrText xml:space="preserve"> REF _Ref108016215 \h </w:instrText>
      </w:r>
      <w:r>
        <w:fldChar w:fldCharType="separate"/>
      </w:r>
      <w:r w:rsidR="00D4298A">
        <w:rPr>
          <w:rStyle w:val="Bold"/>
        </w:rPr>
        <w:t xml:space="preserve">Figure </w:t>
      </w:r>
      <w:r w:rsidR="00D4298A">
        <w:rPr>
          <w:rStyle w:val="Bold"/>
          <w:noProof/>
        </w:rPr>
        <w:t>9</w:t>
      </w:r>
      <w:r>
        <w:fldChar w:fldCharType="end"/>
      </w:r>
      <w:r>
        <w:t xml:space="preserve">). There is also a substantial volume (in long term equivalent terms) of ‘NSW supplementary licences’. The significant difference in the reliability of these Victorian entitlements and NSW entitlements can be seen in </w:t>
      </w:r>
      <w:r>
        <w:fldChar w:fldCharType="begin"/>
      </w:r>
      <w:r>
        <w:instrText xml:space="preserve"> REF _Ref108122486 \h </w:instrText>
      </w:r>
      <w:r>
        <w:fldChar w:fldCharType="separate"/>
      </w:r>
      <w:r w:rsidR="00D4298A">
        <w:rPr>
          <w:rStyle w:val="Bold"/>
        </w:rPr>
        <w:t xml:space="preserve">Figure </w:t>
      </w:r>
      <w:r w:rsidR="00D4298A">
        <w:rPr>
          <w:rStyle w:val="Bold"/>
          <w:noProof/>
        </w:rPr>
        <w:t>10</w:t>
      </w:r>
      <w:r>
        <w:fldChar w:fldCharType="end"/>
      </w:r>
      <w:r>
        <w:t xml:space="preserve"> by the significant difference in the long</w:t>
      </w:r>
      <w:r w:rsidR="00497D74">
        <w:t>-</w:t>
      </w:r>
      <w:r>
        <w:t>run diversion factors — Victorian HRWS have a factor of 0.968 whereas NSW GS have 0.661 and NSW Supplementary have 0.441. This means that the Victorian HRWS can be considered much more reliable while NSW GS and supplementary provide more variable water access. The impact of the composition of the CEWH portfolio under the range of seasonal conditions is discussed further below.</w:t>
      </w:r>
    </w:p>
    <w:p w14:paraId="5319AFF3" w14:textId="4E62733D" w:rsidR="00A2153D" w:rsidRDefault="00A2153D" w:rsidP="00A2153D">
      <w:pPr>
        <w:pStyle w:val="Caption"/>
      </w:pPr>
      <w:bookmarkStart w:id="111" w:name="_Ref108016215"/>
      <w:bookmarkStart w:id="112" w:name="_Toc104933289"/>
      <w:bookmarkStart w:id="113" w:name="_Toc110262441"/>
      <w:bookmarkStart w:id="114" w:name="_Toc113621721"/>
      <w:r>
        <w:rPr>
          <w:rStyle w:val="Bold"/>
        </w:rPr>
        <w:t xml:space="preserve">Figure </w:t>
      </w:r>
      <w:r>
        <w:fldChar w:fldCharType="begin"/>
      </w:r>
      <w:r>
        <w:rPr>
          <w:rStyle w:val="Bold"/>
        </w:rPr>
        <w:instrText xml:space="preserve"> SEQ Figure \* ARABIC </w:instrText>
      </w:r>
      <w:r>
        <w:fldChar w:fldCharType="separate"/>
      </w:r>
      <w:r w:rsidR="00D4298A">
        <w:rPr>
          <w:rStyle w:val="Bold"/>
          <w:noProof/>
        </w:rPr>
        <w:t>9</w:t>
      </w:r>
      <w:r>
        <w:fldChar w:fldCharType="end"/>
      </w:r>
      <w:bookmarkEnd w:id="111"/>
      <w:r>
        <w:t>: Composition of the CEWH portfolio</w:t>
      </w:r>
      <w:bookmarkEnd w:id="112"/>
      <w:r>
        <w:t xml:space="preserve"> (LTAAY)</w:t>
      </w:r>
      <w:bookmarkEnd w:id="113"/>
      <w:bookmarkEnd w:id="114"/>
    </w:p>
    <w:p w14:paraId="1B7FEE1F" w14:textId="48D8CF49" w:rsidR="00A2153D" w:rsidRDefault="00A2153D" w:rsidP="00A2153D">
      <w:pPr>
        <w:pStyle w:val="Image-Page1fullwidth"/>
        <w:keepNext/>
        <w:framePr w:w="0" w:hSpace="0" w:wrap="auto" w:vAnchor="margin" w:yAlign="inline"/>
        <w:spacing w:after="0" w:line="240" w:lineRule="auto"/>
      </w:pPr>
      <w:r>
        <w:drawing>
          <wp:inline distT="0" distB="0" distL="0" distR="0" wp14:anchorId="0F636C03" wp14:editId="47454E47">
            <wp:extent cx="5759450" cy="2450465"/>
            <wp:effectExtent l="0" t="0" r="0" b="6985"/>
            <wp:docPr id="234" name="Picture 23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Chart, pie ch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t="7507" b="11111"/>
                    <a:stretch>
                      <a:fillRect/>
                    </a:stretch>
                  </pic:blipFill>
                  <pic:spPr bwMode="auto">
                    <a:xfrm>
                      <a:off x="0" y="0"/>
                      <a:ext cx="5759450" cy="2450465"/>
                    </a:xfrm>
                    <a:prstGeom prst="rect">
                      <a:avLst/>
                    </a:prstGeom>
                    <a:noFill/>
                    <a:ln>
                      <a:noFill/>
                    </a:ln>
                  </pic:spPr>
                </pic:pic>
              </a:graphicData>
            </a:graphic>
          </wp:inline>
        </w:drawing>
      </w:r>
    </w:p>
    <w:p w14:paraId="15DEE3DF" w14:textId="77777777" w:rsidR="00A2153D" w:rsidRDefault="00A2153D" w:rsidP="00A2153D">
      <w:pPr>
        <w:pStyle w:val="Source"/>
        <w:rPr>
          <w:color w:val="9BA1A5"/>
        </w:rPr>
      </w:pPr>
      <w:r>
        <w:rPr>
          <w:color w:val="9BA1A5"/>
        </w:rPr>
        <w:t xml:space="preserve">Note:  ‘NSW other’ entitlements are conveyance licences, unregulated and groundwater. ‘Vic other’ are entitlements in the Wimmera-Avoca system. </w:t>
      </w:r>
      <w:r>
        <w:rPr>
          <w:color w:val="9BA1A5"/>
        </w:rPr>
        <w:tab/>
      </w:r>
      <w:r>
        <w:rPr>
          <w:color w:val="9BA1A5"/>
        </w:rPr>
        <w:br/>
        <w:t>Source: Frontier Economics analysis of CEWH data.</w:t>
      </w:r>
    </w:p>
    <w:p w14:paraId="22D895DD" w14:textId="77777777" w:rsidR="00A2153D" w:rsidRDefault="00A2153D" w:rsidP="00A2153D">
      <w:pPr>
        <w:pStyle w:val="BodyText"/>
      </w:pPr>
    </w:p>
    <w:p w14:paraId="69FA0D6F" w14:textId="4A73B59F" w:rsidR="00A2153D" w:rsidRDefault="00A2153D" w:rsidP="00A2153D">
      <w:pPr>
        <w:pStyle w:val="Caption"/>
      </w:pPr>
      <w:bookmarkStart w:id="115" w:name="_Ref108122486"/>
      <w:bookmarkStart w:id="116" w:name="_Toc113621722"/>
      <w:bookmarkStart w:id="117" w:name="_Toc110262442"/>
      <w:r>
        <w:rPr>
          <w:rStyle w:val="Bold"/>
        </w:rPr>
        <w:lastRenderedPageBreak/>
        <w:t xml:space="preserve">Figure </w:t>
      </w:r>
      <w:r>
        <w:fldChar w:fldCharType="begin"/>
      </w:r>
      <w:r>
        <w:rPr>
          <w:rStyle w:val="Bold"/>
        </w:rPr>
        <w:instrText xml:space="preserve"> SEQ Figure \* ARABIC </w:instrText>
      </w:r>
      <w:r>
        <w:fldChar w:fldCharType="separate"/>
      </w:r>
      <w:r w:rsidR="00D4298A">
        <w:rPr>
          <w:rStyle w:val="Bold"/>
          <w:noProof/>
        </w:rPr>
        <w:t>10</w:t>
      </w:r>
      <w:r>
        <w:fldChar w:fldCharType="end"/>
      </w:r>
      <w:bookmarkEnd w:id="115"/>
      <w:r>
        <w:rPr>
          <w:rStyle w:val="Bold"/>
        </w:rPr>
        <w:t>:</w:t>
      </w:r>
      <w:r>
        <w:t xml:space="preserve"> Composition of the CEWH portfolio</w:t>
      </w:r>
      <w:bookmarkEnd w:id="116"/>
      <w:r>
        <w:t xml:space="preserve"> </w:t>
      </w:r>
      <w:bookmarkEnd w:id="117"/>
    </w:p>
    <w:tbl>
      <w:tblPr>
        <w:tblStyle w:val="FETableStyle"/>
        <w:tblW w:w="5000" w:type="pct"/>
        <w:tblLayout w:type="fixed"/>
        <w:tblLook w:val="0420" w:firstRow="1" w:lastRow="0" w:firstColumn="0" w:lastColumn="0" w:noHBand="0" w:noVBand="1"/>
      </w:tblPr>
      <w:tblGrid>
        <w:gridCol w:w="1671"/>
        <w:gridCol w:w="1849"/>
        <w:gridCol w:w="1850"/>
        <w:gridCol w:w="1850"/>
        <w:gridCol w:w="1850"/>
      </w:tblGrid>
      <w:tr w:rsidR="00A2153D" w14:paraId="46A74439" w14:textId="77777777" w:rsidTr="00A2153D">
        <w:trPr>
          <w:cnfStyle w:val="100000000000" w:firstRow="1" w:lastRow="0" w:firstColumn="0" w:lastColumn="0" w:oddVBand="0" w:evenVBand="0" w:oddHBand="0" w:evenHBand="0" w:firstRowFirstColumn="0" w:firstRowLastColumn="0" w:lastRowFirstColumn="0" w:lastRowLastColumn="0"/>
        </w:trPr>
        <w:tc>
          <w:tcPr>
            <w:tcW w:w="1671" w:type="dxa"/>
            <w:tcBorders>
              <w:top w:val="nil"/>
              <w:left w:val="nil"/>
              <w:bottom w:val="nil"/>
              <w:right w:val="nil"/>
            </w:tcBorders>
            <w:noWrap/>
            <w:hideMark/>
          </w:tcPr>
          <w:p w14:paraId="38E24679" w14:textId="77777777" w:rsidR="00A2153D" w:rsidRDefault="00A2153D">
            <w:pPr>
              <w:pStyle w:val="TableHeading"/>
              <w:rPr>
                <w:b/>
              </w:rPr>
            </w:pPr>
            <w:r>
              <w:rPr>
                <w:b/>
              </w:rPr>
              <w:t>Entitlement type</w:t>
            </w:r>
          </w:p>
        </w:tc>
        <w:tc>
          <w:tcPr>
            <w:tcW w:w="1849" w:type="dxa"/>
            <w:tcBorders>
              <w:top w:val="nil"/>
              <w:left w:val="nil"/>
              <w:bottom w:val="nil"/>
              <w:right w:val="nil"/>
            </w:tcBorders>
            <w:noWrap/>
            <w:hideMark/>
          </w:tcPr>
          <w:p w14:paraId="5BB6600E" w14:textId="77777777" w:rsidR="00A2153D" w:rsidRDefault="00A2153D">
            <w:pPr>
              <w:pStyle w:val="TableHeading"/>
              <w:rPr>
                <w:b/>
              </w:rPr>
            </w:pPr>
            <w:r>
              <w:rPr>
                <w:b/>
              </w:rPr>
              <w:t>Nominal volume (GL)</w:t>
            </w:r>
          </w:p>
        </w:tc>
        <w:tc>
          <w:tcPr>
            <w:tcW w:w="1850" w:type="dxa"/>
            <w:tcBorders>
              <w:top w:val="nil"/>
              <w:left w:val="nil"/>
              <w:bottom w:val="nil"/>
              <w:right w:val="nil"/>
            </w:tcBorders>
            <w:noWrap/>
            <w:hideMark/>
          </w:tcPr>
          <w:p w14:paraId="7E8FD997" w14:textId="77777777" w:rsidR="00A2153D" w:rsidRDefault="00A2153D">
            <w:pPr>
              <w:pStyle w:val="TableHeading"/>
              <w:rPr>
                <w:b/>
              </w:rPr>
            </w:pPr>
            <w:r>
              <w:rPr>
                <w:b/>
              </w:rPr>
              <w:t>Long run diversion factor</w:t>
            </w:r>
          </w:p>
        </w:tc>
        <w:tc>
          <w:tcPr>
            <w:tcW w:w="1850" w:type="dxa"/>
            <w:tcBorders>
              <w:top w:val="nil"/>
              <w:left w:val="nil"/>
              <w:bottom w:val="nil"/>
              <w:right w:val="nil"/>
            </w:tcBorders>
            <w:noWrap/>
            <w:hideMark/>
          </w:tcPr>
          <w:p w14:paraId="6F9B7442" w14:textId="77777777" w:rsidR="00A2153D" w:rsidRDefault="00A2153D">
            <w:pPr>
              <w:pStyle w:val="TableHeading"/>
              <w:rPr>
                <w:b/>
              </w:rPr>
            </w:pPr>
            <w:r>
              <w:rPr>
                <w:b/>
              </w:rPr>
              <w:t xml:space="preserve">LTAAY </w:t>
            </w:r>
            <w:r>
              <w:rPr>
                <w:b/>
              </w:rPr>
              <w:br/>
              <w:t>(GL)</w:t>
            </w:r>
          </w:p>
        </w:tc>
        <w:tc>
          <w:tcPr>
            <w:tcW w:w="1850" w:type="dxa"/>
            <w:tcBorders>
              <w:top w:val="nil"/>
              <w:left w:val="nil"/>
              <w:bottom w:val="nil"/>
              <w:right w:val="nil"/>
            </w:tcBorders>
            <w:noWrap/>
            <w:hideMark/>
          </w:tcPr>
          <w:p w14:paraId="39C7F24D" w14:textId="77777777" w:rsidR="00A2153D" w:rsidRDefault="00A2153D">
            <w:pPr>
              <w:pStyle w:val="TableHeading"/>
              <w:rPr>
                <w:b/>
              </w:rPr>
            </w:pPr>
            <w:r>
              <w:rPr>
                <w:b/>
              </w:rPr>
              <w:t>Proportion of portfolio (LTAAY)</w:t>
            </w:r>
          </w:p>
        </w:tc>
      </w:tr>
      <w:tr w:rsidR="00A2153D" w14:paraId="24128DF0" w14:textId="77777777" w:rsidTr="00A2153D">
        <w:trPr>
          <w:cnfStyle w:val="000000100000" w:firstRow="0" w:lastRow="0" w:firstColumn="0" w:lastColumn="0" w:oddVBand="0" w:evenVBand="0" w:oddHBand="1" w:evenHBand="0" w:firstRowFirstColumn="0" w:firstRowLastColumn="0" w:lastRowFirstColumn="0" w:lastRowLastColumn="0"/>
        </w:trPr>
        <w:tc>
          <w:tcPr>
            <w:tcW w:w="1671" w:type="dxa"/>
            <w:noWrap/>
            <w:hideMark/>
          </w:tcPr>
          <w:p w14:paraId="19F106CA" w14:textId="77777777" w:rsidR="00A2153D" w:rsidRDefault="00A2153D">
            <w:pPr>
              <w:pStyle w:val="TableText"/>
            </w:pPr>
            <w:r>
              <w:t>SA High</w:t>
            </w:r>
          </w:p>
        </w:tc>
        <w:tc>
          <w:tcPr>
            <w:tcW w:w="1849" w:type="dxa"/>
            <w:noWrap/>
            <w:hideMark/>
          </w:tcPr>
          <w:p w14:paraId="4E9E432E" w14:textId="77777777" w:rsidR="00A2153D" w:rsidRDefault="00A2153D">
            <w:pPr>
              <w:pStyle w:val="TableText"/>
            </w:pPr>
            <w:r>
              <w:t>162</w:t>
            </w:r>
          </w:p>
        </w:tc>
        <w:tc>
          <w:tcPr>
            <w:tcW w:w="1850" w:type="dxa"/>
            <w:noWrap/>
            <w:hideMark/>
          </w:tcPr>
          <w:p w14:paraId="288426B6" w14:textId="77777777" w:rsidR="00A2153D" w:rsidRDefault="00A2153D">
            <w:pPr>
              <w:pStyle w:val="TableText"/>
            </w:pPr>
            <w:r>
              <w:t>0.887</w:t>
            </w:r>
          </w:p>
        </w:tc>
        <w:tc>
          <w:tcPr>
            <w:tcW w:w="1850" w:type="dxa"/>
            <w:noWrap/>
            <w:hideMark/>
          </w:tcPr>
          <w:p w14:paraId="70CDD647" w14:textId="77777777" w:rsidR="00A2153D" w:rsidRDefault="00A2153D">
            <w:pPr>
              <w:pStyle w:val="TableText"/>
            </w:pPr>
            <w:r>
              <w:t>144</w:t>
            </w:r>
          </w:p>
        </w:tc>
        <w:tc>
          <w:tcPr>
            <w:tcW w:w="1850" w:type="dxa"/>
            <w:noWrap/>
            <w:hideMark/>
          </w:tcPr>
          <w:p w14:paraId="23A24A8B" w14:textId="77777777" w:rsidR="00A2153D" w:rsidRDefault="00A2153D">
            <w:pPr>
              <w:pStyle w:val="TableText"/>
            </w:pPr>
            <w:r>
              <w:t>9%</w:t>
            </w:r>
          </w:p>
        </w:tc>
      </w:tr>
      <w:tr w:rsidR="00A2153D" w14:paraId="5A91B5CB" w14:textId="77777777" w:rsidTr="00A2153D">
        <w:trPr>
          <w:cnfStyle w:val="000000010000" w:firstRow="0" w:lastRow="0" w:firstColumn="0" w:lastColumn="0" w:oddVBand="0" w:evenVBand="0" w:oddHBand="0" w:evenHBand="1" w:firstRowFirstColumn="0" w:firstRowLastColumn="0" w:lastRowFirstColumn="0" w:lastRowLastColumn="0"/>
        </w:trPr>
        <w:tc>
          <w:tcPr>
            <w:tcW w:w="1671" w:type="dxa"/>
            <w:tcBorders>
              <w:top w:val="nil"/>
              <w:left w:val="nil"/>
              <w:right w:val="nil"/>
            </w:tcBorders>
            <w:noWrap/>
            <w:hideMark/>
          </w:tcPr>
          <w:p w14:paraId="76DC090D" w14:textId="77777777" w:rsidR="00A2153D" w:rsidRDefault="00A2153D">
            <w:pPr>
              <w:pStyle w:val="TableText"/>
            </w:pPr>
            <w:r>
              <w:t>NSW High</w:t>
            </w:r>
          </w:p>
        </w:tc>
        <w:tc>
          <w:tcPr>
            <w:tcW w:w="1849" w:type="dxa"/>
            <w:tcBorders>
              <w:top w:val="nil"/>
              <w:left w:val="nil"/>
              <w:right w:val="nil"/>
            </w:tcBorders>
            <w:noWrap/>
            <w:hideMark/>
          </w:tcPr>
          <w:p w14:paraId="725421E5" w14:textId="77777777" w:rsidR="00A2153D" w:rsidRDefault="00A2153D">
            <w:pPr>
              <w:pStyle w:val="TableText"/>
            </w:pPr>
            <w:r>
              <w:t>36</w:t>
            </w:r>
          </w:p>
        </w:tc>
        <w:tc>
          <w:tcPr>
            <w:tcW w:w="1850" w:type="dxa"/>
            <w:tcBorders>
              <w:top w:val="nil"/>
              <w:left w:val="nil"/>
              <w:right w:val="nil"/>
            </w:tcBorders>
            <w:noWrap/>
            <w:hideMark/>
          </w:tcPr>
          <w:p w14:paraId="20A536DE" w14:textId="77777777" w:rsidR="00A2153D" w:rsidRDefault="00A2153D">
            <w:pPr>
              <w:pStyle w:val="TableText"/>
            </w:pPr>
            <w:r>
              <w:t>0.897</w:t>
            </w:r>
          </w:p>
        </w:tc>
        <w:tc>
          <w:tcPr>
            <w:tcW w:w="1850" w:type="dxa"/>
            <w:tcBorders>
              <w:top w:val="nil"/>
              <w:left w:val="nil"/>
              <w:right w:val="nil"/>
            </w:tcBorders>
            <w:noWrap/>
            <w:hideMark/>
          </w:tcPr>
          <w:p w14:paraId="7D36B30B" w14:textId="77777777" w:rsidR="00A2153D" w:rsidRDefault="00A2153D">
            <w:pPr>
              <w:pStyle w:val="TableText"/>
            </w:pPr>
            <w:r>
              <w:t>33</w:t>
            </w:r>
          </w:p>
        </w:tc>
        <w:tc>
          <w:tcPr>
            <w:tcW w:w="1850" w:type="dxa"/>
            <w:tcBorders>
              <w:top w:val="nil"/>
              <w:left w:val="nil"/>
              <w:right w:val="nil"/>
            </w:tcBorders>
            <w:noWrap/>
            <w:hideMark/>
          </w:tcPr>
          <w:p w14:paraId="367FA961" w14:textId="77777777" w:rsidR="00A2153D" w:rsidRDefault="00A2153D">
            <w:pPr>
              <w:pStyle w:val="TableText"/>
            </w:pPr>
            <w:r>
              <w:t>2%</w:t>
            </w:r>
          </w:p>
        </w:tc>
      </w:tr>
      <w:tr w:rsidR="00A2153D" w14:paraId="093CAC84" w14:textId="77777777" w:rsidTr="00A2153D">
        <w:trPr>
          <w:cnfStyle w:val="000000100000" w:firstRow="0" w:lastRow="0" w:firstColumn="0" w:lastColumn="0" w:oddVBand="0" w:evenVBand="0" w:oddHBand="1" w:evenHBand="0" w:firstRowFirstColumn="0" w:firstRowLastColumn="0" w:lastRowFirstColumn="0" w:lastRowLastColumn="0"/>
        </w:trPr>
        <w:tc>
          <w:tcPr>
            <w:tcW w:w="1671" w:type="dxa"/>
            <w:noWrap/>
            <w:hideMark/>
          </w:tcPr>
          <w:p w14:paraId="22F8187F" w14:textId="77777777" w:rsidR="00A2153D" w:rsidRDefault="00A2153D">
            <w:pPr>
              <w:pStyle w:val="TableText"/>
            </w:pPr>
            <w:r>
              <w:t>NSW General</w:t>
            </w:r>
          </w:p>
        </w:tc>
        <w:tc>
          <w:tcPr>
            <w:tcW w:w="1849" w:type="dxa"/>
            <w:noWrap/>
            <w:hideMark/>
          </w:tcPr>
          <w:p w14:paraId="22D07B42" w14:textId="77777777" w:rsidR="00A2153D" w:rsidRDefault="00A2153D">
            <w:pPr>
              <w:pStyle w:val="TableText"/>
            </w:pPr>
            <w:r>
              <w:t>678</w:t>
            </w:r>
          </w:p>
        </w:tc>
        <w:tc>
          <w:tcPr>
            <w:tcW w:w="1850" w:type="dxa"/>
            <w:noWrap/>
            <w:hideMark/>
          </w:tcPr>
          <w:p w14:paraId="33155284" w14:textId="77777777" w:rsidR="00A2153D" w:rsidRDefault="00A2153D">
            <w:pPr>
              <w:pStyle w:val="TableText"/>
            </w:pPr>
            <w:r>
              <w:t>0.661</w:t>
            </w:r>
          </w:p>
        </w:tc>
        <w:tc>
          <w:tcPr>
            <w:tcW w:w="1850" w:type="dxa"/>
            <w:noWrap/>
            <w:hideMark/>
          </w:tcPr>
          <w:p w14:paraId="540B6CFD" w14:textId="77777777" w:rsidR="00A2153D" w:rsidRDefault="00A2153D">
            <w:pPr>
              <w:pStyle w:val="TableText"/>
            </w:pPr>
            <w:r>
              <w:t>448</w:t>
            </w:r>
          </w:p>
        </w:tc>
        <w:tc>
          <w:tcPr>
            <w:tcW w:w="1850" w:type="dxa"/>
            <w:noWrap/>
            <w:hideMark/>
          </w:tcPr>
          <w:p w14:paraId="55611A59" w14:textId="77777777" w:rsidR="00A2153D" w:rsidRDefault="00A2153D">
            <w:pPr>
              <w:pStyle w:val="TableText"/>
            </w:pPr>
            <w:r>
              <w:t>28%</w:t>
            </w:r>
          </w:p>
        </w:tc>
      </w:tr>
      <w:tr w:rsidR="00A2153D" w14:paraId="03DA8410" w14:textId="77777777" w:rsidTr="00A2153D">
        <w:trPr>
          <w:cnfStyle w:val="000000010000" w:firstRow="0" w:lastRow="0" w:firstColumn="0" w:lastColumn="0" w:oddVBand="0" w:evenVBand="0" w:oddHBand="0" w:evenHBand="1" w:firstRowFirstColumn="0" w:firstRowLastColumn="0" w:lastRowFirstColumn="0" w:lastRowLastColumn="0"/>
        </w:trPr>
        <w:tc>
          <w:tcPr>
            <w:tcW w:w="1671" w:type="dxa"/>
            <w:tcBorders>
              <w:top w:val="nil"/>
              <w:left w:val="nil"/>
              <w:right w:val="nil"/>
            </w:tcBorders>
            <w:noWrap/>
            <w:hideMark/>
          </w:tcPr>
          <w:p w14:paraId="77B2F1CE" w14:textId="77777777" w:rsidR="00A2153D" w:rsidRDefault="00A2153D">
            <w:pPr>
              <w:pStyle w:val="TableText"/>
            </w:pPr>
            <w:r>
              <w:t>NSW Sup</w:t>
            </w:r>
          </w:p>
        </w:tc>
        <w:tc>
          <w:tcPr>
            <w:tcW w:w="1849" w:type="dxa"/>
            <w:tcBorders>
              <w:top w:val="nil"/>
              <w:left w:val="nil"/>
              <w:right w:val="nil"/>
            </w:tcBorders>
            <w:noWrap/>
            <w:hideMark/>
          </w:tcPr>
          <w:p w14:paraId="26F37256" w14:textId="77777777" w:rsidR="00A2153D" w:rsidRDefault="00A2153D">
            <w:pPr>
              <w:pStyle w:val="TableText"/>
            </w:pPr>
            <w:r>
              <w:t>429</w:t>
            </w:r>
          </w:p>
        </w:tc>
        <w:tc>
          <w:tcPr>
            <w:tcW w:w="1850" w:type="dxa"/>
            <w:tcBorders>
              <w:top w:val="nil"/>
              <w:left w:val="nil"/>
              <w:right w:val="nil"/>
            </w:tcBorders>
            <w:noWrap/>
            <w:hideMark/>
          </w:tcPr>
          <w:p w14:paraId="64760284" w14:textId="77777777" w:rsidR="00A2153D" w:rsidRDefault="00A2153D">
            <w:pPr>
              <w:pStyle w:val="TableText"/>
            </w:pPr>
            <w:r>
              <w:t>0.441</w:t>
            </w:r>
          </w:p>
        </w:tc>
        <w:tc>
          <w:tcPr>
            <w:tcW w:w="1850" w:type="dxa"/>
            <w:tcBorders>
              <w:top w:val="nil"/>
              <w:left w:val="nil"/>
              <w:right w:val="nil"/>
            </w:tcBorders>
            <w:noWrap/>
            <w:hideMark/>
          </w:tcPr>
          <w:p w14:paraId="1E4B616A" w14:textId="77777777" w:rsidR="00A2153D" w:rsidRDefault="00A2153D">
            <w:pPr>
              <w:pStyle w:val="TableText"/>
            </w:pPr>
            <w:r>
              <w:t>189</w:t>
            </w:r>
          </w:p>
        </w:tc>
        <w:tc>
          <w:tcPr>
            <w:tcW w:w="1850" w:type="dxa"/>
            <w:tcBorders>
              <w:top w:val="nil"/>
              <w:left w:val="nil"/>
              <w:right w:val="nil"/>
            </w:tcBorders>
            <w:noWrap/>
            <w:hideMark/>
          </w:tcPr>
          <w:p w14:paraId="4CE4E2B8" w14:textId="77777777" w:rsidR="00A2153D" w:rsidRDefault="00A2153D">
            <w:pPr>
              <w:pStyle w:val="TableText"/>
            </w:pPr>
            <w:r>
              <w:t>12%</w:t>
            </w:r>
          </w:p>
        </w:tc>
      </w:tr>
      <w:tr w:rsidR="00A2153D" w14:paraId="3945BA56" w14:textId="77777777" w:rsidTr="00A2153D">
        <w:trPr>
          <w:cnfStyle w:val="000000100000" w:firstRow="0" w:lastRow="0" w:firstColumn="0" w:lastColumn="0" w:oddVBand="0" w:evenVBand="0" w:oddHBand="1" w:evenHBand="0" w:firstRowFirstColumn="0" w:firstRowLastColumn="0" w:lastRowFirstColumn="0" w:lastRowLastColumn="0"/>
        </w:trPr>
        <w:tc>
          <w:tcPr>
            <w:tcW w:w="1671" w:type="dxa"/>
            <w:noWrap/>
            <w:hideMark/>
          </w:tcPr>
          <w:p w14:paraId="71091DC5" w14:textId="77777777" w:rsidR="00A2153D" w:rsidRDefault="00A2153D">
            <w:pPr>
              <w:pStyle w:val="TableText"/>
            </w:pPr>
            <w:r>
              <w:t>NSW Other</w:t>
            </w:r>
          </w:p>
        </w:tc>
        <w:tc>
          <w:tcPr>
            <w:tcW w:w="1849" w:type="dxa"/>
            <w:noWrap/>
            <w:hideMark/>
          </w:tcPr>
          <w:p w14:paraId="05C8051B" w14:textId="77777777" w:rsidR="00A2153D" w:rsidRDefault="00A2153D">
            <w:pPr>
              <w:pStyle w:val="TableText"/>
            </w:pPr>
            <w:r>
              <w:t>77</w:t>
            </w:r>
          </w:p>
        </w:tc>
        <w:tc>
          <w:tcPr>
            <w:tcW w:w="1850" w:type="dxa"/>
            <w:noWrap/>
            <w:hideMark/>
          </w:tcPr>
          <w:p w14:paraId="65789E12" w14:textId="77777777" w:rsidR="00A2153D" w:rsidRDefault="00A2153D">
            <w:pPr>
              <w:pStyle w:val="TableText"/>
            </w:pPr>
            <w:r>
              <w:t>0.894</w:t>
            </w:r>
          </w:p>
        </w:tc>
        <w:tc>
          <w:tcPr>
            <w:tcW w:w="1850" w:type="dxa"/>
            <w:noWrap/>
            <w:hideMark/>
          </w:tcPr>
          <w:p w14:paraId="5F54FA65" w14:textId="77777777" w:rsidR="00A2153D" w:rsidRDefault="00A2153D">
            <w:pPr>
              <w:pStyle w:val="TableText"/>
            </w:pPr>
            <w:r>
              <w:t>69</w:t>
            </w:r>
          </w:p>
        </w:tc>
        <w:tc>
          <w:tcPr>
            <w:tcW w:w="1850" w:type="dxa"/>
            <w:noWrap/>
            <w:hideMark/>
          </w:tcPr>
          <w:p w14:paraId="5A16D712" w14:textId="77777777" w:rsidR="00A2153D" w:rsidRDefault="00A2153D">
            <w:pPr>
              <w:pStyle w:val="TableText"/>
            </w:pPr>
            <w:r>
              <w:t>4%</w:t>
            </w:r>
          </w:p>
        </w:tc>
      </w:tr>
      <w:tr w:rsidR="00A2153D" w14:paraId="2ECC81B0" w14:textId="77777777" w:rsidTr="00A2153D">
        <w:trPr>
          <w:cnfStyle w:val="000000010000" w:firstRow="0" w:lastRow="0" w:firstColumn="0" w:lastColumn="0" w:oddVBand="0" w:evenVBand="0" w:oddHBand="0" w:evenHBand="1" w:firstRowFirstColumn="0" w:firstRowLastColumn="0" w:lastRowFirstColumn="0" w:lastRowLastColumn="0"/>
        </w:trPr>
        <w:tc>
          <w:tcPr>
            <w:tcW w:w="1671" w:type="dxa"/>
            <w:tcBorders>
              <w:top w:val="nil"/>
              <w:left w:val="nil"/>
              <w:right w:val="nil"/>
            </w:tcBorders>
            <w:noWrap/>
            <w:hideMark/>
          </w:tcPr>
          <w:p w14:paraId="430A4531" w14:textId="77777777" w:rsidR="00A2153D" w:rsidRDefault="00A2153D">
            <w:pPr>
              <w:pStyle w:val="TableText"/>
            </w:pPr>
            <w:r>
              <w:t>VIC High</w:t>
            </w:r>
          </w:p>
        </w:tc>
        <w:tc>
          <w:tcPr>
            <w:tcW w:w="1849" w:type="dxa"/>
            <w:tcBorders>
              <w:top w:val="nil"/>
              <w:left w:val="nil"/>
              <w:right w:val="nil"/>
            </w:tcBorders>
            <w:noWrap/>
            <w:hideMark/>
          </w:tcPr>
          <w:p w14:paraId="7C0D3B5E" w14:textId="77777777" w:rsidR="00A2153D" w:rsidRDefault="00A2153D">
            <w:pPr>
              <w:pStyle w:val="TableText"/>
            </w:pPr>
            <w:r>
              <w:t>692</w:t>
            </w:r>
          </w:p>
        </w:tc>
        <w:tc>
          <w:tcPr>
            <w:tcW w:w="1850" w:type="dxa"/>
            <w:tcBorders>
              <w:top w:val="nil"/>
              <w:left w:val="nil"/>
              <w:right w:val="nil"/>
            </w:tcBorders>
            <w:noWrap/>
            <w:hideMark/>
          </w:tcPr>
          <w:p w14:paraId="22AB8BCC" w14:textId="77777777" w:rsidR="00A2153D" w:rsidRDefault="00A2153D">
            <w:pPr>
              <w:pStyle w:val="TableText"/>
            </w:pPr>
            <w:r>
              <w:t>0.968</w:t>
            </w:r>
          </w:p>
        </w:tc>
        <w:tc>
          <w:tcPr>
            <w:tcW w:w="1850" w:type="dxa"/>
            <w:tcBorders>
              <w:top w:val="nil"/>
              <w:left w:val="nil"/>
              <w:right w:val="nil"/>
            </w:tcBorders>
            <w:noWrap/>
            <w:hideMark/>
          </w:tcPr>
          <w:p w14:paraId="2A1ED452" w14:textId="77777777" w:rsidR="00A2153D" w:rsidRDefault="00A2153D">
            <w:pPr>
              <w:pStyle w:val="TableText"/>
            </w:pPr>
            <w:r>
              <w:t>670</w:t>
            </w:r>
          </w:p>
        </w:tc>
        <w:tc>
          <w:tcPr>
            <w:tcW w:w="1850" w:type="dxa"/>
            <w:tcBorders>
              <w:top w:val="nil"/>
              <w:left w:val="nil"/>
              <w:right w:val="nil"/>
            </w:tcBorders>
            <w:noWrap/>
            <w:hideMark/>
          </w:tcPr>
          <w:p w14:paraId="7BC42501" w14:textId="77777777" w:rsidR="00A2153D" w:rsidRDefault="00A2153D">
            <w:pPr>
              <w:pStyle w:val="TableText"/>
            </w:pPr>
            <w:r>
              <w:t>41%</w:t>
            </w:r>
          </w:p>
        </w:tc>
      </w:tr>
      <w:tr w:rsidR="00A2153D" w14:paraId="2EA21B6F" w14:textId="77777777" w:rsidTr="00A2153D">
        <w:trPr>
          <w:cnfStyle w:val="000000100000" w:firstRow="0" w:lastRow="0" w:firstColumn="0" w:lastColumn="0" w:oddVBand="0" w:evenVBand="0" w:oddHBand="1" w:evenHBand="0" w:firstRowFirstColumn="0" w:firstRowLastColumn="0" w:lastRowFirstColumn="0" w:lastRowLastColumn="0"/>
        </w:trPr>
        <w:tc>
          <w:tcPr>
            <w:tcW w:w="1671" w:type="dxa"/>
            <w:noWrap/>
            <w:hideMark/>
          </w:tcPr>
          <w:p w14:paraId="76980D2F" w14:textId="77777777" w:rsidR="00A2153D" w:rsidRDefault="00A2153D">
            <w:pPr>
              <w:pStyle w:val="TableText"/>
            </w:pPr>
            <w:r>
              <w:t>VIC Low</w:t>
            </w:r>
          </w:p>
        </w:tc>
        <w:tc>
          <w:tcPr>
            <w:tcW w:w="1849" w:type="dxa"/>
            <w:noWrap/>
            <w:hideMark/>
          </w:tcPr>
          <w:p w14:paraId="423EB285" w14:textId="77777777" w:rsidR="00A2153D" w:rsidRDefault="00A2153D">
            <w:pPr>
              <w:pStyle w:val="TableText"/>
            </w:pPr>
            <w:r>
              <w:t>79</w:t>
            </w:r>
          </w:p>
        </w:tc>
        <w:tc>
          <w:tcPr>
            <w:tcW w:w="1850" w:type="dxa"/>
            <w:noWrap/>
            <w:hideMark/>
          </w:tcPr>
          <w:p w14:paraId="7A536843" w14:textId="77777777" w:rsidR="00A2153D" w:rsidRDefault="00A2153D">
            <w:pPr>
              <w:pStyle w:val="TableText"/>
            </w:pPr>
            <w:r>
              <w:t>0.561</w:t>
            </w:r>
          </w:p>
        </w:tc>
        <w:tc>
          <w:tcPr>
            <w:tcW w:w="1850" w:type="dxa"/>
            <w:noWrap/>
            <w:hideMark/>
          </w:tcPr>
          <w:p w14:paraId="6CD3CB46" w14:textId="77777777" w:rsidR="00A2153D" w:rsidRDefault="00A2153D">
            <w:pPr>
              <w:pStyle w:val="TableText"/>
            </w:pPr>
            <w:r>
              <w:t>44</w:t>
            </w:r>
          </w:p>
        </w:tc>
        <w:tc>
          <w:tcPr>
            <w:tcW w:w="1850" w:type="dxa"/>
            <w:noWrap/>
            <w:hideMark/>
          </w:tcPr>
          <w:p w14:paraId="142A1CDE" w14:textId="77777777" w:rsidR="00A2153D" w:rsidRDefault="00A2153D">
            <w:pPr>
              <w:pStyle w:val="TableText"/>
            </w:pPr>
            <w:r>
              <w:t>3%</w:t>
            </w:r>
          </w:p>
        </w:tc>
      </w:tr>
      <w:tr w:rsidR="00A2153D" w14:paraId="763B7D74" w14:textId="77777777" w:rsidTr="00A2153D">
        <w:trPr>
          <w:cnfStyle w:val="000000010000" w:firstRow="0" w:lastRow="0" w:firstColumn="0" w:lastColumn="0" w:oddVBand="0" w:evenVBand="0" w:oddHBand="0" w:evenHBand="1" w:firstRowFirstColumn="0" w:firstRowLastColumn="0" w:lastRowFirstColumn="0" w:lastRowLastColumn="0"/>
        </w:trPr>
        <w:tc>
          <w:tcPr>
            <w:tcW w:w="1671" w:type="dxa"/>
            <w:tcBorders>
              <w:top w:val="nil"/>
              <w:left w:val="nil"/>
              <w:right w:val="nil"/>
            </w:tcBorders>
            <w:noWrap/>
            <w:hideMark/>
          </w:tcPr>
          <w:p w14:paraId="1C03404D" w14:textId="77777777" w:rsidR="00A2153D" w:rsidRDefault="00A2153D">
            <w:pPr>
              <w:pStyle w:val="TableText"/>
            </w:pPr>
            <w:r>
              <w:t>Vic Other</w:t>
            </w:r>
          </w:p>
        </w:tc>
        <w:tc>
          <w:tcPr>
            <w:tcW w:w="1849" w:type="dxa"/>
            <w:tcBorders>
              <w:top w:val="nil"/>
              <w:left w:val="nil"/>
              <w:right w:val="nil"/>
            </w:tcBorders>
            <w:noWrap/>
            <w:hideMark/>
          </w:tcPr>
          <w:p w14:paraId="43C68EAF" w14:textId="77777777" w:rsidR="00A2153D" w:rsidRDefault="00A2153D">
            <w:pPr>
              <w:pStyle w:val="TableText"/>
            </w:pPr>
            <w:r>
              <w:t>28</w:t>
            </w:r>
          </w:p>
        </w:tc>
        <w:tc>
          <w:tcPr>
            <w:tcW w:w="1850" w:type="dxa"/>
            <w:tcBorders>
              <w:top w:val="nil"/>
              <w:left w:val="nil"/>
              <w:right w:val="nil"/>
            </w:tcBorders>
            <w:noWrap/>
            <w:hideMark/>
          </w:tcPr>
          <w:p w14:paraId="335C98B5" w14:textId="77777777" w:rsidR="00A2153D" w:rsidRDefault="00A2153D">
            <w:pPr>
              <w:pStyle w:val="TableText"/>
            </w:pPr>
            <w:r>
              <w:t>0.828</w:t>
            </w:r>
          </w:p>
        </w:tc>
        <w:tc>
          <w:tcPr>
            <w:tcW w:w="1850" w:type="dxa"/>
            <w:tcBorders>
              <w:top w:val="nil"/>
              <w:left w:val="nil"/>
              <w:right w:val="nil"/>
            </w:tcBorders>
            <w:noWrap/>
            <w:hideMark/>
          </w:tcPr>
          <w:p w14:paraId="025B1606" w14:textId="77777777" w:rsidR="00A2153D" w:rsidRDefault="00A2153D">
            <w:pPr>
              <w:pStyle w:val="TableText"/>
            </w:pPr>
            <w:r>
              <w:t>23</w:t>
            </w:r>
          </w:p>
        </w:tc>
        <w:tc>
          <w:tcPr>
            <w:tcW w:w="1850" w:type="dxa"/>
            <w:tcBorders>
              <w:top w:val="nil"/>
              <w:left w:val="nil"/>
              <w:right w:val="nil"/>
            </w:tcBorders>
            <w:noWrap/>
            <w:hideMark/>
          </w:tcPr>
          <w:p w14:paraId="7B68957B" w14:textId="77777777" w:rsidR="00A2153D" w:rsidRDefault="00A2153D">
            <w:pPr>
              <w:pStyle w:val="TableText"/>
            </w:pPr>
            <w:r>
              <w:t>1%</w:t>
            </w:r>
          </w:p>
        </w:tc>
      </w:tr>
    </w:tbl>
    <w:p w14:paraId="6348BFF4" w14:textId="77777777" w:rsidR="00A2153D" w:rsidRDefault="00A2153D" w:rsidP="00A2153D">
      <w:pPr>
        <w:spacing w:after="320"/>
        <w:rPr>
          <w:color w:val="9BA1A5"/>
        </w:rPr>
      </w:pPr>
      <w:r>
        <w:rPr>
          <w:i/>
          <w:color w:val="9BA1A5"/>
          <w:sz w:val="16"/>
          <w:szCs w:val="16"/>
        </w:rPr>
        <w:t>Source: Frontier Economics analysis of CEWH data.</w:t>
      </w:r>
    </w:p>
    <w:p w14:paraId="78F8D45F" w14:textId="110A3FF3" w:rsidR="00A2153D" w:rsidRDefault="00A2153D" w:rsidP="00A2153D">
      <w:pPr>
        <w:pStyle w:val="BodyText"/>
      </w:pPr>
      <w:r>
        <w:t xml:space="preserve">A benefit to the CEWH of the significant proportion of Victorian HRWS is the </w:t>
      </w:r>
      <w:r w:rsidR="00497D74">
        <w:t xml:space="preserve">relatively high level of </w:t>
      </w:r>
      <w:r>
        <w:t xml:space="preserve">allocation these entitlements receive in average-dry years. For example, in 2018-19 and 2019-20 when NSW Murray GS entitlements received 0–3% allocations and NSW Murrumbidgee GS entitlements received 7–11% allocations, Victorian Murray HRWS received 66–100% allocations and Victorian Goulburn HRWS received 80–100% allocations. </w:t>
      </w:r>
      <w:r w:rsidR="000F7975">
        <w:t xml:space="preserve">Climate </w:t>
      </w:r>
      <w:r>
        <w:t xml:space="preserve">change is expected to result in a </w:t>
      </w:r>
      <w:r w:rsidR="000F7975">
        <w:t xml:space="preserve">proportionately </w:t>
      </w:r>
      <w:r>
        <w:t xml:space="preserve">greater reduction on the yield of general and lower reliability entitlements than the </w:t>
      </w:r>
      <w:r w:rsidR="000F7975">
        <w:t>reduction</w:t>
      </w:r>
      <w:r>
        <w:t xml:space="preserve"> </w:t>
      </w:r>
      <w:r w:rsidR="00992D97">
        <w:t xml:space="preserve">on </w:t>
      </w:r>
      <w:r>
        <w:t>high reliability entitlements.</w:t>
      </w:r>
    </w:p>
    <w:p w14:paraId="7CF82D74" w14:textId="4AF34D91" w:rsidR="00A2153D" w:rsidRDefault="00A2153D" w:rsidP="00A2153D">
      <w:pPr>
        <w:pStyle w:val="BodyText"/>
      </w:pPr>
      <w:r>
        <w:t xml:space="preserve">The CEWH also benefits from the carryover arrangements associated with each of the entitlements in the portfolio. Victorian entitlements, in particular, allow significant flexibility in carryover including ‘spillable water’. </w:t>
      </w:r>
      <w:r>
        <w:fldChar w:fldCharType="begin"/>
      </w:r>
      <w:r>
        <w:instrText xml:space="preserve"> REF _Ref108092917 \h </w:instrText>
      </w:r>
      <w:r>
        <w:fldChar w:fldCharType="separate"/>
      </w:r>
      <w:r w:rsidR="00D4298A">
        <w:rPr>
          <w:rStyle w:val="Bold"/>
        </w:rPr>
        <w:t xml:space="preserve">Figure </w:t>
      </w:r>
      <w:r w:rsidR="00D4298A">
        <w:rPr>
          <w:rStyle w:val="Bold"/>
          <w:noProof/>
        </w:rPr>
        <w:t>11</w:t>
      </w:r>
      <w:r>
        <w:fldChar w:fldCharType="end"/>
      </w:r>
      <w:r>
        <w:t xml:space="preserve"> sets out differences in state carryover arrangements in the southern MDB, and also notes arrangements observed outside the southern MDB in northern NSW and Queensland.</w:t>
      </w:r>
    </w:p>
    <w:p w14:paraId="57F4BF8A" w14:textId="03C0B599" w:rsidR="00A2153D" w:rsidRDefault="00A2153D" w:rsidP="00A2153D">
      <w:pPr>
        <w:pStyle w:val="Caption"/>
      </w:pPr>
      <w:bookmarkStart w:id="118" w:name="_Ref108092917"/>
      <w:bookmarkStart w:id="119" w:name="_Toc110262443"/>
      <w:bookmarkStart w:id="120" w:name="_Toc113621723"/>
      <w:r>
        <w:rPr>
          <w:rStyle w:val="Bold"/>
        </w:rPr>
        <w:lastRenderedPageBreak/>
        <w:t xml:space="preserve">Figure </w:t>
      </w:r>
      <w:r>
        <w:fldChar w:fldCharType="begin"/>
      </w:r>
      <w:r>
        <w:rPr>
          <w:rStyle w:val="Bold"/>
        </w:rPr>
        <w:instrText xml:space="preserve"> SEQ Figure \* ARABIC </w:instrText>
      </w:r>
      <w:r>
        <w:fldChar w:fldCharType="separate"/>
      </w:r>
      <w:r w:rsidR="00D4298A">
        <w:rPr>
          <w:rStyle w:val="Bold"/>
          <w:noProof/>
        </w:rPr>
        <w:t>11</w:t>
      </w:r>
      <w:r>
        <w:fldChar w:fldCharType="end"/>
      </w:r>
      <w:bookmarkEnd w:id="118"/>
      <w:r>
        <w:rPr>
          <w:rStyle w:val="Bold"/>
        </w:rPr>
        <w:t>:</w:t>
      </w:r>
      <w:r>
        <w:t xml:space="preserve"> </w:t>
      </w:r>
      <w:bookmarkStart w:id="121" w:name="_Hlk108092929"/>
      <w:r>
        <w:t>Differences in state carryover arrangements</w:t>
      </w:r>
      <w:bookmarkEnd w:id="119"/>
      <w:bookmarkEnd w:id="120"/>
      <w:bookmarkEnd w:id="121"/>
    </w:p>
    <w:tbl>
      <w:tblPr>
        <w:tblStyle w:val="FETableStyle"/>
        <w:tblW w:w="5000" w:type="pct"/>
        <w:tblLook w:val="0420" w:firstRow="1" w:lastRow="0" w:firstColumn="0" w:lastColumn="0" w:noHBand="0" w:noVBand="1"/>
      </w:tblPr>
      <w:tblGrid>
        <w:gridCol w:w="1345"/>
        <w:gridCol w:w="7725"/>
      </w:tblGrid>
      <w:tr w:rsidR="00A2153D" w14:paraId="70D19990" w14:textId="77777777" w:rsidTr="00A2153D">
        <w:trPr>
          <w:cnfStyle w:val="100000000000" w:firstRow="1" w:lastRow="0" w:firstColumn="0" w:lastColumn="0" w:oddVBand="0" w:evenVBand="0" w:oddHBand="0" w:evenHBand="0" w:firstRowFirstColumn="0" w:firstRowLastColumn="0" w:lastRowFirstColumn="0" w:lastRowLastColumn="0"/>
        </w:trPr>
        <w:tc>
          <w:tcPr>
            <w:tcW w:w="1134" w:type="dxa"/>
            <w:tcBorders>
              <w:top w:val="nil"/>
              <w:left w:val="nil"/>
              <w:bottom w:val="nil"/>
              <w:right w:val="nil"/>
            </w:tcBorders>
            <w:hideMark/>
          </w:tcPr>
          <w:p w14:paraId="6364E979" w14:textId="77777777" w:rsidR="00A2153D" w:rsidRDefault="00A2153D">
            <w:pPr>
              <w:pStyle w:val="TableHeading"/>
              <w:rPr>
                <w:b/>
              </w:rPr>
            </w:pPr>
            <w:r>
              <w:rPr>
                <w:b/>
              </w:rPr>
              <w:t>State</w:t>
            </w:r>
          </w:p>
        </w:tc>
        <w:tc>
          <w:tcPr>
            <w:tcW w:w="7936" w:type="dxa"/>
            <w:tcBorders>
              <w:top w:val="nil"/>
              <w:left w:val="nil"/>
              <w:bottom w:val="nil"/>
              <w:right w:val="nil"/>
            </w:tcBorders>
            <w:hideMark/>
          </w:tcPr>
          <w:p w14:paraId="315DA6B7" w14:textId="77777777" w:rsidR="00A2153D" w:rsidRDefault="00A2153D">
            <w:pPr>
              <w:pStyle w:val="TableHeading"/>
              <w:rPr>
                <w:b/>
              </w:rPr>
            </w:pPr>
            <w:r>
              <w:rPr>
                <w:b/>
              </w:rPr>
              <w:t>Carryover arrangements</w:t>
            </w:r>
          </w:p>
        </w:tc>
      </w:tr>
      <w:tr w:rsidR="00A2153D" w14:paraId="2600C85F" w14:textId="77777777" w:rsidTr="00A2153D">
        <w:trPr>
          <w:cnfStyle w:val="000000100000" w:firstRow="0" w:lastRow="0" w:firstColumn="0" w:lastColumn="0" w:oddVBand="0" w:evenVBand="0" w:oddHBand="1" w:evenHBand="0" w:firstRowFirstColumn="0" w:firstRowLastColumn="0" w:lastRowFirstColumn="0" w:lastRowLastColumn="0"/>
        </w:trPr>
        <w:tc>
          <w:tcPr>
            <w:tcW w:w="1134" w:type="dxa"/>
            <w:hideMark/>
          </w:tcPr>
          <w:p w14:paraId="33FD1669" w14:textId="77777777" w:rsidR="00A2153D" w:rsidRDefault="00A2153D">
            <w:pPr>
              <w:pStyle w:val="TableText"/>
            </w:pPr>
            <w:r>
              <w:t>Victoria</w:t>
            </w:r>
            <w:r>
              <w:rPr>
                <w:rStyle w:val="FootnoteReference"/>
              </w:rPr>
              <w:footnoteReference w:id="18"/>
            </w:r>
          </w:p>
        </w:tc>
        <w:tc>
          <w:tcPr>
            <w:tcW w:w="7936" w:type="dxa"/>
            <w:hideMark/>
          </w:tcPr>
          <w:p w14:paraId="20089898" w14:textId="77777777" w:rsidR="00C6698D" w:rsidRDefault="00C6698D">
            <w:pPr>
              <w:pStyle w:val="TableText"/>
            </w:pPr>
            <w:r w:rsidRPr="00C6698D">
              <w:t>Carryover is available in all northern Victorian systems except the Ovens</w:t>
            </w:r>
            <w:r>
              <w:t xml:space="preserve">. </w:t>
            </w:r>
          </w:p>
          <w:p w14:paraId="44991F65" w14:textId="5E268758" w:rsidR="00A2153D" w:rsidRDefault="00C6698D">
            <w:pPr>
              <w:pStyle w:val="TableText"/>
            </w:pPr>
            <w:r>
              <w:t>For example,</w:t>
            </w:r>
            <w:r w:rsidR="00A2153D">
              <w:t xml:space="preserve"> all water shareholders in the Murray</w:t>
            </w:r>
            <w:r>
              <w:t>,</w:t>
            </w:r>
            <w:r w:rsidR="00A2153D">
              <w:t xml:space="preserve"> Goulburn</w:t>
            </w:r>
            <w:r>
              <w:t xml:space="preserve"> and Campaspe</w:t>
            </w:r>
            <w:r w:rsidR="00A2153D">
              <w:t xml:space="preserve"> systems, can carryover up to 100% of the entitlement volume. However, 5% of the carried over volume is deducted to cover evaporative losses from the storages, and the remaining volume is available in accounts on 1 July. Any volume of water (from carryover and seasonal determinations) in the water account exceeding 100% of the water share volume is quarantined in the Spillable Water Account (SWA). The water account holder is unable to access volumes in the SWA until a Low Risk of Spill declaration is made by the Northern Victoria Resource Manager (NVRM). A declaration means the probability of a storage spilling for the remainder of the year is below 10%. </w:t>
            </w:r>
            <w:r w:rsidR="002E6460" w:rsidRPr="002E6460">
              <w:t>Water in spillable water accounts is reduced in proportion to spills from the major storages (i.e. Hume, Eildon and Eppalock).</w:t>
            </w:r>
          </w:p>
          <w:p w14:paraId="7BA6EE7A" w14:textId="77777777" w:rsidR="00A2153D" w:rsidRDefault="00A2153D">
            <w:pPr>
              <w:pStyle w:val="TableText"/>
            </w:pPr>
            <w:r>
              <w:t>Additional fees are levied on water stored above the entitlement volume. The cost difference is small: $4.13/ML in Goulburn compared to $4.51/ML in Murray (but is significantly larger in Campaspe at $17.24/ML).</w:t>
            </w:r>
            <w:r>
              <w:rPr>
                <w:rStyle w:val="FootnoteReference"/>
              </w:rPr>
              <w:footnoteReference w:id="19"/>
            </w:r>
          </w:p>
          <w:p w14:paraId="41564779" w14:textId="6E508304" w:rsidR="00C6698D" w:rsidRDefault="00C6698D" w:rsidP="00C6698D">
            <w:pPr>
              <w:pStyle w:val="TableText"/>
            </w:pPr>
            <w:r>
              <w:t>The Broken system has carryover against HRWS only and to a maximum of 50% HRWS. The Loddon and Bullarook systems allows up to 50% of HRWS and 50% of LRWS to be carried over. The Broken, Loddon and Bullarook systems do not have spillable water accounts. A 100% rule applies in all three systems.</w:t>
            </w:r>
          </w:p>
        </w:tc>
      </w:tr>
      <w:tr w:rsidR="00A2153D" w14:paraId="61A459FE" w14:textId="77777777" w:rsidTr="00A2153D">
        <w:trPr>
          <w:cnfStyle w:val="000000010000" w:firstRow="0" w:lastRow="0" w:firstColumn="0" w:lastColumn="0" w:oddVBand="0" w:evenVBand="0" w:oddHBand="0" w:evenHBand="1" w:firstRowFirstColumn="0" w:firstRowLastColumn="0" w:lastRowFirstColumn="0" w:lastRowLastColumn="0"/>
        </w:trPr>
        <w:tc>
          <w:tcPr>
            <w:tcW w:w="1134" w:type="dxa"/>
            <w:tcBorders>
              <w:top w:val="nil"/>
              <w:left w:val="nil"/>
              <w:right w:val="nil"/>
            </w:tcBorders>
            <w:hideMark/>
          </w:tcPr>
          <w:p w14:paraId="0713AF12" w14:textId="77777777" w:rsidR="00A2153D" w:rsidRDefault="00A2153D" w:rsidP="00032238">
            <w:pPr>
              <w:pStyle w:val="TableText"/>
              <w:keepNext w:val="0"/>
            </w:pPr>
            <w:r>
              <w:t>(southern) NSW</w:t>
            </w:r>
          </w:p>
        </w:tc>
        <w:tc>
          <w:tcPr>
            <w:tcW w:w="7936" w:type="dxa"/>
            <w:tcBorders>
              <w:top w:val="nil"/>
              <w:left w:val="nil"/>
              <w:right w:val="nil"/>
            </w:tcBorders>
            <w:hideMark/>
          </w:tcPr>
          <w:p w14:paraId="192FEEC1" w14:textId="77777777" w:rsidR="00A2153D" w:rsidRDefault="00A2153D" w:rsidP="00032238">
            <w:pPr>
              <w:pStyle w:val="TableText"/>
              <w:keepNext w:val="0"/>
              <w:spacing w:before="60" w:after="60"/>
            </w:pPr>
            <w:r>
              <w:t>In the NSW Murray, carryover is available to General Security (GS) entitlement holders, who can carryover over up to 50% of their GS entitlement volume. Forfeiture of additional volumes will occur when the volume of allocation in the account (carryover plus seasonal determinations) exceeds 110% of the GS entitlement.</w:t>
            </w:r>
          </w:p>
          <w:p w14:paraId="5EE711D7" w14:textId="77777777" w:rsidR="00A2153D" w:rsidRDefault="00A2153D" w:rsidP="00032238">
            <w:pPr>
              <w:pStyle w:val="TableText"/>
              <w:keepNext w:val="0"/>
            </w:pPr>
            <w:r>
              <w:t>In the NSW Murrumbidgee, GS entitlement holders can carry over up to 30% of their GS entitlement volume. Carryover is constrained by the 100% rule, which prevents an entitlement owner accessing more than 100% of their entitlement volume (carryover plus seasonal determinations) in a single year. This means that any additional seasonal determinations against a Murrumbidgee GS entitlement is forfeited once carryover plus seasonal determinations reach 100%.</w:t>
            </w:r>
          </w:p>
        </w:tc>
      </w:tr>
      <w:tr w:rsidR="00A2153D" w14:paraId="6FA29FAC" w14:textId="77777777" w:rsidTr="00A2153D">
        <w:trPr>
          <w:cnfStyle w:val="000000100000" w:firstRow="0" w:lastRow="0" w:firstColumn="0" w:lastColumn="0" w:oddVBand="0" w:evenVBand="0" w:oddHBand="1" w:evenHBand="0" w:firstRowFirstColumn="0" w:firstRowLastColumn="0" w:lastRowFirstColumn="0" w:lastRowLastColumn="0"/>
        </w:trPr>
        <w:tc>
          <w:tcPr>
            <w:tcW w:w="1134" w:type="dxa"/>
            <w:hideMark/>
          </w:tcPr>
          <w:p w14:paraId="791D4CE5" w14:textId="77777777" w:rsidR="00A2153D" w:rsidRDefault="00A2153D">
            <w:pPr>
              <w:pStyle w:val="TableText"/>
            </w:pPr>
            <w:r>
              <w:lastRenderedPageBreak/>
              <w:t>SA</w:t>
            </w:r>
            <w:r>
              <w:rPr>
                <w:rStyle w:val="FootnoteReference"/>
              </w:rPr>
              <w:footnoteReference w:id="20"/>
            </w:r>
          </w:p>
        </w:tc>
        <w:tc>
          <w:tcPr>
            <w:tcW w:w="7936" w:type="dxa"/>
            <w:hideMark/>
          </w:tcPr>
          <w:p w14:paraId="741BF568" w14:textId="77777777" w:rsidR="00A2153D" w:rsidRDefault="00A2153D">
            <w:pPr>
              <w:pStyle w:val="TableText"/>
            </w:pPr>
            <w:r>
              <w:t>Carryover is only available to SA Class 3 entitlement holders, and only when minimum opening allocations are less than 50% (forecast provided mid-April with first formal announcement mid-June). The maximum carryover is 20% of the entitlement volume. An evaporative loss of 5% will be deducted at a bulk level (not against individual entitlement holders). Any volume of allocation and carryover above 100% will spill into a ‘rollover’ account — the rollover volume is only available the following year if the opening allocation is 50% or less.</w:t>
            </w:r>
          </w:p>
        </w:tc>
      </w:tr>
      <w:tr w:rsidR="00A2153D" w14:paraId="114E4506" w14:textId="77777777" w:rsidTr="00A2153D">
        <w:trPr>
          <w:cnfStyle w:val="000000010000" w:firstRow="0" w:lastRow="0" w:firstColumn="0" w:lastColumn="0" w:oddVBand="0" w:evenVBand="0" w:oddHBand="0" w:evenHBand="1" w:firstRowFirstColumn="0" w:firstRowLastColumn="0" w:lastRowFirstColumn="0" w:lastRowLastColumn="0"/>
        </w:trPr>
        <w:tc>
          <w:tcPr>
            <w:tcW w:w="1134" w:type="dxa"/>
            <w:tcBorders>
              <w:top w:val="nil"/>
              <w:left w:val="nil"/>
              <w:right w:val="nil"/>
            </w:tcBorders>
            <w:hideMark/>
          </w:tcPr>
          <w:p w14:paraId="4CD4844B" w14:textId="77777777" w:rsidR="00A2153D" w:rsidRDefault="00A2153D">
            <w:pPr>
              <w:pStyle w:val="TableText"/>
            </w:pPr>
            <w:r>
              <w:t>Queensland and northern NSW</w:t>
            </w:r>
            <w:r>
              <w:rPr>
                <w:rStyle w:val="FootnoteReference"/>
              </w:rPr>
              <w:footnoteReference w:id="21"/>
            </w:r>
          </w:p>
        </w:tc>
        <w:tc>
          <w:tcPr>
            <w:tcW w:w="7936" w:type="dxa"/>
            <w:tcBorders>
              <w:top w:val="nil"/>
              <w:left w:val="nil"/>
              <w:right w:val="nil"/>
            </w:tcBorders>
            <w:hideMark/>
          </w:tcPr>
          <w:p w14:paraId="0FE40000" w14:textId="77777777" w:rsidR="00A2153D" w:rsidRDefault="00A2153D">
            <w:pPr>
              <w:pStyle w:val="TableText"/>
            </w:pPr>
            <w:r>
              <w:t>Some Northern Basin valleys have water accounting rules that remove the need to carry over water at the end of the year, for example:</w:t>
            </w:r>
          </w:p>
          <w:p w14:paraId="38E0AFCE" w14:textId="77777777" w:rsidR="00A2153D" w:rsidRDefault="00A2153D" w:rsidP="00597401">
            <w:pPr>
              <w:pStyle w:val="ParaBullet1"/>
              <w:numPr>
                <w:ilvl w:val="0"/>
                <w:numId w:val="14"/>
              </w:numPr>
            </w:pPr>
            <w:r>
              <w:t>the Lower Namoi Regulated Water source in New South Wales uses continuous accounting for general security entitlements. Under continuous accounting, the entire general security account balance carries forward from month to month, subject to a maximum account volume limit (200 per cent of entitlement). These accounts are subject to maximum volume limits, spill risks are controlled by account limits and all losses are centrally managed.</w:t>
            </w:r>
          </w:p>
          <w:p w14:paraId="1EC54755" w14:textId="77777777" w:rsidR="00A2153D" w:rsidRDefault="00A2153D" w:rsidP="00597401">
            <w:pPr>
              <w:pStyle w:val="ParaBullet1"/>
              <w:numPr>
                <w:ilvl w:val="0"/>
                <w:numId w:val="14"/>
              </w:numPr>
            </w:pPr>
            <w:r>
              <w:t>the Macintyre Brook and St George water supply schemes in Queensland use a system largely akin to capacity sharing (known as continuous sharing), in contrast to an annual allocation system. This establishes a water account based on a proportional share of the total conceptual storage volume for the scheme which is updated on a daily basis to reflect inflows, water orders, and estimated storage and delivery losses deductions. Reconciliations between physical storage volumes and user storage accounts occur monthly.</w:t>
            </w:r>
          </w:p>
        </w:tc>
      </w:tr>
    </w:tbl>
    <w:p w14:paraId="02BAB30D" w14:textId="77777777" w:rsidR="00A2153D" w:rsidRDefault="00A2153D" w:rsidP="00A2153D">
      <w:pPr>
        <w:spacing w:after="320"/>
        <w:rPr>
          <w:color w:val="9BA1A5"/>
        </w:rPr>
      </w:pPr>
      <w:r>
        <w:rPr>
          <w:i/>
          <w:color w:val="9BA1A5"/>
          <w:sz w:val="16"/>
          <w:szCs w:val="16"/>
        </w:rPr>
        <w:t>Source: Frontier Economics</w:t>
      </w:r>
    </w:p>
    <w:p w14:paraId="4F73B238" w14:textId="25A8DAE8" w:rsidR="00A2153D" w:rsidRDefault="00A2153D" w:rsidP="00A2153D">
      <w:pPr>
        <w:pStyle w:val="BodyText"/>
      </w:pPr>
      <w:bookmarkStart w:id="122" w:name="_Toc104933288"/>
      <w:r>
        <w:t>Since water recovery began, changes to water sharing arrangements in Victoria have also benefitted holders of high reliability entitlements in the Murray and Goulburn systems. In response to</w:t>
      </w:r>
      <w:r w:rsidR="002E6460" w:rsidRPr="002E6460">
        <w:t xml:space="preserve"> experiences of the </w:t>
      </w:r>
      <w:r w:rsidR="002E6460">
        <w:t>M</w:t>
      </w:r>
      <w:r w:rsidR="002E6460" w:rsidRPr="002E6460">
        <w:t xml:space="preserve">illennium </w:t>
      </w:r>
      <w:r w:rsidR="002E6460">
        <w:t>D</w:t>
      </w:r>
      <w:r w:rsidR="002E6460" w:rsidRPr="002E6460">
        <w:t xml:space="preserve">rought, </w:t>
      </w:r>
      <w:r>
        <w:t xml:space="preserve"> the Victorian Northern Region Sustainable Water Strategy (SWS)</w:t>
      </w:r>
      <w:r w:rsidR="002E6460">
        <w:t xml:space="preserve"> introduced</w:t>
      </w:r>
      <w:r>
        <w:t xml:space="preserve"> a new ‘reserve policy’ </w:t>
      </w:r>
      <w:r w:rsidR="002E6460">
        <w:t>that</w:t>
      </w:r>
      <w:r>
        <w:t xml:space="preserve"> requir</w:t>
      </w:r>
      <w:r w:rsidR="002E6460">
        <w:t>ed</w:t>
      </w:r>
      <w:r>
        <w:t xml:space="preserve"> a proportion of inflows to storages in a given year to be set aside to support allocations to high reliability water shares in the following year, providing more certainty about allocations in dry years (see Box 1). This policy will support the allocations received by CEWH against their Victorian high reliability water shares in the Murray and Goulburn systems in future dry conditions.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70"/>
      </w:tblGrid>
      <w:tr w:rsidR="00A2153D" w14:paraId="3300FE98" w14:textId="77777777" w:rsidTr="00A2153D">
        <w:trPr>
          <w:trHeight w:val="113"/>
          <w:jc w:val="center"/>
        </w:trPr>
        <w:tc>
          <w:tcPr>
            <w:tcW w:w="9070" w:type="dxa"/>
            <w:shd w:val="clear" w:color="auto" w:fill="F2F2F2" w:themeFill="background1" w:themeFillShade="F2"/>
            <w:vAlign w:val="bottom"/>
          </w:tcPr>
          <w:p w14:paraId="2488E68A" w14:textId="77777777" w:rsidR="00A2153D" w:rsidRDefault="00A2153D">
            <w:pPr>
              <w:pStyle w:val="CalloutBoxcaption"/>
              <w:keepNext/>
              <w:numPr>
                <w:ilvl w:val="0"/>
                <w:numId w:val="0"/>
              </w:numPr>
            </w:pPr>
          </w:p>
        </w:tc>
      </w:tr>
      <w:tr w:rsidR="00A2153D" w14:paraId="2C1290A8" w14:textId="77777777" w:rsidTr="00A2153D">
        <w:trPr>
          <w:jc w:val="center"/>
        </w:trPr>
        <w:tc>
          <w:tcPr>
            <w:tcW w:w="9070" w:type="dxa"/>
            <w:shd w:val="clear" w:color="auto" w:fill="F2F2F2" w:themeFill="background1" w:themeFillShade="F2"/>
            <w:vAlign w:val="bottom"/>
            <w:hideMark/>
          </w:tcPr>
          <w:p w14:paraId="4833EB7A" w14:textId="77777777" w:rsidR="00A2153D" w:rsidRDefault="00A2153D" w:rsidP="00597401">
            <w:pPr>
              <w:pStyle w:val="CalloutBoxcaption"/>
              <w:keepNext/>
              <w:numPr>
                <w:ilvl w:val="0"/>
                <w:numId w:val="13"/>
              </w:numPr>
              <w:tabs>
                <w:tab w:val="num" w:pos="360"/>
              </w:tabs>
            </w:pPr>
            <w:r>
              <w:rPr>
                <w:b/>
                <w:bCs/>
              </w:rPr>
              <w:t>:</w:t>
            </w:r>
            <w:r>
              <w:t xml:space="preserve"> Reliability and reserve policy – changes from the Victorian NRSWS</w:t>
            </w:r>
          </w:p>
          <w:p w14:paraId="0ADD947F" w14:textId="77777777" w:rsidR="00A2153D" w:rsidRDefault="00A2153D">
            <w:pPr>
              <w:pStyle w:val="BodyText"/>
            </w:pPr>
            <w:r>
              <w:t xml:space="preserve">Prior to the NRSWS, Victoria generally allocated water according to the following hierarchy: </w:t>
            </w:r>
          </w:p>
          <w:p w14:paraId="71967233" w14:textId="77777777" w:rsidR="00A2153D" w:rsidRDefault="00A2153D" w:rsidP="00597401">
            <w:pPr>
              <w:pStyle w:val="BodyText"/>
              <w:numPr>
                <w:ilvl w:val="0"/>
                <w:numId w:val="16"/>
              </w:numPr>
              <w:spacing w:before="60" w:after="60"/>
              <w:ind w:left="714" w:hanging="357"/>
            </w:pPr>
            <w:r>
              <w:t xml:space="preserve">Water set aside to cover operation of the major storages, river, and distribution system (system operating water) for the full irrigation season. </w:t>
            </w:r>
          </w:p>
          <w:p w14:paraId="33A7F2DB" w14:textId="77777777" w:rsidR="00A2153D" w:rsidRDefault="00A2153D" w:rsidP="00597401">
            <w:pPr>
              <w:pStyle w:val="BodyText"/>
              <w:numPr>
                <w:ilvl w:val="0"/>
                <w:numId w:val="16"/>
              </w:numPr>
              <w:spacing w:before="60" w:after="60"/>
              <w:ind w:left="714" w:hanging="357"/>
            </w:pPr>
            <w:r>
              <w:t xml:space="preserve">Allocations of up to 100 per cent to high-reliability water shares. </w:t>
            </w:r>
          </w:p>
          <w:p w14:paraId="4D1C9DCA" w14:textId="3D24015B" w:rsidR="00A2153D" w:rsidRDefault="00A2153D" w:rsidP="00597401">
            <w:pPr>
              <w:pStyle w:val="BodyText"/>
              <w:numPr>
                <w:ilvl w:val="0"/>
                <w:numId w:val="16"/>
              </w:numPr>
              <w:spacing w:before="60" w:after="60"/>
              <w:ind w:left="714" w:hanging="357"/>
            </w:pPr>
            <w:r>
              <w:t xml:space="preserve">Water held in reserve </w:t>
            </w:r>
            <w:r w:rsidR="002E6460" w:rsidRPr="002E6460">
              <w:t xml:space="preserve">plus assumed inflows under 99% probability of exceedance </w:t>
            </w:r>
            <w:r>
              <w:t xml:space="preserve">to ensure the following season’s high-reliability water shares can be fully allocated, with sufficient system operating water for it to be delivered. </w:t>
            </w:r>
          </w:p>
          <w:p w14:paraId="5DDE2D3E" w14:textId="77777777" w:rsidR="00A2153D" w:rsidRDefault="00A2153D" w:rsidP="00597401">
            <w:pPr>
              <w:pStyle w:val="BodyText"/>
              <w:numPr>
                <w:ilvl w:val="0"/>
                <w:numId w:val="16"/>
              </w:numPr>
              <w:spacing w:before="60" w:after="60"/>
              <w:ind w:left="714" w:hanging="357"/>
            </w:pPr>
            <w:r>
              <w:t>Allocations to low-reliability water shares for the current season.</w:t>
            </w:r>
          </w:p>
          <w:p w14:paraId="2F7A7BB7" w14:textId="77777777" w:rsidR="00A2153D" w:rsidRDefault="00A2153D">
            <w:pPr>
              <w:pStyle w:val="BodyText"/>
            </w:pPr>
            <w:r>
              <w:t>The prolonged nature of the Millennium Drought revealed the risk of being unable to fully operate the distribution system without changes to the reserve policy. Hydrological modelling of reserve policy options shows that with climate change, there would be an unacceptable risk of zero or extremely low allocation years in the future under the previous policy.</w:t>
            </w:r>
          </w:p>
          <w:p w14:paraId="08E8ED4E" w14:textId="77777777" w:rsidR="00A2153D" w:rsidRDefault="00A2153D">
            <w:pPr>
              <w:pStyle w:val="BodyText"/>
            </w:pPr>
            <w:r>
              <w:t>In response to the NRSWS the policy was changed to set water aside in reserve before high-reliability water shares are fully allocated — meaning reserves are set aside earlier, but the maximum volume of reserve is not increased (NRSWS 2009, p.88). As part of the NRSWS, communal reserves were increased on the Goulburn and Murray to enable available water to be delivered when and where it is needed, even during severe droughts. Avoiding the risk of zero allocations provided entitlement-holders with greater certainty about their ability to manage their own risks through trade and carryover.</w:t>
            </w:r>
          </w:p>
          <w:p w14:paraId="6AE48A4C" w14:textId="77777777" w:rsidR="00A2153D" w:rsidRDefault="00A2153D">
            <w:pPr>
              <w:pStyle w:val="BodyText"/>
            </w:pPr>
            <w:r>
              <w:t>The models showed, however, that there was a trade-off in setting reserves to provide insurance against drought and the potential impacts of climate change. That is, doing so redistributes water between years; using reserves to ensure there are no zero allocation years generally means a reduction in the frequency of full allocation years.</w:t>
            </w:r>
          </w:p>
          <w:p w14:paraId="5C9A71F4" w14:textId="1B7B11F8" w:rsidR="00A2153D" w:rsidRDefault="00A2153D">
            <w:r>
              <w:rPr>
                <w:noProof/>
              </w:rPr>
              <w:drawing>
                <wp:inline distT="0" distB="0" distL="0" distR="0" wp14:anchorId="74335B12" wp14:editId="47F19F5A">
                  <wp:extent cx="5267325" cy="2590800"/>
                  <wp:effectExtent l="0" t="0" r="9525" b="0"/>
                  <wp:docPr id="233" name="Picture 2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t="6070"/>
                          <a:stretch>
                            <a:fillRect/>
                          </a:stretch>
                        </pic:blipFill>
                        <pic:spPr bwMode="auto">
                          <a:xfrm>
                            <a:off x="0" y="0"/>
                            <a:ext cx="5267325" cy="2590800"/>
                          </a:xfrm>
                          <a:prstGeom prst="rect">
                            <a:avLst/>
                          </a:prstGeom>
                          <a:noFill/>
                          <a:ln>
                            <a:noFill/>
                          </a:ln>
                        </pic:spPr>
                      </pic:pic>
                    </a:graphicData>
                  </a:graphic>
                </wp:inline>
              </w:drawing>
            </w:r>
          </w:p>
        </w:tc>
      </w:tr>
      <w:tr w:rsidR="00A2153D" w14:paraId="5ABA26B6" w14:textId="77777777" w:rsidTr="00A2153D">
        <w:trPr>
          <w:trHeight w:val="113"/>
          <w:jc w:val="center"/>
        </w:trPr>
        <w:tc>
          <w:tcPr>
            <w:tcW w:w="9070" w:type="dxa"/>
            <w:shd w:val="clear" w:color="auto" w:fill="F2F2F2" w:themeFill="background1" w:themeFillShade="F2"/>
            <w:vAlign w:val="bottom"/>
          </w:tcPr>
          <w:p w14:paraId="5F444FE6" w14:textId="77777777" w:rsidR="00A2153D" w:rsidRDefault="00A2153D">
            <w:pPr>
              <w:pStyle w:val="CalloutBoxcaption"/>
              <w:numPr>
                <w:ilvl w:val="0"/>
                <w:numId w:val="0"/>
              </w:numPr>
            </w:pPr>
          </w:p>
        </w:tc>
      </w:tr>
    </w:tbl>
    <w:p w14:paraId="326BED22" w14:textId="77777777" w:rsidR="00A2153D" w:rsidRDefault="00A2153D" w:rsidP="00A2153D">
      <w:pPr>
        <w:pStyle w:val="BodyText"/>
      </w:pPr>
    </w:p>
    <w:p w14:paraId="71750318" w14:textId="77777777" w:rsidR="00A2153D" w:rsidRDefault="00A2153D" w:rsidP="00597401">
      <w:pPr>
        <w:pStyle w:val="Heading2numbered"/>
        <w:numPr>
          <w:ilvl w:val="1"/>
          <w:numId w:val="12"/>
        </w:numPr>
        <w:tabs>
          <w:tab w:val="clear" w:pos="851"/>
        </w:tabs>
        <w:ind w:left="0" w:firstLine="0"/>
      </w:pPr>
      <w:bookmarkStart w:id="123" w:name="_Toc110262391"/>
      <w:bookmarkStart w:id="124" w:name="_Toc113621660"/>
      <w:bookmarkEnd w:id="122"/>
      <w:r>
        <w:lastRenderedPageBreak/>
        <w:t>Water allocations available due to water recovery</w:t>
      </w:r>
      <w:bookmarkEnd w:id="123"/>
      <w:bookmarkEnd w:id="124"/>
    </w:p>
    <w:p w14:paraId="3104B671" w14:textId="177A1CD8" w:rsidR="00A2153D" w:rsidRDefault="00A2153D" w:rsidP="00A2153D">
      <w:pPr>
        <w:pStyle w:val="BodyText"/>
      </w:pPr>
      <w:r>
        <w:fldChar w:fldCharType="begin"/>
      </w:r>
      <w:r>
        <w:instrText xml:space="preserve"> REF _Ref110251103 \h </w:instrText>
      </w:r>
      <w:r>
        <w:fldChar w:fldCharType="separate"/>
      </w:r>
      <w:r w:rsidR="00D4298A">
        <w:rPr>
          <w:rStyle w:val="Bold"/>
        </w:rPr>
        <w:t xml:space="preserve">Figure </w:t>
      </w:r>
      <w:r w:rsidR="00D4298A">
        <w:rPr>
          <w:rStyle w:val="Bold"/>
          <w:noProof/>
        </w:rPr>
        <w:t>12</w:t>
      </w:r>
      <w:r>
        <w:fldChar w:fldCharType="end"/>
      </w:r>
      <w:r>
        <w:t xml:space="preserve"> sets out the volume of water that has been made available under different season conditions as a result of </w:t>
      </w:r>
      <w:r w:rsidR="002D36BD">
        <w:t xml:space="preserve">Commonwealth </w:t>
      </w:r>
      <w:r>
        <w:t xml:space="preserve">water recovery efforts. As would expected from the discussion above, the water </w:t>
      </w:r>
      <w:r w:rsidR="008B6DB1">
        <w:t xml:space="preserve">volumes </w:t>
      </w:r>
      <w:r>
        <w:t xml:space="preserve">sourced from (predominately variable) entitlements in NSW </w:t>
      </w:r>
      <w:r w:rsidR="008B6DB1">
        <w:t>significantly varies</w:t>
      </w:r>
      <w:r>
        <w:t xml:space="preserve"> year-to-year while the higher reliability entitlement sources from Victoria and SA provide</w:t>
      </w:r>
      <w:r w:rsidR="00CA79C5">
        <w:t>s</w:t>
      </w:r>
      <w:r>
        <w:t xml:space="preserve"> a more consistent base. It is important to note that the variability in allocation volumes received are also affected by the CEWH’s carryover decisions.</w:t>
      </w:r>
    </w:p>
    <w:p w14:paraId="1CD7D74F" w14:textId="3B3AF02D" w:rsidR="00A2153D" w:rsidRDefault="00A2153D" w:rsidP="00A2153D">
      <w:pPr>
        <w:pStyle w:val="Caption"/>
      </w:pPr>
      <w:bookmarkStart w:id="125" w:name="_Ref110251103"/>
      <w:bookmarkStart w:id="126" w:name="_Toc104933290"/>
      <w:bookmarkStart w:id="127" w:name="_Toc110262444"/>
      <w:bookmarkStart w:id="128" w:name="_Toc113621724"/>
      <w:r>
        <w:rPr>
          <w:rStyle w:val="Bold"/>
        </w:rPr>
        <w:t xml:space="preserve">Figure </w:t>
      </w:r>
      <w:r>
        <w:fldChar w:fldCharType="begin"/>
      </w:r>
      <w:r>
        <w:rPr>
          <w:rStyle w:val="Bold"/>
        </w:rPr>
        <w:instrText xml:space="preserve"> SEQ Figure \* ARABIC </w:instrText>
      </w:r>
      <w:r>
        <w:fldChar w:fldCharType="separate"/>
      </w:r>
      <w:r w:rsidR="00D4298A">
        <w:rPr>
          <w:rStyle w:val="Bold"/>
          <w:noProof/>
        </w:rPr>
        <w:t>12</w:t>
      </w:r>
      <w:r>
        <w:fldChar w:fldCharType="end"/>
      </w:r>
      <w:bookmarkEnd w:id="125"/>
      <w:r>
        <w:t>: Water allocations to the CEWH portfolio</w:t>
      </w:r>
      <w:bookmarkEnd w:id="126"/>
      <w:bookmarkEnd w:id="127"/>
      <w:bookmarkEnd w:id="128"/>
    </w:p>
    <w:p w14:paraId="1F6BA567" w14:textId="0EC0D24A" w:rsidR="00A2153D" w:rsidRDefault="00A2153D" w:rsidP="00A2153D">
      <w:pPr>
        <w:pStyle w:val="Image-Page1fullwidth"/>
        <w:keepNext/>
        <w:framePr w:w="0" w:hSpace="0" w:wrap="auto" w:vAnchor="margin" w:yAlign="inline"/>
        <w:spacing w:after="0" w:line="240" w:lineRule="auto"/>
      </w:pPr>
      <w:r>
        <w:drawing>
          <wp:inline distT="0" distB="0" distL="0" distR="0" wp14:anchorId="7139B347" wp14:editId="3F1FEE50">
            <wp:extent cx="5804432" cy="3371850"/>
            <wp:effectExtent l="0" t="0" r="6350" b="0"/>
            <wp:docPr id="232" name="Picture 23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Chart, bar chart&#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t="1617" b="2948"/>
                    <a:stretch/>
                  </pic:blipFill>
                  <pic:spPr bwMode="auto">
                    <a:xfrm>
                      <a:off x="0" y="0"/>
                      <a:ext cx="5807732" cy="3373767"/>
                    </a:xfrm>
                    <a:prstGeom prst="rect">
                      <a:avLst/>
                    </a:prstGeom>
                    <a:noFill/>
                    <a:ln>
                      <a:noFill/>
                    </a:ln>
                    <a:extLst>
                      <a:ext uri="{53640926-AAD7-44D8-BBD7-CCE9431645EC}">
                        <a14:shadowObscured xmlns:a14="http://schemas.microsoft.com/office/drawing/2010/main"/>
                      </a:ext>
                    </a:extLst>
                  </pic:spPr>
                </pic:pic>
              </a:graphicData>
            </a:graphic>
          </wp:inline>
        </w:drawing>
      </w:r>
    </w:p>
    <w:p w14:paraId="7FB520A1" w14:textId="77777777" w:rsidR="00A2153D" w:rsidRDefault="00A2153D" w:rsidP="00A2153D">
      <w:pPr>
        <w:pStyle w:val="Source"/>
        <w:rPr>
          <w:color w:val="9BA1A5"/>
        </w:rPr>
      </w:pPr>
      <w:r>
        <w:rPr>
          <w:color w:val="9BA1A5"/>
        </w:rPr>
        <w:t>Source: Frontier Economics analysis of CEWH data.</w:t>
      </w:r>
    </w:p>
    <w:p w14:paraId="58B0A5B7" w14:textId="5C13F861" w:rsidR="002D36BD" w:rsidRDefault="00B165D9" w:rsidP="00A2153D">
      <w:pPr>
        <w:pStyle w:val="BodyText"/>
      </w:pPr>
      <w:r>
        <w:t>To get a full picture of the w</w:t>
      </w:r>
      <w:r w:rsidRPr="00B165D9">
        <w:t xml:space="preserve">ater allocations available </w:t>
      </w:r>
      <w:r>
        <w:t xml:space="preserve">to the environment </w:t>
      </w:r>
      <w:r w:rsidRPr="00B165D9">
        <w:t>due to water recovery</w:t>
      </w:r>
      <w:r>
        <w:t>, the volumes that accrue to State water recovery must also be taken into account.</w:t>
      </w:r>
      <w:r w:rsidR="00B338CF">
        <w:t xml:space="preserve"> </w:t>
      </w:r>
      <w:r w:rsidR="00B338CF">
        <w:fldChar w:fldCharType="begin"/>
      </w:r>
      <w:r w:rsidR="00B338CF">
        <w:instrText xml:space="preserve"> REF _Ref112476989 \h </w:instrText>
      </w:r>
      <w:r w:rsidR="00B338CF">
        <w:fldChar w:fldCharType="separate"/>
      </w:r>
      <w:r w:rsidR="00D4298A" w:rsidRPr="00603BC1">
        <w:rPr>
          <w:rStyle w:val="Bold"/>
        </w:rPr>
        <w:t xml:space="preserve">Table </w:t>
      </w:r>
      <w:r w:rsidR="00D4298A">
        <w:rPr>
          <w:rStyle w:val="Bold"/>
          <w:noProof/>
        </w:rPr>
        <w:t>10</w:t>
      </w:r>
      <w:r w:rsidR="00B338CF">
        <w:fldChar w:fldCharType="end"/>
      </w:r>
      <w:r w:rsidR="00B338CF">
        <w:t xml:space="preserve"> shows that, although State water recovery is a small part of the overall recovery for the Basin Plan, the allocations to these entitlements are a greater portion of the total in dry years (such as 2018-2019 and 2019-2020, when they contributed 10% or greater).</w:t>
      </w:r>
    </w:p>
    <w:p w14:paraId="5CDF6395" w14:textId="70C0807F" w:rsidR="00B165D9" w:rsidRDefault="00B165D9" w:rsidP="008276F9">
      <w:pPr>
        <w:pStyle w:val="Caption"/>
      </w:pPr>
      <w:bookmarkStart w:id="129" w:name="_Ref112476989"/>
      <w:bookmarkStart w:id="130" w:name="_Toc113621697"/>
      <w:r w:rsidRPr="00603BC1">
        <w:rPr>
          <w:rStyle w:val="Bold"/>
        </w:rPr>
        <w:lastRenderedPageBreak/>
        <w:t xml:space="preserve">Table </w:t>
      </w:r>
      <w:r w:rsidRPr="00603BC1">
        <w:rPr>
          <w:rStyle w:val="Bold"/>
        </w:rPr>
        <w:fldChar w:fldCharType="begin"/>
      </w:r>
      <w:r w:rsidRPr="00603BC1">
        <w:rPr>
          <w:rStyle w:val="Bold"/>
        </w:rPr>
        <w:instrText xml:space="preserve"> SEQ Table \* ARABIC </w:instrText>
      </w:r>
      <w:r w:rsidRPr="00603BC1">
        <w:rPr>
          <w:rStyle w:val="Bold"/>
        </w:rPr>
        <w:fldChar w:fldCharType="separate"/>
      </w:r>
      <w:r w:rsidR="00D4298A">
        <w:rPr>
          <w:rStyle w:val="Bold"/>
          <w:noProof/>
        </w:rPr>
        <w:t>10</w:t>
      </w:r>
      <w:r w:rsidRPr="00603BC1">
        <w:rPr>
          <w:rStyle w:val="Bold"/>
        </w:rPr>
        <w:fldChar w:fldCharType="end"/>
      </w:r>
      <w:bookmarkEnd w:id="129"/>
      <w:r w:rsidRPr="00603BC1">
        <w:rPr>
          <w:rStyle w:val="Bold"/>
        </w:rPr>
        <w:t>:</w:t>
      </w:r>
      <w:r>
        <w:t xml:space="preserve"> Water allocations to State and Commonwealth water recovery (CEWH) (GL)</w:t>
      </w:r>
      <w:bookmarkEnd w:id="130"/>
    </w:p>
    <w:tbl>
      <w:tblPr>
        <w:tblStyle w:val="FETableStyle"/>
        <w:tblW w:w="5000" w:type="pct"/>
        <w:tblLook w:val="0420" w:firstRow="1" w:lastRow="0" w:firstColumn="0" w:lastColumn="0" w:noHBand="0" w:noVBand="1"/>
      </w:tblPr>
      <w:tblGrid>
        <w:gridCol w:w="1843"/>
        <w:gridCol w:w="1179"/>
        <w:gridCol w:w="1512"/>
        <w:gridCol w:w="1512"/>
        <w:gridCol w:w="1512"/>
        <w:gridCol w:w="1512"/>
      </w:tblGrid>
      <w:tr w:rsidR="00B165D9" w:rsidRPr="00B165D9" w14:paraId="2C438597" w14:textId="77777777" w:rsidTr="00B338CF">
        <w:trPr>
          <w:cnfStyle w:val="100000000000" w:firstRow="1" w:lastRow="0" w:firstColumn="0" w:lastColumn="0" w:oddVBand="0" w:evenVBand="0" w:oddHBand="0" w:evenHBand="0" w:firstRowFirstColumn="0" w:firstRowLastColumn="0" w:lastRowFirstColumn="0" w:lastRowLastColumn="0"/>
        </w:trPr>
        <w:tc>
          <w:tcPr>
            <w:tcW w:w="1843" w:type="dxa"/>
            <w:noWrap/>
            <w:hideMark/>
          </w:tcPr>
          <w:p w14:paraId="53D5C3DA" w14:textId="77777777" w:rsidR="00B165D9" w:rsidRPr="00B165D9" w:rsidRDefault="00B165D9" w:rsidP="00B165D9">
            <w:pPr>
              <w:pStyle w:val="TableHeading"/>
              <w:rPr>
                <w:b/>
              </w:rPr>
            </w:pPr>
          </w:p>
        </w:tc>
        <w:tc>
          <w:tcPr>
            <w:tcW w:w="1179" w:type="dxa"/>
            <w:noWrap/>
            <w:hideMark/>
          </w:tcPr>
          <w:p w14:paraId="4AC75717" w14:textId="77777777" w:rsidR="00B165D9" w:rsidRPr="00B165D9" w:rsidRDefault="00B165D9" w:rsidP="00B165D9">
            <w:pPr>
              <w:pStyle w:val="TableHeading"/>
              <w:jc w:val="right"/>
              <w:rPr>
                <w:b/>
              </w:rPr>
            </w:pPr>
            <w:r w:rsidRPr="00B165D9">
              <w:rPr>
                <w:b/>
              </w:rPr>
              <w:t>2017-18</w:t>
            </w:r>
          </w:p>
        </w:tc>
        <w:tc>
          <w:tcPr>
            <w:tcW w:w="1512" w:type="dxa"/>
            <w:noWrap/>
            <w:hideMark/>
          </w:tcPr>
          <w:p w14:paraId="5C64DF7A" w14:textId="77777777" w:rsidR="00B165D9" w:rsidRPr="00B165D9" w:rsidRDefault="00B165D9" w:rsidP="00B165D9">
            <w:pPr>
              <w:pStyle w:val="TableHeading"/>
              <w:jc w:val="right"/>
              <w:rPr>
                <w:b/>
              </w:rPr>
            </w:pPr>
            <w:r w:rsidRPr="00B165D9">
              <w:rPr>
                <w:b/>
              </w:rPr>
              <w:t>2018-19</w:t>
            </w:r>
          </w:p>
        </w:tc>
        <w:tc>
          <w:tcPr>
            <w:tcW w:w="1512" w:type="dxa"/>
            <w:noWrap/>
            <w:hideMark/>
          </w:tcPr>
          <w:p w14:paraId="24DE2829" w14:textId="77777777" w:rsidR="00B165D9" w:rsidRPr="00B165D9" w:rsidRDefault="00B165D9" w:rsidP="00B165D9">
            <w:pPr>
              <w:pStyle w:val="TableHeading"/>
              <w:jc w:val="right"/>
              <w:rPr>
                <w:b/>
              </w:rPr>
            </w:pPr>
            <w:r w:rsidRPr="00B165D9">
              <w:rPr>
                <w:b/>
              </w:rPr>
              <w:t>2019-20</w:t>
            </w:r>
          </w:p>
        </w:tc>
        <w:tc>
          <w:tcPr>
            <w:tcW w:w="1512" w:type="dxa"/>
            <w:noWrap/>
            <w:hideMark/>
          </w:tcPr>
          <w:p w14:paraId="79B76264" w14:textId="77777777" w:rsidR="00B165D9" w:rsidRPr="00B165D9" w:rsidRDefault="00B165D9" w:rsidP="00B165D9">
            <w:pPr>
              <w:pStyle w:val="TableHeading"/>
              <w:jc w:val="right"/>
              <w:rPr>
                <w:b/>
              </w:rPr>
            </w:pPr>
            <w:r w:rsidRPr="00B165D9">
              <w:rPr>
                <w:b/>
              </w:rPr>
              <w:t>2020-21</w:t>
            </w:r>
          </w:p>
        </w:tc>
        <w:tc>
          <w:tcPr>
            <w:tcW w:w="1512" w:type="dxa"/>
            <w:noWrap/>
            <w:hideMark/>
          </w:tcPr>
          <w:p w14:paraId="0B468AB2" w14:textId="77777777" w:rsidR="00B165D9" w:rsidRPr="00B165D9" w:rsidRDefault="00B165D9" w:rsidP="00B165D9">
            <w:pPr>
              <w:pStyle w:val="TableHeading"/>
              <w:jc w:val="right"/>
              <w:rPr>
                <w:b/>
              </w:rPr>
            </w:pPr>
            <w:r w:rsidRPr="00B165D9">
              <w:rPr>
                <w:b/>
              </w:rPr>
              <w:t>2021-22</w:t>
            </w:r>
          </w:p>
        </w:tc>
      </w:tr>
      <w:tr w:rsidR="00B165D9" w:rsidRPr="00B165D9" w14:paraId="11BA72B7" w14:textId="77777777" w:rsidTr="00B338CF">
        <w:trPr>
          <w:cnfStyle w:val="000000100000" w:firstRow="0" w:lastRow="0" w:firstColumn="0" w:lastColumn="0" w:oddVBand="0" w:evenVBand="0" w:oddHBand="1" w:evenHBand="0" w:firstRowFirstColumn="0" w:firstRowLastColumn="0" w:lastRowFirstColumn="0" w:lastRowLastColumn="0"/>
        </w:trPr>
        <w:tc>
          <w:tcPr>
            <w:tcW w:w="1843" w:type="dxa"/>
            <w:noWrap/>
            <w:hideMark/>
          </w:tcPr>
          <w:p w14:paraId="3568AACD" w14:textId="77777777" w:rsidR="00B165D9" w:rsidRPr="00B165D9" w:rsidRDefault="00B165D9" w:rsidP="00B165D9">
            <w:pPr>
              <w:pStyle w:val="TableText"/>
            </w:pPr>
            <w:r w:rsidRPr="00B165D9">
              <w:t>CEWH</w:t>
            </w:r>
          </w:p>
        </w:tc>
        <w:tc>
          <w:tcPr>
            <w:tcW w:w="1179" w:type="dxa"/>
            <w:noWrap/>
            <w:hideMark/>
          </w:tcPr>
          <w:p w14:paraId="0B6D561D" w14:textId="77777777" w:rsidR="00B165D9" w:rsidRPr="00B165D9" w:rsidRDefault="00B165D9" w:rsidP="00B165D9">
            <w:pPr>
              <w:pStyle w:val="TableText"/>
              <w:jc w:val="right"/>
            </w:pPr>
            <w:r w:rsidRPr="00B165D9">
              <w:t>1006</w:t>
            </w:r>
          </w:p>
        </w:tc>
        <w:tc>
          <w:tcPr>
            <w:tcW w:w="1512" w:type="dxa"/>
            <w:noWrap/>
            <w:hideMark/>
          </w:tcPr>
          <w:p w14:paraId="7C8D4FA1" w14:textId="77777777" w:rsidR="00B165D9" w:rsidRPr="00B165D9" w:rsidRDefault="00B165D9" w:rsidP="00B165D9">
            <w:pPr>
              <w:pStyle w:val="TableText"/>
              <w:jc w:val="right"/>
            </w:pPr>
            <w:r w:rsidRPr="00B165D9">
              <w:t>726</w:t>
            </w:r>
          </w:p>
        </w:tc>
        <w:tc>
          <w:tcPr>
            <w:tcW w:w="1512" w:type="dxa"/>
            <w:noWrap/>
            <w:hideMark/>
          </w:tcPr>
          <w:p w14:paraId="5434BD10" w14:textId="77777777" w:rsidR="00B165D9" w:rsidRPr="00B165D9" w:rsidRDefault="00B165D9" w:rsidP="00B165D9">
            <w:pPr>
              <w:pStyle w:val="TableText"/>
              <w:jc w:val="right"/>
            </w:pPr>
            <w:r w:rsidRPr="00B165D9">
              <w:t>671</w:t>
            </w:r>
          </w:p>
        </w:tc>
        <w:tc>
          <w:tcPr>
            <w:tcW w:w="1512" w:type="dxa"/>
            <w:noWrap/>
            <w:hideMark/>
          </w:tcPr>
          <w:p w14:paraId="0645E61C" w14:textId="77777777" w:rsidR="00B165D9" w:rsidRPr="00B165D9" w:rsidRDefault="00B165D9" w:rsidP="00B165D9">
            <w:pPr>
              <w:pStyle w:val="TableText"/>
              <w:jc w:val="right"/>
            </w:pPr>
            <w:r w:rsidRPr="00B165D9">
              <w:t>1321</w:t>
            </w:r>
          </w:p>
        </w:tc>
        <w:tc>
          <w:tcPr>
            <w:tcW w:w="1512" w:type="dxa"/>
            <w:noWrap/>
            <w:hideMark/>
          </w:tcPr>
          <w:p w14:paraId="429964BD" w14:textId="77777777" w:rsidR="00B165D9" w:rsidRPr="00B165D9" w:rsidRDefault="00B165D9" w:rsidP="00B165D9">
            <w:pPr>
              <w:pStyle w:val="TableText"/>
              <w:jc w:val="right"/>
            </w:pPr>
            <w:r w:rsidRPr="00B165D9">
              <w:t>1546</w:t>
            </w:r>
          </w:p>
        </w:tc>
      </w:tr>
      <w:tr w:rsidR="00B165D9" w:rsidRPr="00B165D9" w14:paraId="16E657F3" w14:textId="77777777" w:rsidTr="00B338CF">
        <w:trPr>
          <w:cnfStyle w:val="000000010000" w:firstRow="0" w:lastRow="0" w:firstColumn="0" w:lastColumn="0" w:oddVBand="0" w:evenVBand="0" w:oddHBand="0" w:evenHBand="1" w:firstRowFirstColumn="0" w:firstRowLastColumn="0" w:lastRowFirstColumn="0" w:lastRowLastColumn="0"/>
        </w:trPr>
        <w:tc>
          <w:tcPr>
            <w:tcW w:w="1843" w:type="dxa"/>
            <w:noWrap/>
            <w:hideMark/>
          </w:tcPr>
          <w:p w14:paraId="38CF97F8" w14:textId="04D4A169" w:rsidR="00B165D9" w:rsidRPr="00B165D9" w:rsidRDefault="00B165D9" w:rsidP="00B165D9">
            <w:pPr>
              <w:pStyle w:val="TableText"/>
            </w:pPr>
            <w:r w:rsidRPr="00B165D9">
              <w:t>State</w:t>
            </w:r>
            <w:r w:rsidR="00B338CF">
              <w:t xml:space="preserve"> recovery</w:t>
            </w:r>
          </w:p>
        </w:tc>
        <w:tc>
          <w:tcPr>
            <w:tcW w:w="1179" w:type="dxa"/>
            <w:noWrap/>
            <w:hideMark/>
          </w:tcPr>
          <w:p w14:paraId="0F05D57F" w14:textId="77777777" w:rsidR="00B165D9" w:rsidRPr="00B165D9" w:rsidRDefault="00B165D9" w:rsidP="00B165D9">
            <w:pPr>
              <w:pStyle w:val="TableText"/>
              <w:jc w:val="right"/>
            </w:pPr>
            <w:r w:rsidRPr="00B165D9">
              <w:t>102</w:t>
            </w:r>
          </w:p>
        </w:tc>
        <w:tc>
          <w:tcPr>
            <w:tcW w:w="1512" w:type="dxa"/>
            <w:noWrap/>
            <w:hideMark/>
          </w:tcPr>
          <w:p w14:paraId="6DDC18CA" w14:textId="77777777" w:rsidR="00B165D9" w:rsidRPr="00B165D9" w:rsidRDefault="00B165D9" w:rsidP="00B165D9">
            <w:pPr>
              <w:pStyle w:val="TableText"/>
              <w:jc w:val="right"/>
            </w:pPr>
            <w:r w:rsidRPr="00B165D9">
              <w:t>88</w:t>
            </w:r>
          </w:p>
        </w:tc>
        <w:tc>
          <w:tcPr>
            <w:tcW w:w="1512" w:type="dxa"/>
            <w:noWrap/>
            <w:hideMark/>
          </w:tcPr>
          <w:p w14:paraId="2FAFEB4E" w14:textId="77777777" w:rsidR="00B165D9" w:rsidRPr="00B165D9" w:rsidRDefault="00B165D9" w:rsidP="00B165D9">
            <w:pPr>
              <w:pStyle w:val="TableText"/>
              <w:jc w:val="right"/>
            </w:pPr>
            <w:r w:rsidRPr="00B165D9">
              <w:t>72</w:t>
            </w:r>
          </w:p>
        </w:tc>
        <w:tc>
          <w:tcPr>
            <w:tcW w:w="1512" w:type="dxa"/>
            <w:noWrap/>
            <w:hideMark/>
          </w:tcPr>
          <w:p w14:paraId="0AE2D4CC" w14:textId="77777777" w:rsidR="00B165D9" w:rsidRPr="00B165D9" w:rsidRDefault="00B165D9" w:rsidP="00B165D9">
            <w:pPr>
              <w:pStyle w:val="TableText"/>
              <w:jc w:val="right"/>
            </w:pPr>
            <w:r w:rsidRPr="00B165D9">
              <w:t>115</w:t>
            </w:r>
          </w:p>
        </w:tc>
        <w:tc>
          <w:tcPr>
            <w:tcW w:w="1512" w:type="dxa"/>
            <w:noWrap/>
            <w:hideMark/>
          </w:tcPr>
          <w:p w14:paraId="3B0A5832" w14:textId="77777777" w:rsidR="00B165D9" w:rsidRPr="00B165D9" w:rsidRDefault="00B165D9" w:rsidP="00B165D9">
            <w:pPr>
              <w:pStyle w:val="TableText"/>
              <w:jc w:val="right"/>
            </w:pPr>
            <w:r w:rsidRPr="00B165D9">
              <w:t>104</w:t>
            </w:r>
          </w:p>
        </w:tc>
      </w:tr>
      <w:tr w:rsidR="00B165D9" w:rsidRPr="00B165D9" w14:paraId="453DBA0E" w14:textId="77777777" w:rsidTr="00B338CF">
        <w:trPr>
          <w:cnfStyle w:val="000000100000" w:firstRow="0" w:lastRow="0" w:firstColumn="0" w:lastColumn="0" w:oddVBand="0" w:evenVBand="0" w:oddHBand="1" w:evenHBand="0" w:firstRowFirstColumn="0" w:firstRowLastColumn="0" w:lastRowFirstColumn="0" w:lastRowLastColumn="0"/>
        </w:trPr>
        <w:tc>
          <w:tcPr>
            <w:tcW w:w="1843" w:type="dxa"/>
            <w:noWrap/>
            <w:vAlign w:val="top"/>
          </w:tcPr>
          <w:p w14:paraId="1BFD0A1C" w14:textId="0777D2FB" w:rsidR="00B165D9" w:rsidRPr="00B165D9" w:rsidRDefault="00B165D9" w:rsidP="00B165D9">
            <w:pPr>
              <w:pStyle w:val="TableText"/>
              <w:rPr>
                <w:b/>
                <w:bCs/>
              </w:rPr>
            </w:pPr>
            <w:r w:rsidRPr="00B165D9">
              <w:rPr>
                <w:b/>
                <w:bCs/>
              </w:rPr>
              <w:t>Total</w:t>
            </w:r>
          </w:p>
        </w:tc>
        <w:tc>
          <w:tcPr>
            <w:tcW w:w="1179" w:type="dxa"/>
            <w:noWrap/>
            <w:vAlign w:val="top"/>
          </w:tcPr>
          <w:p w14:paraId="557991C3" w14:textId="1AE59531" w:rsidR="00B165D9" w:rsidRPr="00B165D9" w:rsidRDefault="00B165D9" w:rsidP="00B165D9">
            <w:pPr>
              <w:pStyle w:val="TableText"/>
              <w:jc w:val="right"/>
              <w:rPr>
                <w:b/>
                <w:bCs/>
              </w:rPr>
            </w:pPr>
            <w:r w:rsidRPr="00B165D9">
              <w:rPr>
                <w:b/>
                <w:bCs/>
              </w:rPr>
              <w:t>1108</w:t>
            </w:r>
          </w:p>
        </w:tc>
        <w:tc>
          <w:tcPr>
            <w:tcW w:w="1512" w:type="dxa"/>
            <w:noWrap/>
            <w:vAlign w:val="top"/>
          </w:tcPr>
          <w:p w14:paraId="33D9CB85" w14:textId="74994081" w:rsidR="00B165D9" w:rsidRPr="00B165D9" w:rsidRDefault="00B165D9" w:rsidP="00B165D9">
            <w:pPr>
              <w:pStyle w:val="TableText"/>
              <w:jc w:val="right"/>
              <w:rPr>
                <w:b/>
                <w:bCs/>
              </w:rPr>
            </w:pPr>
            <w:r w:rsidRPr="00B165D9">
              <w:rPr>
                <w:b/>
                <w:bCs/>
              </w:rPr>
              <w:t>814</w:t>
            </w:r>
          </w:p>
        </w:tc>
        <w:tc>
          <w:tcPr>
            <w:tcW w:w="1512" w:type="dxa"/>
            <w:noWrap/>
            <w:vAlign w:val="top"/>
          </w:tcPr>
          <w:p w14:paraId="45617373" w14:textId="364C8E8C" w:rsidR="00B165D9" w:rsidRPr="00B165D9" w:rsidRDefault="00B165D9" w:rsidP="00B165D9">
            <w:pPr>
              <w:pStyle w:val="TableText"/>
              <w:jc w:val="right"/>
              <w:rPr>
                <w:b/>
                <w:bCs/>
              </w:rPr>
            </w:pPr>
            <w:r w:rsidRPr="00B165D9">
              <w:rPr>
                <w:b/>
                <w:bCs/>
              </w:rPr>
              <w:t>742</w:t>
            </w:r>
          </w:p>
        </w:tc>
        <w:tc>
          <w:tcPr>
            <w:tcW w:w="1512" w:type="dxa"/>
            <w:noWrap/>
            <w:vAlign w:val="top"/>
          </w:tcPr>
          <w:p w14:paraId="4696DD37" w14:textId="32056A1A" w:rsidR="00B165D9" w:rsidRPr="00B165D9" w:rsidRDefault="00B165D9" w:rsidP="00B165D9">
            <w:pPr>
              <w:pStyle w:val="TableText"/>
              <w:jc w:val="right"/>
              <w:rPr>
                <w:b/>
                <w:bCs/>
              </w:rPr>
            </w:pPr>
            <w:r w:rsidRPr="00B165D9">
              <w:rPr>
                <w:b/>
                <w:bCs/>
              </w:rPr>
              <w:t>1436</w:t>
            </w:r>
          </w:p>
        </w:tc>
        <w:tc>
          <w:tcPr>
            <w:tcW w:w="1512" w:type="dxa"/>
            <w:noWrap/>
            <w:vAlign w:val="top"/>
          </w:tcPr>
          <w:p w14:paraId="24B16A0A" w14:textId="14C427BD" w:rsidR="00B165D9" w:rsidRPr="00B165D9" w:rsidRDefault="00B165D9" w:rsidP="00B165D9">
            <w:pPr>
              <w:pStyle w:val="TableText"/>
              <w:jc w:val="right"/>
              <w:rPr>
                <w:b/>
                <w:bCs/>
              </w:rPr>
            </w:pPr>
            <w:r w:rsidRPr="00B165D9">
              <w:rPr>
                <w:b/>
                <w:bCs/>
              </w:rPr>
              <w:t>1650</w:t>
            </w:r>
          </w:p>
        </w:tc>
      </w:tr>
      <w:tr w:rsidR="00551869" w:rsidRPr="00B165D9" w14:paraId="6FCF2C8A" w14:textId="77777777" w:rsidTr="00301ACA">
        <w:trPr>
          <w:cnfStyle w:val="000000010000" w:firstRow="0" w:lastRow="0" w:firstColumn="0" w:lastColumn="0" w:oddVBand="0" w:evenVBand="0" w:oddHBand="0" w:evenHBand="1" w:firstRowFirstColumn="0" w:firstRowLastColumn="0" w:lastRowFirstColumn="0" w:lastRowLastColumn="0"/>
        </w:trPr>
        <w:tc>
          <w:tcPr>
            <w:tcW w:w="0" w:type="dxa"/>
            <w:noWrap/>
            <w:vAlign w:val="top"/>
          </w:tcPr>
          <w:p w14:paraId="13B9111C" w14:textId="4F5EE580" w:rsidR="00551869" w:rsidRPr="00301ACA" w:rsidRDefault="00551869" w:rsidP="00301ACA">
            <w:pPr>
              <w:pStyle w:val="TableText"/>
              <w:jc w:val="right"/>
              <w:rPr>
                <w:i/>
                <w:iCs/>
              </w:rPr>
            </w:pPr>
            <w:r w:rsidRPr="00301ACA">
              <w:rPr>
                <w:i/>
                <w:iCs/>
              </w:rPr>
              <w:t xml:space="preserve">% total from </w:t>
            </w:r>
            <w:r>
              <w:rPr>
                <w:i/>
                <w:iCs/>
              </w:rPr>
              <w:br/>
            </w:r>
            <w:r w:rsidRPr="00301ACA">
              <w:rPr>
                <w:i/>
                <w:iCs/>
              </w:rPr>
              <w:t>NSW systems</w:t>
            </w:r>
          </w:p>
        </w:tc>
        <w:tc>
          <w:tcPr>
            <w:tcW w:w="0" w:type="dxa"/>
            <w:noWrap/>
          </w:tcPr>
          <w:p w14:paraId="3DD20C5B" w14:textId="0F8A9F43" w:rsidR="00551869" w:rsidRPr="00301ACA" w:rsidRDefault="00551869" w:rsidP="00551869">
            <w:pPr>
              <w:pStyle w:val="TableText"/>
              <w:jc w:val="right"/>
              <w:rPr>
                <w:b/>
                <w:bCs/>
                <w:i/>
                <w:iCs/>
              </w:rPr>
            </w:pPr>
            <w:r w:rsidRPr="00301ACA">
              <w:rPr>
                <w:i/>
                <w:iCs/>
              </w:rPr>
              <w:t>35%</w:t>
            </w:r>
          </w:p>
        </w:tc>
        <w:tc>
          <w:tcPr>
            <w:tcW w:w="0" w:type="dxa"/>
            <w:noWrap/>
          </w:tcPr>
          <w:p w14:paraId="3E30C6D7" w14:textId="540C968B" w:rsidR="00551869" w:rsidRPr="00301ACA" w:rsidRDefault="00551869" w:rsidP="00551869">
            <w:pPr>
              <w:pStyle w:val="TableText"/>
              <w:jc w:val="right"/>
              <w:rPr>
                <w:b/>
                <w:bCs/>
                <w:i/>
                <w:iCs/>
              </w:rPr>
            </w:pPr>
            <w:r w:rsidRPr="00301ACA">
              <w:rPr>
                <w:i/>
                <w:iCs/>
              </w:rPr>
              <w:t>11%</w:t>
            </w:r>
          </w:p>
        </w:tc>
        <w:tc>
          <w:tcPr>
            <w:tcW w:w="0" w:type="dxa"/>
            <w:noWrap/>
          </w:tcPr>
          <w:p w14:paraId="70490064" w14:textId="01F83E19" w:rsidR="00551869" w:rsidRPr="00301ACA" w:rsidRDefault="00551869" w:rsidP="00551869">
            <w:pPr>
              <w:pStyle w:val="TableText"/>
              <w:jc w:val="right"/>
              <w:rPr>
                <w:b/>
                <w:bCs/>
                <w:i/>
                <w:iCs/>
              </w:rPr>
            </w:pPr>
            <w:r w:rsidRPr="00301ACA">
              <w:rPr>
                <w:i/>
                <w:iCs/>
              </w:rPr>
              <w:t>18%</w:t>
            </w:r>
          </w:p>
        </w:tc>
        <w:tc>
          <w:tcPr>
            <w:tcW w:w="0" w:type="dxa"/>
            <w:noWrap/>
          </w:tcPr>
          <w:p w14:paraId="3BA0F7CF" w14:textId="2B72F244" w:rsidR="00551869" w:rsidRPr="00301ACA" w:rsidRDefault="00551869" w:rsidP="00551869">
            <w:pPr>
              <w:pStyle w:val="TableText"/>
              <w:jc w:val="right"/>
              <w:rPr>
                <w:b/>
                <w:bCs/>
                <w:i/>
                <w:iCs/>
              </w:rPr>
            </w:pPr>
            <w:r w:rsidRPr="00301ACA">
              <w:rPr>
                <w:i/>
                <w:iCs/>
              </w:rPr>
              <w:t>41%</w:t>
            </w:r>
          </w:p>
        </w:tc>
        <w:tc>
          <w:tcPr>
            <w:tcW w:w="0" w:type="dxa"/>
            <w:noWrap/>
          </w:tcPr>
          <w:p w14:paraId="294FA73A" w14:textId="73C4E27C" w:rsidR="00551869" w:rsidRPr="00301ACA" w:rsidRDefault="00551869" w:rsidP="00551869">
            <w:pPr>
              <w:pStyle w:val="TableText"/>
              <w:jc w:val="right"/>
              <w:rPr>
                <w:b/>
                <w:bCs/>
                <w:i/>
                <w:iCs/>
              </w:rPr>
            </w:pPr>
            <w:r w:rsidRPr="00301ACA">
              <w:rPr>
                <w:i/>
                <w:iCs/>
              </w:rPr>
              <w:t>60%</w:t>
            </w:r>
          </w:p>
        </w:tc>
      </w:tr>
      <w:tr w:rsidR="00551869" w:rsidRPr="00B165D9" w14:paraId="1BED73F7" w14:textId="77777777" w:rsidTr="00301ACA">
        <w:trPr>
          <w:cnfStyle w:val="000000100000" w:firstRow="0" w:lastRow="0" w:firstColumn="0" w:lastColumn="0" w:oddVBand="0" w:evenVBand="0" w:oddHBand="1" w:evenHBand="0" w:firstRowFirstColumn="0" w:firstRowLastColumn="0" w:lastRowFirstColumn="0" w:lastRowLastColumn="0"/>
        </w:trPr>
        <w:tc>
          <w:tcPr>
            <w:tcW w:w="0" w:type="dxa"/>
            <w:noWrap/>
            <w:vAlign w:val="top"/>
          </w:tcPr>
          <w:p w14:paraId="58F13617" w14:textId="07A8EDE2" w:rsidR="00551869" w:rsidRPr="00B165D9" w:rsidRDefault="00551869" w:rsidP="00301ACA">
            <w:pPr>
              <w:pStyle w:val="TableText"/>
              <w:jc w:val="right"/>
              <w:rPr>
                <w:b/>
                <w:bCs/>
              </w:rPr>
            </w:pPr>
            <w:r w:rsidRPr="00C2466C">
              <w:rPr>
                <w:i/>
                <w:iCs/>
              </w:rPr>
              <w:t xml:space="preserve">% total from </w:t>
            </w:r>
            <w:r>
              <w:rPr>
                <w:i/>
                <w:iCs/>
              </w:rPr>
              <w:t>Victorian</w:t>
            </w:r>
            <w:r w:rsidRPr="00C2466C">
              <w:rPr>
                <w:i/>
                <w:iCs/>
              </w:rPr>
              <w:t xml:space="preserve"> systems</w:t>
            </w:r>
          </w:p>
        </w:tc>
        <w:tc>
          <w:tcPr>
            <w:tcW w:w="0" w:type="dxa"/>
            <w:noWrap/>
          </w:tcPr>
          <w:p w14:paraId="38B4F6C9" w14:textId="6331A056" w:rsidR="00551869" w:rsidRPr="00301ACA" w:rsidRDefault="00551869" w:rsidP="00551869">
            <w:pPr>
              <w:pStyle w:val="TableText"/>
              <w:jc w:val="right"/>
              <w:rPr>
                <w:b/>
                <w:bCs/>
                <w:i/>
                <w:iCs/>
              </w:rPr>
            </w:pPr>
            <w:r w:rsidRPr="00301ACA">
              <w:rPr>
                <w:i/>
                <w:iCs/>
              </w:rPr>
              <w:t>50%</w:t>
            </w:r>
          </w:p>
        </w:tc>
        <w:tc>
          <w:tcPr>
            <w:tcW w:w="0" w:type="dxa"/>
            <w:noWrap/>
          </w:tcPr>
          <w:p w14:paraId="116C3C1D" w14:textId="01E0F5A9" w:rsidR="00551869" w:rsidRPr="00301ACA" w:rsidRDefault="00551869" w:rsidP="00551869">
            <w:pPr>
              <w:pStyle w:val="TableText"/>
              <w:jc w:val="right"/>
              <w:rPr>
                <w:b/>
                <w:bCs/>
                <w:i/>
                <w:iCs/>
              </w:rPr>
            </w:pPr>
            <w:r w:rsidRPr="00301ACA">
              <w:rPr>
                <w:i/>
                <w:iCs/>
              </w:rPr>
              <w:t>69%</w:t>
            </w:r>
          </w:p>
        </w:tc>
        <w:tc>
          <w:tcPr>
            <w:tcW w:w="0" w:type="dxa"/>
            <w:noWrap/>
          </w:tcPr>
          <w:p w14:paraId="004AD5C4" w14:textId="2E3D15E2" w:rsidR="00551869" w:rsidRPr="00301ACA" w:rsidRDefault="00551869" w:rsidP="00551869">
            <w:pPr>
              <w:pStyle w:val="TableText"/>
              <w:jc w:val="right"/>
              <w:rPr>
                <w:b/>
                <w:bCs/>
                <w:i/>
                <w:iCs/>
              </w:rPr>
            </w:pPr>
            <w:r w:rsidRPr="00301ACA">
              <w:rPr>
                <w:i/>
                <w:iCs/>
              </w:rPr>
              <w:t>59%</w:t>
            </w:r>
          </w:p>
        </w:tc>
        <w:tc>
          <w:tcPr>
            <w:tcW w:w="0" w:type="dxa"/>
            <w:noWrap/>
          </w:tcPr>
          <w:p w14:paraId="51F780A4" w14:textId="787D4F80" w:rsidR="00551869" w:rsidRPr="00301ACA" w:rsidRDefault="00551869" w:rsidP="00551869">
            <w:pPr>
              <w:pStyle w:val="TableText"/>
              <w:jc w:val="right"/>
              <w:rPr>
                <w:b/>
                <w:bCs/>
                <w:i/>
                <w:iCs/>
              </w:rPr>
            </w:pPr>
            <w:r w:rsidRPr="00301ACA">
              <w:rPr>
                <w:i/>
                <w:iCs/>
              </w:rPr>
              <w:t>47%</w:t>
            </w:r>
          </w:p>
        </w:tc>
        <w:tc>
          <w:tcPr>
            <w:tcW w:w="0" w:type="dxa"/>
            <w:noWrap/>
          </w:tcPr>
          <w:p w14:paraId="1F0EF583" w14:textId="7A5FCE84" w:rsidR="00551869" w:rsidRPr="00301ACA" w:rsidRDefault="00551869" w:rsidP="00551869">
            <w:pPr>
              <w:pStyle w:val="TableText"/>
              <w:jc w:val="right"/>
              <w:rPr>
                <w:b/>
                <w:bCs/>
                <w:i/>
                <w:iCs/>
              </w:rPr>
            </w:pPr>
            <w:r w:rsidRPr="00301ACA">
              <w:rPr>
                <w:i/>
                <w:iCs/>
              </w:rPr>
              <w:t>30%</w:t>
            </w:r>
          </w:p>
        </w:tc>
      </w:tr>
      <w:tr w:rsidR="00551869" w:rsidRPr="00B165D9" w14:paraId="1E77E3AD" w14:textId="77777777" w:rsidTr="00301ACA">
        <w:trPr>
          <w:cnfStyle w:val="000000010000" w:firstRow="0" w:lastRow="0" w:firstColumn="0" w:lastColumn="0" w:oddVBand="0" w:evenVBand="0" w:oddHBand="0" w:evenHBand="1" w:firstRowFirstColumn="0" w:firstRowLastColumn="0" w:lastRowFirstColumn="0" w:lastRowLastColumn="0"/>
        </w:trPr>
        <w:tc>
          <w:tcPr>
            <w:tcW w:w="0" w:type="dxa"/>
            <w:noWrap/>
            <w:vAlign w:val="top"/>
          </w:tcPr>
          <w:p w14:paraId="208FB757" w14:textId="6E4E5633" w:rsidR="00551869" w:rsidRPr="00B165D9" w:rsidRDefault="00551869" w:rsidP="00301ACA">
            <w:pPr>
              <w:pStyle w:val="TableText"/>
              <w:jc w:val="right"/>
              <w:rPr>
                <w:b/>
                <w:bCs/>
              </w:rPr>
            </w:pPr>
            <w:r w:rsidRPr="00C2466C">
              <w:rPr>
                <w:i/>
                <w:iCs/>
              </w:rPr>
              <w:t xml:space="preserve">% total from </w:t>
            </w:r>
            <w:r>
              <w:rPr>
                <w:i/>
                <w:iCs/>
              </w:rPr>
              <w:br/>
              <w:t>SA</w:t>
            </w:r>
            <w:r w:rsidRPr="00C2466C">
              <w:rPr>
                <w:i/>
                <w:iCs/>
              </w:rPr>
              <w:t xml:space="preserve"> systems</w:t>
            </w:r>
          </w:p>
        </w:tc>
        <w:tc>
          <w:tcPr>
            <w:tcW w:w="0" w:type="dxa"/>
            <w:noWrap/>
          </w:tcPr>
          <w:p w14:paraId="44795A40" w14:textId="4882A93F" w:rsidR="00551869" w:rsidRPr="00301ACA" w:rsidRDefault="00551869" w:rsidP="00551869">
            <w:pPr>
              <w:pStyle w:val="TableText"/>
              <w:jc w:val="right"/>
              <w:rPr>
                <w:b/>
                <w:bCs/>
                <w:i/>
                <w:iCs/>
              </w:rPr>
            </w:pPr>
            <w:r w:rsidRPr="00301ACA">
              <w:rPr>
                <w:i/>
                <w:iCs/>
              </w:rPr>
              <w:t>15%</w:t>
            </w:r>
          </w:p>
        </w:tc>
        <w:tc>
          <w:tcPr>
            <w:tcW w:w="0" w:type="dxa"/>
            <w:noWrap/>
          </w:tcPr>
          <w:p w14:paraId="7E881453" w14:textId="57A3A323" w:rsidR="00551869" w:rsidRPr="00301ACA" w:rsidRDefault="00551869" w:rsidP="00551869">
            <w:pPr>
              <w:pStyle w:val="TableText"/>
              <w:jc w:val="right"/>
              <w:rPr>
                <w:b/>
                <w:bCs/>
                <w:i/>
                <w:iCs/>
              </w:rPr>
            </w:pPr>
            <w:r w:rsidRPr="00301ACA">
              <w:rPr>
                <w:i/>
                <w:iCs/>
              </w:rPr>
              <w:t>20%</w:t>
            </w:r>
          </w:p>
        </w:tc>
        <w:tc>
          <w:tcPr>
            <w:tcW w:w="0" w:type="dxa"/>
            <w:noWrap/>
          </w:tcPr>
          <w:p w14:paraId="4580B481" w14:textId="3BB659F8" w:rsidR="00551869" w:rsidRPr="00301ACA" w:rsidRDefault="00551869" w:rsidP="00551869">
            <w:pPr>
              <w:pStyle w:val="TableText"/>
              <w:jc w:val="right"/>
              <w:rPr>
                <w:b/>
                <w:bCs/>
                <w:i/>
                <w:iCs/>
              </w:rPr>
            </w:pPr>
            <w:r w:rsidRPr="00301ACA">
              <w:rPr>
                <w:i/>
                <w:iCs/>
              </w:rPr>
              <w:t>23%</w:t>
            </w:r>
          </w:p>
        </w:tc>
        <w:tc>
          <w:tcPr>
            <w:tcW w:w="0" w:type="dxa"/>
            <w:noWrap/>
          </w:tcPr>
          <w:p w14:paraId="7599988B" w14:textId="5DA65A48" w:rsidR="00551869" w:rsidRPr="00301ACA" w:rsidRDefault="00551869" w:rsidP="00551869">
            <w:pPr>
              <w:pStyle w:val="TableText"/>
              <w:jc w:val="right"/>
              <w:rPr>
                <w:b/>
                <w:bCs/>
                <w:i/>
                <w:iCs/>
              </w:rPr>
            </w:pPr>
            <w:r w:rsidRPr="00301ACA">
              <w:rPr>
                <w:i/>
                <w:iCs/>
              </w:rPr>
              <w:t>12%</w:t>
            </w:r>
          </w:p>
        </w:tc>
        <w:tc>
          <w:tcPr>
            <w:tcW w:w="0" w:type="dxa"/>
            <w:noWrap/>
          </w:tcPr>
          <w:p w14:paraId="207E0AFA" w14:textId="51E2582B" w:rsidR="00551869" w:rsidRPr="00301ACA" w:rsidRDefault="00551869" w:rsidP="00551869">
            <w:pPr>
              <w:pStyle w:val="TableText"/>
              <w:jc w:val="right"/>
              <w:rPr>
                <w:b/>
                <w:bCs/>
                <w:i/>
                <w:iCs/>
              </w:rPr>
            </w:pPr>
            <w:r w:rsidRPr="00301ACA">
              <w:rPr>
                <w:i/>
                <w:iCs/>
              </w:rPr>
              <w:t>10%</w:t>
            </w:r>
          </w:p>
        </w:tc>
      </w:tr>
    </w:tbl>
    <w:p w14:paraId="655981CC" w14:textId="576725D9" w:rsidR="00B165D9" w:rsidRPr="00885B0A" w:rsidRDefault="00B165D9" w:rsidP="008276F9">
      <w:pPr>
        <w:spacing w:after="320"/>
        <w:rPr>
          <w:color w:val="9BA1A5"/>
        </w:rPr>
      </w:pPr>
      <w:r w:rsidRPr="00885B0A">
        <w:rPr>
          <w:i/>
          <w:color w:val="9BA1A5"/>
          <w:sz w:val="16"/>
          <w:szCs w:val="16"/>
        </w:rPr>
        <w:t xml:space="preserve">Source: </w:t>
      </w:r>
      <w:r w:rsidRPr="00B165D9">
        <w:rPr>
          <w:i/>
          <w:color w:val="9BA1A5"/>
          <w:sz w:val="16"/>
          <w:szCs w:val="16"/>
        </w:rPr>
        <w:t>Frontier Economics analysis of DCCEEW and CEWH data</w:t>
      </w:r>
      <w:r>
        <w:rPr>
          <w:i/>
          <w:color w:val="9BA1A5"/>
          <w:sz w:val="16"/>
          <w:szCs w:val="16"/>
        </w:rPr>
        <w:t>.</w:t>
      </w:r>
    </w:p>
    <w:p w14:paraId="719E318A" w14:textId="4724E712" w:rsidR="00B165D9" w:rsidRDefault="002268B6" w:rsidP="00A2153D">
      <w:pPr>
        <w:pStyle w:val="BodyText"/>
      </w:pPr>
      <w:r>
        <w:fldChar w:fldCharType="begin"/>
      </w:r>
      <w:r>
        <w:instrText xml:space="preserve"> REF _Ref112477243 \h </w:instrText>
      </w:r>
      <w:r>
        <w:fldChar w:fldCharType="separate"/>
      </w:r>
      <w:r w:rsidR="00D4298A">
        <w:rPr>
          <w:rStyle w:val="Bold"/>
        </w:rPr>
        <w:t xml:space="preserve">Figure </w:t>
      </w:r>
      <w:r w:rsidR="00D4298A">
        <w:rPr>
          <w:rStyle w:val="Bold"/>
          <w:noProof/>
        </w:rPr>
        <w:t>13</w:t>
      </w:r>
      <w:r>
        <w:fldChar w:fldCharType="end"/>
      </w:r>
      <w:r w:rsidR="00B338CF" w:rsidRPr="00B338CF">
        <w:t xml:space="preserve"> sets out the </w:t>
      </w:r>
      <w:r w:rsidR="002851ED">
        <w:t xml:space="preserve">estimated </w:t>
      </w:r>
      <w:r w:rsidR="00B338CF" w:rsidRPr="00B338CF">
        <w:t>volume of water that has been made available under different season conditions as a result of Commonwealth</w:t>
      </w:r>
      <w:r w:rsidR="002851ED">
        <w:t xml:space="preserve"> and State</w:t>
      </w:r>
      <w:r w:rsidR="00B338CF" w:rsidRPr="00B338CF">
        <w:t xml:space="preserve"> water recovery efforts</w:t>
      </w:r>
      <w:r w:rsidR="002851ED">
        <w:t>.</w:t>
      </w:r>
      <w:r w:rsidR="009B19FB">
        <w:t xml:space="preserve"> Allocation</w:t>
      </w:r>
      <w:r w:rsidR="00DE4DA7">
        <w:t>s</w:t>
      </w:r>
      <w:r w:rsidR="009B19FB">
        <w:t xml:space="preserve"> to Victorian State water recovery are easiest to discern from the chart, as a result of it representing 73% of State government recoveries in the southern MDB.</w:t>
      </w:r>
    </w:p>
    <w:p w14:paraId="0B8307CD" w14:textId="4050A513" w:rsidR="002D36BD" w:rsidRDefault="002D36BD" w:rsidP="002D36BD">
      <w:pPr>
        <w:pStyle w:val="Caption"/>
      </w:pPr>
      <w:bookmarkStart w:id="131" w:name="_Ref112477243"/>
      <w:bookmarkStart w:id="132" w:name="_Toc113621725"/>
      <w:bookmarkStart w:id="133" w:name="_Hlk112483929"/>
      <w:r>
        <w:rPr>
          <w:rStyle w:val="Bold"/>
        </w:rPr>
        <w:t xml:space="preserve">Figure </w:t>
      </w:r>
      <w:r>
        <w:fldChar w:fldCharType="begin"/>
      </w:r>
      <w:r>
        <w:rPr>
          <w:rStyle w:val="Bold"/>
        </w:rPr>
        <w:instrText xml:space="preserve"> SEQ Figure \* ARABIC </w:instrText>
      </w:r>
      <w:r>
        <w:fldChar w:fldCharType="separate"/>
      </w:r>
      <w:r w:rsidR="00D4298A">
        <w:rPr>
          <w:rStyle w:val="Bold"/>
          <w:noProof/>
        </w:rPr>
        <w:t>13</w:t>
      </w:r>
      <w:r>
        <w:fldChar w:fldCharType="end"/>
      </w:r>
      <w:bookmarkEnd w:id="131"/>
      <w:r>
        <w:t>: Water allocations to the CEWH portfolio</w:t>
      </w:r>
      <w:r w:rsidR="009B19FB">
        <w:t xml:space="preserve"> and State water recovery</w:t>
      </w:r>
      <w:r w:rsidR="00E71C02">
        <w:t>, by State</w:t>
      </w:r>
      <w:bookmarkEnd w:id="132"/>
    </w:p>
    <w:p w14:paraId="3CCF0C74" w14:textId="758E3D65" w:rsidR="002D36BD" w:rsidRDefault="002D36BD" w:rsidP="002D36BD">
      <w:pPr>
        <w:pStyle w:val="Image-Page1fullwidth"/>
        <w:keepNext/>
        <w:framePr w:w="0" w:hSpace="0" w:wrap="auto" w:vAnchor="margin" w:yAlign="inline"/>
        <w:spacing w:after="0" w:line="240" w:lineRule="auto"/>
      </w:pPr>
      <w:r>
        <w:drawing>
          <wp:inline distT="0" distB="0" distL="0" distR="0" wp14:anchorId="36C1A766" wp14:editId="62D18029">
            <wp:extent cx="5743575" cy="329739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1803" cy="3302118"/>
                    </a:xfrm>
                    <a:prstGeom prst="rect">
                      <a:avLst/>
                    </a:prstGeom>
                    <a:noFill/>
                  </pic:spPr>
                </pic:pic>
              </a:graphicData>
            </a:graphic>
          </wp:inline>
        </w:drawing>
      </w:r>
    </w:p>
    <w:p w14:paraId="6E1D94D5" w14:textId="096C054F" w:rsidR="002D36BD" w:rsidRDefault="00B165D9" w:rsidP="002D36BD">
      <w:pPr>
        <w:pStyle w:val="Source"/>
        <w:rPr>
          <w:color w:val="9BA1A5"/>
        </w:rPr>
      </w:pPr>
      <w:r>
        <w:rPr>
          <w:color w:val="9BA1A5"/>
        </w:rPr>
        <w:t>Note:</w:t>
      </w:r>
      <w:r w:rsidR="002268B6">
        <w:rPr>
          <w:color w:val="9BA1A5"/>
        </w:rPr>
        <w:t xml:space="preserve"> State recovery is based on </w:t>
      </w:r>
      <w:r w:rsidR="002851ED">
        <w:rPr>
          <w:color w:val="9BA1A5"/>
        </w:rPr>
        <w:t>reported long-term equivalent entitlements recovered in each SDL unit, assuming (1) that the mix of entitlements is in the same proportion as the CEWH portfolio</w:t>
      </w:r>
      <w:r w:rsidR="00F55C8C">
        <w:rPr>
          <w:color w:val="9BA1A5"/>
        </w:rPr>
        <w:t>,</w:t>
      </w:r>
      <w:r w:rsidR="002851ED">
        <w:rPr>
          <w:color w:val="9BA1A5"/>
        </w:rPr>
        <w:t xml:space="preserve"> (2) the allocations</w:t>
      </w:r>
      <w:r w:rsidR="009B19FB">
        <w:rPr>
          <w:color w:val="9BA1A5"/>
        </w:rPr>
        <w:t xml:space="preserve"> received by these entitlements are the </w:t>
      </w:r>
      <w:r w:rsidR="009B19FB">
        <w:rPr>
          <w:color w:val="9BA1A5"/>
        </w:rPr>
        <w:lastRenderedPageBreak/>
        <w:t>same as received by the CEWH</w:t>
      </w:r>
      <w:r w:rsidR="00F55C8C">
        <w:rPr>
          <w:color w:val="9BA1A5"/>
        </w:rPr>
        <w:t>, and (3) that the reported volumes have been held since 2017-18</w:t>
      </w:r>
      <w:r w:rsidR="009B19FB">
        <w:rPr>
          <w:color w:val="9BA1A5"/>
        </w:rPr>
        <w:t>.</w:t>
      </w:r>
      <w:r>
        <w:rPr>
          <w:color w:val="9BA1A5"/>
        </w:rPr>
        <w:tab/>
      </w:r>
      <w:r>
        <w:rPr>
          <w:color w:val="9BA1A5"/>
        </w:rPr>
        <w:br/>
      </w:r>
      <w:r w:rsidR="002D36BD">
        <w:rPr>
          <w:color w:val="9BA1A5"/>
        </w:rPr>
        <w:t xml:space="preserve">Source: Frontier Economics analysis of </w:t>
      </w:r>
      <w:r>
        <w:rPr>
          <w:color w:val="9BA1A5"/>
        </w:rPr>
        <w:t xml:space="preserve">DCCEEW and </w:t>
      </w:r>
      <w:r w:rsidR="002D36BD">
        <w:rPr>
          <w:color w:val="9BA1A5"/>
        </w:rPr>
        <w:t>CEWH data.</w:t>
      </w:r>
    </w:p>
    <w:bookmarkEnd w:id="133"/>
    <w:p w14:paraId="171C7053" w14:textId="77777777" w:rsidR="00E71C02" w:rsidRDefault="00E71C02" w:rsidP="00A2153D">
      <w:pPr>
        <w:pStyle w:val="BodyText"/>
      </w:pPr>
    </w:p>
    <w:p w14:paraId="62B1B3E0" w14:textId="1B0B9AFB" w:rsidR="00A2153D" w:rsidRDefault="002D36BD" w:rsidP="00A2153D">
      <w:pPr>
        <w:pStyle w:val="BodyText"/>
      </w:pPr>
      <w:r>
        <w:t>Looking again at Commonwealth water recovery, t</w:t>
      </w:r>
      <w:r w:rsidR="00A2153D">
        <w:t xml:space="preserve">he difference between the proportion of long-term annual average (LTAAY) equivalent volumes and the observed proportion of water received by the CEWH is presented in </w:t>
      </w:r>
      <w:r w:rsidR="00A2153D">
        <w:fldChar w:fldCharType="begin"/>
      </w:r>
      <w:r w:rsidR="00A2153D">
        <w:instrText xml:space="preserve"> REF _Ref110251693 \h </w:instrText>
      </w:r>
      <w:r w:rsidR="00A2153D">
        <w:fldChar w:fldCharType="separate"/>
      </w:r>
      <w:r w:rsidR="00D4298A">
        <w:rPr>
          <w:rStyle w:val="Bold"/>
        </w:rPr>
        <w:t xml:space="preserve">Figure </w:t>
      </w:r>
      <w:r w:rsidR="00D4298A">
        <w:rPr>
          <w:rStyle w:val="Bold"/>
          <w:noProof/>
        </w:rPr>
        <w:t>14</w:t>
      </w:r>
      <w:r w:rsidR="00A2153D">
        <w:fldChar w:fldCharType="end"/>
      </w:r>
      <w:r w:rsidR="00A2153D">
        <w:t xml:space="preserve">. In most years, the allocations to the environment from Victorian entitlements has significantly exceeded their </w:t>
      </w:r>
      <w:r w:rsidR="00BF551C">
        <w:t>long-term</w:t>
      </w:r>
      <w:r w:rsidR="00A2153D">
        <w:t xml:space="preserve"> share of the portfolio. It is only in wet years, that this is not observed.</w:t>
      </w:r>
    </w:p>
    <w:p w14:paraId="564E8E16" w14:textId="53AB6CB8" w:rsidR="00A2153D" w:rsidRDefault="00A2153D" w:rsidP="00A2153D">
      <w:pPr>
        <w:pStyle w:val="BodyText"/>
      </w:pPr>
      <w:r>
        <w:t xml:space="preserve">Similarly, as shown in </w:t>
      </w:r>
      <w:r>
        <w:fldChar w:fldCharType="begin"/>
      </w:r>
      <w:r>
        <w:instrText xml:space="preserve"> REF _Ref110252012 \h </w:instrText>
      </w:r>
      <w:r>
        <w:fldChar w:fldCharType="separate"/>
      </w:r>
      <w:r w:rsidR="00D4298A">
        <w:rPr>
          <w:rStyle w:val="Bold"/>
        </w:rPr>
        <w:t xml:space="preserve">Figure </w:t>
      </w:r>
      <w:r w:rsidR="00D4298A">
        <w:rPr>
          <w:rStyle w:val="Bold"/>
          <w:noProof/>
        </w:rPr>
        <w:t>15</w:t>
      </w:r>
      <w:r>
        <w:fldChar w:fldCharType="end"/>
      </w:r>
      <w:r>
        <w:t xml:space="preserve">, the CEWH use of Victorian entitlements for carryover by the environment has always exceeded their </w:t>
      </w:r>
      <w:r w:rsidR="00BF551C">
        <w:t>long-term</w:t>
      </w:r>
      <w:r>
        <w:t xml:space="preserve"> share of the portfolio.</w:t>
      </w:r>
    </w:p>
    <w:p w14:paraId="1EADC98C" w14:textId="4AC03A96" w:rsidR="00A2153D" w:rsidRDefault="00A2153D" w:rsidP="00A2153D">
      <w:pPr>
        <w:pStyle w:val="BodyText"/>
      </w:pPr>
      <w:r>
        <w:t>This suggests that Victorian entitlements provide an important resource to the CEWH in terms of realised water volumes as well as providing the tools to best manage water (</w:t>
      </w:r>
      <w:r w:rsidR="00922E72">
        <w:t>i.e.,</w:t>
      </w:r>
      <w:r>
        <w:t xml:space="preserve"> carryover between years) in response to seasonal conditions and environmental demands.</w:t>
      </w:r>
    </w:p>
    <w:p w14:paraId="0C19B463" w14:textId="014DFF65" w:rsidR="00A2153D" w:rsidRDefault="00A2153D" w:rsidP="00A2153D">
      <w:pPr>
        <w:pStyle w:val="Caption"/>
      </w:pPr>
      <w:bookmarkStart w:id="134" w:name="_Ref110251693"/>
      <w:bookmarkStart w:id="135" w:name="_Toc104933291"/>
      <w:bookmarkStart w:id="136" w:name="_Toc110262445"/>
      <w:bookmarkStart w:id="137" w:name="_Toc113621726"/>
      <w:r>
        <w:rPr>
          <w:rStyle w:val="Bold"/>
        </w:rPr>
        <w:t xml:space="preserve">Figure </w:t>
      </w:r>
      <w:r>
        <w:fldChar w:fldCharType="begin"/>
      </w:r>
      <w:r>
        <w:rPr>
          <w:rStyle w:val="Bold"/>
        </w:rPr>
        <w:instrText xml:space="preserve"> SEQ Figure \* ARABIC </w:instrText>
      </w:r>
      <w:r>
        <w:fldChar w:fldCharType="separate"/>
      </w:r>
      <w:r w:rsidR="00D4298A">
        <w:rPr>
          <w:rStyle w:val="Bold"/>
          <w:noProof/>
        </w:rPr>
        <w:t>14</w:t>
      </w:r>
      <w:r>
        <w:fldChar w:fldCharType="end"/>
      </w:r>
      <w:bookmarkEnd w:id="134"/>
      <w:r>
        <w:t>: Victorian share of CEWH allocations</w:t>
      </w:r>
      <w:bookmarkEnd w:id="135"/>
      <w:bookmarkEnd w:id="136"/>
      <w:bookmarkEnd w:id="137"/>
    </w:p>
    <w:p w14:paraId="5129FA1A" w14:textId="1211A100" w:rsidR="00A2153D" w:rsidRDefault="00A2153D" w:rsidP="00A2153D">
      <w:pPr>
        <w:pStyle w:val="Image-Page1fullwidth"/>
        <w:keepNext/>
        <w:framePr w:w="0" w:hSpace="0" w:wrap="auto" w:vAnchor="margin" w:yAlign="inline"/>
        <w:spacing w:after="0" w:line="240" w:lineRule="auto"/>
      </w:pPr>
      <w:r>
        <w:drawing>
          <wp:inline distT="0" distB="0" distL="0" distR="0" wp14:anchorId="4D9FA0CE" wp14:editId="023DA5E3">
            <wp:extent cx="5048250" cy="3086100"/>
            <wp:effectExtent l="0" t="0" r="0" b="0"/>
            <wp:docPr id="231" name="Picture 2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hart, line ch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8250" cy="3086100"/>
                    </a:xfrm>
                    <a:prstGeom prst="rect">
                      <a:avLst/>
                    </a:prstGeom>
                    <a:noFill/>
                    <a:ln>
                      <a:noFill/>
                    </a:ln>
                  </pic:spPr>
                </pic:pic>
              </a:graphicData>
            </a:graphic>
          </wp:inline>
        </w:drawing>
      </w:r>
    </w:p>
    <w:p w14:paraId="526CA3DE" w14:textId="77777777" w:rsidR="00A2153D" w:rsidRDefault="00A2153D" w:rsidP="00A2153D">
      <w:pPr>
        <w:pStyle w:val="Source"/>
        <w:rPr>
          <w:color w:val="9BA1A5"/>
        </w:rPr>
      </w:pPr>
      <w:r>
        <w:rPr>
          <w:color w:val="9BA1A5"/>
        </w:rPr>
        <w:t>Source: Frontier Economics analysis of CEWH data.</w:t>
      </w:r>
    </w:p>
    <w:p w14:paraId="2CD74F1F" w14:textId="109A40B4" w:rsidR="00A2153D" w:rsidRDefault="00A2153D" w:rsidP="00A2153D">
      <w:pPr>
        <w:pStyle w:val="Caption"/>
      </w:pPr>
      <w:bookmarkStart w:id="138" w:name="_Ref110252012"/>
      <w:bookmarkStart w:id="139" w:name="_Toc104933292"/>
      <w:bookmarkStart w:id="140" w:name="_Toc110262446"/>
      <w:bookmarkStart w:id="141" w:name="_Toc113621727"/>
      <w:r>
        <w:rPr>
          <w:rStyle w:val="Bold"/>
        </w:rPr>
        <w:lastRenderedPageBreak/>
        <w:t xml:space="preserve">Figure </w:t>
      </w:r>
      <w:r>
        <w:fldChar w:fldCharType="begin"/>
      </w:r>
      <w:r>
        <w:rPr>
          <w:rStyle w:val="Bold"/>
        </w:rPr>
        <w:instrText xml:space="preserve"> SEQ Figure \* ARABIC </w:instrText>
      </w:r>
      <w:r>
        <w:fldChar w:fldCharType="separate"/>
      </w:r>
      <w:r w:rsidR="00D4298A">
        <w:rPr>
          <w:rStyle w:val="Bold"/>
          <w:noProof/>
        </w:rPr>
        <w:t>15</w:t>
      </w:r>
      <w:r>
        <w:fldChar w:fldCharType="end"/>
      </w:r>
      <w:bookmarkEnd w:id="138"/>
      <w:r>
        <w:t>: Victorian share of CEWH carryover</w:t>
      </w:r>
      <w:bookmarkEnd w:id="139"/>
      <w:bookmarkEnd w:id="140"/>
      <w:bookmarkEnd w:id="141"/>
    </w:p>
    <w:p w14:paraId="5B031913" w14:textId="0311ED3C" w:rsidR="00A2153D" w:rsidRDefault="00A2153D" w:rsidP="00A2153D">
      <w:pPr>
        <w:pStyle w:val="Image-Page1fullwidth"/>
        <w:keepNext/>
        <w:framePr w:w="0" w:hSpace="0" w:wrap="auto" w:vAnchor="margin" w:yAlign="inline"/>
        <w:spacing w:after="0" w:line="240" w:lineRule="auto"/>
      </w:pPr>
      <w:r>
        <w:drawing>
          <wp:inline distT="0" distB="0" distL="0" distR="0" wp14:anchorId="7FE8DBF8" wp14:editId="1C15956B">
            <wp:extent cx="5000625" cy="3057525"/>
            <wp:effectExtent l="0" t="0" r="9525" b="9525"/>
            <wp:docPr id="230" name="Picture 2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hart, line char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0625" cy="3057525"/>
                    </a:xfrm>
                    <a:prstGeom prst="rect">
                      <a:avLst/>
                    </a:prstGeom>
                    <a:noFill/>
                    <a:ln>
                      <a:noFill/>
                    </a:ln>
                  </pic:spPr>
                </pic:pic>
              </a:graphicData>
            </a:graphic>
          </wp:inline>
        </w:drawing>
      </w:r>
    </w:p>
    <w:p w14:paraId="20E5CC50" w14:textId="77777777" w:rsidR="00A2153D" w:rsidRDefault="00A2153D" w:rsidP="00A2153D">
      <w:pPr>
        <w:pStyle w:val="Source"/>
        <w:rPr>
          <w:color w:val="9BA1A5"/>
        </w:rPr>
      </w:pPr>
      <w:r>
        <w:rPr>
          <w:color w:val="9BA1A5"/>
        </w:rPr>
        <w:t>Source: Frontier Economics analysis of CEWH data.</w:t>
      </w:r>
    </w:p>
    <w:p w14:paraId="2ADBEDCF" w14:textId="77777777" w:rsidR="00A2153D" w:rsidRDefault="00A2153D" w:rsidP="00A2153D">
      <w:pPr>
        <w:pStyle w:val="BodyText"/>
      </w:pPr>
    </w:p>
    <w:p w14:paraId="523EE262" w14:textId="77777777" w:rsidR="00A2153D" w:rsidRDefault="00A2153D" w:rsidP="00597401">
      <w:pPr>
        <w:pStyle w:val="Heading1numbered"/>
        <w:numPr>
          <w:ilvl w:val="0"/>
          <w:numId w:val="12"/>
        </w:numPr>
      </w:pPr>
      <w:bookmarkStart w:id="142" w:name="_Toc110262392"/>
      <w:bookmarkStart w:id="143" w:name="_Toc113621661"/>
      <w:r>
        <w:lastRenderedPageBreak/>
        <w:t>Water use in Victoria since water recovery commenced</w:t>
      </w:r>
      <w:bookmarkEnd w:id="78"/>
      <w:bookmarkEnd w:id="142"/>
      <w:bookmarkEnd w:id="143"/>
    </w:p>
    <w:p w14:paraId="517FAEAE" w14:textId="2E0EAC1B" w:rsidR="00A2153D" w:rsidRDefault="002E6460" w:rsidP="00A2153D">
      <w:pPr>
        <w:pStyle w:val="BodyText"/>
      </w:pPr>
      <w:r>
        <w:t>A</w:t>
      </w:r>
      <w:r w:rsidR="00A2153D">
        <w:t xml:space="preserve">nalyses of the impacts of the Basin Plan tend to compare what happened before water recovery commenced with what happened after. However, such approaches only describe what happened; they do not explain other </w:t>
      </w:r>
      <w:r w:rsidR="00F52A9A">
        <w:t xml:space="preserve">factors </w:t>
      </w:r>
      <w:r w:rsidR="00A2153D">
        <w:t>that may also have changed during the same period that also affect water availability and use, and thus socio-economic outcomes. They are a description of the factual, rather than an analysis of the logically constructed counterfactual.</w:t>
      </w:r>
    </w:p>
    <w:p w14:paraId="2A5D2453" w14:textId="77777777" w:rsidR="00A2153D" w:rsidRDefault="00A2153D" w:rsidP="00A2153D">
      <w:pPr>
        <w:pStyle w:val="BodyText"/>
      </w:pPr>
      <w:r>
        <w:t>This chapter describes observed water use in Victoria since water recovery commenced, putting those observations in the context of the other factors influencing water use during that time. It then quantifies the volumes of water recovered through buyback, through on-farm infrastructure savings and through off-farm infrastructure savings, while also putting the timing of those recoveries in the context of what else was happening at the time. It finishes with a transparent, logical construction of the counterfactual to be used as the basis of comparison for the remainder of the report.</w:t>
      </w:r>
    </w:p>
    <w:p w14:paraId="52475932" w14:textId="77777777" w:rsidR="00A2153D" w:rsidRDefault="00A2153D" w:rsidP="00597401">
      <w:pPr>
        <w:pStyle w:val="Heading2numbered"/>
        <w:numPr>
          <w:ilvl w:val="1"/>
          <w:numId w:val="12"/>
        </w:numPr>
        <w:tabs>
          <w:tab w:val="clear" w:pos="851"/>
        </w:tabs>
        <w:ind w:left="0" w:firstLine="0"/>
      </w:pPr>
      <w:bookmarkStart w:id="144" w:name="_Toc107997227"/>
      <w:bookmarkStart w:id="145" w:name="_Toc110262393"/>
      <w:bookmarkStart w:id="146" w:name="_Toc113621662"/>
      <w:r>
        <w:t>Observed water use in Victoria since water recovery commenced</w:t>
      </w:r>
      <w:bookmarkEnd w:id="144"/>
      <w:bookmarkEnd w:id="145"/>
      <w:bookmarkEnd w:id="146"/>
    </w:p>
    <w:p w14:paraId="1635B33A" w14:textId="6D44D47B" w:rsidR="00A2153D" w:rsidRDefault="00A2153D" w:rsidP="00A2153D">
      <w:pPr>
        <w:pStyle w:val="BodyText"/>
      </w:pPr>
      <w:r>
        <w:t>Irrigation water availability and use in northern Victoria has been extraordinarily variable over the past fifteen years</w:t>
      </w:r>
      <w:r w:rsidR="002E6460">
        <w:t>. W</w:t>
      </w:r>
      <w:r>
        <w:t xml:space="preserve">ater recovery for the environment commenced in a period punctuated by extreme drought and record-breaking floods. </w:t>
      </w:r>
      <w:r>
        <w:fldChar w:fldCharType="begin"/>
      </w:r>
      <w:r>
        <w:instrText xml:space="preserve"> REF _Ref108098635 \h </w:instrText>
      </w:r>
      <w:r>
        <w:fldChar w:fldCharType="separate"/>
      </w:r>
      <w:r w:rsidR="00D4298A">
        <w:rPr>
          <w:rStyle w:val="Bold"/>
        </w:rPr>
        <w:t xml:space="preserve">Figure </w:t>
      </w:r>
      <w:r w:rsidR="00D4298A">
        <w:rPr>
          <w:rStyle w:val="Bold"/>
          <w:noProof/>
        </w:rPr>
        <w:t>16</w:t>
      </w:r>
      <w:r>
        <w:fldChar w:fldCharType="end"/>
      </w:r>
      <w:r>
        <w:t xml:space="preserve"> below presents annual water use by Victorian irrigators for 2004-05 and the period 2008-09 to 2021-22.</w:t>
      </w:r>
    </w:p>
    <w:p w14:paraId="2529664E" w14:textId="1F616A14" w:rsidR="00A2153D" w:rsidRDefault="00A2153D" w:rsidP="00A2153D">
      <w:pPr>
        <w:pStyle w:val="BodyText"/>
      </w:pPr>
      <w:r>
        <w:t xml:space="preserve">Water use for 2004-05 is included for comparison. 2004-05 represents the last year before </w:t>
      </w:r>
      <w:r w:rsidR="00992D97">
        <w:t xml:space="preserve">Basin Plan </w:t>
      </w:r>
      <w:r>
        <w:t>water recovery commenced, where both the Goulburn and Murray systems received the equivalent of 100% allocations to high reliability entitlements and 0% to low reliability entitlements.</w:t>
      </w:r>
    </w:p>
    <w:p w14:paraId="40467496" w14:textId="1D75F0FE" w:rsidR="00A2153D" w:rsidRDefault="00A2153D" w:rsidP="002E6460">
      <w:pPr>
        <w:pStyle w:val="Caption"/>
        <w:spacing w:before="240" w:after="120"/>
      </w:pPr>
      <w:bookmarkStart w:id="147" w:name="_Ref108098635"/>
      <w:bookmarkStart w:id="148" w:name="_Toc104933284"/>
      <w:bookmarkStart w:id="149" w:name="_Toc110262447"/>
      <w:bookmarkStart w:id="150" w:name="_Toc113621728"/>
      <w:r>
        <w:rPr>
          <w:rStyle w:val="Bold"/>
        </w:rPr>
        <w:t xml:space="preserve">Figure </w:t>
      </w:r>
      <w:r>
        <w:fldChar w:fldCharType="begin"/>
      </w:r>
      <w:r>
        <w:rPr>
          <w:rStyle w:val="Bold"/>
        </w:rPr>
        <w:instrText xml:space="preserve"> SEQ Figure \* ARABIC </w:instrText>
      </w:r>
      <w:r>
        <w:fldChar w:fldCharType="separate"/>
      </w:r>
      <w:r w:rsidR="00D4298A">
        <w:rPr>
          <w:rStyle w:val="Bold"/>
          <w:noProof/>
        </w:rPr>
        <w:t>16</w:t>
      </w:r>
      <w:r>
        <w:fldChar w:fldCharType="end"/>
      </w:r>
      <w:bookmarkEnd w:id="147"/>
      <w:r>
        <w:t>: Water use by Victorian irrigators</w:t>
      </w:r>
      <w:bookmarkEnd w:id="148"/>
      <w:bookmarkEnd w:id="149"/>
      <w:bookmarkEnd w:id="150"/>
    </w:p>
    <w:p w14:paraId="69F36572" w14:textId="5FD150FA" w:rsidR="00A2153D" w:rsidRDefault="007E221F" w:rsidP="00A2153D">
      <w:pPr>
        <w:pStyle w:val="Image-Page1fullwidth"/>
        <w:keepNext/>
        <w:framePr w:w="0" w:hSpace="0" w:wrap="auto" w:vAnchor="margin" w:yAlign="inline"/>
        <w:spacing w:after="0" w:line="240" w:lineRule="auto"/>
      </w:pPr>
      <w:r>
        <w:drawing>
          <wp:inline distT="0" distB="0" distL="0" distR="0" wp14:anchorId="6DD90164" wp14:editId="202DA97C">
            <wp:extent cx="4639158" cy="246697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1604" cy="2484229"/>
                    </a:xfrm>
                    <a:prstGeom prst="rect">
                      <a:avLst/>
                    </a:prstGeom>
                    <a:noFill/>
                  </pic:spPr>
                </pic:pic>
              </a:graphicData>
            </a:graphic>
          </wp:inline>
        </w:drawing>
      </w:r>
    </w:p>
    <w:p w14:paraId="3987C724" w14:textId="77777777" w:rsidR="00A2153D" w:rsidRDefault="00A2153D" w:rsidP="002E6460">
      <w:pPr>
        <w:pStyle w:val="Source"/>
        <w:spacing w:before="0" w:after="0"/>
        <w:rPr>
          <w:color w:val="9BA1A5"/>
        </w:rPr>
      </w:pPr>
      <w:r>
        <w:rPr>
          <w:color w:val="9BA1A5"/>
        </w:rPr>
        <w:t>Source: Frontier Economics, based on GMW and LMW data.</w:t>
      </w:r>
    </w:p>
    <w:p w14:paraId="28EF8C2B" w14:textId="2972EF45" w:rsidR="00A2153D" w:rsidRDefault="00A2153D" w:rsidP="00A2153D">
      <w:pPr>
        <w:pStyle w:val="BodyText"/>
      </w:pPr>
      <w:r>
        <w:lastRenderedPageBreak/>
        <w:t>Given the mix of different irrigation industries in Victoria, it is helpful to disaggregate this data to help understand the socio-economic impacts in different geographic centres. The Victorian Water Register, from which much of our data is drawn, can separate out water-usage data for the different “delivery systems” serviced by the two major rural water corporations in northern Victoria, Goulburn</w:t>
      </w:r>
      <w:r w:rsidR="002E6460">
        <w:t>-</w:t>
      </w:r>
      <w:r>
        <w:t xml:space="preserve">Murray Water (GMW) and Lower Murray Water (LMW). </w:t>
      </w:r>
    </w:p>
    <w:p w14:paraId="08E10A2B" w14:textId="4269CD4D" w:rsidR="00A2153D" w:rsidRDefault="00A2153D" w:rsidP="00A2153D">
      <w:pPr>
        <w:pStyle w:val="BodyText"/>
      </w:pPr>
      <w:r>
        <w:rPr>
          <w:highlight w:val="yellow"/>
        </w:rPr>
        <w:fldChar w:fldCharType="begin"/>
      </w:r>
      <w:r>
        <w:instrText xml:space="preserve"> REF _Ref108009696 \h </w:instrText>
      </w:r>
      <w:r>
        <w:rPr>
          <w:highlight w:val="yellow"/>
        </w:rPr>
      </w:r>
      <w:r>
        <w:rPr>
          <w:highlight w:val="yellow"/>
        </w:rPr>
        <w:fldChar w:fldCharType="separate"/>
      </w:r>
      <w:r w:rsidR="00D4298A">
        <w:rPr>
          <w:rStyle w:val="Bold"/>
        </w:rPr>
        <w:t xml:space="preserve">Figure </w:t>
      </w:r>
      <w:r w:rsidR="00D4298A">
        <w:rPr>
          <w:rStyle w:val="Bold"/>
          <w:noProof/>
        </w:rPr>
        <w:t>17</w:t>
      </w:r>
      <w:r>
        <w:rPr>
          <w:highlight w:val="yellow"/>
        </w:rPr>
        <w:fldChar w:fldCharType="end"/>
      </w:r>
      <w:r>
        <w:t xml:space="preserve"> below separates this annual water use between: </w:t>
      </w:r>
    </w:p>
    <w:p w14:paraId="15596769" w14:textId="77777777" w:rsidR="002E6460" w:rsidRDefault="00A2153D" w:rsidP="008B6DB1">
      <w:pPr>
        <w:pStyle w:val="ListParagraph"/>
      </w:pPr>
      <w:r>
        <w:t xml:space="preserve">GMW’s irrigation districts, which are mostly dominated by dairying but do include important areas of horticultural plantings, </w:t>
      </w:r>
    </w:p>
    <w:p w14:paraId="3C4FBE1B" w14:textId="3951E20A" w:rsidR="00A2153D" w:rsidRDefault="00A2153D" w:rsidP="008B6DB1">
      <w:pPr>
        <w:pStyle w:val="ListParagraph"/>
      </w:pPr>
      <w:r>
        <w:t xml:space="preserve">GMW’s river diverters (irrigators who pump their own water directly from rivers without being part of an irrigation district), who irrigate a range of enterprises (including dairying and horticulture) </w:t>
      </w:r>
    </w:p>
    <w:p w14:paraId="5A3CEB46" w14:textId="77777777" w:rsidR="00A2153D" w:rsidRDefault="00A2153D" w:rsidP="008B6DB1">
      <w:pPr>
        <w:pStyle w:val="ListParagraph"/>
      </w:pPr>
      <w:r>
        <w:t>LMW’s irrigation districts which comprise mostly horticulturalists</w:t>
      </w:r>
    </w:p>
    <w:p w14:paraId="6E1AB19F" w14:textId="77777777" w:rsidR="00A2153D" w:rsidRDefault="00A2153D" w:rsidP="008B6DB1">
      <w:pPr>
        <w:pStyle w:val="ListParagraph"/>
      </w:pPr>
      <w:r>
        <w:t>LMW’s river diverters who overwhelmingly grow perennial horticultural crops. Almonds are now the dominant crop, but there are also extensive plantings of grapevines, citrus, and various other crops.</w:t>
      </w:r>
    </w:p>
    <w:p w14:paraId="111D0EC2" w14:textId="2D7BC589" w:rsidR="00A2153D" w:rsidRDefault="00A2153D" w:rsidP="00A2153D">
      <w:pPr>
        <w:pStyle w:val="BodyText"/>
      </w:pPr>
      <w:r>
        <w:rPr>
          <w:highlight w:val="yellow"/>
        </w:rPr>
        <w:fldChar w:fldCharType="begin"/>
      </w:r>
      <w:r>
        <w:instrText xml:space="preserve"> REF _Ref108009696 \h </w:instrText>
      </w:r>
      <w:r>
        <w:rPr>
          <w:highlight w:val="yellow"/>
        </w:rPr>
      </w:r>
      <w:r>
        <w:rPr>
          <w:highlight w:val="yellow"/>
        </w:rPr>
        <w:fldChar w:fldCharType="separate"/>
      </w:r>
      <w:r w:rsidR="00D4298A">
        <w:rPr>
          <w:rStyle w:val="Bold"/>
        </w:rPr>
        <w:t xml:space="preserve">Figure </w:t>
      </w:r>
      <w:r w:rsidR="00D4298A">
        <w:rPr>
          <w:rStyle w:val="Bold"/>
          <w:noProof/>
        </w:rPr>
        <w:t>17</w:t>
      </w:r>
      <w:r>
        <w:rPr>
          <w:highlight w:val="yellow"/>
        </w:rPr>
        <w:fldChar w:fldCharType="end"/>
      </w:r>
      <w:r>
        <w:t xml:space="preserve"> shows that irrigators in GMW districts account for the largest share of water use and that their water use is highly variable, especially compared to the next largest group being LMW diverters. </w:t>
      </w:r>
    </w:p>
    <w:p w14:paraId="22CBF4D5" w14:textId="4E8BE1F2" w:rsidR="00A2153D" w:rsidRDefault="00A2153D" w:rsidP="00A2153D">
      <w:pPr>
        <w:pStyle w:val="BodyText"/>
      </w:pPr>
      <w:r>
        <w:t xml:space="preserve">It is also important to note that under the dry conditions in 2019-20 (across the southern MDB) that GMW district water use was only </w:t>
      </w:r>
      <w:r w:rsidR="00264F6D">
        <w:t>22</w:t>
      </w:r>
      <w:r>
        <w:t xml:space="preserve">% higher than LMW diverter water use — compared to the 135% higher observed in the extreme dry of 2008-09. </w:t>
      </w:r>
    </w:p>
    <w:p w14:paraId="057C4661" w14:textId="77777777" w:rsidR="00A2153D" w:rsidRDefault="00A2153D" w:rsidP="00A2153D">
      <w:pPr>
        <w:pStyle w:val="BodyText"/>
      </w:pPr>
      <w:r>
        <w:t>When LMW’s irrigation districts are also taken into account, it becomes apparent that in 2019-20 irrigated horticulture accounted for around half of the total water used for irrigation in northern Victoria. This is up from 35% in the previous extreme dry year of 2008-09.</w:t>
      </w:r>
    </w:p>
    <w:p w14:paraId="0BA4B728" w14:textId="2AD88DEE" w:rsidR="00A2153D" w:rsidRDefault="00A2153D" w:rsidP="00A2153D">
      <w:pPr>
        <w:pStyle w:val="BodyText"/>
      </w:pPr>
      <w:r>
        <w:t>Within the GMW districts (</w:t>
      </w:r>
      <w:r>
        <w:fldChar w:fldCharType="begin"/>
      </w:r>
      <w:r>
        <w:instrText xml:space="preserve"> REF _Ref107821991 \h </w:instrText>
      </w:r>
      <w:r>
        <w:fldChar w:fldCharType="separate"/>
      </w:r>
      <w:r w:rsidR="00D4298A">
        <w:rPr>
          <w:rStyle w:val="Bold"/>
        </w:rPr>
        <w:t xml:space="preserve">Figure </w:t>
      </w:r>
      <w:r w:rsidR="00D4298A">
        <w:rPr>
          <w:rStyle w:val="Bold"/>
          <w:noProof/>
        </w:rPr>
        <w:t>18</w:t>
      </w:r>
      <w:r>
        <w:fldChar w:fldCharType="end"/>
      </w:r>
      <w:r>
        <w:t>), there is a similar pattern of variability in response to seasonal conditions and water availability. The notable exceptions are Nyah, Tresco and Woorinen, which are horticultural districts.</w:t>
      </w:r>
    </w:p>
    <w:p w14:paraId="49132AAF" w14:textId="666690B7" w:rsidR="00A2153D" w:rsidRDefault="00A2153D" w:rsidP="00A2153D">
      <w:pPr>
        <w:pStyle w:val="Caption"/>
      </w:pPr>
      <w:bookmarkStart w:id="151" w:name="_Ref108009696"/>
      <w:bookmarkStart w:id="152" w:name="_Toc104933285"/>
      <w:bookmarkStart w:id="153" w:name="_Toc110262448"/>
      <w:bookmarkStart w:id="154" w:name="_Toc113621729"/>
      <w:r>
        <w:rPr>
          <w:rStyle w:val="Bold"/>
        </w:rPr>
        <w:lastRenderedPageBreak/>
        <w:t xml:space="preserve">Figure </w:t>
      </w:r>
      <w:r>
        <w:fldChar w:fldCharType="begin"/>
      </w:r>
      <w:r>
        <w:rPr>
          <w:rStyle w:val="Bold"/>
        </w:rPr>
        <w:instrText xml:space="preserve"> SEQ Figure \* ARABIC </w:instrText>
      </w:r>
      <w:r>
        <w:fldChar w:fldCharType="separate"/>
      </w:r>
      <w:r w:rsidR="00D4298A">
        <w:rPr>
          <w:rStyle w:val="Bold"/>
          <w:noProof/>
        </w:rPr>
        <w:t>17</w:t>
      </w:r>
      <w:r>
        <w:fldChar w:fldCharType="end"/>
      </w:r>
      <w:bookmarkEnd w:id="151"/>
      <w:r>
        <w:t>: Water use by Victorian irrigation districts and diverters</w:t>
      </w:r>
      <w:bookmarkEnd w:id="152"/>
      <w:bookmarkEnd w:id="153"/>
      <w:bookmarkEnd w:id="154"/>
    </w:p>
    <w:p w14:paraId="7F595B67" w14:textId="082AEBD3" w:rsidR="00A2153D" w:rsidRDefault="00AD0B59" w:rsidP="00A2153D">
      <w:pPr>
        <w:pStyle w:val="Image-Page1fullwidth"/>
        <w:keepNext/>
        <w:framePr w:w="0" w:hSpace="0" w:wrap="auto" w:vAnchor="margin" w:yAlign="inline"/>
        <w:spacing w:after="0" w:line="240" w:lineRule="auto"/>
      </w:pPr>
      <w:r>
        <w:drawing>
          <wp:inline distT="0" distB="0" distL="0" distR="0" wp14:anchorId="18FE7EE0" wp14:editId="688BD19C">
            <wp:extent cx="5521837" cy="356235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9394" cy="3580128"/>
                    </a:xfrm>
                    <a:prstGeom prst="rect">
                      <a:avLst/>
                    </a:prstGeom>
                    <a:noFill/>
                  </pic:spPr>
                </pic:pic>
              </a:graphicData>
            </a:graphic>
          </wp:inline>
        </w:drawing>
      </w:r>
    </w:p>
    <w:p w14:paraId="22148AD6" w14:textId="77777777" w:rsidR="00A2153D" w:rsidRDefault="00A2153D" w:rsidP="00A2153D">
      <w:pPr>
        <w:pStyle w:val="Source"/>
        <w:rPr>
          <w:color w:val="9BA1A5"/>
        </w:rPr>
      </w:pPr>
      <w:r>
        <w:rPr>
          <w:color w:val="9BA1A5"/>
        </w:rPr>
        <w:t>Source: Frontier Economics, based on GMW and LMW data.</w:t>
      </w:r>
    </w:p>
    <w:p w14:paraId="091EF682" w14:textId="1388C3C6" w:rsidR="00A2153D" w:rsidRDefault="00A2153D" w:rsidP="00A2153D">
      <w:pPr>
        <w:pStyle w:val="Caption"/>
      </w:pPr>
      <w:bookmarkStart w:id="155" w:name="_Ref107821991"/>
      <w:bookmarkStart w:id="156" w:name="_Toc104933286"/>
      <w:bookmarkStart w:id="157" w:name="_Toc110262449"/>
      <w:bookmarkStart w:id="158" w:name="_Toc113621730"/>
      <w:r>
        <w:rPr>
          <w:rStyle w:val="Bold"/>
        </w:rPr>
        <w:t xml:space="preserve">Figure </w:t>
      </w:r>
      <w:r>
        <w:fldChar w:fldCharType="begin"/>
      </w:r>
      <w:r>
        <w:rPr>
          <w:rStyle w:val="Bold"/>
        </w:rPr>
        <w:instrText xml:space="preserve"> SEQ Figure \* ARABIC </w:instrText>
      </w:r>
      <w:r>
        <w:fldChar w:fldCharType="separate"/>
      </w:r>
      <w:r w:rsidR="00D4298A">
        <w:rPr>
          <w:rStyle w:val="Bold"/>
          <w:noProof/>
        </w:rPr>
        <w:t>18</w:t>
      </w:r>
      <w:r>
        <w:fldChar w:fldCharType="end"/>
      </w:r>
      <w:bookmarkEnd w:id="155"/>
      <w:r>
        <w:t>: Water use within GMW districts</w:t>
      </w:r>
      <w:bookmarkEnd w:id="156"/>
      <w:bookmarkEnd w:id="157"/>
      <w:bookmarkEnd w:id="158"/>
    </w:p>
    <w:p w14:paraId="03E386A3" w14:textId="64AA98EA" w:rsidR="00A2153D" w:rsidRDefault="00CF5C33" w:rsidP="00A2153D">
      <w:pPr>
        <w:pStyle w:val="Image-Page1fullwidth"/>
        <w:keepNext/>
        <w:framePr w:w="0" w:hSpace="0" w:wrap="auto" w:vAnchor="margin" w:yAlign="inline"/>
        <w:spacing w:after="0" w:line="240" w:lineRule="auto"/>
      </w:pPr>
      <w:r>
        <w:drawing>
          <wp:inline distT="0" distB="0" distL="0" distR="0" wp14:anchorId="66B5F7C1" wp14:editId="624E1678">
            <wp:extent cx="5657850" cy="37975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4310" cy="3801898"/>
                    </a:xfrm>
                    <a:prstGeom prst="rect">
                      <a:avLst/>
                    </a:prstGeom>
                    <a:noFill/>
                  </pic:spPr>
                </pic:pic>
              </a:graphicData>
            </a:graphic>
          </wp:inline>
        </w:drawing>
      </w:r>
    </w:p>
    <w:p w14:paraId="4AB0D18A" w14:textId="77777777" w:rsidR="00A2153D" w:rsidRDefault="00A2153D" w:rsidP="00A2153D">
      <w:pPr>
        <w:pStyle w:val="Source"/>
        <w:rPr>
          <w:color w:val="9BA1A5"/>
        </w:rPr>
      </w:pPr>
      <w:r>
        <w:rPr>
          <w:color w:val="9BA1A5"/>
        </w:rPr>
        <w:t>Source: Frontier Economics, based on GMW data.</w:t>
      </w:r>
    </w:p>
    <w:p w14:paraId="7C63690E" w14:textId="55B1CFD3" w:rsidR="00A2153D" w:rsidRDefault="00A2153D" w:rsidP="00597401">
      <w:pPr>
        <w:pStyle w:val="Heading2numbered"/>
        <w:numPr>
          <w:ilvl w:val="1"/>
          <w:numId w:val="12"/>
        </w:numPr>
        <w:tabs>
          <w:tab w:val="clear" w:pos="851"/>
        </w:tabs>
        <w:ind w:left="0" w:firstLine="0"/>
      </w:pPr>
      <w:bookmarkStart w:id="159" w:name="_Toc110262394"/>
      <w:bookmarkStart w:id="160" w:name="_Toc107997229"/>
      <w:bookmarkStart w:id="161" w:name="_Toc113621663"/>
      <w:r>
        <w:lastRenderedPageBreak/>
        <w:t xml:space="preserve">The counterfactual </w:t>
      </w:r>
      <w:r w:rsidR="00C62401">
        <w:t xml:space="preserve">— </w:t>
      </w:r>
      <w:r>
        <w:t>water use in the absence of the Basin Plan</w:t>
      </w:r>
      <w:bookmarkEnd w:id="159"/>
      <w:bookmarkEnd w:id="160"/>
      <w:bookmarkEnd w:id="161"/>
    </w:p>
    <w:p w14:paraId="0CC23AB2" w14:textId="77777777" w:rsidR="00A2153D" w:rsidRDefault="00A2153D" w:rsidP="00A2153D">
      <w:pPr>
        <w:pStyle w:val="BodyText"/>
      </w:pPr>
      <w:r>
        <w:t>This section quantifies the observed water use in Victoria before and since the recovery of water for the environment commenced. It also provides a transparent, logical construction of the counterfactual water use that would have occurred in the absence of the Basin Plan.</w:t>
      </w:r>
    </w:p>
    <w:p w14:paraId="125274D7" w14:textId="0CDE9714" w:rsidR="00A2153D" w:rsidRDefault="00A2153D" w:rsidP="00A2153D">
      <w:pPr>
        <w:pStyle w:val="BodyText"/>
      </w:pPr>
      <w:r>
        <w:fldChar w:fldCharType="begin"/>
      </w:r>
      <w:r>
        <w:instrText xml:space="preserve"> REF _Ref110253555 \h </w:instrText>
      </w:r>
      <w:r>
        <w:fldChar w:fldCharType="separate"/>
      </w:r>
      <w:r w:rsidR="00D4298A">
        <w:rPr>
          <w:rStyle w:val="Bold"/>
        </w:rPr>
        <w:t xml:space="preserve">Table </w:t>
      </w:r>
      <w:r w:rsidR="00D4298A">
        <w:rPr>
          <w:rStyle w:val="Bold"/>
          <w:noProof/>
        </w:rPr>
        <w:t>11</w:t>
      </w:r>
      <w:r>
        <w:fldChar w:fldCharType="end"/>
      </w:r>
      <w:r>
        <w:t xml:space="preserve"> compares observed water use in 2004-05, which was the last season before water recovery commenced in which there were 100% allocations on the Goulburn and Murray, with observed water use in the years since recovery commenced up until 2014-15. </w:t>
      </w:r>
      <w:r>
        <w:fldChar w:fldCharType="begin"/>
      </w:r>
      <w:r>
        <w:instrText xml:space="preserve"> REF _Ref110253565 \h </w:instrText>
      </w:r>
      <w:r>
        <w:fldChar w:fldCharType="separate"/>
      </w:r>
      <w:r w:rsidR="00D4298A">
        <w:rPr>
          <w:rStyle w:val="Bold"/>
        </w:rPr>
        <w:t xml:space="preserve">Table </w:t>
      </w:r>
      <w:r w:rsidR="00D4298A">
        <w:rPr>
          <w:rStyle w:val="Bold"/>
          <w:noProof/>
        </w:rPr>
        <w:t>12</w:t>
      </w:r>
      <w:r>
        <w:fldChar w:fldCharType="end"/>
      </w:r>
      <w:r>
        <w:t xml:space="preserve"> continues this comparison up until 2021-22.</w:t>
      </w:r>
    </w:p>
    <w:p w14:paraId="00591C19" w14:textId="77777777" w:rsidR="00A2153D" w:rsidRDefault="00A2153D" w:rsidP="00A2153D">
      <w:pPr>
        <w:pStyle w:val="BodyText"/>
      </w:pPr>
      <w:r>
        <w:t>The counterfactual water use is estimated based on:</w:t>
      </w:r>
    </w:p>
    <w:p w14:paraId="7597A333" w14:textId="77777777" w:rsidR="00A2153D" w:rsidRDefault="00A2153D" w:rsidP="00597401">
      <w:pPr>
        <w:pStyle w:val="ParaBullet1"/>
        <w:numPr>
          <w:ilvl w:val="0"/>
          <w:numId w:val="14"/>
        </w:numPr>
      </w:pPr>
      <w:r>
        <w:t>The buyback of entitlements in the southern MDB, including the entitlement characteristics of these purchases.</w:t>
      </w:r>
    </w:p>
    <w:p w14:paraId="555CDD9A" w14:textId="77777777" w:rsidR="00A2153D" w:rsidRDefault="00A2153D" w:rsidP="00597401">
      <w:pPr>
        <w:pStyle w:val="ParaBullet1"/>
        <w:numPr>
          <w:ilvl w:val="0"/>
          <w:numId w:val="14"/>
        </w:numPr>
      </w:pPr>
      <w:r>
        <w:t>The allocations that would have been received by Victorian entitlements that have been purchased for the environment.</w:t>
      </w:r>
    </w:p>
    <w:p w14:paraId="66AE51C2" w14:textId="2A614748" w:rsidR="00A2153D" w:rsidRDefault="00A2153D" w:rsidP="00597401">
      <w:pPr>
        <w:pStyle w:val="ParaBullet1"/>
        <w:numPr>
          <w:ilvl w:val="0"/>
          <w:numId w:val="14"/>
        </w:numPr>
      </w:pPr>
      <w:r>
        <w:t>An adjustment to account for water trade</w:t>
      </w:r>
      <w:r w:rsidR="00F57F2A">
        <w:t xml:space="preserve">. This is </w:t>
      </w:r>
      <w:r>
        <w:t>based on the observed net trade in that year</w:t>
      </w:r>
      <w:r w:rsidR="00F57F2A">
        <w:t xml:space="preserve"> and the adjustment is proportional to the counterfactual change in allocated volumes</w:t>
      </w:r>
      <w:r>
        <w:t>.</w:t>
      </w:r>
    </w:p>
    <w:p w14:paraId="48836022" w14:textId="77777777" w:rsidR="00A2153D" w:rsidRDefault="00A2153D" w:rsidP="008B6DB1">
      <w:pPr>
        <w:pStyle w:val="BodyText"/>
      </w:pPr>
      <w:r>
        <w:t>This provides a broad estimate of water use in the absence of the water recovery.</w:t>
      </w:r>
    </w:p>
    <w:p w14:paraId="730BDE54" w14:textId="77777777" w:rsidR="00A2153D" w:rsidRDefault="00A2153D" w:rsidP="008B6DB1">
      <w:pPr>
        <w:pStyle w:val="BodyText"/>
      </w:pPr>
      <w:r>
        <w:t>It should be noted that water recovery that shares the water savings with project participants is not represented in the counterfactual. These volumes are significantly less than the magnitude of buyback changes to the consumptive pool. Further, larger changes such as the Irrigators’ Share, returning 77GL to Victorian Murray and Goulburn water share holders, occurred in October 2021 and is not expected to have a significant impact on the analysis given the wet conditions of 2021-22.</w:t>
      </w:r>
    </w:p>
    <w:p w14:paraId="295D1E86" w14:textId="663DACA0" w:rsidR="00A2153D" w:rsidRDefault="00A2153D" w:rsidP="00A2153D">
      <w:pPr>
        <w:pStyle w:val="BodyText"/>
      </w:pPr>
      <w:r>
        <w:t xml:space="preserve">The expected counterfactual </w:t>
      </w:r>
      <w:r w:rsidR="003923ED">
        <w:t xml:space="preserve">volume of </w:t>
      </w:r>
      <w:r>
        <w:t>water use in the past three years is not as great as the allocations that would have been received by the purchase</w:t>
      </w:r>
      <w:r w:rsidR="003923ED">
        <w:t>d</w:t>
      </w:r>
      <w:r>
        <w:t xml:space="preserve"> entitlements </w:t>
      </w:r>
      <w:r w:rsidR="00377AE9">
        <w:t xml:space="preserve">in years when net trade into Victoria was observed. This is because </w:t>
      </w:r>
      <w:r>
        <w:t xml:space="preserve">it is assumed that less inward trade would have occurred into Victoria </w:t>
      </w:r>
      <w:r w:rsidR="00377AE9">
        <w:t>since</w:t>
      </w:r>
      <w:r>
        <w:t xml:space="preserve"> water availability </w:t>
      </w:r>
      <w:r w:rsidR="00377AE9">
        <w:t>was</w:t>
      </w:r>
      <w:r>
        <w:t xml:space="preserve"> higher </w:t>
      </w:r>
      <w:r w:rsidR="00377AE9">
        <w:t>as a result of the</w:t>
      </w:r>
      <w:r>
        <w:t xml:space="preserve"> buyback entitlements </w:t>
      </w:r>
      <w:r w:rsidR="00377AE9">
        <w:t xml:space="preserve">being </w:t>
      </w:r>
      <w:r>
        <w:t>still available for consumptive use.</w:t>
      </w:r>
    </w:p>
    <w:p w14:paraId="7468C4A2" w14:textId="0F144E06" w:rsidR="00A2153D" w:rsidRDefault="00A2153D" w:rsidP="00A2153D">
      <w:pPr>
        <w:pStyle w:val="BodyText"/>
      </w:pPr>
      <w:r>
        <w:fldChar w:fldCharType="begin"/>
      </w:r>
      <w:r>
        <w:instrText xml:space="preserve"> REF _Ref109564606 \h </w:instrText>
      </w:r>
      <w:r>
        <w:fldChar w:fldCharType="separate"/>
      </w:r>
      <w:r w:rsidR="00D4298A">
        <w:rPr>
          <w:rStyle w:val="Bold"/>
        </w:rPr>
        <w:t xml:space="preserve">Figure </w:t>
      </w:r>
      <w:r w:rsidR="00D4298A">
        <w:rPr>
          <w:rStyle w:val="Bold"/>
          <w:noProof/>
        </w:rPr>
        <w:t>19</w:t>
      </w:r>
      <w:r>
        <w:fldChar w:fldCharType="end"/>
      </w:r>
      <w:r>
        <w:t xml:space="preserve"> shows the information from the tables in graphical form</w:t>
      </w:r>
      <w:r w:rsidR="009D6520">
        <w:t xml:space="preserve"> at the Victorian level</w:t>
      </w:r>
      <w:r>
        <w:t xml:space="preserve">. </w:t>
      </w:r>
    </w:p>
    <w:p w14:paraId="724C5F67" w14:textId="7826D8E7" w:rsidR="00A2153D" w:rsidRDefault="002234EE" w:rsidP="00692486">
      <w:pPr>
        <w:pStyle w:val="BodyText"/>
      </w:pPr>
      <w:r>
        <w:t xml:space="preserve">The difference in </w:t>
      </w:r>
      <w:r w:rsidR="002F52A4">
        <w:t xml:space="preserve">observed and counterfactual </w:t>
      </w:r>
      <w:r w:rsidR="00422B1B">
        <w:t xml:space="preserve">water use </w:t>
      </w:r>
      <w:r w:rsidR="005E16E2">
        <w:t xml:space="preserve">at the Victorian level is borne fully by </w:t>
      </w:r>
      <w:r w:rsidR="005E16E2" w:rsidRPr="005E16E2">
        <w:t>GMW district customers</w:t>
      </w:r>
      <w:r w:rsidR="005E16E2">
        <w:t xml:space="preserve"> </w:t>
      </w:r>
      <w:r w:rsidR="00692486">
        <w:t>(</w:t>
      </w:r>
      <w:r w:rsidR="00692486">
        <w:fldChar w:fldCharType="begin"/>
      </w:r>
      <w:r w:rsidR="00692486">
        <w:instrText xml:space="preserve"> REF _Ref109564658 \h </w:instrText>
      </w:r>
      <w:r w:rsidR="00692486">
        <w:fldChar w:fldCharType="separate"/>
      </w:r>
      <w:r w:rsidR="00D4298A">
        <w:rPr>
          <w:rStyle w:val="Bold"/>
        </w:rPr>
        <w:t xml:space="preserve">Figure </w:t>
      </w:r>
      <w:r w:rsidR="00D4298A">
        <w:rPr>
          <w:rStyle w:val="Bold"/>
          <w:noProof/>
        </w:rPr>
        <w:t>20</w:t>
      </w:r>
      <w:r w:rsidR="00692486">
        <w:fldChar w:fldCharType="end"/>
      </w:r>
      <w:r w:rsidR="00692486">
        <w:t>)</w:t>
      </w:r>
      <w:r w:rsidR="005E16E2">
        <w:t>— because</w:t>
      </w:r>
      <w:r w:rsidR="00692486">
        <w:t xml:space="preserve"> </w:t>
      </w:r>
      <w:r w:rsidR="00A2153D">
        <w:t>horticultural water use is assumed to be the same as it would be without the Basin Plan</w:t>
      </w:r>
      <w:r w:rsidR="003923ED">
        <w:t xml:space="preserve"> water recovery programs</w:t>
      </w:r>
      <w:r w:rsidR="005C3415">
        <w:t>.</w:t>
      </w:r>
      <w:r w:rsidR="00A2153D">
        <w:t xml:space="preserve"> </w:t>
      </w:r>
      <w:r w:rsidR="005C3415">
        <w:t>T</w:t>
      </w:r>
      <w:r w:rsidR="00A2153D">
        <w:t xml:space="preserve">he </w:t>
      </w:r>
      <w:r w:rsidR="005C3415">
        <w:t>expected increase</w:t>
      </w:r>
      <w:r w:rsidR="006C40E2">
        <w:t>d</w:t>
      </w:r>
      <w:r w:rsidR="005C3415">
        <w:t xml:space="preserve"> water use in the </w:t>
      </w:r>
      <w:r w:rsidR="00A2153D">
        <w:t xml:space="preserve">counterfactual would have been expressed entirely through extra water use by GMW </w:t>
      </w:r>
      <w:r w:rsidR="005755E7">
        <w:t xml:space="preserve">district </w:t>
      </w:r>
      <w:r w:rsidR="00A2153D">
        <w:t xml:space="preserve">customers. </w:t>
      </w:r>
    </w:p>
    <w:p w14:paraId="76F4E9A0" w14:textId="24266E38" w:rsidR="00A2153D" w:rsidRDefault="00A2153D" w:rsidP="00A2153D">
      <w:pPr>
        <w:pStyle w:val="BodyText"/>
      </w:pPr>
      <w:r>
        <w:t>Given the incidence of the change in water use is on irrigators in the GMW districts, the difference between observed and counterfactual water use is large. For example, in 2020-21 and 2021-22 the observed water use has been 924–9</w:t>
      </w:r>
      <w:r w:rsidR="00BE3726">
        <w:t>5</w:t>
      </w:r>
      <w:r>
        <w:t>3GL as compared to an expected counterfactual of 1351–14</w:t>
      </w:r>
      <w:r w:rsidR="00E15B00">
        <w:t>38</w:t>
      </w:r>
      <w:r>
        <w:t>GL — in the order of 50% more than observed.</w:t>
      </w:r>
    </w:p>
    <w:p w14:paraId="2CB39F07" w14:textId="77777777" w:rsidR="00A2153D" w:rsidRDefault="00A2153D" w:rsidP="00A2153D">
      <w:pPr>
        <w:pStyle w:val="BodyText"/>
      </w:pPr>
      <w:r>
        <w:t>Overall, the analysis found that water use in the GMW districts could be expected to have been about 50% higher in recent years (2018-19 to 2021-22).</w:t>
      </w:r>
    </w:p>
    <w:p w14:paraId="01E8ABC9" w14:textId="77777777" w:rsidR="00A2153D" w:rsidRDefault="00A2153D" w:rsidP="00A2153D">
      <w:pPr>
        <w:pStyle w:val="BodyText"/>
      </w:pPr>
    </w:p>
    <w:p w14:paraId="5612E222" w14:textId="0341B9D1" w:rsidR="00A2153D" w:rsidRDefault="00A2153D" w:rsidP="00A2153D">
      <w:pPr>
        <w:pStyle w:val="Caption"/>
      </w:pPr>
      <w:bookmarkStart w:id="162" w:name="_Ref110253555"/>
      <w:bookmarkStart w:id="163" w:name="_Toc110262416"/>
      <w:bookmarkStart w:id="164" w:name="_Toc113621698"/>
      <w:r>
        <w:rPr>
          <w:rStyle w:val="Bold"/>
        </w:rPr>
        <w:lastRenderedPageBreak/>
        <w:t xml:space="preserve">Table </w:t>
      </w:r>
      <w:r>
        <w:fldChar w:fldCharType="begin"/>
      </w:r>
      <w:r>
        <w:rPr>
          <w:rStyle w:val="Bold"/>
        </w:rPr>
        <w:instrText xml:space="preserve"> SEQ Table \* ARABIC </w:instrText>
      </w:r>
      <w:r>
        <w:fldChar w:fldCharType="separate"/>
      </w:r>
      <w:r w:rsidR="00D4298A">
        <w:rPr>
          <w:rStyle w:val="Bold"/>
          <w:noProof/>
        </w:rPr>
        <w:t>11</w:t>
      </w:r>
      <w:r>
        <w:fldChar w:fldCharType="end"/>
      </w:r>
      <w:bookmarkEnd w:id="162"/>
      <w:r>
        <w:rPr>
          <w:rStyle w:val="Bold"/>
        </w:rPr>
        <w:t>:</w:t>
      </w:r>
      <w:r>
        <w:t xml:space="preserve"> Observed and counterfactual water use, 2004-05 to 2014-15 (Victoria)</w:t>
      </w:r>
      <w:bookmarkEnd w:id="163"/>
      <w:bookmarkEnd w:id="164"/>
    </w:p>
    <w:tbl>
      <w:tblPr>
        <w:tblStyle w:val="FETableStyle"/>
        <w:tblW w:w="5001" w:type="pct"/>
        <w:tblLook w:val="0420" w:firstRow="1" w:lastRow="0" w:firstColumn="0" w:lastColumn="0" w:noHBand="0" w:noVBand="1"/>
      </w:tblPr>
      <w:tblGrid>
        <w:gridCol w:w="1789"/>
        <w:gridCol w:w="910"/>
        <w:gridCol w:w="910"/>
        <w:gridCol w:w="911"/>
        <w:gridCol w:w="910"/>
        <w:gridCol w:w="910"/>
        <w:gridCol w:w="911"/>
        <w:gridCol w:w="910"/>
        <w:gridCol w:w="911"/>
      </w:tblGrid>
      <w:tr w:rsidR="00A2153D" w14:paraId="2555329A" w14:textId="77777777" w:rsidTr="00A2153D">
        <w:trPr>
          <w:cnfStyle w:val="100000000000" w:firstRow="1" w:lastRow="0" w:firstColumn="0" w:lastColumn="0" w:oddVBand="0" w:evenVBand="0" w:oddHBand="0" w:evenHBand="0" w:firstRowFirstColumn="0" w:firstRowLastColumn="0" w:lastRowFirstColumn="0" w:lastRowLastColumn="0"/>
        </w:trPr>
        <w:tc>
          <w:tcPr>
            <w:tcW w:w="1789" w:type="dxa"/>
            <w:tcBorders>
              <w:top w:val="nil"/>
              <w:left w:val="nil"/>
              <w:bottom w:val="nil"/>
              <w:right w:val="nil"/>
            </w:tcBorders>
          </w:tcPr>
          <w:p w14:paraId="2D7A2153" w14:textId="77777777" w:rsidR="00A2153D" w:rsidRDefault="00A2153D">
            <w:pPr>
              <w:pStyle w:val="TableHeading"/>
              <w:rPr>
                <w:b/>
              </w:rPr>
            </w:pPr>
          </w:p>
        </w:tc>
        <w:tc>
          <w:tcPr>
            <w:tcW w:w="910" w:type="dxa"/>
            <w:tcBorders>
              <w:top w:val="nil"/>
              <w:left w:val="nil"/>
              <w:bottom w:val="nil"/>
              <w:right w:val="nil"/>
            </w:tcBorders>
            <w:vAlign w:val="top"/>
            <w:hideMark/>
          </w:tcPr>
          <w:p w14:paraId="415D3802" w14:textId="77777777" w:rsidR="00A2153D" w:rsidRDefault="00A2153D">
            <w:pPr>
              <w:pStyle w:val="TableHeading"/>
              <w:jc w:val="right"/>
              <w:rPr>
                <w:b/>
                <w:bCs/>
              </w:rPr>
            </w:pPr>
            <w:r>
              <w:rPr>
                <w:b/>
                <w:bCs/>
              </w:rPr>
              <w:t>2004-05</w:t>
            </w:r>
          </w:p>
        </w:tc>
        <w:tc>
          <w:tcPr>
            <w:tcW w:w="910" w:type="dxa"/>
            <w:tcBorders>
              <w:top w:val="nil"/>
              <w:left w:val="nil"/>
              <w:bottom w:val="nil"/>
              <w:right w:val="nil"/>
            </w:tcBorders>
            <w:vAlign w:val="top"/>
            <w:hideMark/>
          </w:tcPr>
          <w:p w14:paraId="303A69D0" w14:textId="77777777" w:rsidR="00A2153D" w:rsidRDefault="00A2153D">
            <w:pPr>
              <w:pStyle w:val="TableHeading"/>
              <w:jc w:val="right"/>
              <w:rPr>
                <w:b/>
                <w:bCs/>
              </w:rPr>
            </w:pPr>
            <w:r>
              <w:rPr>
                <w:b/>
                <w:bCs/>
              </w:rPr>
              <w:t>2008-09</w:t>
            </w:r>
          </w:p>
        </w:tc>
        <w:tc>
          <w:tcPr>
            <w:tcW w:w="911" w:type="dxa"/>
            <w:tcBorders>
              <w:top w:val="nil"/>
              <w:left w:val="nil"/>
              <w:bottom w:val="nil"/>
              <w:right w:val="nil"/>
            </w:tcBorders>
            <w:vAlign w:val="top"/>
            <w:hideMark/>
          </w:tcPr>
          <w:p w14:paraId="4BFA162C" w14:textId="77777777" w:rsidR="00A2153D" w:rsidRDefault="00A2153D">
            <w:pPr>
              <w:pStyle w:val="TableHeading"/>
              <w:jc w:val="right"/>
              <w:rPr>
                <w:b/>
                <w:bCs/>
              </w:rPr>
            </w:pPr>
            <w:r>
              <w:rPr>
                <w:b/>
                <w:bCs/>
              </w:rPr>
              <w:t>2009-10</w:t>
            </w:r>
          </w:p>
        </w:tc>
        <w:tc>
          <w:tcPr>
            <w:tcW w:w="910" w:type="dxa"/>
            <w:tcBorders>
              <w:top w:val="nil"/>
              <w:left w:val="nil"/>
              <w:bottom w:val="nil"/>
              <w:right w:val="nil"/>
            </w:tcBorders>
            <w:vAlign w:val="top"/>
            <w:hideMark/>
          </w:tcPr>
          <w:p w14:paraId="54316602" w14:textId="77777777" w:rsidR="00A2153D" w:rsidRDefault="00A2153D">
            <w:pPr>
              <w:pStyle w:val="TableHeading"/>
              <w:jc w:val="right"/>
              <w:rPr>
                <w:b/>
                <w:bCs/>
              </w:rPr>
            </w:pPr>
            <w:r>
              <w:rPr>
                <w:b/>
                <w:bCs/>
              </w:rPr>
              <w:t>2010-11</w:t>
            </w:r>
          </w:p>
        </w:tc>
        <w:tc>
          <w:tcPr>
            <w:tcW w:w="910" w:type="dxa"/>
            <w:tcBorders>
              <w:top w:val="nil"/>
              <w:left w:val="nil"/>
              <w:bottom w:val="nil"/>
              <w:right w:val="nil"/>
            </w:tcBorders>
            <w:vAlign w:val="top"/>
            <w:hideMark/>
          </w:tcPr>
          <w:p w14:paraId="06233445" w14:textId="77777777" w:rsidR="00A2153D" w:rsidRDefault="00A2153D">
            <w:pPr>
              <w:pStyle w:val="TableHeading"/>
              <w:jc w:val="right"/>
              <w:rPr>
                <w:b/>
                <w:bCs/>
              </w:rPr>
            </w:pPr>
            <w:r>
              <w:rPr>
                <w:b/>
                <w:bCs/>
              </w:rPr>
              <w:t>2011-12</w:t>
            </w:r>
          </w:p>
        </w:tc>
        <w:tc>
          <w:tcPr>
            <w:tcW w:w="911" w:type="dxa"/>
            <w:tcBorders>
              <w:top w:val="nil"/>
              <w:left w:val="nil"/>
              <w:bottom w:val="nil"/>
              <w:right w:val="nil"/>
            </w:tcBorders>
            <w:vAlign w:val="top"/>
            <w:hideMark/>
          </w:tcPr>
          <w:p w14:paraId="0F98F0DE" w14:textId="77777777" w:rsidR="00A2153D" w:rsidRDefault="00A2153D">
            <w:pPr>
              <w:pStyle w:val="TableHeading"/>
              <w:jc w:val="right"/>
              <w:rPr>
                <w:b/>
                <w:bCs/>
              </w:rPr>
            </w:pPr>
            <w:r>
              <w:rPr>
                <w:b/>
                <w:bCs/>
              </w:rPr>
              <w:t>2012-13</w:t>
            </w:r>
          </w:p>
        </w:tc>
        <w:tc>
          <w:tcPr>
            <w:tcW w:w="910" w:type="dxa"/>
            <w:tcBorders>
              <w:top w:val="nil"/>
              <w:left w:val="nil"/>
              <w:bottom w:val="nil"/>
              <w:right w:val="nil"/>
            </w:tcBorders>
            <w:vAlign w:val="top"/>
            <w:hideMark/>
          </w:tcPr>
          <w:p w14:paraId="795D3828" w14:textId="77777777" w:rsidR="00A2153D" w:rsidRDefault="00A2153D">
            <w:pPr>
              <w:pStyle w:val="TableHeading"/>
              <w:jc w:val="right"/>
              <w:rPr>
                <w:b/>
                <w:bCs/>
              </w:rPr>
            </w:pPr>
            <w:r>
              <w:rPr>
                <w:b/>
                <w:bCs/>
              </w:rPr>
              <w:t>2013-14</w:t>
            </w:r>
          </w:p>
        </w:tc>
        <w:tc>
          <w:tcPr>
            <w:tcW w:w="911" w:type="dxa"/>
            <w:tcBorders>
              <w:top w:val="nil"/>
              <w:left w:val="nil"/>
              <w:bottom w:val="nil"/>
              <w:right w:val="nil"/>
            </w:tcBorders>
            <w:vAlign w:val="top"/>
            <w:hideMark/>
          </w:tcPr>
          <w:p w14:paraId="084049A0" w14:textId="77777777" w:rsidR="00A2153D" w:rsidRDefault="00A2153D">
            <w:pPr>
              <w:pStyle w:val="TableHeading"/>
              <w:jc w:val="right"/>
              <w:rPr>
                <w:b/>
                <w:bCs/>
              </w:rPr>
            </w:pPr>
            <w:r>
              <w:rPr>
                <w:b/>
                <w:bCs/>
              </w:rPr>
              <w:t>2014-15</w:t>
            </w:r>
          </w:p>
        </w:tc>
      </w:tr>
      <w:tr w:rsidR="00A2153D" w14:paraId="3D9B38F1" w14:textId="77777777" w:rsidTr="00A2153D">
        <w:trPr>
          <w:cnfStyle w:val="000000100000" w:firstRow="0" w:lastRow="0" w:firstColumn="0" w:lastColumn="0" w:oddVBand="0" w:evenVBand="0" w:oddHBand="1" w:evenHBand="0" w:firstRowFirstColumn="0" w:firstRowLastColumn="0" w:lastRowFirstColumn="0" w:lastRowLastColumn="0"/>
        </w:trPr>
        <w:tc>
          <w:tcPr>
            <w:tcW w:w="1789" w:type="dxa"/>
            <w:hideMark/>
          </w:tcPr>
          <w:p w14:paraId="50830F9E" w14:textId="77777777" w:rsidR="00A2153D" w:rsidRDefault="00A2153D">
            <w:pPr>
              <w:pStyle w:val="TableText"/>
            </w:pPr>
            <w:r>
              <w:t>Observed water use (GL)</w:t>
            </w:r>
          </w:p>
        </w:tc>
        <w:tc>
          <w:tcPr>
            <w:tcW w:w="910" w:type="dxa"/>
            <w:hideMark/>
          </w:tcPr>
          <w:p w14:paraId="4EFAF9CA" w14:textId="77777777" w:rsidR="00A2153D" w:rsidRDefault="00A2153D">
            <w:pPr>
              <w:pStyle w:val="TableText"/>
              <w:jc w:val="right"/>
            </w:pPr>
            <w:r>
              <w:t>2,150</w:t>
            </w:r>
          </w:p>
        </w:tc>
        <w:tc>
          <w:tcPr>
            <w:tcW w:w="910" w:type="dxa"/>
            <w:hideMark/>
          </w:tcPr>
          <w:p w14:paraId="0D4D889D" w14:textId="77777777" w:rsidR="00A2153D" w:rsidRDefault="00A2153D">
            <w:pPr>
              <w:pStyle w:val="TableText"/>
              <w:jc w:val="right"/>
            </w:pPr>
            <w:r>
              <w:t>924</w:t>
            </w:r>
          </w:p>
        </w:tc>
        <w:tc>
          <w:tcPr>
            <w:tcW w:w="911" w:type="dxa"/>
            <w:hideMark/>
          </w:tcPr>
          <w:p w14:paraId="727E946C" w14:textId="77777777" w:rsidR="00A2153D" w:rsidRDefault="00A2153D">
            <w:pPr>
              <w:pStyle w:val="TableText"/>
              <w:jc w:val="right"/>
            </w:pPr>
            <w:r>
              <w:t>1,135</w:t>
            </w:r>
          </w:p>
        </w:tc>
        <w:tc>
          <w:tcPr>
            <w:tcW w:w="910" w:type="dxa"/>
            <w:hideMark/>
          </w:tcPr>
          <w:p w14:paraId="7D10E592" w14:textId="77777777" w:rsidR="00A2153D" w:rsidRDefault="00A2153D">
            <w:pPr>
              <w:pStyle w:val="TableText"/>
              <w:jc w:val="right"/>
            </w:pPr>
            <w:r>
              <w:t>751</w:t>
            </w:r>
          </w:p>
        </w:tc>
        <w:tc>
          <w:tcPr>
            <w:tcW w:w="910" w:type="dxa"/>
            <w:hideMark/>
          </w:tcPr>
          <w:p w14:paraId="0C441970" w14:textId="77777777" w:rsidR="00A2153D" w:rsidRDefault="00A2153D">
            <w:pPr>
              <w:pStyle w:val="TableText"/>
              <w:jc w:val="right"/>
            </w:pPr>
            <w:r>
              <w:t>1,731</w:t>
            </w:r>
          </w:p>
        </w:tc>
        <w:tc>
          <w:tcPr>
            <w:tcW w:w="911" w:type="dxa"/>
            <w:hideMark/>
          </w:tcPr>
          <w:p w14:paraId="2B9099DB" w14:textId="77777777" w:rsidR="00A2153D" w:rsidRDefault="00A2153D">
            <w:pPr>
              <w:pStyle w:val="TableText"/>
              <w:jc w:val="right"/>
            </w:pPr>
            <w:r>
              <w:t>2,402</w:t>
            </w:r>
          </w:p>
        </w:tc>
        <w:tc>
          <w:tcPr>
            <w:tcW w:w="910" w:type="dxa"/>
            <w:hideMark/>
          </w:tcPr>
          <w:p w14:paraId="656B3AED" w14:textId="77777777" w:rsidR="00A2153D" w:rsidRDefault="00A2153D">
            <w:pPr>
              <w:pStyle w:val="TableText"/>
              <w:jc w:val="right"/>
            </w:pPr>
            <w:r>
              <w:t>1,857</w:t>
            </w:r>
          </w:p>
        </w:tc>
        <w:tc>
          <w:tcPr>
            <w:tcW w:w="911" w:type="dxa"/>
            <w:hideMark/>
          </w:tcPr>
          <w:p w14:paraId="5DC0842A" w14:textId="77777777" w:rsidR="00A2153D" w:rsidRDefault="00A2153D">
            <w:pPr>
              <w:pStyle w:val="TableText"/>
              <w:jc w:val="right"/>
            </w:pPr>
            <w:r>
              <w:t>2,033</w:t>
            </w:r>
          </w:p>
        </w:tc>
      </w:tr>
      <w:tr w:rsidR="00A2153D" w14:paraId="0BCE8883" w14:textId="77777777" w:rsidTr="00A2153D">
        <w:trPr>
          <w:cnfStyle w:val="000000010000" w:firstRow="0" w:lastRow="0" w:firstColumn="0" w:lastColumn="0" w:oddVBand="0" w:evenVBand="0" w:oddHBand="0" w:evenHBand="1" w:firstRowFirstColumn="0" w:firstRowLastColumn="0" w:lastRowFirstColumn="0" w:lastRowLastColumn="0"/>
        </w:trPr>
        <w:tc>
          <w:tcPr>
            <w:tcW w:w="1789" w:type="dxa"/>
            <w:tcBorders>
              <w:top w:val="nil"/>
              <w:left w:val="nil"/>
              <w:right w:val="nil"/>
            </w:tcBorders>
            <w:hideMark/>
          </w:tcPr>
          <w:p w14:paraId="06E44ECB" w14:textId="77777777" w:rsidR="00A2153D" w:rsidRDefault="00A2153D">
            <w:pPr>
              <w:pStyle w:val="TableText"/>
            </w:pPr>
            <w:r>
              <w:t>Allocation to buyback (GL)</w:t>
            </w:r>
          </w:p>
        </w:tc>
        <w:tc>
          <w:tcPr>
            <w:tcW w:w="910" w:type="dxa"/>
            <w:tcBorders>
              <w:top w:val="nil"/>
              <w:left w:val="nil"/>
              <w:right w:val="nil"/>
            </w:tcBorders>
            <w:hideMark/>
          </w:tcPr>
          <w:p w14:paraId="7FAF8208" w14:textId="77777777" w:rsidR="00A2153D" w:rsidRDefault="00A2153D">
            <w:pPr>
              <w:pStyle w:val="TableText"/>
              <w:jc w:val="right"/>
            </w:pPr>
            <w:r>
              <w:t>0</w:t>
            </w:r>
          </w:p>
        </w:tc>
        <w:tc>
          <w:tcPr>
            <w:tcW w:w="910" w:type="dxa"/>
            <w:tcBorders>
              <w:top w:val="nil"/>
              <w:left w:val="nil"/>
              <w:right w:val="nil"/>
            </w:tcBorders>
            <w:hideMark/>
          </w:tcPr>
          <w:p w14:paraId="0B1C6745" w14:textId="77777777" w:rsidR="00A2153D" w:rsidRDefault="00A2153D">
            <w:pPr>
              <w:pStyle w:val="TableText"/>
              <w:jc w:val="right"/>
            </w:pPr>
            <w:r>
              <w:t>2</w:t>
            </w:r>
          </w:p>
        </w:tc>
        <w:tc>
          <w:tcPr>
            <w:tcW w:w="911" w:type="dxa"/>
            <w:tcBorders>
              <w:top w:val="nil"/>
              <w:left w:val="nil"/>
              <w:right w:val="nil"/>
            </w:tcBorders>
            <w:hideMark/>
          </w:tcPr>
          <w:p w14:paraId="5BB26701" w14:textId="77777777" w:rsidR="00A2153D" w:rsidRDefault="00A2153D">
            <w:pPr>
              <w:pStyle w:val="TableText"/>
              <w:jc w:val="right"/>
            </w:pPr>
            <w:r>
              <w:t>80</w:t>
            </w:r>
          </w:p>
        </w:tc>
        <w:tc>
          <w:tcPr>
            <w:tcW w:w="910" w:type="dxa"/>
            <w:tcBorders>
              <w:top w:val="nil"/>
              <w:left w:val="nil"/>
              <w:right w:val="nil"/>
            </w:tcBorders>
            <w:hideMark/>
          </w:tcPr>
          <w:p w14:paraId="66268041" w14:textId="77777777" w:rsidR="00A2153D" w:rsidRDefault="00A2153D">
            <w:pPr>
              <w:pStyle w:val="TableText"/>
              <w:jc w:val="right"/>
            </w:pPr>
            <w:r>
              <w:t>219</w:t>
            </w:r>
          </w:p>
        </w:tc>
        <w:tc>
          <w:tcPr>
            <w:tcW w:w="910" w:type="dxa"/>
            <w:tcBorders>
              <w:top w:val="nil"/>
              <w:left w:val="nil"/>
              <w:right w:val="nil"/>
            </w:tcBorders>
            <w:hideMark/>
          </w:tcPr>
          <w:p w14:paraId="6E133738" w14:textId="77777777" w:rsidR="00A2153D" w:rsidRDefault="00A2153D">
            <w:pPr>
              <w:pStyle w:val="TableText"/>
              <w:jc w:val="right"/>
            </w:pPr>
            <w:r>
              <w:t>340</w:t>
            </w:r>
          </w:p>
        </w:tc>
        <w:tc>
          <w:tcPr>
            <w:tcW w:w="911" w:type="dxa"/>
            <w:tcBorders>
              <w:top w:val="nil"/>
              <w:left w:val="nil"/>
              <w:right w:val="nil"/>
            </w:tcBorders>
            <w:hideMark/>
          </w:tcPr>
          <w:p w14:paraId="723A57FA" w14:textId="77777777" w:rsidR="00A2153D" w:rsidRDefault="00A2153D">
            <w:pPr>
              <w:pStyle w:val="TableText"/>
              <w:jc w:val="right"/>
            </w:pPr>
            <w:r>
              <w:t>516</w:t>
            </w:r>
          </w:p>
        </w:tc>
        <w:tc>
          <w:tcPr>
            <w:tcW w:w="910" w:type="dxa"/>
            <w:tcBorders>
              <w:top w:val="nil"/>
              <w:left w:val="nil"/>
              <w:right w:val="nil"/>
            </w:tcBorders>
            <w:hideMark/>
          </w:tcPr>
          <w:p w14:paraId="434DFCBE" w14:textId="77777777" w:rsidR="00A2153D" w:rsidRDefault="00A2153D">
            <w:pPr>
              <w:pStyle w:val="TableText"/>
              <w:jc w:val="right"/>
            </w:pPr>
            <w:r>
              <w:t>517</w:t>
            </w:r>
          </w:p>
        </w:tc>
        <w:tc>
          <w:tcPr>
            <w:tcW w:w="911" w:type="dxa"/>
            <w:tcBorders>
              <w:top w:val="nil"/>
              <w:left w:val="nil"/>
              <w:right w:val="nil"/>
            </w:tcBorders>
            <w:hideMark/>
          </w:tcPr>
          <w:p w14:paraId="21E5E6A8" w14:textId="77777777" w:rsidR="00A2153D" w:rsidRDefault="00A2153D">
            <w:pPr>
              <w:pStyle w:val="TableText"/>
              <w:jc w:val="right"/>
            </w:pPr>
            <w:r>
              <w:t>518</w:t>
            </w:r>
          </w:p>
        </w:tc>
      </w:tr>
      <w:tr w:rsidR="00A2153D" w14:paraId="1878AC5A" w14:textId="77777777" w:rsidTr="00A2153D">
        <w:trPr>
          <w:cnfStyle w:val="000000100000" w:firstRow="0" w:lastRow="0" w:firstColumn="0" w:lastColumn="0" w:oddVBand="0" w:evenVBand="0" w:oddHBand="1" w:evenHBand="0" w:firstRowFirstColumn="0" w:firstRowLastColumn="0" w:lastRowFirstColumn="0" w:lastRowLastColumn="0"/>
        </w:trPr>
        <w:tc>
          <w:tcPr>
            <w:tcW w:w="1789" w:type="dxa"/>
            <w:hideMark/>
          </w:tcPr>
          <w:p w14:paraId="0D57B607" w14:textId="77777777" w:rsidR="00A2153D" w:rsidRDefault="00A2153D">
            <w:pPr>
              <w:pStyle w:val="TableText"/>
            </w:pPr>
            <w:r>
              <w:t>Change to net trade (GL)</w:t>
            </w:r>
          </w:p>
        </w:tc>
        <w:tc>
          <w:tcPr>
            <w:tcW w:w="910" w:type="dxa"/>
            <w:hideMark/>
          </w:tcPr>
          <w:p w14:paraId="78EED300" w14:textId="77777777" w:rsidR="00A2153D" w:rsidRDefault="00A2153D">
            <w:pPr>
              <w:pStyle w:val="TableText"/>
              <w:jc w:val="right"/>
            </w:pPr>
            <w:r>
              <w:t>0.0</w:t>
            </w:r>
          </w:p>
        </w:tc>
        <w:tc>
          <w:tcPr>
            <w:tcW w:w="910" w:type="dxa"/>
            <w:hideMark/>
          </w:tcPr>
          <w:p w14:paraId="7D21AA7F" w14:textId="77777777" w:rsidR="00A2153D" w:rsidRDefault="00A2153D">
            <w:pPr>
              <w:pStyle w:val="TableText"/>
              <w:jc w:val="right"/>
            </w:pPr>
            <w:r>
              <w:t>-0.5</w:t>
            </w:r>
          </w:p>
        </w:tc>
        <w:tc>
          <w:tcPr>
            <w:tcW w:w="911" w:type="dxa"/>
            <w:hideMark/>
          </w:tcPr>
          <w:p w14:paraId="0F96C1F3" w14:textId="77777777" w:rsidR="00A2153D" w:rsidRDefault="00A2153D">
            <w:pPr>
              <w:pStyle w:val="TableText"/>
              <w:jc w:val="right"/>
            </w:pPr>
            <w:r>
              <w:t>-4.6</w:t>
            </w:r>
          </w:p>
        </w:tc>
        <w:tc>
          <w:tcPr>
            <w:tcW w:w="910" w:type="dxa"/>
            <w:hideMark/>
          </w:tcPr>
          <w:p w14:paraId="259B4BD7" w14:textId="77777777" w:rsidR="00A2153D" w:rsidRDefault="00A2153D">
            <w:pPr>
              <w:pStyle w:val="TableText"/>
              <w:jc w:val="right"/>
            </w:pPr>
            <w:r>
              <w:t>-71.5</w:t>
            </w:r>
          </w:p>
        </w:tc>
        <w:tc>
          <w:tcPr>
            <w:tcW w:w="910" w:type="dxa"/>
            <w:hideMark/>
          </w:tcPr>
          <w:p w14:paraId="51B9324C" w14:textId="77777777" w:rsidR="00A2153D" w:rsidRDefault="00A2153D">
            <w:pPr>
              <w:pStyle w:val="TableText"/>
              <w:jc w:val="right"/>
            </w:pPr>
            <w:r>
              <w:t>1.6</w:t>
            </w:r>
          </w:p>
        </w:tc>
        <w:tc>
          <w:tcPr>
            <w:tcW w:w="911" w:type="dxa"/>
            <w:hideMark/>
          </w:tcPr>
          <w:p w14:paraId="48CB7A7B" w14:textId="77777777" w:rsidR="00A2153D" w:rsidRDefault="00A2153D">
            <w:pPr>
              <w:pStyle w:val="TableText"/>
              <w:jc w:val="right"/>
            </w:pPr>
            <w:r>
              <w:t>31.4</w:t>
            </w:r>
          </w:p>
        </w:tc>
        <w:tc>
          <w:tcPr>
            <w:tcW w:w="910" w:type="dxa"/>
            <w:hideMark/>
          </w:tcPr>
          <w:p w14:paraId="4126979A" w14:textId="77777777" w:rsidR="00A2153D" w:rsidRDefault="00A2153D">
            <w:pPr>
              <w:pStyle w:val="TableText"/>
              <w:jc w:val="right"/>
            </w:pPr>
            <w:r>
              <w:t>-54.0</w:t>
            </w:r>
          </w:p>
        </w:tc>
        <w:tc>
          <w:tcPr>
            <w:tcW w:w="911" w:type="dxa"/>
            <w:hideMark/>
          </w:tcPr>
          <w:p w14:paraId="0092BD66" w14:textId="77777777" w:rsidR="00A2153D" w:rsidRDefault="00A2153D">
            <w:pPr>
              <w:pStyle w:val="TableText"/>
              <w:jc w:val="right"/>
            </w:pPr>
            <w:r>
              <w:t>-15.3</w:t>
            </w:r>
          </w:p>
        </w:tc>
      </w:tr>
      <w:tr w:rsidR="00A2153D" w14:paraId="07955EFF" w14:textId="77777777" w:rsidTr="00A2153D">
        <w:trPr>
          <w:cnfStyle w:val="000000010000" w:firstRow="0" w:lastRow="0" w:firstColumn="0" w:lastColumn="0" w:oddVBand="0" w:evenVBand="0" w:oddHBand="0" w:evenHBand="1" w:firstRowFirstColumn="0" w:firstRowLastColumn="0" w:lastRowFirstColumn="0" w:lastRowLastColumn="0"/>
        </w:trPr>
        <w:tc>
          <w:tcPr>
            <w:tcW w:w="1789" w:type="dxa"/>
            <w:tcBorders>
              <w:top w:val="nil"/>
              <w:left w:val="nil"/>
              <w:right w:val="nil"/>
            </w:tcBorders>
            <w:hideMark/>
          </w:tcPr>
          <w:p w14:paraId="6878B84F" w14:textId="77777777" w:rsidR="00A2153D" w:rsidRDefault="00A2153D">
            <w:pPr>
              <w:pStyle w:val="TableText"/>
            </w:pPr>
            <w:r>
              <w:t>Counter-factual water use (GL)</w:t>
            </w:r>
          </w:p>
        </w:tc>
        <w:tc>
          <w:tcPr>
            <w:tcW w:w="910" w:type="dxa"/>
            <w:tcBorders>
              <w:top w:val="nil"/>
              <w:left w:val="nil"/>
              <w:right w:val="nil"/>
            </w:tcBorders>
            <w:hideMark/>
          </w:tcPr>
          <w:p w14:paraId="7A439C34" w14:textId="77777777" w:rsidR="00A2153D" w:rsidRDefault="00A2153D">
            <w:pPr>
              <w:pStyle w:val="TableText"/>
              <w:jc w:val="right"/>
            </w:pPr>
            <w:r>
              <w:t>2,150</w:t>
            </w:r>
          </w:p>
        </w:tc>
        <w:tc>
          <w:tcPr>
            <w:tcW w:w="910" w:type="dxa"/>
            <w:tcBorders>
              <w:top w:val="nil"/>
              <w:left w:val="nil"/>
              <w:right w:val="nil"/>
            </w:tcBorders>
            <w:hideMark/>
          </w:tcPr>
          <w:p w14:paraId="0ECC75D3" w14:textId="77777777" w:rsidR="00A2153D" w:rsidRDefault="00A2153D">
            <w:pPr>
              <w:pStyle w:val="TableText"/>
              <w:jc w:val="right"/>
            </w:pPr>
            <w:r>
              <w:t>926</w:t>
            </w:r>
          </w:p>
        </w:tc>
        <w:tc>
          <w:tcPr>
            <w:tcW w:w="911" w:type="dxa"/>
            <w:tcBorders>
              <w:top w:val="nil"/>
              <w:left w:val="nil"/>
              <w:right w:val="nil"/>
            </w:tcBorders>
            <w:hideMark/>
          </w:tcPr>
          <w:p w14:paraId="54D0C7BD" w14:textId="77777777" w:rsidR="00A2153D" w:rsidRDefault="00A2153D">
            <w:pPr>
              <w:pStyle w:val="TableText"/>
              <w:jc w:val="right"/>
            </w:pPr>
            <w:r>
              <w:t>1,210</w:t>
            </w:r>
          </w:p>
        </w:tc>
        <w:tc>
          <w:tcPr>
            <w:tcW w:w="910" w:type="dxa"/>
            <w:tcBorders>
              <w:top w:val="nil"/>
              <w:left w:val="nil"/>
              <w:right w:val="nil"/>
            </w:tcBorders>
            <w:hideMark/>
          </w:tcPr>
          <w:p w14:paraId="688B7E51" w14:textId="77777777" w:rsidR="00A2153D" w:rsidRDefault="00A2153D">
            <w:pPr>
              <w:pStyle w:val="TableText"/>
              <w:jc w:val="right"/>
            </w:pPr>
            <w:r>
              <w:t>899</w:t>
            </w:r>
          </w:p>
        </w:tc>
        <w:tc>
          <w:tcPr>
            <w:tcW w:w="910" w:type="dxa"/>
            <w:tcBorders>
              <w:top w:val="nil"/>
              <w:left w:val="nil"/>
              <w:right w:val="nil"/>
            </w:tcBorders>
            <w:hideMark/>
          </w:tcPr>
          <w:p w14:paraId="4A79CF67" w14:textId="77777777" w:rsidR="00A2153D" w:rsidRDefault="00A2153D">
            <w:pPr>
              <w:pStyle w:val="TableText"/>
              <w:jc w:val="right"/>
            </w:pPr>
            <w:r>
              <w:t>2,073</w:t>
            </w:r>
          </w:p>
        </w:tc>
        <w:tc>
          <w:tcPr>
            <w:tcW w:w="911" w:type="dxa"/>
            <w:tcBorders>
              <w:top w:val="nil"/>
              <w:left w:val="nil"/>
              <w:right w:val="nil"/>
            </w:tcBorders>
            <w:hideMark/>
          </w:tcPr>
          <w:p w14:paraId="3E16846D" w14:textId="77777777" w:rsidR="00A2153D" w:rsidRDefault="00A2153D">
            <w:pPr>
              <w:pStyle w:val="TableText"/>
              <w:jc w:val="right"/>
            </w:pPr>
            <w:r>
              <w:t>2,950</w:t>
            </w:r>
          </w:p>
        </w:tc>
        <w:tc>
          <w:tcPr>
            <w:tcW w:w="910" w:type="dxa"/>
            <w:tcBorders>
              <w:top w:val="nil"/>
              <w:left w:val="nil"/>
              <w:right w:val="nil"/>
            </w:tcBorders>
            <w:hideMark/>
          </w:tcPr>
          <w:p w14:paraId="00E3138E" w14:textId="77777777" w:rsidR="00A2153D" w:rsidRDefault="00A2153D">
            <w:pPr>
              <w:pStyle w:val="TableText"/>
              <w:jc w:val="right"/>
            </w:pPr>
            <w:r>
              <w:t>2,320</w:t>
            </w:r>
          </w:p>
        </w:tc>
        <w:tc>
          <w:tcPr>
            <w:tcW w:w="911" w:type="dxa"/>
            <w:tcBorders>
              <w:top w:val="nil"/>
              <w:left w:val="nil"/>
              <w:right w:val="nil"/>
            </w:tcBorders>
            <w:hideMark/>
          </w:tcPr>
          <w:p w14:paraId="2271ECC7" w14:textId="77777777" w:rsidR="00A2153D" w:rsidRDefault="00A2153D">
            <w:pPr>
              <w:pStyle w:val="TableText"/>
              <w:jc w:val="right"/>
            </w:pPr>
            <w:r>
              <w:t>2,535</w:t>
            </w:r>
          </w:p>
        </w:tc>
      </w:tr>
      <w:tr w:rsidR="00A2153D" w14:paraId="47D43756" w14:textId="77777777" w:rsidTr="00A2153D">
        <w:trPr>
          <w:cnfStyle w:val="000000100000" w:firstRow="0" w:lastRow="0" w:firstColumn="0" w:lastColumn="0" w:oddVBand="0" w:evenVBand="0" w:oddHBand="1" w:evenHBand="0" w:firstRowFirstColumn="0" w:firstRowLastColumn="0" w:lastRowFirstColumn="0" w:lastRowLastColumn="0"/>
        </w:trPr>
        <w:tc>
          <w:tcPr>
            <w:tcW w:w="1789" w:type="dxa"/>
            <w:hideMark/>
          </w:tcPr>
          <w:p w14:paraId="086A0D4E" w14:textId="77777777" w:rsidR="00A2153D" w:rsidRDefault="00A2153D">
            <w:pPr>
              <w:pStyle w:val="TableText"/>
            </w:pPr>
            <w:r>
              <w:t>Difference in water use (GL)</w:t>
            </w:r>
          </w:p>
        </w:tc>
        <w:tc>
          <w:tcPr>
            <w:tcW w:w="910" w:type="dxa"/>
            <w:hideMark/>
          </w:tcPr>
          <w:p w14:paraId="678D2F0E" w14:textId="77777777" w:rsidR="00A2153D" w:rsidRDefault="00A2153D">
            <w:pPr>
              <w:pStyle w:val="TableText"/>
              <w:jc w:val="right"/>
            </w:pPr>
            <w:r>
              <w:t>0</w:t>
            </w:r>
          </w:p>
        </w:tc>
        <w:tc>
          <w:tcPr>
            <w:tcW w:w="910" w:type="dxa"/>
            <w:hideMark/>
          </w:tcPr>
          <w:p w14:paraId="2E5319BF" w14:textId="77777777" w:rsidR="00A2153D" w:rsidRDefault="00A2153D">
            <w:pPr>
              <w:pStyle w:val="TableText"/>
              <w:jc w:val="right"/>
            </w:pPr>
            <w:r>
              <w:t>-2</w:t>
            </w:r>
          </w:p>
        </w:tc>
        <w:tc>
          <w:tcPr>
            <w:tcW w:w="911" w:type="dxa"/>
            <w:hideMark/>
          </w:tcPr>
          <w:p w14:paraId="450F7486" w14:textId="77777777" w:rsidR="00A2153D" w:rsidRDefault="00A2153D">
            <w:pPr>
              <w:pStyle w:val="TableText"/>
              <w:jc w:val="right"/>
            </w:pPr>
            <w:r>
              <w:t>-75</w:t>
            </w:r>
          </w:p>
        </w:tc>
        <w:tc>
          <w:tcPr>
            <w:tcW w:w="910" w:type="dxa"/>
            <w:hideMark/>
          </w:tcPr>
          <w:p w14:paraId="7CF62519" w14:textId="77777777" w:rsidR="00A2153D" w:rsidRDefault="00A2153D">
            <w:pPr>
              <w:pStyle w:val="TableText"/>
              <w:jc w:val="right"/>
            </w:pPr>
            <w:r>
              <w:t>-148</w:t>
            </w:r>
          </w:p>
        </w:tc>
        <w:tc>
          <w:tcPr>
            <w:tcW w:w="910" w:type="dxa"/>
            <w:hideMark/>
          </w:tcPr>
          <w:p w14:paraId="09FA29EB" w14:textId="77777777" w:rsidR="00A2153D" w:rsidRDefault="00A2153D">
            <w:pPr>
              <w:pStyle w:val="TableText"/>
              <w:jc w:val="right"/>
            </w:pPr>
            <w:r>
              <w:t>-342</w:t>
            </w:r>
          </w:p>
        </w:tc>
        <w:tc>
          <w:tcPr>
            <w:tcW w:w="911" w:type="dxa"/>
            <w:hideMark/>
          </w:tcPr>
          <w:p w14:paraId="5D26DD55" w14:textId="77777777" w:rsidR="00A2153D" w:rsidRDefault="00A2153D">
            <w:pPr>
              <w:pStyle w:val="TableText"/>
              <w:jc w:val="right"/>
            </w:pPr>
            <w:r>
              <w:t>-548</w:t>
            </w:r>
          </w:p>
        </w:tc>
        <w:tc>
          <w:tcPr>
            <w:tcW w:w="910" w:type="dxa"/>
            <w:hideMark/>
          </w:tcPr>
          <w:p w14:paraId="3705F23A" w14:textId="77777777" w:rsidR="00A2153D" w:rsidRDefault="00A2153D">
            <w:pPr>
              <w:pStyle w:val="TableText"/>
              <w:jc w:val="right"/>
            </w:pPr>
            <w:r>
              <w:t>-463</w:t>
            </w:r>
          </w:p>
        </w:tc>
        <w:tc>
          <w:tcPr>
            <w:tcW w:w="911" w:type="dxa"/>
            <w:hideMark/>
          </w:tcPr>
          <w:p w14:paraId="7A2A6792" w14:textId="77777777" w:rsidR="00A2153D" w:rsidRDefault="00A2153D">
            <w:pPr>
              <w:pStyle w:val="TableText"/>
              <w:jc w:val="right"/>
            </w:pPr>
            <w:r>
              <w:t>-502</w:t>
            </w:r>
          </w:p>
        </w:tc>
      </w:tr>
    </w:tbl>
    <w:p w14:paraId="335BBC47" w14:textId="77777777" w:rsidR="00A2153D" w:rsidRDefault="00A2153D" w:rsidP="00A2153D">
      <w:pPr>
        <w:spacing w:after="320"/>
        <w:rPr>
          <w:i/>
          <w:color w:val="9BA1A5"/>
          <w:sz w:val="16"/>
          <w:szCs w:val="16"/>
        </w:rPr>
      </w:pPr>
      <w:r>
        <w:rPr>
          <w:i/>
          <w:color w:val="9BA1A5"/>
          <w:sz w:val="16"/>
          <w:szCs w:val="16"/>
        </w:rPr>
        <w:t>Source: TCA &amp; FE 2017, Table 5.</w:t>
      </w:r>
    </w:p>
    <w:p w14:paraId="6152C80F" w14:textId="77777777" w:rsidR="00A2153D" w:rsidRDefault="00A2153D" w:rsidP="00A2153D">
      <w:pPr>
        <w:pStyle w:val="BodyText"/>
      </w:pPr>
    </w:p>
    <w:p w14:paraId="3FD1C03D" w14:textId="64F9F131" w:rsidR="00A2153D" w:rsidRDefault="00A2153D" w:rsidP="00A2153D">
      <w:pPr>
        <w:pStyle w:val="Caption"/>
      </w:pPr>
      <w:bookmarkStart w:id="165" w:name="_Ref110253565"/>
      <w:bookmarkStart w:id="166" w:name="_Ref109564568"/>
      <w:bookmarkStart w:id="167" w:name="_Toc104933279"/>
      <w:bookmarkStart w:id="168" w:name="_Toc110262417"/>
      <w:bookmarkStart w:id="169" w:name="_Toc113621699"/>
      <w:r>
        <w:rPr>
          <w:rStyle w:val="Bold"/>
        </w:rPr>
        <w:t xml:space="preserve">Table </w:t>
      </w:r>
      <w:r>
        <w:fldChar w:fldCharType="begin"/>
      </w:r>
      <w:r>
        <w:rPr>
          <w:rStyle w:val="Bold"/>
        </w:rPr>
        <w:instrText xml:space="preserve"> SEQ Table \* ARABIC </w:instrText>
      </w:r>
      <w:r>
        <w:fldChar w:fldCharType="separate"/>
      </w:r>
      <w:r w:rsidR="00D4298A">
        <w:rPr>
          <w:rStyle w:val="Bold"/>
          <w:noProof/>
        </w:rPr>
        <w:t>12</w:t>
      </w:r>
      <w:r>
        <w:fldChar w:fldCharType="end"/>
      </w:r>
      <w:bookmarkEnd w:id="165"/>
      <w:r>
        <w:rPr>
          <w:rStyle w:val="Bold"/>
        </w:rPr>
        <w:t>:</w:t>
      </w:r>
      <w:r>
        <w:t xml:space="preserve"> </w:t>
      </w:r>
      <w:bookmarkEnd w:id="166"/>
      <w:r>
        <w:t>Observed and counterfactual water use, 2015-16 to 2021-22</w:t>
      </w:r>
      <w:bookmarkEnd w:id="167"/>
      <w:r>
        <w:t xml:space="preserve"> (Victoria)</w:t>
      </w:r>
      <w:bookmarkEnd w:id="168"/>
      <w:bookmarkEnd w:id="169"/>
    </w:p>
    <w:tbl>
      <w:tblPr>
        <w:tblStyle w:val="FETableStyle"/>
        <w:tblW w:w="5001" w:type="pct"/>
        <w:tblLook w:val="0420" w:firstRow="1" w:lastRow="0" w:firstColumn="0" w:lastColumn="0" w:noHBand="0" w:noVBand="1"/>
      </w:tblPr>
      <w:tblGrid>
        <w:gridCol w:w="1789"/>
        <w:gridCol w:w="1040"/>
        <w:gridCol w:w="1040"/>
        <w:gridCol w:w="1041"/>
        <w:gridCol w:w="1040"/>
        <w:gridCol w:w="1041"/>
        <w:gridCol w:w="1040"/>
        <w:gridCol w:w="1041"/>
      </w:tblGrid>
      <w:tr w:rsidR="00A2153D" w14:paraId="0EAB685F" w14:textId="77777777" w:rsidTr="00A2153D">
        <w:trPr>
          <w:cnfStyle w:val="100000000000" w:firstRow="1" w:lastRow="0" w:firstColumn="0" w:lastColumn="0" w:oddVBand="0" w:evenVBand="0" w:oddHBand="0" w:evenHBand="0" w:firstRowFirstColumn="0" w:firstRowLastColumn="0" w:lastRowFirstColumn="0" w:lastRowLastColumn="0"/>
        </w:trPr>
        <w:tc>
          <w:tcPr>
            <w:tcW w:w="1789" w:type="dxa"/>
            <w:tcBorders>
              <w:top w:val="nil"/>
              <w:left w:val="nil"/>
              <w:bottom w:val="nil"/>
              <w:right w:val="nil"/>
            </w:tcBorders>
          </w:tcPr>
          <w:p w14:paraId="6CC8C75D" w14:textId="77777777" w:rsidR="00A2153D" w:rsidRDefault="00A2153D">
            <w:pPr>
              <w:pStyle w:val="TableHeading"/>
              <w:rPr>
                <w:b/>
              </w:rPr>
            </w:pPr>
          </w:p>
        </w:tc>
        <w:tc>
          <w:tcPr>
            <w:tcW w:w="1040" w:type="dxa"/>
            <w:tcBorders>
              <w:top w:val="nil"/>
              <w:left w:val="nil"/>
              <w:bottom w:val="nil"/>
              <w:right w:val="nil"/>
            </w:tcBorders>
            <w:vAlign w:val="top"/>
            <w:hideMark/>
          </w:tcPr>
          <w:p w14:paraId="6D952781" w14:textId="77777777" w:rsidR="00A2153D" w:rsidRDefault="00A2153D">
            <w:pPr>
              <w:pStyle w:val="TableHeading"/>
              <w:jc w:val="right"/>
              <w:rPr>
                <w:b/>
                <w:bCs/>
              </w:rPr>
            </w:pPr>
            <w:r>
              <w:rPr>
                <w:b/>
                <w:bCs/>
              </w:rPr>
              <w:t>2015-16</w:t>
            </w:r>
          </w:p>
        </w:tc>
        <w:tc>
          <w:tcPr>
            <w:tcW w:w="1040" w:type="dxa"/>
            <w:tcBorders>
              <w:top w:val="nil"/>
              <w:left w:val="nil"/>
              <w:bottom w:val="nil"/>
              <w:right w:val="nil"/>
            </w:tcBorders>
            <w:vAlign w:val="top"/>
            <w:hideMark/>
          </w:tcPr>
          <w:p w14:paraId="0E196F49" w14:textId="77777777" w:rsidR="00A2153D" w:rsidRDefault="00A2153D">
            <w:pPr>
              <w:pStyle w:val="TableHeading"/>
              <w:jc w:val="right"/>
              <w:rPr>
                <w:b/>
                <w:bCs/>
              </w:rPr>
            </w:pPr>
            <w:r>
              <w:rPr>
                <w:b/>
                <w:bCs/>
              </w:rPr>
              <w:t>2016-17</w:t>
            </w:r>
          </w:p>
        </w:tc>
        <w:tc>
          <w:tcPr>
            <w:tcW w:w="1041" w:type="dxa"/>
            <w:tcBorders>
              <w:top w:val="nil"/>
              <w:left w:val="nil"/>
              <w:bottom w:val="nil"/>
              <w:right w:val="nil"/>
            </w:tcBorders>
            <w:vAlign w:val="top"/>
            <w:hideMark/>
          </w:tcPr>
          <w:p w14:paraId="00CEFAE5" w14:textId="77777777" w:rsidR="00A2153D" w:rsidRDefault="00A2153D">
            <w:pPr>
              <w:pStyle w:val="TableHeading"/>
              <w:jc w:val="right"/>
              <w:rPr>
                <w:b/>
                <w:bCs/>
              </w:rPr>
            </w:pPr>
            <w:r>
              <w:rPr>
                <w:b/>
                <w:bCs/>
              </w:rPr>
              <w:t>2017-18</w:t>
            </w:r>
          </w:p>
        </w:tc>
        <w:tc>
          <w:tcPr>
            <w:tcW w:w="1040" w:type="dxa"/>
            <w:tcBorders>
              <w:top w:val="nil"/>
              <w:left w:val="nil"/>
              <w:bottom w:val="nil"/>
              <w:right w:val="nil"/>
            </w:tcBorders>
            <w:vAlign w:val="top"/>
            <w:hideMark/>
          </w:tcPr>
          <w:p w14:paraId="1F7BDF96" w14:textId="77777777" w:rsidR="00A2153D" w:rsidRDefault="00A2153D">
            <w:pPr>
              <w:pStyle w:val="TableHeading"/>
              <w:jc w:val="right"/>
              <w:rPr>
                <w:b/>
                <w:bCs/>
              </w:rPr>
            </w:pPr>
            <w:r>
              <w:rPr>
                <w:b/>
                <w:bCs/>
              </w:rPr>
              <w:t>2018-19</w:t>
            </w:r>
          </w:p>
        </w:tc>
        <w:tc>
          <w:tcPr>
            <w:tcW w:w="1041" w:type="dxa"/>
            <w:tcBorders>
              <w:top w:val="nil"/>
              <w:left w:val="nil"/>
              <w:bottom w:val="nil"/>
              <w:right w:val="nil"/>
            </w:tcBorders>
            <w:vAlign w:val="top"/>
            <w:hideMark/>
          </w:tcPr>
          <w:p w14:paraId="6E3D4067" w14:textId="77777777" w:rsidR="00A2153D" w:rsidRDefault="00A2153D">
            <w:pPr>
              <w:pStyle w:val="TableHeading"/>
              <w:jc w:val="right"/>
              <w:rPr>
                <w:b/>
                <w:bCs/>
              </w:rPr>
            </w:pPr>
            <w:r>
              <w:rPr>
                <w:b/>
                <w:bCs/>
              </w:rPr>
              <w:t>2019-20</w:t>
            </w:r>
          </w:p>
        </w:tc>
        <w:tc>
          <w:tcPr>
            <w:tcW w:w="1040" w:type="dxa"/>
            <w:tcBorders>
              <w:top w:val="nil"/>
              <w:left w:val="nil"/>
              <w:bottom w:val="nil"/>
              <w:right w:val="nil"/>
            </w:tcBorders>
            <w:vAlign w:val="top"/>
            <w:hideMark/>
          </w:tcPr>
          <w:p w14:paraId="3EDC9CA0" w14:textId="77777777" w:rsidR="00A2153D" w:rsidRDefault="00A2153D">
            <w:pPr>
              <w:pStyle w:val="TableHeading"/>
              <w:jc w:val="right"/>
              <w:rPr>
                <w:b/>
                <w:bCs/>
              </w:rPr>
            </w:pPr>
            <w:r>
              <w:rPr>
                <w:b/>
                <w:bCs/>
              </w:rPr>
              <w:t>2020-21</w:t>
            </w:r>
          </w:p>
        </w:tc>
        <w:tc>
          <w:tcPr>
            <w:tcW w:w="1041" w:type="dxa"/>
            <w:tcBorders>
              <w:top w:val="nil"/>
              <w:left w:val="nil"/>
              <w:bottom w:val="nil"/>
              <w:right w:val="nil"/>
            </w:tcBorders>
            <w:vAlign w:val="top"/>
            <w:hideMark/>
          </w:tcPr>
          <w:p w14:paraId="30718942" w14:textId="77777777" w:rsidR="00A2153D" w:rsidRDefault="00A2153D">
            <w:pPr>
              <w:pStyle w:val="TableHeading"/>
              <w:jc w:val="right"/>
              <w:rPr>
                <w:b/>
                <w:bCs/>
              </w:rPr>
            </w:pPr>
            <w:r>
              <w:rPr>
                <w:b/>
                <w:bCs/>
              </w:rPr>
              <w:t>2021-22</w:t>
            </w:r>
          </w:p>
        </w:tc>
      </w:tr>
      <w:tr w:rsidR="00EF1712" w14:paraId="002F58E9" w14:textId="77777777" w:rsidTr="00134EF4">
        <w:trPr>
          <w:cnfStyle w:val="000000100000" w:firstRow="0" w:lastRow="0" w:firstColumn="0" w:lastColumn="0" w:oddVBand="0" w:evenVBand="0" w:oddHBand="1" w:evenHBand="0" w:firstRowFirstColumn="0" w:firstRowLastColumn="0" w:lastRowFirstColumn="0" w:lastRowLastColumn="0"/>
        </w:trPr>
        <w:tc>
          <w:tcPr>
            <w:tcW w:w="1789" w:type="dxa"/>
            <w:hideMark/>
          </w:tcPr>
          <w:p w14:paraId="60CFAB3F" w14:textId="77777777" w:rsidR="00EF1712" w:rsidRDefault="00EF1712" w:rsidP="00EF1712">
            <w:pPr>
              <w:pStyle w:val="TableText"/>
            </w:pPr>
            <w:r>
              <w:t>Observed water use (GL)</w:t>
            </w:r>
          </w:p>
        </w:tc>
        <w:tc>
          <w:tcPr>
            <w:tcW w:w="1040" w:type="dxa"/>
            <w:hideMark/>
          </w:tcPr>
          <w:p w14:paraId="19E98C92" w14:textId="77777777" w:rsidR="00EF1712" w:rsidRDefault="00EF1712" w:rsidP="00EF1712">
            <w:pPr>
              <w:pStyle w:val="TableText"/>
              <w:jc w:val="right"/>
            </w:pPr>
            <w:r>
              <w:t>1,733</w:t>
            </w:r>
          </w:p>
        </w:tc>
        <w:tc>
          <w:tcPr>
            <w:tcW w:w="1040" w:type="dxa"/>
            <w:hideMark/>
          </w:tcPr>
          <w:p w14:paraId="2FC27A1B" w14:textId="77777777" w:rsidR="00EF1712" w:rsidRDefault="00EF1712" w:rsidP="00EF1712">
            <w:pPr>
              <w:pStyle w:val="TableText"/>
              <w:jc w:val="right"/>
            </w:pPr>
            <w:r>
              <w:t>1,412</w:t>
            </w:r>
          </w:p>
        </w:tc>
        <w:tc>
          <w:tcPr>
            <w:tcW w:w="1041" w:type="dxa"/>
            <w:hideMark/>
          </w:tcPr>
          <w:p w14:paraId="52D33912" w14:textId="77777777" w:rsidR="00EF1712" w:rsidRDefault="00EF1712" w:rsidP="00EF1712">
            <w:pPr>
              <w:pStyle w:val="TableText"/>
              <w:jc w:val="right"/>
            </w:pPr>
            <w:r>
              <w:t>1,971</w:t>
            </w:r>
          </w:p>
        </w:tc>
        <w:tc>
          <w:tcPr>
            <w:tcW w:w="1040" w:type="dxa"/>
            <w:hideMark/>
          </w:tcPr>
          <w:p w14:paraId="0C414A86" w14:textId="5EF01172" w:rsidR="00EF1712" w:rsidRDefault="00EF1712" w:rsidP="00EF1712">
            <w:pPr>
              <w:pStyle w:val="TableText"/>
              <w:jc w:val="right"/>
            </w:pPr>
            <w:r w:rsidRPr="00B044A5">
              <w:t>1,757</w:t>
            </w:r>
          </w:p>
        </w:tc>
        <w:tc>
          <w:tcPr>
            <w:tcW w:w="1041" w:type="dxa"/>
            <w:hideMark/>
          </w:tcPr>
          <w:p w14:paraId="3FD4A822" w14:textId="6007126B" w:rsidR="00EF1712" w:rsidRDefault="00EF1712" w:rsidP="00EF1712">
            <w:pPr>
              <w:pStyle w:val="TableText"/>
              <w:jc w:val="right"/>
            </w:pPr>
            <w:r w:rsidRPr="00B044A5">
              <w:t>1,116</w:t>
            </w:r>
          </w:p>
        </w:tc>
        <w:tc>
          <w:tcPr>
            <w:tcW w:w="1040" w:type="dxa"/>
            <w:hideMark/>
          </w:tcPr>
          <w:p w14:paraId="5C42F5B2" w14:textId="4A4890F2" w:rsidR="00EF1712" w:rsidRDefault="00EF1712" w:rsidP="00EF1712">
            <w:pPr>
              <w:pStyle w:val="TableText"/>
              <w:jc w:val="right"/>
            </w:pPr>
            <w:r w:rsidRPr="00B044A5">
              <w:t>1,534</w:t>
            </w:r>
          </w:p>
        </w:tc>
        <w:tc>
          <w:tcPr>
            <w:tcW w:w="1041" w:type="dxa"/>
            <w:hideMark/>
          </w:tcPr>
          <w:p w14:paraId="0FD8833C" w14:textId="19706F9E" w:rsidR="00EF1712" w:rsidRDefault="00EF1712" w:rsidP="00EF1712">
            <w:pPr>
              <w:pStyle w:val="TableText"/>
              <w:jc w:val="right"/>
            </w:pPr>
            <w:r w:rsidRPr="00B044A5">
              <w:t>1,565</w:t>
            </w:r>
          </w:p>
        </w:tc>
      </w:tr>
      <w:tr w:rsidR="00A2153D" w14:paraId="2C6C756C" w14:textId="77777777" w:rsidTr="00134EF4">
        <w:trPr>
          <w:cnfStyle w:val="000000010000" w:firstRow="0" w:lastRow="0" w:firstColumn="0" w:lastColumn="0" w:oddVBand="0" w:evenVBand="0" w:oddHBand="0" w:evenHBand="1" w:firstRowFirstColumn="0" w:firstRowLastColumn="0" w:lastRowFirstColumn="0" w:lastRowLastColumn="0"/>
        </w:trPr>
        <w:tc>
          <w:tcPr>
            <w:tcW w:w="1789" w:type="dxa"/>
            <w:tcBorders>
              <w:top w:val="nil"/>
              <w:left w:val="nil"/>
              <w:right w:val="nil"/>
            </w:tcBorders>
            <w:hideMark/>
          </w:tcPr>
          <w:p w14:paraId="33729A64" w14:textId="77777777" w:rsidR="00A2153D" w:rsidRDefault="00A2153D">
            <w:pPr>
              <w:pStyle w:val="TableText"/>
            </w:pPr>
            <w:r>
              <w:t>Allocation to buyback (GL)</w:t>
            </w:r>
          </w:p>
        </w:tc>
        <w:tc>
          <w:tcPr>
            <w:tcW w:w="1040" w:type="dxa"/>
            <w:tcBorders>
              <w:top w:val="nil"/>
              <w:left w:val="nil"/>
              <w:right w:val="nil"/>
            </w:tcBorders>
            <w:hideMark/>
          </w:tcPr>
          <w:p w14:paraId="4E99CD90" w14:textId="77777777" w:rsidR="00A2153D" w:rsidRDefault="00A2153D">
            <w:pPr>
              <w:pStyle w:val="TableText"/>
              <w:jc w:val="right"/>
            </w:pPr>
            <w:r>
              <w:t xml:space="preserve"> 492 </w:t>
            </w:r>
          </w:p>
        </w:tc>
        <w:tc>
          <w:tcPr>
            <w:tcW w:w="1040" w:type="dxa"/>
            <w:tcBorders>
              <w:top w:val="nil"/>
              <w:left w:val="nil"/>
              <w:right w:val="nil"/>
            </w:tcBorders>
            <w:hideMark/>
          </w:tcPr>
          <w:p w14:paraId="7D6FF05D" w14:textId="77777777" w:rsidR="00A2153D" w:rsidRDefault="00A2153D">
            <w:pPr>
              <w:pStyle w:val="TableText"/>
              <w:jc w:val="right"/>
            </w:pPr>
            <w:r>
              <w:t xml:space="preserve"> 520 </w:t>
            </w:r>
          </w:p>
        </w:tc>
        <w:tc>
          <w:tcPr>
            <w:tcW w:w="1041" w:type="dxa"/>
            <w:tcBorders>
              <w:top w:val="nil"/>
              <w:left w:val="nil"/>
              <w:right w:val="nil"/>
            </w:tcBorders>
            <w:hideMark/>
          </w:tcPr>
          <w:p w14:paraId="4A6524EF" w14:textId="77777777" w:rsidR="00A2153D" w:rsidRDefault="00A2153D">
            <w:pPr>
              <w:pStyle w:val="TableText"/>
              <w:jc w:val="right"/>
            </w:pPr>
            <w:r>
              <w:t xml:space="preserve"> 518 </w:t>
            </w:r>
          </w:p>
        </w:tc>
        <w:tc>
          <w:tcPr>
            <w:tcW w:w="1040" w:type="dxa"/>
            <w:tcBorders>
              <w:top w:val="nil"/>
              <w:left w:val="nil"/>
              <w:right w:val="nil"/>
            </w:tcBorders>
            <w:hideMark/>
          </w:tcPr>
          <w:p w14:paraId="2546B620" w14:textId="77777777" w:rsidR="00A2153D" w:rsidRDefault="00A2153D">
            <w:pPr>
              <w:pStyle w:val="TableText"/>
              <w:jc w:val="right"/>
            </w:pPr>
            <w:r>
              <w:t xml:space="preserve"> 518 </w:t>
            </w:r>
          </w:p>
        </w:tc>
        <w:tc>
          <w:tcPr>
            <w:tcW w:w="1041" w:type="dxa"/>
            <w:tcBorders>
              <w:top w:val="nil"/>
              <w:left w:val="nil"/>
              <w:right w:val="nil"/>
            </w:tcBorders>
            <w:hideMark/>
          </w:tcPr>
          <w:p w14:paraId="24C5A02D" w14:textId="77777777" w:rsidR="00A2153D" w:rsidRDefault="00A2153D">
            <w:pPr>
              <w:pStyle w:val="TableText"/>
              <w:jc w:val="right"/>
            </w:pPr>
            <w:r>
              <w:t xml:space="preserve"> 376 </w:t>
            </w:r>
          </w:p>
        </w:tc>
        <w:tc>
          <w:tcPr>
            <w:tcW w:w="1040" w:type="dxa"/>
            <w:tcBorders>
              <w:top w:val="nil"/>
              <w:left w:val="nil"/>
              <w:right w:val="nil"/>
            </w:tcBorders>
            <w:hideMark/>
          </w:tcPr>
          <w:p w14:paraId="4C9E9AD0" w14:textId="77777777" w:rsidR="00A2153D" w:rsidRDefault="00A2153D">
            <w:pPr>
              <w:pStyle w:val="TableText"/>
              <w:jc w:val="right"/>
            </w:pPr>
            <w:r>
              <w:t xml:space="preserve"> 518 </w:t>
            </w:r>
          </w:p>
        </w:tc>
        <w:tc>
          <w:tcPr>
            <w:tcW w:w="1041" w:type="dxa"/>
            <w:tcBorders>
              <w:top w:val="nil"/>
              <w:left w:val="nil"/>
              <w:right w:val="nil"/>
            </w:tcBorders>
            <w:hideMark/>
          </w:tcPr>
          <w:p w14:paraId="7BA60DCD" w14:textId="77777777" w:rsidR="00A2153D" w:rsidRDefault="00A2153D">
            <w:pPr>
              <w:pStyle w:val="TableText"/>
              <w:jc w:val="right"/>
            </w:pPr>
            <w:r>
              <w:t xml:space="preserve"> 541 </w:t>
            </w:r>
          </w:p>
        </w:tc>
      </w:tr>
      <w:tr w:rsidR="00CB24DF" w14:paraId="663313E3" w14:textId="77777777" w:rsidTr="00134EF4">
        <w:trPr>
          <w:cnfStyle w:val="000000100000" w:firstRow="0" w:lastRow="0" w:firstColumn="0" w:lastColumn="0" w:oddVBand="0" w:evenVBand="0" w:oddHBand="1" w:evenHBand="0" w:firstRowFirstColumn="0" w:firstRowLastColumn="0" w:lastRowFirstColumn="0" w:lastRowLastColumn="0"/>
        </w:trPr>
        <w:tc>
          <w:tcPr>
            <w:tcW w:w="1789" w:type="dxa"/>
            <w:hideMark/>
          </w:tcPr>
          <w:p w14:paraId="57E18521" w14:textId="77777777" w:rsidR="00CB24DF" w:rsidRDefault="00CB24DF" w:rsidP="00CB24DF">
            <w:pPr>
              <w:pStyle w:val="TableText"/>
            </w:pPr>
            <w:r>
              <w:t>Change to net trade (GL)</w:t>
            </w:r>
          </w:p>
        </w:tc>
        <w:tc>
          <w:tcPr>
            <w:tcW w:w="1040" w:type="dxa"/>
            <w:hideMark/>
          </w:tcPr>
          <w:p w14:paraId="01BD151D" w14:textId="77777777" w:rsidR="00CB24DF" w:rsidRDefault="00CB24DF" w:rsidP="00CB24DF">
            <w:pPr>
              <w:pStyle w:val="TableText"/>
              <w:jc w:val="right"/>
            </w:pPr>
            <w:r>
              <w:t>-63.3</w:t>
            </w:r>
          </w:p>
        </w:tc>
        <w:tc>
          <w:tcPr>
            <w:tcW w:w="1040" w:type="dxa"/>
            <w:hideMark/>
          </w:tcPr>
          <w:p w14:paraId="4DDFB002" w14:textId="77777777" w:rsidR="00CB24DF" w:rsidRDefault="00CB24DF" w:rsidP="00CB24DF">
            <w:pPr>
              <w:pStyle w:val="TableText"/>
              <w:jc w:val="right"/>
            </w:pPr>
            <w:r>
              <w:t>-76.3</w:t>
            </w:r>
          </w:p>
        </w:tc>
        <w:tc>
          <w:tcPr>
            <w:tcW w:w="1041" w:type="dxa"/>
            <w:hideMark/>
          </w:tcPr>
          <w:p w14:paraId="19701898" w14:textId="77777777" w:rsidR="00CB24DF" w:rsidRDefault="00CB24DF" w:rsidP="00CB24DF">
            <w:pPr>
              <w:pStyle w:val="TableText"/>
              <w:jc w:val="right"/>
            </w:pPr>
            <w:r>
              <w:t>40.4</w:t>
            </w:r>
          </w:p>
        </w:tc>
        <w:tc>
          <w:tcPr>
            <w:tcW w:w="1040" w:type="dxa"/>
            <w:hideMark/>
          </w:tcPr>
          <w:p w14:paraId="7C6C3DDB" w14:textId="7BBCB787" w:rsidR="00CB24DF" w:rsidRDefault="00CB24DF" w:rsidP="00CB24DF">
            <w:pPr>
              <w:pStyle w:val="TableText"/>
              <w:jc w:val="right"/>
            </w:pPr>
            <w:r w:rsidRPr="00D61AB5">
              <w:t>26.8</w:t>
            </w:r>
          </w:p>
        </w:tc>
        <w:tc>
          <w:tcPr>
            <w:tcW w:w="1041" w:type="dxa"/>
            <w:hideMark/>
          </w:tcPr>
          <w:p w14:paraId="5F8DF511" w14:textId="66D87027" w:rsidR="00CB24DF" w:rsidRDefault="00CB24DF" w:rsidP="00CB24DF">
            <w:pPr>
              <w:pStyle w:val="TableText"/>
              <w:jc w:val="right"/>
            </w:pPr>
            <w:r w:rsidRPr="00D61AB5">
              <w:t>-42.1</w:t>
            </w:r>
          </w:p>
        </w:tc>
        <w:tc>
          <w:tcPr>
            <w:tcW w:w="1040" w:type="dxa"/>
            <w:hideMark/>
          </w:tcPr>
          <w:p w14:paraId="63FF666A" w14:textId="523CD463" w:rsidR="00CB24DF" w:rsidRDefault="00CB24DF" w:rsidP="00CB24DF">
            <w:pPr>
              <w:pStyle w:val="TableText"/>
              <w:jc w:val="right"/>
            </w:pPr>
            <w:r w:rsidRPr="00D61AB5">
              <w:t>-57.7</w:t>
            </w:r>
          </w:p>
        </w:tc>
        <w:tc>
          <w:tcPr>
            <w:tcW w:w="1041" w:type="dxa"/>
            <w:hideMark/>
          </w:tcPr>
          <w:p w14:paraId="5808D729" w14:textId="3A436BED" w:rsidR="00CB24DF" w:rsidRDefault="00CB24DF" w:rsidP="00CB24DF">
            <w:pPr>
              <w:pStyle w:val="TableText"/>
              <w:jc w:val="right"/>
            </w:pPr>
            <w:r w:rsidRPr="00D61AB5">
              <w:t>-20.7</w:t>
            </w:r>
          </w:p>
        </w:tc>
      </w:tr>
      <w:tr w:rsidR="00CB24DF" w14:paraId="43753864" w14:textId="77777777" w:rsidTr="00134EF4">
        <w:trPr>
          <w:cnfStyle w:val="000000010000" w:firstRow="0" w:lastRow="0" w:firstColumn="0" w:lastColumn="0" w:oddVBand="0" w:evenVBand="0" w:oddHBand="0" w:evenHBand="1" w:firstRowFirstColumn="0" w:firstRowLastColumn="0" w:lastRowFirstColumn="0" w:lastRowLastColumn="0"/>
        </w:trPr>
        <w:tc>
          <w:tcPr>
            <w:tcW w:w="1789" w:type="dxa"/>
            <w:tcBorders>
              <w:top w:val="nil"/>
              <w:left w:val="nil"/>
              <w:right w:val="nil"/>
            </w:tcBorders>
            <w:hideMark/>
          </w:tcPr>
          <w:p w14:paraId="508EDD0E" w14:textId="77777777" w:rsidR="00CB24DF" w:rsidRDefault="00CB24DF" w:rsidP="00CB24DF">
            <w:pPr>
              <w:pStyle w:val="TableText"/>
            </w:pPr>
            <w:r>
              <w:t>Counter-factual water use (GL)</w:t>
            </w:r>
          </w:p>
        </w:tc>
        <w:tc>
          <w:tcPr>
            <w:tcW w:w="1040" w:type="dxa"/>
            <w:tcBorders>
              <w:top w:val="nil"/>
              <w:left w:val="nil"/>
              <w:right w:val="nil"/>
            </w:tcBorders>
            <w:hideMark/>
          </w:tcPr>
          <w:p w14:paraId="13C34A04" w14:textId="77777777" w:rsidR="00CB24DF" w:rsidRDefault="00CB24DF" w:rsidP="00CB24DF">
            <w:pPr>
              <w:pStyle w:val="TableText"/>
              <w:jc w:val="right"/>
            </w:pPr>
            <w:r>
              <w:t>2,162</w:t>
            </w:r>
          </w:p>
        </w:tc>
        <w:tc>
          <w:tcPr>
            <w:tcW w:w="1040" w:type="dxa"/>
            <w:tcBorders>
              <w:top w:val="nil"/>
              <w:left w:val="nil"/>
              <w:right w:val="nil"/>
            </w:tcBorders>
            <w:hideMark/>
          </w:tcPr>
          <w:p w14:paraId="45FB2C75" w14:textId="77777777" w:rsidR="00CB24DF" w:rsidRDefault="00CB24DF" w:rsidP="00CB24DF">
            <w:pPr>
              <w:pStyle w:val="TableText"/>
              <w:jc w:val="right"/>
            </w:pPr>
            <w:r>
              <w:t>1,855</w:t>
            </w:r>
          </w:p>
        </w:tc>
        <w:tc>
          <w:tcPr>
            <w:tcW w:w="1041" w:type="dxa"/>
            <w:tcBorders>
              <w:top w:val="nil"/>
              <w:left w:val="nil"/>
              <w:right w:val="nil"/>
            </w:tcBorders>
            <w:hideMark/>
          </w:tcPr>
          <w:p w14:paraId="4FE55666" w14:textId="77777777" w:rsidR="00CB24DF" w:rsidRDefault="00CB24DF" w:rsidP="00CB24DF">
            <w:pPr>
              <w:pStyle w:val="TableText"/>
              <w:jc w:val="right"/>
            </w:pPr>
            <w:r>
              <w:t>2,530</w:t>
            </w:r>
          </w:p>
        </w:tc>
        <w:tc>
          <w:tcPr>
            <w:tcW w:w="1040" w:type="dxa"/>
            <w:tcBorders>
              <w:top w:val="nil"/>
              <w:left w:val="nil"/>
              <w:right w:val="nil"/>
            </w:tcBorders>
            <w:hideMark/>
          </w:tcPr>
          <w:p w14:paraId="2C30755A" w14:textId="3BC1DB76" w:rsidR="00CB24DF" w:rsidRDefault="00CB24DF" w:rsidP="00CB24DF">
            <w:pPr>
              <w:pStyle w:val="TableText"/>
              <w:jc w:val="right"/>
            </w:pPr>
            <w:r w:rsidRPr="008A4CA2">
              <w:t>2,302</w:t>
            </w:r>
          </w:p>
        </w:tc>
        <w:tc>
          <w:tcPr>
            <w:tcW w:w="1041" w:type="dxa"/>
            <w:tcBorders>
              <w:top w:val="nil"/>
              <w:left w:val="nil"/>
              <w:right w:val="nil"/>
            </w:tcBorders>
            <w:hideMark/>
          </w:tcPr>
          <w:p w14:paraId="5A12BF8E" w14:textId="6998CBDA" w:rsidR="00CB24DF" w:rsidRDefault="00CB24DF" w:rsidP="00CB24DF">
            <w:pPr>
              <w:pStyle w:val="TableText"/>
              <w:jc w:val="right"/>
            </w:pPr>
            <w:r w:rsidRPr="008A4CA2">
              <w:t>1,450</w:t>
            </w:r>
          </w:p>
        </w:tc>
        <w:tc>
          <w:tcPr>
            <w:tcW w:w="1040" w:type="dxa"/>
            <w:tcBorders>
              <w:top w:val="nil"/>
              <w:left w:val="nil"/>
              <w:right w:val="nil"/>
            </w:tcBorders>
            <w:hideMark/>
          </w:tcPr>
          <w:p w14:paraId="1C4B9DD4" w14:textId="68B2F8DC" w:rsidR="00CB24DF" w:rsidRDefault="00CB24DF" w:rsidP="00CB24DF">
            <w:pPr>
              <w:pStyle w:val="TableText"/>
              <w:jc w:val="right"/>
            </w:pPr>
            <w:r w:rsidRPr="008A4CA2">
              <w:t>1,995</w:t>
            </w:r>
          </w:p>
        </w:tc>
        <w:tc>
          <w:tcPr>
            <w:tcW w:w="1041" w:type="dxa"/>
            <w:tcBorders>
              <w:top w:val="nil"/>
              <w:left w:val="nil"/>
              <w:right w:val="nil"/>
            </w:tcBorders>
            <w:hideMark/>
          </w:tcPr>
          <w:p w14:paraId="1BF28F6E" w14:textId="2AD8514F" w:rsidR="00CB24DF" w:rsidRDefault="00CB24DF" w:rsidP="00CB24DF">
            <w:pPr>
              <w:pStyle w:val="TableText"/>
              <w:jc w:val="right"/>
            </w:pPr>
            <w:r w:rsidRPr="008A4CA2">
              <w:t>2,085</w:t>
            </w:r>
          </w:p>
        </w:tc>
      </w:tr>
      <w:tr w:rsidR="00134EF4" w14:paraId="4D5E8957" w14:textId="77777777" w:rsidTr="00134EF4">
        <w:trPr>
          <w:cnfStyle w:val="000000100000" w:firstRow="0" w:lastRow="0" w:firstColumn="0" w:lastColumn="0" w:oddVBand="0" w:evenVBand="0" w:oddHBand="1" w:evenHBand="0" w:firstRowFirstColumn="0" w:firstRowLastColumn="0" w:lastRowFirstColumn="0" w:lastRowLastColumn="0"/>
        </w:trPr>
        <w:tc>
          <w:tcPr>
            <w:tcW w:w="1789" w:type="dxa"/>
            <w:hideMark/>
          </w:tcPr>
          <w:p w14:paraId="03012E79" w14:textId="77777777" w:rsidR="00134EF4" w:rsidRDefault="00134EF4" w:rsidP="00134EF4">
            <w:pPr>
              <w:pStyle w:val="TableText"/>
            </w:pPr>
            <w:r>
              <w:t>Difference in water use (GL)</w:t>
            </w:r>
          </w:p>
        </w:tc>
        <w:tc>
          <w:tcPr>
            <w:tcW w:w="1040" w:type="dxa"/>
            <w:hideMark/>
          </w:tcPr>
          <w:p w14:paraId="5F6078C6" w14:textId="77777777" w:rsidR="00134EF4" w:rsidRDefault="00134EF4" w:rsidP="00134EF4">
            <w:pPr>
              <w:pStyle w:val="TableText"/>
              <w:jc w:val="right"/>
            </w:pPr>
            <w:r>
              <w:t>-429</w:t>
            </w:r>
          </w:p>
        </w:tc>
        <w:tc>
          <w:tcPr>
            <w:tcW w:w="1040" w:type="dxa"/>
            <w:hideMark/>
          </w:tcPr>
          <w:p w14:paraId="13063334" w14:textId="77777777" w:rsidR="00134EF4" w:rsidRDefault="00134EF4" w:rsidP="00134EF4">
            <w:pPr>
              <w:pStyle w:val="TableText"/>
              <w:jc w:val="right"/>
            </w:pPr>
            <w:r>
              <w:t>-443</w:t>
            </w:r>
          </w:p>
        </w:tc>
        <w:tc>
          <w:tcPr>
            <w:tcW w:w="1041" w:type="dxa"/>
            <w:hideMark/>
          </w:tcPr>
          <w:p w14:paraId="6FE71240" w14:textId="77777777" w:rsidR="00134EF4" w:rsidRDefault="00134EF4" w:rsidP="00134EF4">
            <w:pPr>
              <w:pStyle w:val="TableText"/>
              <w:jc w:val="right"/>
            </w:pPr>
            <w:r>
              <w:t>-559</w:t>
            </w:r>
          </w:p>
        </w:tc>
        <w:tc>
          <w:tcPr>
            <w:tcW w:w="1040" w:type="dxa"/>
            <w:hideMark/>
          </w:tcPr>
          <w:p w14:paraId="0EB42294" w14:textId="098A3594" w:rsidR="00134EF4" w:rsidRDefault="00134EF4" w:rsidP="00134EF4">
            <w:pPr>
              <w:pStyle w:val="TableText"/>
              <w:jc w:val="right"/>
            </w:pPr>
            <w:r w:rsidRPr="003B0A02">
              <w:t>-545</w:t>
            </w:r>
          </w:p>
        </w:tc>
        <w:tc>
          <w:tcPr>
            <w:tcW w:w="1041" w:type="dxa"/>
            <w:hideMark/>
          </w:tcPr>
          <w:p w14:paraId="2F9F4F06" w14:textId="33C70D7A" w:rsidR="00134EF4" w:rsidRDefault="00134EF4" w:rsidP="00134EF4">
            <w:pPr>
              <w:pStyle w:val="TableText"/>
              <w:jc w:val="right"/>
            </w:pPr>
            <w:r w:rsidRPr="003B0A02">
              <w:t>-334</w:t>
            </w:r>
          </w:p>
        </w:tc>
        <w:tc>
          <w:tcPr>
            <w:tcW w:w="1040" w:type="dxa"/>
            <w:hideMark/>
          </w:tcPr>
          <w:p w14:paraId="0DA7690F" w14:textId="5F6DF250" w:rsidR="00134EF4" w:rsidRDefault="00134EF4" w:rsidP="00134EF4">
            <w:pPr>
              <w:pStyle w:val="TableText"/>
              <w:jc w:val="right"/>
            </w:pPr>
            <w:r w:rsidRPr="003B0A02">
              <w:t>-460</w:t>
            </w:r>
          </w:p>
        </w:tc>
        <w:tc>
          <w:tcPr>
            <w:tcW w:w="1041" w:type="dxa"/>
            <w:hideMark/>
          </w:tcPr>
          <w:p w14:paraId="6A7609B0" w14:textId="4ADC253E" w:rsidR="00134EF4" w:rsidRDefault="00134EF4" w:rsidP="00134EF4">
            <w:pPr>
              <w:pStyle w:val="TableText"/>
              <w:jc w:val="right"/>
            </w:pPr>
            <w:r w:rsidRPr="003B0A02">
              <w:t>-521</w:t>
            </w:r>
          </w:p>
        </w:tc>
      </w:tr>
    </w:tbl>
    <w:p w14:paraId="3EC7B7BB" w14:textId="77777777" w:rsidR="00A2153D" w:rsidRDefault="00A2153D" w:rsidP="00A2153D">
      <w:pPr>
        <w:spacing w:after="320"/>
        <w:rPr>
          <w:color w:val="9BA1A5"/>
        </w:rPr>
      </w:pPr>
      <w:r>
        <w:rPr>
          <w:i/>
          <w:color w:val="9BA1A5"/>
          <w:sz w:val="16"/>
          <w:szCs w:val="16"/>
        </w:rPr>
        <w:t>Source: Frontier Economics analysis.</w:t>
      </w:r>
    </w:p>
    <w:p w14:paraId="0EE054B5" w14:textId="77777777" w:rsidR="00A2153D" w:rsidRDefault="00A2153D" w:rsidP="00A2153D">
      <w:pPr>
        <w:pStyle w:val="BodyText"/>
      </w:pPr>
    </w:p>
    <w:p w14:paraId="4F1E5A14" w14:textId="525493B6" w:rsidR="00A2153D" w:rsidRDefault="00A2153D" w:rsidP="00A2153D">
      <w:pPr>
        <w:pStyle w:val="Caption"/>
      </w:pPr>
      <w:bookmarkStart w:id="170" w:name="_Ref109564606"/>
      <w:bookmarkStart w:id="171" w:name="_Toc104933293"/>
      <w:bookmarkStart w:id="172" w:name="_Toc110262450"/>
      <w:bookmarkStart w:id="173" w:name="_Toc113621731"/>
      <w:r>
        <w:rPr>
          <w:rStyle w:val="Bold"/>
        </w:rPr>
        <w:lastRenderedPageBreak/>
        <w:t xml:space="preserve">Figure </w:t>
      </w:r>
      <w:r>
        <w:fldChar w:fldCharType="begin"/>
      </w:r>
      <w:r>
        <w:rPr>
          <w:rStyle w:val="Bold"/>
        </w:rPr>
        <w:instrText xml:space="preserve"> SEQ Figure \* ARABIC </w:instrText>
      </w:r>
      <w:r>
        <w:fldChar w:fldCharType="separate"/>
      </w:r>
      <w:r w:rsidR="00D4298A">
        <w:rPr>
          <w:rStyle w:val="Bold"/>
          <w:noProof/>
        </w:rPr>
        <w:t>19</w:t>
      </w:r>
      <w:r>
        <w:fldChar w:fldCharType="end"/>
      </w:r>
      <w:bookmarkEnd w:id="170"/>
      <w:r>
        <w:t>: Observed and counterfactual water use (Victoria)</w:t>
      </w:r>
      <w:bookmarkEnd w:id="171"/>
      <w:bookmarkEnd w:id="172"/>
      <w:bookmarkEnd w:id="173"/>
    </w:p>
    <w:p w14:paraId="5A727F31" w14:textId="1553ED37" w:rsidR="00A2153D" w:rsidRDefault="00134EF4" w:rsidP="00A2153D">
      <w:pPr>
        <w:pStyle w:val="Image-Page1fullwidth"/>
        <w:keepNext/>
        <w:framePr w:w="0" w:hSpace="0" w:wrap="auto" w:vAnchor="margin" w:yAlign="inline"/>
        <w:spacing w:after="0" w:line="240" w:lineRule="auto"/>
      </w:pPr>
      <w:r>
        <w:drawing>
          <wp:inline distT="0" distB="0" distL="0" distR="0" wp14:anchorId="0AACCBDF" wp14:editId="309358F3">
            <wp:extent cx="5438775" cy="3788864"/>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41465" cy="3790738"/>
                    </a:xfrm>
                    <a:prstGeom prst="rect">
                      <a:avLst/>
                    </a:prstGeom>
                    <a:noFill/>
                  </pic:spPr>
                </pic:pic>
              </a:graphicData>
            </a:graphic>
          </wp:inline>
        </w:drawing>
      </w:r>
    </w:p>
    <w:p w14:paraId="7586510A" w14:textId="77777777" w:rsidR="00A2153D" w:rsidRDefault="00A2153D" w:rsidP="00A2153D">
      <w:pPr>
        <w:pStyle w:val="Source"/>
        <w:rPr>
          <w:color w:val="9BA1A5"/>
        </w:rPr>
      </w:pPr>
      <w:r>
        <w:rPr>
          <w:color w:val="9BA1A5"/>
        </w:rPr>
        <w:t xml:space="preserve">Source: </w:t>
      </w:r>
      <w:r>
        <w:rPr>
          <w:i w:val="0"/>
          <w:color w:val="9BA1A5"/>
        </w:rPr>
        <w:t>Frontier Economics analysis.</w:t>
      </w:r>
    </w:p>
    <w:p w14:paraId="3CDFEF75" w14:textId="77777777" w:rsidR="00A2153D" w:rsidRDefault="00A2153D" w:rsidP="00A2153D">
      <w:pPr>
        <w:pStyle w:val="BodyText"/>
      </w:pPr>
    </w:p>
    <w:p w14:paraId="75F23B09" w14:textId="2D942282" w:rsidR="00A2153D" w:rsidRDefault="00A2153D" w:rsidP="00A2153D">
      <w:pPr>
        <w:pStyle w:val="Caption"/>
      </w:pPr>
      <w:bookmarkStart w:id="174" w:name="_Ref109564658"/>
      <w:bookmarkStart w:id="175" w:name="_Toc104933294"/>
      <w:bookmarkStart w:id="176" w:name="_Toc110262451"/>
      <w:bookmarkStart w:id="177" w:name="_Toc113621732"/>
      <w:r>
        <w:rPr>
          <w:rStyle w:val="Bold"/>
        </w:rPr>
        <w:t xml:space="preserve">Figure </w:t>
      </w:r>
      <w:r>
        <w:fldChar w:fldCharType="begin"/>
      </w:r>
      <w:r>
        <w:rPr>
          <w:rStyle w:val="Bold"/>
        </w:rPr>
        <w:instrText xml:space="preserve"> SEQ Figure \* ARABIC </w:instrText>
      </w:r>
      <w:r>
        <w:fldChar w:fldCharType="separate"/>
      </w:r>
      <w:r w:rsidR="00D4298A">
        <w:rPr>
          <w:rStyle w:val="Bold"/>
          <w:noProof/>
        </w:rPr>
        <w:t>20</w:t>
      </w:r>
      <w:r>
        <w:fldChar w:fldCharType="end"/>
      </w:r>
      <w:bookmarkEnd w:id="174"/>
      <w:r>
        <w:t>: Observed and counterfactual water use (GMW districts)</w:t>
      </w:r>
      <w:bookmarkEnd w:id="175"/>
      <w:bookmarkEnd w:id="176"/>
      <w:bookmarkEnd w:id="177"/>
    </w:p>
    <w:p w14:paraId="68CFB8CF" w14:textId="3401C9FC" w:rsidR="00A2153D" w:rsidRDefault="007E540C" w:rsidP="00A2153D">
      <w:pPr>
        <w:pStyle w:val="Image-Page1fullwidth"/>
        <w:keepNext/>
        <w:framePr w:w="0" w:hSpace="0" w:wrap="auto" w:vAnchor="margin" w:yAlign="inline"/>
        <w:spacing w:after="0" w:line="240" w:lineRule="auto"/>
      </w:pPr>
      <w:r>
        <w:drawing>
          <wp:inline distT="0" distB="0" distL="0" distR="0" wp14:anchorId="33FBF0BD" wp14:editId="174A1DA1">
            <wp:extent cx="5376968" cy="33051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6500" cy="3323328"/>
                    </a:xfrm>
                    <a:prstGeom prst="rect">
                      <a:avLst/>
                    </a:prstGeom>
                    <a:noFill/>
                  </pic:spPr>
                </pic:pic>
              </a:graphicData>
            </a:graphic>
          </wp:inline>
        </w:drawing>
      </w:r>
    </w:p>
    <w:p w14:paraId="03F1D6D0" w14:textId="77777777" w:rsidR="00A2153D" w:rsidRDefault="00A2153D" w:rsidP="00A2153D">
      <w:pPr>
        <w:pStyle w:val="Source"/>
        <w:rPr>
          <w:color w:val="9BA1A5"/>
        </w:rPr>
      </w:pPr>
      <w:r>
        <w:rPr>
          <w:color w:val="9BA1A5"/>
        </w:rPr>
        <w:t xml:space="preserve">Source: </w:t>
      </w:r>
      <w:r>
        <w:rPr>
          <w:i w:val="0"/>
          <w:color w:val="9BA1A5"/>
        </w:rPr>
        <w:t>Frontier Economics analysis.</w:t>
      </w:r>
    </w:p>
    <w:p w14:paraId="6FCA9578" w14:textId="77777777" w:rsidR="00A2153D" w:rsidRDefault="00A2153D" w:rsidP="00A2153D">
      <w:pPr>
        <w:pStyle w:val="BodyText"/>
      </w:pPr>
    </w:p>
    <w:p w14:paraId="49D5075E" w14:textId="77777777" w:rsidR="00A2153D" w:rsidRDefault="00A2153D" w:rsidP="00597401">
      <w:pPr>
        <w:pStyle w:val="Heading2numbered"/>
        <w:numPr>
          <w:ilvl w:val="1"/>
          <w:numId w:val="12"/>
        </w:numPr>
        <w:tabs>
          <w:tab w:val="clear" w:pos="851"/>
        </w:tabs>
        <w:ind w:left="0" w:firstLine="0"/>
      </w:pPr>
      <w:bookmarkStart w:id="178" w:name="_Toc107997230"/>
      <w:bookmarkStart w:id="179" w:name="_Toc110262395"/>
      <w:bookmarkStart w:id="180" w:name="_Toc113621664"/>
      <w:r>
        <w:t>Summing up</w:t>
      </w:r>
      <w:bookmarkEnd w:id="178"/>
      <w:bookmarkEnd w:id="179"/>
      <w:bookmarkEnd w:id="180"/>
    </w:p>
    <w:p w14:paraId="0C8874D9" w14:textId="28782E76" w:rsidR="00A2153D" w:rsidRDefault="00A2153D" w:rsidP="00A2153D">
      <w:pPr>
        <w:pStyle w:val="BodyText"/>
      </w:pPr>
      <w:r>
        <w:t xml:space="preserve">Irrigation water use in northern Victoria varied markedly over the years of this assessment (2017 to the present). Buyback commenced at the height of the Millennium Drought and finished with a La </w:t>
      </w:r>
      <w:r w:rsidR="00E855AB" w:rsidRPr="00E855AB">
        <w:t>Niña</w:t>
      </w:r>
      <w:r>
        <w:t xml:space="preserve"> year that suppressed irrigation demand and bolstered carryover volumes. High allocations combined with large stores of carryover were then able to sustain annual water use that was in excess of water entitlement volumes. And that situation continued for four years in a row.</w:t>
      </w:r>
    </w:p>
    <w:p w14:paraId="69F7582F" w14:textId="77777777" w:rsidR="00A2153D" w:rsidRDefault="00A2153D" w:rsidP="00A2153D">
      <w:pPr>
        <w:pStyle w:val="BodyText"/>
      </w:pPr>
      <w:r>
        <w:t>The buyback of entitlements has reduced the volume available for irrigation use in Victoria. Although carryover levels, water trade behaviour, and farm investment behaviour would have been different in the absence of water recovery, the logically assumed counterfactual is that irrigation water use would have been significantly higher without water recovery than the level that was observed after water recovery.</w:t>
      </w:r>
    </w:p>
    <w:p w14:paraId="45180082" w14:textId="77777777" w:rsidR="00C62401" w:rsidRDefault="00A2153D" w:rsidP="00A2153D">
      <w:pPr>
        <w:pStyle w:val="BodyText"/>
      </w:pPr>
      <w:r>
        <w:t xml:space="preserve">Regardless of where those entitlements were bought from, the contraction in irrigation water use in Victoria was manifest in the GMID. Horticulture continued to expand in the Mallee regions of NSW, South Australia, and Victoria despite water recovery from each of those areas. </w:t>
      </w:r>
    </w:p>
    <w:p w14:paraId="50FEFB7C" w14:textId="3DFED955" w:rsidR="00A2153D" w:rsidRDefault="00A2153D" w:rsidP="00A2153D">
      <w:pPr>
        <w:pStyle w:val="BodyText"/>
      </w:pPr>
      <w:r>
        <w:t>As will be explained in more detail in section 7, almost two</w:t>
      </w:r>
      <w:r w:rsidR="00667FA2">
        <w:t>-</w:t>
      </w:r>
      <w:r>
        <w:t xml:space="preserve">thirds of that expansion has occurred since 2015 — well after buybacks were completed. In the absence of the Basin Plan, water use by horticulturalists, including LMW diverters and LMW district irrigators would have been at a similar level as has been observed since the Basin Plan commenced. Water use in the </w:t>
      </w:r>
      <w:r w:rsidR="003819C7">
        <w:t xml:space="preserve">GMID </w:t>
      </w:r>
      <w:r>
        <w:t xml:space="preserve">would have been in the order of 50% higher. </w:t>
      </w:r>
    </w:p>
    <w:p w14:paraId="610299EA" w14:textId="77777777" w:rsidR="00A2153D" w:rsidRDefault="00A2153D" w:rsidP="00A2153D">
      <w:pPr>
        <w:pStyle w:val="BodyText"/>
      </w:pPr>
    </w:p>
    <w:p w14:paraId="3BD785FE" w14:textId="77777777" w:rsidR="00A2153D" w:rsidRDefault="00A2153D" w:rsidP="00597401">
      <w:pPr>
        <w:pStyle w:val="Heading1numbered"/>
        <w:numPr>
          <w:ilvl w:val="0"/>
          <w:numId w:val="12"/>
        </w:numPr>
      </w:pPr>
      <w:bookmarkStart w:id="181" w:name="_Toc107997232"/>
      <w:bookmarkStart w:id="182" w:name="_Toc110262396"/>
      <w:bookmarkStart w:id="183" w:name="_Toc113621665"/>
      <w:r>
        <w:lastRenderedPageBreak/>
        <w:t>The impacts of the Basin Plan on horticultural industries</w:t>
      </w:r>
      <w:bookmarkEnd w:id="181"/>
      <w:bookmarkEnd w:id="182"/>
      <w:bookmarkEnd w:id="183"/>
    </w:p>
    <w:p w14:paraId="563C2EE6" w14:textId="10421C16" w:rsidR="00A2153D" w:rsidRDefault="00A2153D" w:rsidP="00A2153D">
      <w:pPr>
        <w:pStyle w:val="BodyText"/>
      </w:pPr>
      <w:r>
        <w:t xml:space="preserve">Perennial horticulture has continued to expand in the southern-connected Basin despite water recovery for the environment. Horticulturalists did sell significant volumes of entitlement to the Commonwealth Government, but they continued to meet their crop’s irrigation water requirements through a mix of </w:t>
      </w:r>
      <w:r w:rsidR="00D01B26">
        <w:t xml:space="preserve">carryover, </w:t>
      </w:r>
      <w:r>
        <w:t>held water entitlements, leased water entitlements, and purchased allocations. This portfolio approach varies from one enterprise to the next, depending on their risk appetite and their targets for capital efficiency.</w:t>
      </w:r>
    </w:p>
    <w:p w14:paraId="5DE00E49" w14:textId="6D95BA08" w:rsidR="00A2153D" w:rsidRDefault="00A2153D" w:rsidP="00A2153D">
      <w:pPr>
        <w:pStyle w:val="BodyText"/>
      </w:pPr>
      <w:r>
        <w:t xml:space="preserve">Since horticultural </w:t>
      </w:r>
      <w:r w:rsidR="00940424">
        <w:t>expansion</w:t>
      </w:r>
      <w:r>
        <w:t xml:space="preserve"> has continued unabated despite the local buybacks, it follows that irrigation has reduced elsewhere – most notably in the dairy industry, which is the other industry that has traditionally relied upon allocations from high reliability entitlements. </w:t>
      </w:r>
    </w:p>
    <w:p w14:paraId="7790F376" w14:textId="0F0088F9" w:rsidR="00A2153D" w:rsidRDefault="00A2153D" w:rsidP="00A2153D">
      <w:pPr>
        <w:pStyle w:val="BodyText"/>
      </w:pPr>
      <w:r>
        <w:t>The Mallee regions of NSW, South Australia and Victoria have proven to be the favoured regions for horticultural expansion. Interviews with horticultural developers reveal that optimum temperatures and sunlight during the growing season there mean that horticulturalists can deliver premium quality fruit and nuts. In the case of citrus and table grapes, this factor means that they can service a wider range of marketing windows. They can produce varieties for early, mid, and late markets. Lower average rainfall during the harvest period means that the risks to fruit quality are lower there than they are in other parts of the Basin.</w:t>
      </w:r>
    </w:p>
    <w:p w14:paraId="229377C6" w14:textId="67F020EC" w:rsidR="00C97EFA" w:rsidRDefault="00A62613" w:rsidP="00A2153D">
      <w:pPr>
        <w:pStyle w:val="BodyText"/>
      </w:pPr>
      <w:r>
        <w:t xml:space="preserve">With the exception of wine grapes, horticultural crops are experiencing favourable commodity prices and there are proven farming systems for growing profitable crops. It is in this context that the expanding </w:t>
      </w:r>
      <w:r w:rsidR="00532073">
        <w:t>horticultural developers can out compete other water market players.</w:t>
      </w:r>
    </w:p>
    <w:p w14:paraId="0ED8FA1E" w14:textId="77777777" w:rsidR="00A2153D" w:rsidRDefault="00A2153D" w:rsidP="00A2153D">
      <w:pPr>
        <w:pStyle w:val="BodyText"/>
      </w:pPr>
      <w:r>
        <w:t xml:space="preserve">There has also been significant expansion around Griffith on the Murrumbidgee, but in general terms, trafficability after rain is better on Mallee soils than on the heavier soils of the riverine plains. This reduces costs and it reduces the risks to fruit quality. </w:t>
      </w:r>
    </w:p>
    <w:p w14:paraId="35001B4E" w14:textId="77777777" w:rsidR="00A2153D" w:rsidRDefault="00A2153D" w:rsidP="00A2153D">
      <w:pPr>
        <w:pStyle w:val="BodyText"/>
      </w:pPr>
      <w:r>
        <w:t>International companies will continue to develop new orchards, or purchase existing orchards, in Australia, given the complexity of risks surrounding water availability in the Central Valley of California, which at the moment looks worse than the situation in Australia. They look favourably on Australia’s strong water entitlement and water trade protocols.</w:t>
      </w:r>
    </w:p>
    <w:p w14:paraId="602440F9" w14:textId="7718F246" w:rsidR="00A2153D" w:rsidRDefault="00A2153D" w:rsidP="00A2153D">
      <w:pPr>
        <w:pStyle w:val="BodyText"/>
      </w:pPr>
      <w:r>
        <w:t xml:space="preserve">International companies are also conscious of counter-seasonal benefits as well as different reflections of the La </w:t>
      </w:r>
      <w:r w:rsidR="00E855AB" w:rsidRPr="00E855AB">
        <w:t xml:space="preserve">Niña </w:t>
      </w:r>
      <w:r>
        <w:t>/El Ni</w:t>
      </w:r>
      <w:r w:rsidR="00E855AB" w:rsidRPr="00E855AB">
        <w:t>ñ</w:t>
      </w:r>
      <w:r>
        <w:t>o cycle (wet conditions here versus dry conditions there and vice versa). They have demand they need to meet and being in both hemispheres helps to manage supply risks for their markets.</w:t>
      </w:r>
    </w:p>
    <w:p w14:paraId="69DD6ECA" w14:textId="1F684C30" w:rsidR="00A2153D" w:rsidRDefault="00A2153D" w:rsidP="00A2153D">
      <w:pPr>
        <w:pStyle w:val="BodyText"/>
      </w:pPr>
      <w:r>
        <w:fldChar w:fldCharType="begin"/>
      </w:r>
      <w:r>
        <w:instrText xml:space="preserve"> REF _Ref110173856 \h </w:instrText>
      </w:r>
      <w:r>
        <w:fldChar w:fldCharType="separate"/>
      </w:r>
      <w:r w:rsidR="00D4298A">
        <w:rPr>
          <w:rStyle w:val="Bold"/>
        </w:rPr>
        <w:t xml:space="preserve">Table </w:t>
      </w:r>
      <w:r w:rsidR="00D4298A">
        <w:rPr>
          <w:rStyle w:val="Bold"/>
          <w:noProof/>
        </w:rPr>
        <w:t>13</w:t>
      </w:r>
      <w:r>
        <w:fldChar w:fldCharType="end"/>
      </w:r>
      <w:r>
        <w:t xml:space="preserve"> shows the extent of the growth in horticultural plantings in the broader Lower Murray-Darling Region between 2003 and 2021. In Victoria in 2003, the dominant crop type, collectively, was grape vines. Almonds have been dominant since 2009 following an increase in plantings of 15,540 ha between 2003 and 2009 — this was the driving force of the significant net horticultural expansion had occurred in the period 2003 to 2015 (an increase of 12,500 ha).</w:t>
      </w:r>
    </w:p>
    <w:p w14:paraId="6EF02F85" w14:textId="77777777" w:rsidR="00A2153D" w:rsidRDefault="00A2153D" w:rsidP="00A2153D">
      <w:pPr>
        <w:pStyle w:val="BodyText"/>
      </w:pPr>
      <w:r>
        <w:t xml:space="preserve">The main crop type changes from 2003 to 2021 were: </w:t>
      </w:r>
    </w:p>
    <w:p w14:paraId="0F5BEFFD" w14:textId="77777777" w:rsidR="00A2153D" w:rsidRDefault="00A2153D" w:rsidP="00597401">
      <w:pPr>
        <w:pStyle w:val="ParaBullet1"/>
        <w:numPr>
          <w:ilvl w:val="0"/>
          <w:numId w:val="14"/>
        </w:numPr>
      </w:pPr>
      <w:r>
        <w:t>an increase in almond plantings of 22,250 ha, a 535% increase from 4,155 to 26,405 ha</w:t>
      </w:r>
    </w:p>
    <w:p w14:paraId="55127B53" w14:textId="77777777" w:rsidR="00A2153D" w:rsidRDefault="00A2153D" w:rsidP="00597401">
      <w:pPr>
        <w:pStyle w:val="ParaBullet1"/>
        <w:numPr>
          <w:ilvl w:val="0"/>
          <w:numId w:val="14"/>
        </w:numPr>
      </w:pPr>
      <w:r>
        <w:lastRenderedPageBreak/>
        <w:t>a decrease in wine grape plantings of 7,045 ha, a 46% decrease from 15,410 to 8,365 ha</w:t>
      </w:r>
    </w:p>
    <w:p w14:paraId="411204C1" w14:textId="77777777" w:rsidR="00A2153D" w:rsidRDefault="00A2153D" w:rsidP="00597401">
      <w:pPr>
        <w:pStyle w:val="ParaBullet1"/>
        <w:numPr>
          <w:ilvl w:val="0"/>
          <w:numId w:val="14"/>
        </w:numPr>
      </w:pPr>
      <w:r>
        <w:t>an increase in table grape plantings of 4,690 ha, a 78% increase from 6,010 to 10,700 ha</w:t>
      </w:r>
    </w:p>
    <w:p w14:paraId="6B4D45A4" w14:textId="77777777" w:rsidR="00A2153D" w:rsidRDefault="00A2153D" w:rsidP="00597401">
      <w:pPr>
        <w:pStyle w:val="ParaBullet1"/>
        <w:numPr>
          <w:ilvl w:val="0"/>
          <w:numId w:val="14"/>
        </w:numPr>
      </w:pPr>
      <w:r>
        <w:t>an increase in olive plantings of 2,990 ha, a 396% increase from 755 to 3,745 ha</w:t>
      </w:r>
    </w:p>
    <w:p w14:paraId="0E758324" w14:textId="77777777" w:rsidR="00A2153D" w:rsidRDefault="00A2153D" w:rsidP="00597401">
      <w:pPr>
        <w:pStyle w:val="ParaBullet1"/>
        <w:numPr>
          <w:ilvl w:val="0"/>
          <w:numId w:val="14"/>
        </w:numPr>
      </w:pPr>
      <w:r>
        <w:t>a decrease in dried grape plantings of 2,465 ha, a 50% decrease from 4,920 to 2,455 ha.</w:t>
      </w:r>
    </w:p>
    <w:p w14:paraId="4D34B88B" w14:textId="6C6AB6D7" w:rsidR="00A2153D" w:rsidRDefault="00A2153D" w:rsidP="00A2153D">
      <w:pPr>
        <w:pStyle w:val="BodyText"/>
      </w:pPr>
      <w:r>
        <w:t xml:space="preserve">There were changes in other crop types as well. </w:t>
      </w:r>
      <w:r>
        <w:fldChar w:fldCharType="begin"/>
      </w:r>
      <w:r>
        <w:instrText xml:space="preserve"> REF _Ref110173856 \h </w:instrText>
      </w:r>
      <w:r>
        <w:fldChar w:fldCharType="separate"/>
      </w:r>
      <w:r w:rsidR="00D4298A">
        <w:rPr>
          <w:rStyle w:val="Bold"/>
        </w:rPr>
        <w:t xml:space="preserve">Table </w:t>
      </w:r>
      <w:r w:rsidR="00D4298A">
        <w:rPr>
          <w:rStyle w:val="Bold"/>
          <w:noProof/>
        </w:rPr>
        <w:t>13</w:t>
      </w:r>
      <w:r>
        <w:fldChar w:fldCharType="end"/>
      </w:r>
      <w:r>
        <w:t xml:space="preserve"> shows that there was a net increase of permanent plantings 22,750 hectares in the Victorian part of the Lower Murray-Darling Region between 2003 and 2021. It also shows that there has been a net increase of 35,575 hectares across the entire region. </w:t>
      </w:r>
    </w:p>
    <w:p w14:paraId="7A989CBC" w14:textId="1D9CF531" w:rsidR="00A2153D" w:rsidRDefault="00A2153D" w:rsidP="00A2153D">
      <w:pPr>
        <w:pStyle w:val="BodyText"/>
      </w:pPr>
      <w:r>
        <w:fldChar w:fldCharType="begin"/>
      </w:r>
      <w:r>
        <w:instrText xml:space="preserve"> REF _Ref110173856 \h </w:instrText>
      </w:r>
      <w:r>
        <w:fldChar w:fldCharType="separate"/>
      </w:r>
      <w:r w:rsidR="00D4298A">
        <w:rPr>
          <w:rStyle w:val="Bold"/>
        </w:rPr>
        <w:t xml:space="preserve">Table </w:t>
      </w:r>
      <w:r w:rsidR="00D4298A">
        <w:rPr>
          <w:rStyle w:val="Bold"/>
          <w:noProof/>
        </w:rPr>
        <w:t>13</w:t>
      </w:r>
      <w:r>
        <w:fldChar w:fldCharType="end"/>
      </w:r>
      <w:r>
        <w:t xml:space="preserve"> also shows that since 2015, the year that the effects of water recovery were first manifest to irrigators – when allocations were low and the stores of carryover that had been built-up after the wet years of 2010-2011 and 2011-12 had largely been exhausted, permanent plantings in the region have increased by 23,040 hectares.</w:t>
      </w:r>
    </w:p>
    <w:p w14:paraId="4BC1DC3F" w14:textId="1F4FFC26" w:rsidR="00A2153D" w:rsidRDefault="00A2153D" w:rsidP="00A2153D">
      <w:pPr>
        <w:pStyle w:val="Caption"/>
      </w:pPr>
      <w:bookmarkStart w:id="184" w:name="_Ref110173856"/>
      <w:bookmarkStart w:id="185" w:name="_Toc110262418"/>
      <w:bookmarkStart w:id="186" w:name="_Toc113621700"/>
      <w:r>
        <w:rPr>
          <w:rStyle w:val="Bold"/>
        </w:rPr>
        <w:t xml:space="preserve">Table </w:t>
      </w:r>
      <w:r>
        <w:fldChar w:fldCharType="begin"/>
      </w:r>
      <w:r>
        <w:rPr>
          <w:rStyle w:val="Bold"/>
        </w:rPr>
        <w:instrText xml:space="preserve"> SEQ Table \* ARABIC </w:instrText>
      </w:r>
      <w:r>
        <w:fldChar w:fldCharType="separate"/>
      </w:r>
      <w:r w:rsidR="00D4298A">
        <w:rPr>
          <w:rStyle w:val="Bold"/>
          <w:noProof/>
        </w:rPr>
        <w:t>13</w:t>
      </w:r>
      <w:r>
        <w:fldChar w:fldCharType="end"/>
      </w:r>
      <w:bookmarkEnd w:id="184"/>
      <w:r>
        <w:rPr>
          <w:rStyle w:val="Bold"/>
        </w:rPr>
        <w:t>:</w:t>
      </w:r>
      <w:r>
        <w:t xml:space="preserve"> Change of permanent plantings areas in the Lower Murray Darling, by State</w:t>
      </w:r>
      <w:bookmarkEnd w:id="185"/>
      <w:bookmarkEnd w:id="186"/>
    </w:p>
    <w:tbl>
      <w:tblPr>
        <w:tblStyle w:val="FETableStyle"/>
        <w:tblW w:w="5000" w:type="pct"/>
        <w:tblLook w:val="0420" w:firstRow="1" w:lastRow="0" w:firstColumn="0" w:lastColumn="0" w:noHBand="0" w:noVBand="1"/>
      </w:tblPr>
      <w:tblGrid>
        <w:gridCol w:w="1132"/>
        <w:gridCol w:w="1602"/>
        <w:gridCol w:w="1056"/>
        <w:gridCol w:w="1056"/>
        <w:gridCol w:w="1056"/>
        <w:gridCol w:w="1056"/>
        <w:gridCol w:w="1056"/>
        <w:gridCol w:w="1056"/>
      </w:tblGrid>
      <w:tr w:rsidR="00A2153D" w14:paraId="538223A6" w14:textId="77777777" w:rsidTr="00A2153D">
        <w:trPr>
          <w:cnfStyle w:val="100000000000" w:firstRow="1" w:lastRow="0" w:firstColumn="0" w:lastColumn="0" w:oddVBand="0" w:evenVBand="0" w:oddHBand="0" w:evenHBand="0" w:firstRowFirstColumn="0" w:firstRowLastColumn="0" w:lastRowFirstColumn="0" w:lastRowLastColumn="0"/>
        </w:trPr>
        <w:tc>
          <w:tcPr>
            <w:tcW w:w="1132" w:type="dxa"/>
            <w:tcBorders>
              <w:top w:val="nil"/>
              <w:left w:val="nil"/>
              <w:bottom w:val="nil"/>
              <w:right w:val="nil"/>
            </w:tcBorders>
            <w:noWrap/>
            <w:hideMark/>
          </w:tcPr>
          <w:p w14:paraId="672B31C7" w14:textId="77777777" w:rsidR="00A2153D" w:rsidRDefault="00A2153D"/>
        </w:tc>
        <w:tc>
          <w:tcPr>
            <w:tcW w:w="1602" w:type="dxa"/>
            <w:tcBorders>
              <w:top w:val="nil"/>
              <w:left w:val="nil"/>
              <w:bottom w:val="nil"/>
              <w:right w:val="nil"/>
            </w:tcBorders>
            <w:noWrap/>
            <w:hideMark/>
          </w:tcPr>
          <w:p w14:paraId="7F2197C6" w14:textId="77777777" w:rsidR="00A2153D" w:rsidRDefault="00A2153D">
            <w:pPr>
              <w:spacing w:line="240" w:lineRule="auto"/>
              <w:jc w:val="left"/>
              <w:rPr>
                <w:rFonts w:ascii="AR ESSENCE" w:hAnsi="AR ESSENCE"/>
                <w:color w:val="auto"/>
                <w:lang w:eastAsia="en-AU"/>
              </w:rPr>
            </w:pPr>
          </w:p>
        </w:tc>
        <w:tc>
          <w:tcPr>
            <w:tcW w:w="1056" w:type="dxa"/>
            <w:tcBorders>
              <w:top w:val="nil"/>
              <w:left w:val="nil"/>
              <w:bottom w:val="nil"/>
              <w:right w:val="nil"/>
            </w:tcBorders>
            <w:noWrap/>
            <w:hideMark/>
          </w:tcPr>
          <w:p w14:paraId="46C88A21" w14:textId="77777777" w:rsidR="00A2153D" w:rsidRDefault="00A2153D">
            <w:pPr>
              <w:pStyle w:val="TableHeading"/>
              <w:jc w:val="right"/>
              <w:rPr>
                <w:b/>
                <w:sz w:val="18"/>
                <w:szCs w:val="18"/>
              </w:rPr>
            </w:pPr>
            <w:r>
              <w:rPr>
                <w:b/>
                <w:sz w:val="18"/>
                <w:szCs w:val="18"/>
              </w:rPr>
              <w:t>2003-09</w:t>
            </w:r>
          </w:p>
        </w:tc>
        <w:tc>
          <w:tcPr>
            <w:tcW w:w="1056" w:type="dxa"/>
            <w:tcBorders>
              <w:top w:val="nil"/>
              <w:left w:val="nil"/>
              <w:bottom w:val="nil"/>
              <w:right w:val="nil"/>
            </w:tcBorders>
            <w:noWrap/>
            <w:hideMark/>
          </w:tcPr>
          <w:p w14:paraId="1667EFEE" w14:textId="77777777" w:rsidR="00A2153D" w:rsidRDefault="00A2153D">
            <w:pPr>
              <w:pStyle w:val="TableHeading"/>
              <w:jc w:val="right"/>
              <w:rPr>
                <w:b/>
                <w:sz w:val="18"/>
                <w:szCs w:val="18"/>
              </w:rPr>
            </w:pPr>
            <w:r>
              <w:rPr>
                <w:b/>
                <w:sz w:val="18"/>
                <w:szCs w:val="18"/>
              </w:rPr>
              <w:t>2009-12</w:t>
            </w:r>
          </w:p>
        </w:tc>
        <w:tc>
          <w:tcPr>
            <w:tcW w:w="1056" w:type="dxa"/>
            <w:tcBorders>
              <w:top w:val="nil"/>
              <w:left w:val="nil"/>
              <w:bottom w:val="nil"/>
              <w:right w:val="nil"/>
            </w:tcBorders>
            <w:noWrap/>
            <w:hideMark/>
          </w:tcPr>
          <w:p w14:paraId="2C6C2C11" w14:textId="77777777" w:rsidR="00A2153D" w:rsidRDefault="00A2153D">
            <w:pPr>
              <w:pStyle w:val="TableHeading"/>
              <w:jc w:val="right"/>
              <w:rPr>
                <w:b/>
                <w:sz w:val="18"/>
                <w:szCs w:val="18"/>
              </w:rPr>
            </w:pPr>
            <w:r>
              <w:rPr>
                <w:b/>
                <w:sz w:val="18"/>
                <w:szCs w:val="18"/>
              </w:rPr>
              <w:t>2012-15</w:t>
            </w:r>
          </w:p>
        </w:tc>
        <w:tc>
          <w:tcPr>
            <w:tcW w:w="1056" w:type="dxa"/>
            <w:tcBorders>
              <w:top w:val="nil"/>
              <w:left w:val="nil"/>
              <w:bottom w:val="nil"/>
              <w:right w:val="nil"/>
            </w:tcBorders>
            <w:noWrap/>
            <w:hideMark/>
          </w:tcPr>
          <w:p w14:paraId="4CE36144" w14:textId="77777777" w:rsidR="00A2153D" w:rsidRDefault="00A2153D">
            <w:pPr>
              <w:pStyle w:val="TableHeading"/>
              <w:jc w:val="right"/>
              <w:rPr>
                <w:b/>
                <w:sz w:val="18"/>
                <w:szCs w:val="18"/>
              </w:rPr>
            </w:pPr>
            <w:r>
              <w:rPr>
                <w:b/>
                <w:sz w:val="18"/>
                <w:szCs w:val="18"/>
              </w:rPr>
              <w:t>2015-18</w:t>
            </w:r>
          </w:p>
        </w:tc>
        <w:tc>
          <w:tcPr>
            <w:tcW w:w="1056" w:type="dxa"/>
            <w:tcBorders>
              <w:top w:val="nil"/>
              <w:left w:val="nil"/>
              <w:bottom w:val="nil"/>
              <w:right w:val="nil"/>
            </w:tcBorders>
            <w:noWrap/>
            <w:hideMark/>
          </w:tcPr>
          <w:p w14:paraId="4A17466B" w14:textId="77777777" w:rsidR="00A2153D" w:rsidRDefault="00A2153D">
            <w:pPr>
              <w:pStyle w:val="TableHeading"/>
              <w:jc w:val="right"/>
              <w:rPr>
                <w:b/>
                <w:sz w:val="18"/>
                <w:szCs w:val="18"/>
              </w:rPr>
            </w:pPr>
            <w:r>
              <w:rPr>
                <w:b/>
                <w:sz w:val="18"/>
                <w:szCs w:val="18"/>
              </w:rPr>
              <w:t>2018-21</w:t>
            </w:r>
          </w:p>
        </w:tc>
        <w:tc>
          <w:tcPr>
            <w:tcW w:w="1056" w:type="dxa"/>
            <w:tcBorders>
              <w:top w:val="nil"/>
              <w:left w:val="nil"/>
              <w:bottom w:val="nil"/>
              <w:right w:val="nil"/>
            </w:tcBorders>
            <w:noWrap/>
            <w:hideMark/>
          </w:tcPr>
          <w:p w14:paraId="79F5531B" w14:textId="77777777" w:rsidR="00A2153D" w:rsidRDefault="00A2153D">
            <w:pPr>
              <w:pStyle w:val="TableHeading"/>
              <w:jc w:val="right"/>
              <w:rPr>
                <w:b/>
                <w:sz w:val="18"/>
                <w:szCs w:val="18"/>
              </w:rPr>
            </w:pPr>
            <w:r>
              <w:rPr>
                <w:b/>
                <w:sz w:val="18"/>
                <w:szCs w:val="18"/>
              </w:rPr>
              <w:t>2003-2021</w:t>
            </w:r>
          </w:p>
        </w:tc>
      </w:tr>
      <w:tr w:rsidR="00A2153D" w14:paraId="5B132A47" w14:textId="77777777" w:rsidTr="00A2153D">
        <w:trPr>
          <w:cnfStyle w:val="000000100000" w:firstRow="0" w:lastRow="0" w:firstColumn="0" w:lastColumn="0" w:oddVBand="0" w:evenVBand="0" w:oddHBand="1" w:evenHBand="0" w:firstRowFirstColumn="0" w:firstRowLastColumn="0" w:lastRowFirstColumn="0" w:lastRowLastColumn="0"/>
        </w:trPr>
        <w:tc>
          <w:tcPr>
            <w:tcW w:w="1132" w:type="dxa"/>
            <w:vMerge w:val="restart"/>
            <w:tcBorders>
              <w:bottom w:val="nil"/>
            </w:tcBorders>
            <w:noWrap/>
            <w:hideMark/>
          </w:tcPr>
          <w:p w14:paraId="429E866C" w14:textId="77777777" w:rsidR="00A2153D" w:rsidRDefault="00A2153D">
            <w:pPr>
              <w:pStyle w:val="TableText"/>
              <w:rPr>
                <w:sz w:val="18"/>
                <w:szCs w:val="18"/>
              </w:rPr>
            </w:pPr>
            <w:r>
              <w:rPr>
                <w:sz w:val="18"/>
                <w:szCs w:val="18"/>
              </w:rPr>
              <w:t>LMD Victoria</w:t>
            </w:r>
          </w:p>
        </w:tc>
        <w:tc>
          <w:tcPr>
            <w:tcW w:w="1602" w:type="dxa"/>
            <w:noWrap/>
            <w:hideMark/>
          </w:tcPr>
          <w:p w14:paraId="5697C562" w14:textId="77777777" w:rsidR="00A2153D" w:rsidRDefault="00A2153D">
            <w:pPr>
              <w:pStyle w:val="TableText"/>
              <w:rPr>
                <w:sz w:val="18"/>
                <w:szCs w:val="18"/>
              </w:rPr>
            </w:pPr>
            <w:r>
              <w:rPr>
                <w:sz w:val="18"/>
                <w:szCs w:val="18"/>
              </w:rPr>
              <w:t>Change (ha)</w:t>
            </w:r>
          </w:p>
        </w:tc>
        <w:tc>
          <w:tcPr>
            <w:tcW w:w="1056" w:type="dxa"/>
            <w:noWrap/>
            <w:hideMark/>
          </w:tcPr>
          <w:p w14:paraId="177C2CE0" w14:textId="77777777" w:rsidR="00A2153D" w:rsidRDefault="00A2153D">
            <w:pPr>
              <w:pStyle w:val="TableText"/>
              <w:jc w:val="right"/>
              <w:rPr>
                <w:sz w:val="18"/>
                <w:szCs w:val="18"/>
              </w:rPr>
            </w:pPr>
            <w:r>
              <w:rPr>
                <w:sz w:val="18"/>
                <w:szCs w:val="18"/>
              </w:rPr>
              <w:t>15,090</w:t>
            </w:r>
          </w:p>
        </w:tc>
        <w:tc>
          <w:tcPr>
            <w:tcW w:w="1056" w:type="dxa"/>
            <w:noWrap/>
            <w:hideMark/>
          </w:tcPr>
          <w:p w14:paraId="11D252E9" w14:textId="77777777" w:rsidR="00A2153D" w:rsidRDefault="00A2153D">
            <w:pPr>
              <w:pStyle w:val="TableText"/>
              <w:jc w:val="right"/>
              <w:rPr>
                <w:sz w:val="18"/>
                <w:szCs w:val="18"/>
              </w:rPr>
            </w:pPr>
            <w:r>
              <w:rPr>
                <w:sz w:val="18"/>
                <w:szCs w:val="18"/>
              </w:rPr>
              <w:t>-350</w:t>
            </w:r>
          </w:p>
        </w:tc>
        <w:tc>
          <w:tcPr>
            <w:tcW w:w="1056" w:type="dxa"/>
            <w:noWrap/>
            <w:hideMark/>
          </w:tcPr>
          <w:p w14:paraId="4CC37DB3" w14:textId="77777777" w:rsidR="00A2153D" w:rsidRDefault="00A2153D">
            <w:pPr>
              <w:pStyle w:val="TableText"/>
              <w:jc w:val="right"/>
              <w:rPr>
                <w:sz w:val="18"/>
                <w:szCs w:val="18"/>
              </w:rPr>
            </w:pPr>
            <w:r>
              <w:rPr>
                <w:sz w:val="18"/>
                <w:szCs w:val="18"/>
              </w:rPr>
              <w:t>170</w:t>
            </w:r>
          </w:p>
        </w:tc>
        <w:tc>
          <w:tcPr>
            <w:tcW w:w="1056" w:type="dxa"/>
            <w:noWrap/>
            <w:hideMark/>
          </w:tcPr>
          <w:p w14:paraId="02BA19B1" w14:textId="77777777" w:rsidR="00A2153D" w:rsidRDefault="00A2153D">
            <w:pPr>
              <w:pStyle w:val="TableText"/>
              <w:jc w:val="right"/>
              <w:rPr>
                <w:sz w:val="18"/>
                <w:szCs w:val="18"/>
              </w:rPr>
            </w:pPr>
            <w:r>
              <w:rPr>
                <w:sz w:val="18"/>
                <w:szCs w:val="18"/>
              </w:rPr>
              <w:t>4,365</w:t>
            </w:r>
          </w:p>
        </w:tc>
        <w:tc>
          <w:tcPr>
            <w:tcW w:w="1056" w:type="dxa"/>
            <w:noWrap/>
            <w:hideMark/>
          </w:tcPr>
          <w:p w14:paraId="387850BA" w14:textId="77777777" w:rsidR="00A2153D" w:rsidRDefault="00A2153D">
            <w:pPr>
              <w:pStyle w:val="TableText"/>
              <w:jc w:val="right"/>
              <w:rPr>
                <w:sz w:val="18"/>
                <w:szCs w:val="18"/>
              </w:rPr>
            </w:pPr>
            <w:r>
              <w:rPr>
                <w:sz w:val="18"/>
                <w:szCs w:val="18"/>
              </w:rPr>
              <w:t>3,475</w:t>
            </w:r>
          </w:p>
        </w:tc>
        <w:tc>
          <w:tcPr>
            <w:tcW w:w="1056" w:type="dxa"/>
            <w:vMerge w:val="restart"/>
            <w:tcBorders>
              <w:bottom w:val="nil"/>
            </w:tcBorders>
            <w:noWrap/>
            <w:hideMark/>
          </w:tcPr>
          <w:p w14:paraId="7ABDB69A" w14:textId="77777777" w:rsidR="00A2153D" w:rsidRDefault="00A2153D">
            <w:pPr>
              <w:pStyle w:val="TableText"/>
              <w:jc w:val="right"/>
              <w:rPr>
                <w:b/>
                <w:bCs/>
                <w:sz w:val="18"/>
                <w:szCs w:val="18"/>
              </w:rPr>
            </w:pPr>
            <w:r>
              <w:rPr>
                <w:b/>
                <w:bCs/>
                <w:sz w:val="18"/>
                <w:szCs w:val="18"/>
              </w:rPr>
              <w:t>22,750</w:t>
            </w:r>
          </w:p>
        </w:tc>
      </w:tr>
      <w:tr w:rsidR="00A2153D" w14:paraId="0A5FA8D2" w14:textId="77777777" w:rsidTr="00A2153D">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left w:val="nil"/>
              <w:right w:val="nil"/>
            </w:tcBorders>
            <w:hideMark/>
          </w:tcPr>
          <w:p w14:paraId="0949DB36" w14:textId="77777777" w:rsidR="00A2153D" w:rsidRDefault="00A2153D">
            <w:pPr>
              <w:spacing w:before="0" w:after="0" w:line="240" w:lineRule="auto"/>
              <w:jc w:val="left"/>
              <w:rPr>
                <w:sz w:val="18"/>
                <w:szCs w:val="18"/>
              </w:rPr>
            </w:pPr>
          </w:p>
        </w:tc>
        <w:tc>
          <w:tcPr>
            <w:tcW w:w="1602" w:type="dxa"/>
            <w:tcBorders>
              <w:top w:val="nil"/>
              <w:left w:val="nil"/>
              <w:right w:val="nil"/>
            </w:tcBorders>
            <w:noWrap/>
            <w:hideMark/>
          </w:tcPr>
          <w:p w14:paraId="716B4BEE" w14:textId="77777777" w:rsidR="00A2153D" w:rsidRDefault="00A2153D">
            <w:pPr>
              <w:pStyle w:val="TableText"/>
              <w:rPr>
                <w:sz w:val="18"/>
                <w:szCs w:val="18"/>
              </w:rPr>
            </w:pPr>
            <w:r>
              <w:rPr>
                <w:sz w:val="18"/>
                <w:szCs w:val="18"/>
              </w:rPr>
              <w:t>Ave. rate (ha/year)</w:t>
            </w:r>
          </w:p>
        </w:tc>
        <w:tc>
          <w:tcPr>
            <w:tcW w:w="1056" w:type="dxa"/>
            <w:tcBorders>
              <w:top w:val="nil"/>
              <w:left w:val="nil"/>
              <w:right w:val="nil"/>
            </w:tcBorders>
            <w:noWrap/>
            <w:hideMark/>
          </w:tcPr>
          <w:p w14:paraId="3C4CD4D5" w14:textId="77777777" w:rsidR="00A2153D" w:rsidRDefault="00A2153D">
            <w:pPr>
              <w:pStyle w:val="TableText"/>
              <w:jc w:val="right"/>
              <w:rPr>
                <w:sz w:val="18"/>
                <w:szCs w:val="18"/>
              </w:rPr>
            </w:pPr>
            <w:r>
              <w:rPr>
                <w:sz w:val="18"/>
                <w:szCs w:val="18"/>
              </w:rPr>
              <w:t>2,515</w:t>
            </w:r>
          </w:p>
        </w:tc>
        <w:tc>
          <w:tcPr>
            <w:tcW w:w="1056" w:type="dxa"/>
            <w:tcBorders>
              <w:top w:val="nil"/>
              <w:left w:val="nil"/>
              <w:right w:val="nil"/>
            </w:tcBorders>
            <w:noWrap/>
            <w:hideMark/>
          </w:tcPr>
          <w:p w14:paraId="6A8DD474" w14:textId="77777777" w:rsidR="00A2153D" w:rsidRDefault="00A2153D">
            <w:pPr>
              <w:pStyle w:val="TableText"/>
              <w:jc w:val="right"/>
              <w:rPr>
                <w:sz w:val="18"/>
                <w:szCs w:val="18"/>
              </w:rPr>
            </w:pPr>
            <w:r>
              <w:rPr>
                <w:sz w:val="18"/>
                <w:szCs w:val="18"/>
              </w:rPr>
              <w:t>-117</w:t>
            </w:r>
          </w:p>
        </w:tc>
        <w:tc>
          <w:tcPr>
            <w:tcW w:w="1056" w:type="dxa"/>
            <w:tcBorders>
              <w:top w:val="nil"/>
              <w:left w:val="nil"/>
              <w:right w:val="nil"/>
            </w:tcBorders>
            <w:noWrap/>
            <w:hideMark/>
          </w:tcPr>
          <w:p w14:paraId="5E1C679D" w14:textId="77777777" w:rsidR="00A2153D" w:rsidRDefault="00A2153D">
            <w:pPr>
              <w:pStyle w:val="TableText"/>
              <w:jc w:val="right"/>
              <w:rPr>
                <w:sz w:val="18"/>
                <w:szCs w:val="18"/>
              </w:rPr>
            </w:pPr>
            <w:r>
              <w:rPr>
                <w:sz w:val="18"/>
                <w:szCs w:val="18"/>
              </w:rPr>
              <w:t>57</w:t>
            </w:r>
          </w:p>
        </w:tc>
        <w:tc>
          <w:tcPr>
            <w:tcW w:w="1056" w:type="dxa"/>
            <w:tcBorders>
              <w:top w:val="nil"/>
              <w:left w:val="nil"/>
              <w:right w:val="nil"/>
            </w:tcBorders>
            <w:noWrap/>
            <w:hideMark/>
          </w:tcPr>
          <w:p w14:paraId="02BFED72" w14:textId="77777777" w:rsidR="00A2153D" w:rsidRDefault="00A2153D">
            <w:pPr>
              <w:pStyle w:val="TableText"/>
              <w:jc w:val="right"/>
              <w:rPr>
                <w:sz w:val="18"/>
                <w:szCs w:val="18"/>
              </w:rPr>
            </w:pPr>
            <w:r>
              <w:rPr>
                <w:sz w:val="18"/>
                <w:szCs w:val="18"/>
              </w:rPr>
              <w:t>1,455</w:t>
            </w:r>
          </w:p>
        </w:tc>
        <w:tc>
          <w:tcPr>
            <w:tcW w:w="1056" w:type="dxa"/>
            <w:tcBorders>
              <w:top w:val="nil"/>
              <w:left w:val="nil"/>
              <w:right w:val="nil"/>
            </w:tcBorders>
            <w:noWrap/>
            <w:hideMark/>
          </w:tcPr>
          <w:p w14:paraId="1804E81D" w14:textId="77777777" w:rsidR="00A2153D" w:rsidRDefault="00A2153D">
            <w:pPr>
              <w:pStyle w:val="TableText"/>
              <w:jc w:val="right"/>
              <w:rPr>
                <w:sz w:val="18"/>
                <w:szCs w:val="18"/>
              </w:rPr>
            </w:pPr>
            <w:r>
              <w:rPr>
                <w:sz w:val="18"/>
                <w:szCs w:val="18"/>
              </w:rPr>
              <w:t>1,158</w:t>
            </w:r>
          </w:p>
        </w:tc>
        <w:tc>
          <w:tcPr>
            <w:tcW w:w="0" w:type="auto"/>
            <w:vMerge/>
            <w:tcBorders>
              <w:top w:val="nil"/>
              <w:left w:val="nil"/>
              <w:right w:val="nil"/>
            </w:tcBorders>
            <w:hideMark/>
          </w:tcPr>
          <w:p w14:paraId="0F494EC6" w14:textId="77777777" w:rsidR="00A2153D" w:rsidRDefault="00A2153D">
            <w:pPr>
              <w:spacing w:before="0" w:after="0" w:line="240" w:lineRule="auto"/>
              <w:jc w:val="left"/>
              <w:rPr>
                <w:b/>
                <w:bCs/>
                <w:sz w:val="18"/>
                <w:szCs w:val="18"/>
              </w:rPr>
            </w:pPr>
          </w:p>
        </w:tc>
      </w:tr>
      <w:tr w:rsidR="00A2153D" w14:paraId="7A0FE27A" w14:textId="77777777" w:rsidTr="00A2153D">
        <w:trPr>
          <w:cnfStyle w:val="000000100000" w:firstRow="0" w:lastRow="0" w:firstColumn="0" w:lastColumn="0" w:oddVBand="0" w:evenVBand="0" w:oddHBand="1" w:evenHBand="0" w:firstRowFirstColumn="0" w:firstRowLastColumn="0" w:lastRowFirstColumn="0" w:lastRowLastColumn="0"/>
        </w:trPr>
        <w:tc>
          <w:tcPr>
            <w:tcW w:w="1132" w:type="dxa"/>
            <w:vMerge w:val="restart"/>
            <w:tcBorders>
              <w:bottom w:val="nil"/>
            </w:tcBorders>
            <w:shd w:val="clear" w:color="auto" w:fill="F2F2F2" w:themeFill="background1" w:themeFillShade="F2"/>
            <w:noWrap/>
            <w:hideMark/>
          </w:tcPr>
          <w:p w14:paraId="12DC3E2F" w14:textId="77777777" w:rsidR="00A2153D" w:rsidRDefault="00A2153D">
            <w:pPr>
              <w:pStyle w:val="TableText"/>
              <w:rPr>
                <w:sz w:val="18"/>
                <w:szCs w:val="18"/>
              </w:rPr>
            </w:pPr>
            <w:r>
              <w:rPr>
                <w:sz w:val="18"/>
                <w:szCs w:val="18"/>
              </w:rPr>
              <w:t>LMD NSW</w:t>
            </w:r>
          </w:p>
        </w:tc>
        <w:tc>
          <w:tcPr>
            <w:tcW w:w="1602" w:type="dxa"/>
            <w:noWrap/>
            <w:hideMark/>
          </w:tcPr>
          <w:p w14:paraId="264A45E7" w14:textId="77777777" w:rsidR="00A2153D" w:rsidRDefault="00A2153D">
            <w:pPr>
              <w:pStyle w:val="TableText"/>
              <w:rPr>
                <w:sz w:val="18"/>
                <w:szCs w:val="18"/>
              </w:rPr>
            </w:pPr>
            <w:r>
              <w:rPr>
                <w:sz w:val="18"/>
                <w:szCs w:val="18"/>
              </w:rPr>
              <w:t>Change (ha)</w:t>
            </w:r>
          </w:p>
        </w:tc>
        <w:tc>
          <w:tcPr>
            <w:tcW w:w="1056" w:type="dxa"/>
            <w:noWrap/>
            <w:hideMark/>
          </w:tcPr>
          <w:p w14:paraId="0A686492" w14:textId="77777777" w:rsidR="00A2153D" w:rsidRDefault="00A2153D">
            <w:pPr>
              <w:pStyle w:val="TableText"/>
              <w:jc w:val="right"/>
              <w:rPr>
                <w:sz w:val="18"/>
                <w:szCs w:val="18"/>
              </w:rPr>
            </w:pPr>
            <w:r>
              <w:rPr>
                <w:sz w:val="18"/>
                <w:szCs w:val="18"/>
              </w:rPr>
              <w:t>635</w:t>
            </w:r>
          </w:p>
        </w:tc>
        <w:tc>
          <w:tcPr>
            <w:tcW w:w="1056" w:type="dxa"/>
            <w:noWrap/>
            <w:hideMark/>
          </w:tcPr>
          <w:p w14:paraId="61E6EA9C" w14:textId="77777777" w:rsidR="00A2153D" w:rsidRDefault="00A2153D">
            <w:pPr>
              <w:pStyle w:val="TableText"/>
              <w:jc w:val="right"/>
              <w:rPr>
                <w:sz w:val="18"/>
                <w:szCs w:val="18"/>
              </w:rPr>
            </w:pPr>
            <w:r>
              <w:rPr>
                <w:sz w:val="18"/>
                <w:szCs w:val="18"/>
              </w:rPr>
              <w:t>-115</w:t>
            </w:r>
          </w:p>
        </w:tc>
        <w:tc>
          <w:tcPr>
            <w:tcW w:w="1056" w:type="dxa"/>
            <w:noWrap/>
            <w:hideMark/>
          </w:tcPr>
          <w:p w14:paraId="72C35E00" w14:textId="77777777" w:rsidR="00A2153D" w:rsidRDefault="00A2153D">
            <w:pPr>
              <w:pStyle w:val="TableText"/>
              <w:jc w:val="right"/>
              <w:rPr>
                <w:sz w:val="18"/>
                <w:szCs w:val="18"/>
              </w:rPr>
            </w:pPr>
            <w:r>
              <w:rPr>
                <w:sz w:val="18"/>
                <w:szCs w:val="18"/>
              </w:rPr>
              <w:t>-405</w:t>
            </w:r>
          </w:p>
        </w:tc>
        <w:tc>
          <w:tcPr>
            <w:tcW w:w="1056" w:type="dxa"/>
            <w:noWrap/>
            <w:hideMark/>
          </w:tcPr>
          <w:p w14:paraId="4BFA2574" w14:textId="77777777" w:rsidR="00A2153D" w:rsidRDefault="00A2153D">
            <w:pPr>
              <w:pStyle w:val="TableText"/>
              <w:jc w:val="right"/>
              <w:rPr>
                <w:sz w:val="18"/>
                <w:szCs w:val="18"/>
              </w:rPr>
            </w:pPr>
            <w:r>
              <w:rPr>
                <w:sz w:val="18"/>
                <w:szCs w:val="18"/>
              </w:rPr>
              <w:t>2,680</w:t>
            </w:r>
          </w:p>
        </w:tc>
        <w:tc>
          <w:tcPr>
            <w:tcW w:w="1056" w:type="dxa"/>
            <w:noWrap/>
            <w:hideMark/>
          </w:tcPr>
          <w:p w14:paraId="567BABEE" w14:textId="77777777" w:rsidR="00A2153D" w:rsidRDefault="00A2153D">
            <w:pPr>
              <w:pStyle w:val="TableText"/>
              <w:jc w:val="right"/>
              <w:rPr>
                <w:sz w:val="18"/>
                <w:szCs w:val="18"/>
              </w:rPr>
            </w:pPr>
            <w:r>
              <w:rPr>
                <w:sz w:val="18"/>
                <w:szCs w:val="18"/>
              </w:rPr>
              <w:t>5,525</w:t>
            </w:r>
          </w:p>
        </w:tc>
        <w:tc>
          <w:tcPr>
            <w:tcW w:w="1056" w:type="dxa"/>
            <w:vMerge w:val="restart"/>
            <w:tcBorders>
              <w:bottom w:val="nil"/>
            </w:tcBorders>
            <w:shd w:val="clear" w:color="auto" w:fill="F2F2F2" w:themeFill="background1" w:themeFillShade="F2"/>
            <w:noWrap/>
            <w:hideMark/>
          </w:tcPr>
          <w:p w14:paraId="617FACAA" w14:textId="77777777" w:rsidR="00A2153D" w:rsidRDefault="00A2153D">
            <w:pPr>
              <w:pStyle w:val="TableText"/>
              <w:jc w:val="right"/>
              <w:rPr>
                <w:b/>
                <w:bCs/>
                <w:sz w:val="18"/>
                <w:szCs w:val="18"/>
              </w:rPr>
            </w:pPr>
            <w:r>
              <w:rPr>
                <w:b/>
                <w:bCs/>
                <w:sz w:val="18"/>
                <w:szCs w:val="18"/>
              </w:rPr>
              <w:t>8,320</w:t>
            </w:r>
          </w:p>
        </w:tc>
      </w:tr>
      <w:tr w:rsidR="00A2153D" w14:paraId="3CEEEBC7" w14:textId="77777777" w:rsidTr="00A2153D">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left w:val="nil"/>
              <w:right w:val="nil"/>
            </w:tcBorders>
            <w:hideMark/>
          </w:tcPr>
          <w:p w14:paraId="4E7051AA" w14:textId="77777777" w:rsidR="00A2153D" w:rsidRDefault="00A2153D">
            <w:pPr>
              <w:spacing w:before="0" w:after="0" w:line="240" w:lineRule="auto"/>
              <w:jc w:val="left"/>
              <w:rPr>
                <w:sz w:val="18"/>
                <w:szCs w:val="18"/>
              </w:rPr>
            </w:pPr>
          </w:p>
        </w:tc>
        <w:tc>
          <w:tcPr>
            <w:tcW w:w="1602" w:type="dxa"/>
            <w:tcBorders>
              <w:top w:val="nil"/>
              <w:left w:val="nil"/>
              <w:right w:val="nil"/>
            </w:tcBorders>
            <w:noWrap/>
            <w:hideMark/>
          </w:tcPr>
          <w:p w14:paraId="45F9BD9A" w14:textId="77777777" w:rsidR="00A2153D" w:rsidRDefault="00A2153D">
            <w:pPr>
              <w:pStyle w:val="TableText"/>
              <w:rPr>
                <w:sz w:val="18"/>
                <w:szCs w:val="18"/>
              </w:rPr>
            </w:pPr>
            <w:r>
              <w:rPr>
                <w:sz w:val="18"/>
                <w:szCs w:val="18"/>
              </w:rPr>
              <w:t>Ave. rate (ha/year)</w:t>
            </w:r>
          </w:p>
        </w:tc>
        <w:tc>
          <w:tcPr>
            <w:tcW w:w="1056" w:type="dxa"/>
            <w:tcBorders>
              <w:top w:val="nil"/>
              <w:left w:val="nil"/>
              <w:right w:val="nil"/>
            </w:tcBorders>
            <w:noWrap/>
            <w:hideMark/>
          </w:tcPr>
          <w:p w14:paraId="18EB846E" w14:textId="77777777" w:rsidR="00A2153D" w:rsidRDefault="00A2153D">
            <w:pPr>
              <w:pStyle w:val="TableText"/>
              <w:jc w:val="right"/>
              <w:rPr>
                <w:sz w:val="18"/>
                <w:szCs w:val="18"/>
              </w:rPr>
            </w:pPr>
            <w:r>
              <w:rPr>
                <w:sz w:val="18"/>
                <w:szCs w:val="18"/>
              </w:rPr>
              <w:t>106</w:t>
            </w:r>
          </w:p>
        </w:tc>
        <w:tc>
          <w:tcPr>
            <w:tcW w:w="1056" w:type="dxa"/>
            <w:tcBorders>
              <w:top w:val="nil"/>
              <w:left w:val="nil"/>
              <w:right w:val="nil"/>
            </w:tcBorders>
            <w:noWrap/>
            <w:hideMark/>
          </w:tcPr>
          <w:p w14:paraId="1E442E61" w14:textId="77777777" w:rsidR="00A2153D" w:rsidRDefault="00A2153D">
            <w:pPr>
              <w:pStyle w:val="TableText"/>
              <w:jc w:val="right"/>
              <w:rPr>
                <w:sz w:val="18"/>
                <w:szCs w:val="18"/>
              </w:rPr>
            </w:pPr>
            <w:r>
              <w:rPr>
                <w:sz w:val="18"/>
                <w:szCs w:val="18"/>
              </w:rPr>
              <w:t>-38</w:t>
            </w:r>
          </w:p>
        </w:tc>
        <w:tc>
          <w:tcPr>
            <w:tcW w:w="1056" w:type="dxa"/>
            <w:tcBorders>
              <w:top w:val="nil"/>
              <w:left w:val="nil"/>
              <w:right w:val="nil"/>
            </w:tcBorders>
            <w:noWrap/>
            <w:hideMark/>
          </w:tcPr>
          <w:p w14:paraId="38B3FE7B" w14:textId="77777777" w:rsidR="00A2153D" w:rsidRDefault="00A2153D">
            <w:pPr>
              <w:pStyle w:val="TableText"/>
              <w:jc w:val="right"/>
              <w:rPr>
                <w:sz w:val="18"/>
                <w:szCs w:val="18"/>
              </w:rPr>
            </w:pPr>
            <w:r>
              <w:rPr>
                <w:sz w:val="18"/>
                <w:szCs w:val="18"/>
              </w:rPr>
              <w:t>-135</w:t>
            </w:r>
          </w:p>
        </w:tc>
        <w:tc>
          <w:tcPr>
            <w:tcW w:w="1056" w:type="dxa"/>
            <w:tcBorders>
              <w:top w:val="nil"/>
              <w:left w:val="nil"/>
              <w:right w:val="nil"/>
            </w:tcBorders>
            <w:noWrap/>
            <w:hideMark/>
          </w:tcPr>
          <w:p w14:paraId="6C3673D9" w14:textId="77777777" w:rsidR="00A2153D" w:rsidRDefault="00A2153D">
            <w:pPr>
              <w:pStyle w:val="TableText"/>
              <w:jc w:val="right"/>
              <w:rPr>
                <w:sz w:val="18"/>
                <w:szCs w:val="18"/>
              </w:rPr>
            </w:pPr>
            <w:r>
              <w:rPr>
                <w:sz w:val="18"/>
                <w:szCs w:val="18"/>
              </w:rPr>
              <w:t>893</w:t>
            </w:r>
          </w:p>
        </w:tc>
        <w:tc>
          <w:tcPr>
            <w:tcW w:w="1056" w:type="dxa"/>
            <w:tcBorders>
              <w:top w:val="nil"/>
              <w:left w:val="nil"/>
              <w:right w:val="nil"/>
            </w:tcBorders>
            <w:noWrap/>
            <w:hideMark/>
          </w:tcPr>
          <w:p w14:paraId="00072A65" w14:textId="77777777" w:rsidR="00A2153D" w:rsidRDefault="00A2153D">
            <w:pPr>
              <w:pStyle w:val="TableText"/>
              <w:jc w:val="right"/>
              <w:rPr>
                <w:sz w:val="18"/>
                <w:szCs w:val="18"/>
              </w:rPr>
            </w:pPr>
            <w:r>
              <w:rPr>
                <w:sz w:val="18"/>
                <w:szCs w:val="18"/>
              </w:rPr>
              <w:t>1,842</w:t>
            </w:r>
          </w:p>
        </w:tc>
        <w:tc>
          <w:tcPr>
            <w:tcW w:w="0" w:type="auto"/>
            <w:vMerge/>
            <w:tcBorders>
              <w:top w:val="nil"/>
              <w:left w:val="nil"/>
              <w:right w:val="nil"/>
            </w:tcBorders>
            <w:hideMark/>
          </w:tcPr>
          <w:p w14:paraId="2DF22129" w14:textId="77777777" w:rsidR="00A2153D" w:rsidRDefault="00A2153D">
            <w:pPr>
              <w:spacing w:before="0" w:after="0" w:line="240" w:lineRule="auto"/>
              <w:jc w:val="left"/>
              <w:rPr>
                <w:b/>
                <w:bCs/>
                <w:sz w:val="18"/>
                <w:szCs w:val="18"/>
              </w:rPr>
            </w:pPr>
          </w:p>
        </w:tc>
      </w:tr>
      <w:tr w:rsidR="00A2153D" w14:paraId="4A87FD49" w14:textId="77777777" w:rsidTr="00A2153D">
        <w:trPr>
          <w:cnfStyle w:val="000000100000" w:firstRow="0" w:lastRow="0" w:firstColumn="0" w:lastColumn="0" w:oddVBand="0" w:evenVBand="0" w:oddHBand="1" w:evenHBand="0" w:firstRowFirstColumn="0" w:firstRowLastColumn="0" w:lastRowFirstColumn="0" w:lastRowLastColumn="0"/>
        </w:trPr>
        <w:tc>
          <w:tcPr>
            <w:tcW w:w="1132" w:type="dxa"/>
            <w:vMerge w:val="restart"/>
            <w:tcBorders>
              <w:bottom w:val="nil"/>
            </w:tcBorders>
            <w:noWrap/>
            <w:hideMark/>
          </w:tcPr>
          <w:p w14:paraId="34D7F627" w14:textId="77777777" w:rsidR="00A2153D" w:rsidRDefault="00A2153D">
            <w:pPr>
              <w:pStyle w:val="TableText"/>
              <w:rPr>
                <w:sz w:val="18"/>
                <w:szCs w:val="18"/>
              </w:rPr>
            </w:pPr>
            <w:r>
              <w:rPr>
                <w:sz w:val="18"/>
                <w:szCs w:val="18"/>
              </w:rPr>
              <w:t>LMD SA</w:t>
            </w:r>
          </w:p>
        </w:tc>
        <w:tc>
          <w:tcPr>
            <w:tcW w:w="1602" w:type="dxa"/>
            <w:noWrap/>
            <w:hideMark/>
          </w:tcPr>
          <w:p w14:paraId="5C0B0D3C" w14:textId="77777777" w:rsidR="00A2153D" w:rsidRDefault="00A2153D">
            <w:pPr>
              <w:pStyle w:val="TableText"/>
              <w:rPr>
                <w:sz w:val="18"/>
                <w:szCs w:val="18"/>
              </w:rPr>
            </w:pPr>
            <w:r>
              <w:rPr>
                <w:sz w:val="18"/>
                <w:szCs w:val="18"/>
              </w:rPr>
              <w:t>Change (ha)</w:t>
            </w:r>
          </w:p>
        </w:tc>
        <w:tc>
          <w:tcPr>
            <w:tcW w:w="1056" w:type="dxa"/>
            <w:noWrap/>
            <w:hideMark/>
          </w:tcPr>
          <w:p w14:paraId="2F07932F" w14:textId="77777777" w:rsidR="00A2153D" w:rsidRDefault="00A2153D">
            <w:pPr>
              <w:pStyle w:val="TableText"/>
              <w:jc w:val="right"/>
              <w:rPr>
                <w:sz w:val="18"/>
                <w:szCs w:val="18"/>
              </w:rPr>
            </w:pPr>
            <w:r>
              <w:rPr>
                <w:sz w:val="18"/>
                <w:szCs w:val="18"/>
              </w:rPr>
              <w:t>-440</w:t>
            </w:r>
          </w:p>
        </w:tc>
        <w:tc>
          <w:tcPr>
            <w:tcW w:w="1056" w:type="dxa"/>
            <w:noWrap/>
            <w:hideMark/>
          </w:tcPr>
          <w:p w14:paraId="50A64A7D" w14:textId="77777777" w:rsidR="00A2153D" w:rsidRDefault="00A2153D">
            <w:pPr>
              <w:pStyle w:val="TableText"/>
              <w:jc w:val="right"/>
              <w:rPr>
                <w:sz w:val="18"/>
                <w:szCs w:val="18"/>
              </w:rPr>
            </w:pPr>
            <w:r>
              <w:rPr>
                <w:sz w:val="18"/>
                <w:szCs w:val="18"/>
              </w:rPr>
              <w:t>-865</w:t>
            </w:r>
          </w:p>
        </w:tc>
        <w:tc>
          <w:tcPr>
            <w:tcW w:w="1056" w:type="dxa"/>
            <w:noWrap/>
            <w:hideMark/>
          </w:tcPr>
          <w:p w14:paraId="16848424" w14:textId="77777777" w:rsidR="00A2153D" w:rsidRDefault="00A2153D">
            <w:pPr>
              <w:pStyle w:val="TableText"/>
              <w:jc w:val="right"/>
              <w:rPr>
                <w:sz w:val="18"/>
                <w:szCs w:val="18"/>
              </w:rPr>
            </w:pPr>
            <w:r>
              <w:rPr>
                <w:sz w:val="18"/>
                <w:szCs w:val="18"/>
              </w:rPr>
              <w:t>-1,185</w:t>
            </w:r>
          </w:p>
        </w:tc>
        <w:tc>
          <w:tcPr>
            <w:tcW w:w="1056" w:type="dxa"/>
            <w:noWrap/>
            <w:hideMark/>
          </w:tcPr>
          <w:p w14:paraId="74CE0DAD" w14:textId="77777777" w:rsidR="00A2153D" w:rsidRDefault="00A2153D">
            <w:pPr>
              <w:pStyle w:val="TableText"/>
              <w:jc w:val="right"/>
              <w:rPr>
                <w:sz w:val="18"/>
                <w:szCs w:val="18"/>
              </w:rPr>
            </w:pPr>
            <w:r>
              <w:rPr>
                <w:sz w:val="18"/>
                <w:szCs w:val="18"/>
              </w:rPr>
              <w:t>4,050</w:t>
            </w:r>
          </w:p>
        </w:tc>
        <w:tc>
          <w:tcPr>
            <w:tcW w:w="1056" w:type="dxa"/>
            <w:noWrap/>
            <w:hideMark/>
          </w:tcPr>
          <w:p w14:paraId="1FEF9352" w14:textId="77777777" w:rsidR="00A2153D" w:rsidRDefault="00A2153D">
            <w:pPr>
              <w:pStyle w:val="TableText"/>
              <w:jc w:val="right"/>
              <w:rPr>
                <w:sz w:val="18"/>
                <w:szCs w:val="18"/>
              </w:rPr>
            </w:pPr>
            <w:r>
              <w:rPr>
                <w:sz w:val="18"/>
                <w:szCs w:val="18"/>
              </w:rPr>
              <w:t>2,945</w:t>
            </w:r>
          </w:p>
        </w:tc>
        <w:tc>
          <w:tcPr>
            <w:tcW w:w="1056" w:type="dxa"/>
            <w:vMerge w:val="restart"/>
            <w:tcBorders>
              <w:bottom w:val="nil"/>
            </w:tcBorders>
            <w:noWrap/>
            <w:hideMark/>
          </w:tcPr>
          <w:p w14:paraId="44F372CD" w14:textId="77777777" w:rsidR="00A2153D" w:rsidRDefault="00A2153D">
            <w:pPr>
              <w:pStyle w:val="TableText"/>
              <w:jc w:val="right"/>
              <w:rPr>
                <w:b/>
                <w:bCs/>
                <w:sz w:val="18"/>
                <w:szCs w:val="18"/>
              </w:rPr>
            </w:pPr>
            <w:r>
              <w:rPr>
                <w:b/>
                <w:bCs/>
                <w:sz w:val="18"/>
                <w:szCs w:val="18"/>
              </w:rPr>
              <w:t>4,505</w:t>
            </w:r>
          </w:p>
        </w:tc>
      </w:tr>
      <w:tr w:rsidR="00A2153D" w14:paraId="05ED69EC" w14:textId="77777777" w:rsidTr="00A2153D">
        <w:trPr>
          <w:cnfStyle w:val="000000010000" w:firstRow="0" w:lastRow="0" w:firstColumn="0" w:lastColumn="0" w:oddVBand="0" w:evenVBand="0" w:oddHBand="0" w:evenHBand="1" w:firstRowFirstColumn="0" w:firstRowLastColumn="0" w:lastRowFirstColumn="0" w:lastRowLastColumn="0"/>
        </w:trPr>
        <w:tc>
          <w:tcPr>
            <w:tcW w:w="0" w:type="auto"/>
            <w:vMerge/>
            <w:tcBorders>
              <w:top w:val="nil"/>
              <w:left w:val="nil"/>
              <w:right w:val="nil"/>
            </w:tcBorders>
            <w:hideMark/>
          </w:tcPr>
          <w:p w14:paraId="5E0CB90D" w14:textId="77777777" w:rsidR="00A2153D" w:rsidRDefault="00A2153D">
            <w:pPr>
              <w:spacing w:before="0" w:after="0" w:line="240" w:lineRule="auto"/>
              <w:jc w:val="left"/>
              <w:rPr>
                <w:sz w:val="18"/>
                <w:szCs w:val="18"/>
              </w:rPr>
            </w:pPr>
          </w:p>
        </w:tc>
        <w:tc>
          <w:tcPr>
            <w:tcW w:w="1602" w:type="dxa"/>
            <w:tcBorders>
              <w:top w:val="nil"/>
              <w:left w:val="nil"/>
              <w:right w:val="nil"/>
            </w:tcBorders>
            <w:noWrap/>
            <w:hideMark/>
          </w:tcPr>
          <w:p w14:paraId="29241844" w14:textId="77777777" w:rsidR="00A2153D" w:rsidRDefault="00A2153D">
            <w:pPr>
              <w:pStyle w:val="TableText"/>
              <w:rPr>
                <w:sz w:val="18"/>
                <w:szCs w:val="18"/>
              </w:rPr>
            </w:pPr>
            <w:r>
              <w:rPr>
                <w:sz w:val="18"/>
                <w:szCs w:val="18"/>
              </w:rPr>
              <w:t>Ave. rate (ha/year)</w:t>
            </w:r>
          </w:p>
        </w:tc>
        <w:tc>
          <w:tcPr>
            <w:tcW w:w="1056" w:type="dxa"/>
            <w:tcBorders>
              <w:top w:val="nil"/>
              <w:left w:val="nil"/>
              <w:right w:val="nil"/>
            </w:tcBorders>
            <w:noWrap/>
            <w:hideMark/>
          </w:tcPr>
          <w:p w14:paraId="68C3BBCC" w14:textId="77777777" w:rsidR="00A2153D" w:rsidRDefault="00A2153D">
            <w:pPr>
              <w:pStyle w:val="TableText"/>
              <w:jc w:val="right"/>
              <w:rPr>
                <w:sz w:val="18"/>
                <w:szCs w:val="18"/>
              </w:rPr>
            </w:pPr>
            <w:r>
              <w:rPr>
                <w:sz w:val="18"/>
                <w:szCs w:val="18"/>
              </w:rPr>
              <w:t>-73</w:t>
            </w:r>
          </w:p>
        </w:tc>
        <w:tc>
          <w:tcPr>
            <w:tcW w:w="1056" w:type="dxa"/>
            <w:tcBorders>
              <w:top w:val="nil"/>
              <w:left w:val="nil"/>
              <w:right w:val="nil"/>
            </w:tcBorders>
            <w:noWrap/>
            <w:hideMark/>
          </w:tcPr>
          <w:p w14:paraId="38086BCF" w14:textId="77777777" w:rsidR="00A2153D" w:rsidRDefault="00A2153D">
            <w:pPr>
              <w:pStyle w:val="TableText"/>
              <w:jc w:val="right"/>
              <w:rPr>
                <w:sz w:val="18"/>
                <w:szCs w:val="18"/>
              </w:rPr>
            </w:pPr>
            <w:r>
              <w:rPr>
                <w:sz w:val="18"/>
                <w:szCs w:val="18"/>
              </w:rPr>
              <w:t>-288</w:t>
            </w:r>
          </w:p>
        </w:tc>
        <w:tc>
          <w:tcPr>
            <w:tcW w:w="1056" w:type="dxa"/>
            <w:tcBorders>
              <w:top w:val="nil"/>
              <w:left w:val="nil"/>
              <w:right w:val="nil"/>
            </w:tcBorders>
            <w:noWrap/>
            <w:hideMark/>
          </w:tcPr>
          <w:p w14:paraId="361CB0DA" w14:textId="77777777" w:rsidR="00A2153D" w:rsidRDefault="00A2153D">
            <w:pPr>
              <w:pStyle w:val="TableText"/>
              <w:jc w:val="right"/>
              <w:rPr>
                <w:sz w:val="18"/>
                <w:szCs w:val="18"/>
              </w:rPr>
            </w:pPr>
            <w:r>
              <w:rPr>
                <w:sz w:val="18"/>
                <w:szCs w:val="18"/>
              </w:rPr>
              <w:t>-395</w:t>
            </w:r>
          </w:p>
        </w:tc>
        <w:tc>
          <w:tcPr>
            <w:tcW w:w="1056" w:type="dxa"/>
            <w:tcBorders>
              <w:top w:val="nil"/>
              <w:left w:val="nil"/>
              <w:right w:val="nil"/>
            </w:tcBorders>
            <w:noWrap/>
            <w:hideMark/>
          </w:tcPr>
          <w:p w14:paraId="05B96E12" w14:textId="77777777" w:rsidR="00A2153D" w:rsidRDefault="00A2153D">
            <w:pPr>
              <w:pStyle w:val="TableText"/>
              <w:jc w:val="right"/>
              <w:rPr>
                <w:sz w:val="18"/>
                <w:szCs w:val="18"/>
              </w:rPr>
            </w:pPr>
            <w:r>
              <w:rPr>
                <w:sz w:val="18"/>
                <w:szCs w:val="18"/>
              </w:rPr>
              <w:t>1,350</w:t>
            </w:r>
          </w:p>
        </w:tc>
        <w:tc>
          <w:tcPr>
            <w:tcW w:w="1056" w:type="dxa"/>
            <w:tcBorders>
              <w:top w:val="nil"/>
              <w:left w:val="nil"/>
              <w:right w:val="nil"/>
            </w:tcBorders>
            <w:noWrap/>
            <w:hideMark/>
          </w:tcPr>
          <w:p w14:paraId="35C057F8" w14:textId="77777777" w:rsidR="00A2153D" w:rsidRDefault="00A2153D">
            <w:pPr>
              <w:pStyle w:val="TableText"/>
              <w:jc w:val="right"/>
              <w:rPr>
                <w:sz w:val="18"/>
                <w:szCs w:val="18"/>
              </w:rPr>
            </w:pPr>
            <w:r>
              <w:rPr>
                <w:sz w:val="18"/>
                <w:szCs w:val="18"/>
              </w:rPr>
              <w:t>982</w:t>
            </w:r>
          </w:p>
        </w:tc>
        <w:tc>
          <w:tcPr>
            <w:tcW w:w="0" w:type="auto"/>
            <w:vMerge/>
            <w:tcBorders>
              <w:top w:val="nil"/>
              <w:left w:val="nil"/>
              <w:right w:val="nil"/>
            </w:tcBorders>
            <w:hideMark/>
          </w:tcPr>
          <w:p w14:paraId="2EFB9E1C" w14:textId="77777777" w:rsidR="00A2153D" w:rsidRDefault="00A2153D">
            <w:pPr>
              <w:spacing w:before="0" w:after="0" w:line="240" w:lineRule="auto"/>
              <w:jc w:val="left"/>
              <w:rPr>
                <w:b/>
                <w:bCs/>
                <w:sz w:val="18"/>
                <w:szCs w:val="18"/>
              </w:rPr>
            </w:pPr>
          </w:p>
        </w:tc>
      </w:tr>
      <w:tr w:rsidR="00A2153D" w14:paraId="03AD7128" w14:textId="77777777" w:rsidTr="00A2153D">
        <w:trPr>
          <w:cnfStyle w:val="000000100000" w:firstRow="0" w:lastRow="0" w:firstColumn="0" w:lastColumn="0" w:oddVBand="0" w:evenVBand="0" w:oddHBand="1" w:evenHBand="0" w:firstRowFirstColumn="0" w:firstRowLastColumn="0" w:lastRowFirstColumn="0" w:lastRowLastColumn="0"/>
        </w:trPr>
        <w:tc>
          <w:tcPr>
            <w:tcW w:w="2734" w:type="dxa"/>
            <w:gridSpan w:val="2"/>
            <w:noWrap/>
            <w:hideMark/>
          </w:tcPr>
          <w:p w14:paraId="00053CBC" w14:textId="7928ECBB" w:rsidR="00A2153D" w:rsidRDefault="00A2153D">
            <w:pPr>
              <w:pStyle w:val="TableText"/>
              <w:rPr>
                <w:b/>
                <w:bCs/>
                <w:sz w:val="18"/>
                <w:szCs w:val="18"/>
              </w:rPr>
            </w:pPr>
            <w:r>
              <w:rPr>
                <w:b/>
                <w:bCs/>
                <w:sz w:val="18"/>
                <w:szCs w:val="18"/>
              </w:rPr>
              <w:t>Total LMD change (</w:t>
            </w:r>
            <w:r w:rsidR="00BF551C">
              <w:rPr>
                <w:b/>
                <w:bCs/>
                <w:sz w:val="18"/>
                <w:szCs w:val="18"/>
              </w:rPr>
              <w:t>ha)</w:t>
            </w:r>
          </w:p>
        </w:tc>
        <w:tc>
          <w:tcPr>
            <w:tcW w:w="1056" w:type="dxa"/>
            <w:noWrap/>
            <w:hideMark/>
          </w:tcPr>
          <w:p w14:paraId="63F79C09" w14:textId="77777777" w:rsidR="00A2153D" w:rsidRDefault="00A2153D">
            <w:pPr>
              <w:pStyle w:val="TableText"/>
              <w:jc w:val="right"/>
              <w:rPr>
                <w:b/>
                <w:bCs/>
                <w:sz w:val="18"/>
                <w:szCs w:val="18"/>
              </w:rPr>
            </w:pPr>
            <w:r>
              <w:rPr>
                <w:b/>
                <w:bCs/>
                <w:sz w:val="18"/>
                <w:szCs w:val="18"/>
              </w:rPr>
              <w:t>15,285</w:t>
            </w:r>
          </w:p>
        </w:tc>
        <w:tc>
          <w:tcPr>
            <w:tcW w:w="1056" w:type="dxa"/>
            <w:noWrap/>
            <w:hideMark/>
          </w:tcPr>
          <w:p w14:paraId="2D29F7C3" w14:textId="77777777" w:rsidR="00A2153D" w:rsidRDefault="00A2153D">
            <w:pPr>
              <w:pStyle w:val="TableText"/>
              <w:jc w:val="right"/>
              <w:rPr>
                <w:b/>
                <w:bCs/>
                <w:sz w:val="18"/>
                <w:szCs w:val="18"/>
              </w:rPr>
            </w:pPr>
            <w:r>
              <w:rPr>
                <w:b/>
                <w:bCs/>
                <w:sz w:val="18"/>
                <w:szCs w:val="18"/>
              </w:rPr>
              <w:t>-1,330</w:t>
            </w:r>
          </w:p>
        </w:tc>
        <w:tc>
          <w:tcPr>
            <w:tcW w:w="1056" w:type="dxa"/>
            <w:noWrap/>
            <w:hideMark/>
          </w:tcPr>
          <w:p w14:paraId="3E12CA28" w14:textId="77777777" w:rsidR="00A2153D" w:rsidRDefault="00A2153D">
            <w:pPr>
              <w:pStyle w:val="TableText"/>
              <w:jc w:val="right"/>
              <w:rPr>
                <w:b/>
                <w:bCs/>
                <w:sz w:val="18"/>
                <w:szCs w:val="18"/>
              </w:rPr>
            </w:pPr>
            <w:r>
              <w:rPr>
                <w:b/>
                <w:bCs/>
                <w:sz w:val="18"/>
                <w:szCs w:val="18"/>
              </w:rPr>
              <w:t>-1,420</w:t>
            </w:r>
          </w:p>
        </w:tc>
        <w:tc>
          <w:tcPr>
            <w:tcW w:w="1056" w:type="dxa"/>
            <w:noWrap/>
            <w:hideMark/>
          </w:tcPr>
          <w:p w14:paraId="71E243F5" w14:textId="77777777" w:rsidR="00A2153D" w:rsidRDefault="00A2153D">
            <w:pPr>
              <w:pStyle w:val="TableText"/>
              <w:jc w:val="right"/>
              <w:rPr>
                <w:b/>
                <w:bCs/>
                <w:sz w:val="18"/>
                <w:szCs w:val="18"/>
              </w:rPr>
            </w:pPr>
            <w:r>
              <w:rPr>
                <w:b/>
                <w:bCs/>
                <w:sz w:val="18"/>
                <w:szCs w:val="18"/>
              </w:rPr>
              <w:t>11,095</w:t>
            </w:r>
          </w:p>
        </w:tc>
        <w:tc>
          <w:tcPr>
            <w:tcW w:w="1056" w:type="dxa"/>
            <w:noWrap/>
            <w:hideMark/>
          </w:tcPr>
          <w:p w14:paraId="10560FA2" w14:textId="77777777" w:rsidR="00A2153D" w:rsidRDefault="00A2153D">
            <w:pPr>
              <w:pStyle w:val="TableText"/>
              <w:jc w:val="right"/>
              <w:rPr>
                <w:b/>
                <w:bCs/>
                <w:sz w:val="18"/>
                <w:szCs w:val="18"/>
              </w:rPr>
            </w:pPr>
            <w:r>
              <w:rPr>
                <w:b/>
                <w:bCs/>
                <w:sz w:val="18"/>
                <w:szCs w:val="18"/>
              </w:rPr>
              <w:t>11,945</w:t>
            </w:r>
          </w:p>
        </w:tc>
        <w:tc>
          <w:tcPr>
            <w:tcW w:w="1056" w:type="dxa"/>
            <w:noWrap/>
            <w:hideMark/>
          </w:tcPr>
          <w:p w14:paraId="50A2769E" w14:textId="77777777" w:rsidR="00A2153D" w:rsidRDefault="00A2153D">
            <w:pPr>
              <w:pStyle w:val="TableText"/>
              <w:jc w:val="right"/>
              <w:rPr>
                <w:b/>
                <w:bCs/>
                <w:sz w:val="18"/>
                <w:szCs w:val="18"/>
              </w:rPr>
            </w:pPr>
            <w:r>
              <w:rPr>
                <w:b/>
                <w:bCs/>
                <w:sz w:val="18"/>
                <w:szCs w:val="18"/>
              </w:rPr>
              <w:t>35,575</w:t>
            </w:r>
          </w:p>
        </w:tc>
      </w:tr>
      <w:tr w:rsidR="00A2153D" w14:paraId="4AC3454D" w14:textId="77777777" w:rsidTr="00A2153D">
        <w:trPr>
          <w:cnfStyle w:val="000000010000" w:firstRow="0" w:lastRow="0" w:firstColumn="0" w:lastColumn="0" w:oddVBand="0" w:evenVBand="0" w:oddHBand="0" w:evenHBand="1" w:firstRowFirstColumn="0" w:firstRowLastColumn="0" w:lastRowFirstColumn="0" w:lastRowLastColumn="0"/>
        </w:trPr>
        <w:tc>
          <w:tcPr>
            <w:tcW w:w="2734" w:type="dxa"/>
            <w:gridSpan w:val="2"/>
            <w:tcBorders>
              <w:top w:val="nil"/>
              <w:left w:val="nil"/>
              <w:right w:val="nil"/>
            </w:tcBorders>
            <w:noWrap/>
            <w:hideMark/>
          </w:tcPr>
          <w:p w14:paraId="2FDAB245" w14:textId="77777777" w:rsidR="00A2153D" w:rsidRDefault="00A2153D">
            <w:pPr>
              <w:pStyle w:val="TableText"/>
              <w:rPr>
                <w:sz w:val="18"/>
                <w:szCs w:val="18"/>
              </w:rPr>
            </w:pPr>
            <w:r>
              <w:rPr>
                <w:sz w:val="18"/>
                <w:szCs w:val="18"/>
              </w:rPr>
              <w:t>Ave. rate of change (ha/year)</w:t>
            </w:r>
          </w:p>
        </w:tc>
        <w:tc>
          <w:tcPr>
            <w:tcW w:w="1056" w:type="dxa"/>
            <w:tcBorders>
              <w:top w:val="nil"/>
              <w:left w:val="nil"/>
              <w:right w:val="nil"/>
            </w:tcBorders>
            <w:noWrap/>
            <w:hideMark/>
          </w:tcPr>
          <w:p w14:paraId="73F5D762" w14:textId="77777777" w:rsidR="00A2153D" w:rsidRDefault="00A2153D">
            <w:pPr>
              <w:pStyle w:val="TableText"/>
              <w:jc w:val="right"/>
              <w:rPr>
                <w:sz w:val="18"/>
                <w:szCs w:val="18"/>
              </w:rPr>
            </w:pPr>
            <w:r>
              <w:rPr>
                <w:sz w:val="18"/>
                <w:szCs w:val="18"/>
              </w:rPr>
              <w:t>2,548</w:t>
            </w:r>
          </w:p>
        </w:tc>
        <w:tc>
          <w:tcPr>
            <w:tcW w:w="1056" w:type="dxa"/>
            <w:tcBorders>
              <w:top w:val="nil"/>
              <w:left w:val="nil"/>
              <w:right w:val="nil"/>
            </w:tcBorders>
            <w:noWrap/>
            <w:hideMark/>
          </w:tcPr>
          <w:p w14:paraId="3954AE08" w14:textId="77777777" w:rsidR="00A2153D" w:rsidRDefault="00A2153D">
            <w:pPr>
              <w:pStyle w:val="TableText"/>
              <w:jc w:val="right"/>
              <w:rPr>
                <w:sz w:val="18"/>
                <w:szCs w:val="18"/>
              </w:rPr>
            </w:pPr>
            <w:r>
              <w:rPr>
                <w:sz w:val="18"/>
                <w:szCs w:val="18"/>
              </w:rPr>
              <w:t>-443</w:t>
            </w:r>
          </w:p>
        </w:tc>
        <w:tc>
          <w:tcPr>
            <w:tcW w:w="1056" w:type="dxa"/>
            <w:tcBorders>
              <w:top w:val="nil"/>
              <w:left w:val="nil"/>
              <w:right w:val="nil"/>
            </w:tcBorders>
            <w:noWrap/>
            <w:hideMark/>
          </w:tcPr>
          <w:p w14:paraId="00A5443F" w14:textId="77777777" w:rsidR="00A2153D" w:rsidRDefault="00A2153D">
            <w:pPr>
              <w:pStyle w:val="TableText"/>
              <w:jc w:val="right"/>
              <w:rPr>
                <w:sz w:val="18"/>
                <w:szCs w:val="18"/>
              </w:rPr>
            </w:pPr>
            <w:r>
              <w:rPr>
                <w:sz w:val="18"/>
                <w:szCs w:val="18"/>
              </w:rPr>
              <w:t>-473</w:t>
            </w:r>
          </w:p>
        </w:tc>
        <w:tc>
          <w:tcPr>
            <w:tcW w:w="1056" w:type="dxa"/>
            <w:tcBorders>
              <w:top w:val="nil"/>
              <w:left w:val="nil"/>
              <w:right w:val="nil"/>
            </w:tcBorders>
            <w:noWrap/>
            <w:hideMark/>
          </w:tcPr>
          <w:p w14:paraId="5F37E878" w14:textId="77777777" w:rsidR="00A2153D" w:rsidRDefault="00A2153D">
            <w:pPr>
              <w:pStyle w:val="TableText"/>
              <w:jc w:val="right"/>
              <w:rPr>
                <w:sz w:val="18"/>
                <w:szCs w:val="18"/>
              </w:rPr>
            </w:pPr>
            <w:r>
              <w:rPr>
                <w:sz w:val="18"/>
                <w:szCs w:val="18"/>
              </w:rPr>
              <w:t>3,698</w:t>
            </w:r>
          </w:p>
        </w:tc>
        <w:tc>
          <w:tcPr>
            <w:tcW w:w="1056" w:type="dxa"/>
            <w:tcBorders>
              <w:top w:val="nil"/>
              <w:left w:val="nil"/>
              <w:right w:val="nil"/>
            </w:tcBorders>
            <w:noWrap/>
            <w:hideMark/>
          </w:tcPr>
          <w:p w14:paraId="7EDE3DA6" w14:textId="77777777" w:rsidR="00A2153D" w:rsidRDefault="00A2153D">
            <w:pPr>
              <w:pStyle w:val="TableText"/>
              <w:jc w:val="right"/>
              <w:rPr>
                <w:sz w:val="18"/>
                <w:szCs w:val="18"/>
              </w:rPr>
            </w:pPr>
            <w:r>
              <w:rPr>
                <w:sz w:val="18"/>
                <w:szCs w:val="18"/>
              </w:rPr>
              <w:t>3,982</w:t>
            </w:r>
          </w:p>
        </w:tc>
        <w:tc>
          <w:tcPr>
            <w:tcW w:w="1056" w:type="dxa"/>
            <w:tcBorders>
              <w:top w:val="nil"/>
              <w:left w:val="nil"/>
              <w:right w:val="nil"/>
            </w:tcBorders>
            <w:noWrap/>
            <w:hideMark/>
          </w:tcPr>
          <w:p w14:paraId="2EF010DA" w14:textId="77777777" w:rsidR="00A2153D" w:rsidRDefault="00A2153D">
            <w:pPr>
              <w:pStyle w:val="TableText"/>
              <w:jc w:val="right"/>
              <w:rPr>
                <w:b/>
                <w:bCs/>
                <w:sz w:val="18"/>
                <w:szCs w:val="18"/>
              </w:rPr>
            </w:pPr>
            <w:r>
              <w:rPr>
                <w:b/>
                <w:bCs/>
                <w:sz w:val="18"/>
                <w:szCs w:val="18"/>
              </w:rPr>
              <w:t>1,976</w:t>
            </w:r>
          </w:p>
        </w:tc>
      </w:tr>
    </w:tbl>
    <w:p w14:paraId="4046671A" w14:textId="77777777" w:rsidR="00A2153D" w:rsidRDefault="00A2153D" w:rsidP="00A2153D">
      <w:pPr>
        <w:spacing w:after="320"/>
        <w:rPr>
          <w:color w:val="9BA1A5"/>
        </w:rPr>
      </w:pPr>
      <w:r>
        <w:rPr>
          <w:i/>
          <w:color w:val="9BA1A5"/>
          <w:sz w:val="16"/>
          <w:szCs w:val="16"/>
        </w:rPr>
        <w:t>Source: SunRISE Mapping &amp; Research 2022.</w:t>
      </w:r>
    </w:p>
    <w:p w14:paraId="67EE18E6" w14:textId="42B8E813" w:rsidR="00A2153D" w:rsidRDefault="00A2153D" w:rsidP="00A2153D">
      <w:pPr>
        <w:pStyle w:val="BodyText"/>
      </w:pPr>
      <w:r>
        <w:t xml:space="preserve">There are concerns that this change in land use is concentrating irrigation demands into the summer months and increasing the risk of delivery shortfalls </w:t>
      </w:r>
      <w:r w:rsidR="00D01B26">
        <w:t xml:space="preserve">— </w:t>
      </w:r>
      <w:r>
        <w:t>that is when river operators are unable to respond, in a timely manner, to spikes in demand caused, for example, by heatwaves. However, an analysis of long-term trends has shown summer demands have been stable</w:t>
      </w:r>
      <w:r w:rsidR="00797C53">
        <w:t xml:space="preserve"> (Independent Panel for the MDBA 2020)</w:t>
      </w:r>
      <w:r>
        <w:t>.</w:t>
      </w:r>
    </w:p>
    <w:p w14:paraId="343E2232" w14:textId="6446C8FE" w:rsidR="00A2153D" w:rsidRDefault="00A2153D" w:rsidP="00A2153D">
      <w:pPr>
        <w:pStyle w:val="BodyText"/>
      </w:pPr>
      <w:r>
        <w:t xml:space="preserve">The increase in summer demands in the Lower Murray-Darling Region needs to be understood in context. Over the last twenty years summer irrigation in the GMID has decreased markedly. Perennial pastures, which were once the mainstay of the </w:t>
      </w:r>
      <w:r w:rsidR="00F57F2A">
        <w:t>GMID</w:t>
      </w:r>
      <w:r>
        <w:t xml:space="preserve"> dairy industry provide less feed per megalitre than annual (spring and autumn) pastures. The total area of “summer pasture” in </w:t>
      </w:r>
      <w:r>
        <w:lastRenderedPageBreak/>
        <w:t>the GMID has declined from 200,000 hectares twenty years ago to only 20,000 hectares in 2016-17 and much less in 2019-20.</w:t>
      </w:r>
    </w:p>
    <w:p w14:paraId="4EB2AE8E" w14:textId="20D5B57F" w:rsidR="00A2153D" w:rsidRDefault="00A2153D" w:rsidP="00A2153D">
      <w:pPr>
        <w:pStyle w:val="BodyText"/>
      </w:pPr>
      <w:r>
        <w:t>This has to some extent been offset by an increase in maize and other irrigated summer fodder crops. Even so, only about 8% of the GMID is now irrigated in summer, with a further 22% being irrigated annual pastures and winter crops.</w:t>
      </w:r>
    </w:p>
    <w:p w14:paraId="37DF67FC" w14:textId="6FE9B521" w:rsidR="00A2153D" w:rsidRDefault="00A2153D" w:rsidP="00A2153D">
      <w:pPr>
        <w:pStyle w:val="BodyText"/>
      </w:pPr>
      <w:r>
        <w:t xml:space="preserve">The Basin Plan has had no </w:t>
      </w:r>
      <w:r w:rsidR="00D01B26">
        <w:t xml:space="preserve">immediate </w:t>
      </w:r>
      <w:r>
        <w:t xml:space="preserve">impact on the rate of perennial horticultural expansion in the Lower Murray-Darling region. While horticulturalists in this region did sell significant volumes of water to the Commonwealth, they did so for reasons of capital efficiency. In general terms, they still hold some entitlements, they lease other entitlements, </w:t>
      </w:r>
      <w:r w:rsidR="00940424">
        <w:t>they make extensive routine use of carryover,</w:t>
      </w:r>
      <w:r w:rsidR="00BF551C">
        <w:t xml:space="preserve"> </w:t>
      </w:r>
      <w:r>
        <w:t>and they buy the balance of their needs through the allocation market, and at current commodity prices, horticulturalists are able to outcompete other irrigators in years of low allocations. Around 65% of the net expansion of permanent plantings in the region has occurred since 2015 – after the effects of water recovery on the consumptive pool first became apparent to most irrigators.</w:t>
      </w:r>
    </w:p>
    <w:p w14:paraId="10A505B1" w14:textId="77777777" w:rsidR="00A2153D" w:rsidRDefault="00A2153D" w:rsidP="00A2153D">
      <w:pPr>
        <w:pStyle w:val="BodyText"/>
      </w:pPr>
      <w:r>
        <w:t>However, the Basin Plan has reduced the total consumptive pool of water which has amplified the effects expansion of the horticultural industry has had on the water market, in particular driving high allocation prices in periods of low water availability. This effect has been felt mostly by the dairy industry and the annual cropping enterprises in NSW. It has also increased the risk of horticultural properties being dried-off during severe droughts.</w:t>
      </w:r>
    </w:p>
    <w:p w14:paraId="512F552A" w14:textId="203CE385" w:rsidR="00C8740B" w:rsidRDefault="00C8740B" w:rsidP="00C8740B">
      <w:pPr>
        <w:pStyle w:val="BodyText"/>
      </w:pPr>
      <w:r>
        <w:t xml:space="preserve">Delivering water at the times and places entitlement holders who own water want to use it is becoming increasingly challenging. Despite water buyback, and given environmental water is also delivered through summer to meet end of system targets, changing water use patterns coupled with reducing supply options are making a delivery shortfall more likely. </w:t>
      </w:r>
      <w:r w:rsidR="008476FD">
        <w:t xml:space="preserve">The </w:t>
      </w:r>
      <w:r w:rsidR="008476FD" w:rsidRPr="008476FD">
        <w:t>Independent Panel overseeing interstate delivery risks</w:t>
      </w:r>
      <w:r w:rsidR="008E26C7">
        <w:t xml:space="preserve"> </w:t>
      </w:r>
      <w:r w:rsidR="00CE47DC">
        <w:t>noted</w:t>
      </w:r>
      <w:r w:rsidR="00D162EF">
        <w:t xml:space="preserve"> (</w:t>
      </w:r>
      <w:r w:rsidR="00D162EF" w:rsidRPr="00D162EF">
        <w:t>Independent panel for the MDBA 2020</w:t>
      </w:r>
      <w:r w:rsidR="00D162EF">
        <w:t>, p. 1)</w:t>
      </w:r>
      <w:r w:rsidR="00FE6C57">
        <w:t>:</w:t>
      </w:r>
    </w:p>
    <w:p w14:paraId="762388DF" w14:textId="4EE2C17D" w:rsidR="003E0D89" w:rsidRDefault="003E0D89" w:rsidP="00477F7C">
      <w:pPr>
        <w:pStyle w:val="BodyText"/>
        <w:ind w:left="284"/>
      </w:pPr>
      <w:r w:rsidRPr="00477F7C">
        <w:rPr>
          <w:i/>
          <w:iCs/>
        </w:rPr>
        <w:t>While the total volume of irrigation water use in the whole system below the Choke has remained relatively constant over the past 25 years, in total, more water is being delivered to the lower Murray to meet the combined irrigation and environmental water demand. This was not the expected outcome of water recovery for the environment; irrigation use was expected to decline in proportion to the recovery, leaving the combined demand relatively unchanged.</w:t>
      </w:r>
    </w:p>
    <w:p w14:paraId="1FE31FA6" w14:textId="77777777" w:rsidR="00C8740B" w:rsidRDefault="00C8740B" w:rsidP="00C8740B">
      <w:pPr>
        <w:pStyle w:val="BodyText"/>
      </w:pPr>
      <w:r>
        <w:t xml:space="preserve">Over the past 10-20 years the capacity of the Barmah Choke has reduced and is on a trajectory of ongoing decline, while access to Menindee Lakes as shared resource is occurring less frequently, placing greater pressure on delivering water through the Barmah Choke or Murray tributaries to meet South Australian commitments. A warming climate is also likely to increase the risk of short-term water delivery shortfalls due to demands spiking in a heatwave scenario. </w:t>
      </w:r>
    </w:p>
    <w:p w14:paraId="6741F2A7" w14:textId="77777777" w:rsidR="00C8740B" w:rsidRDefault="00C8740B" w:rsidP="00C8740B">
      <w:pPr>
        <w:pStyle w:val="BodyText"/>
      </w:pPr>
      <w:r>
        <w:t>The MDBA and southern Basin state governments are responding to this by exploring feasible options to address reducing capacity of the Barmah Choke. In Victoria, changes to the Goulburn to Murray trade rule have been made to ensure trade of water does not add to existing delivery risks and is in line with how much water is able to be delivered to meet traded water use.</w:t>
      </w:r>
    </w:p>
    <w:p w14:paraId="1B7132AA" w14:textId="6806D837" w:rsidR="00C8740B" w:rsidRDefault="00C8740B" w:rsidP="00C8740B">
      <w:pPr>
        <w:pStyle w:val="BodyText"/>
      </w:pPr>
      <w:r>
        <w:t>The Victorian government also responded by:</w:t>
      </w:r>
    </w:p>
    <w:p w14:paraId="6B2187A7" w14:textId="6666DA09" w:rsidR="00C8740B" w:rsidRDefault="00601460" w:rsidP="00301ACA">
      <w:pPr>
        <w:pStyle w:val="ParaBullet1"/>
        <w:numPr>
          <w:ilvl w:val="0"/>
          <w:numId w:val="14"/>
        </w:numPr>
      </w:pPr>
      <w:r>
        <w:t>‘</w:t>
      </w:r>
      <w:r w:rsidR="008A2480" w:rsidRPr="008A2480">
        <w:t>calling in</w:t>
      </w:r>
      <w:r>
        <w:t>’</w:t>
      </w:r>
      <w:r w:rsidR="008A2480" w:rsidRPr="008A2480">
        <w:t xml:space="preserve"> Victorian works licence applications in the lower Murray to protect existing entitlement holders’ delivery rights (expressed as extraction share) and signal to the market that delivery risks are real and increasing</w:t>
      </w:r>
    </w:p>
    <w:p w14:paraId="6DAB3500" w14:textId="0C645467" w:rsidR="008A2480" w:rsidRDefault="00601460" w:rsidP="00301ACA">
      <w:pPr>
        <w:pStyle w:val="ParaBullet1"/>
        <w:numPr>
          <w:ilvl w:val="0"/>
          <w:numId w:val="14"/>
        </w:numPr>
      </w:pPr>
      <w:r>
        <w:lastRenderedPageBreak/>
        <w:t xml:space="preserve">strengthening Victoria’s </w:t>
      </w:r>
      <w:r w:rsidRPr="00B06544">
        <w:t>delivery rights framework</w:t>
      </w:r>
      <w:r>
        <w:t xml:space="preserve"> to protect existing entitlement holders’ rights to delivery and provide flexibility for irrigators to better manage their delivery security through cap and trade of extraction share</w:t>
      </w:r>
      <w:r>
        <w:rPr>
          <w:rStyle w:val="FootnoteReference"/>
        </w:rPr>
        <w:footnoteReference w:id="22"/>
      </w:r>
      <w:r>
        <w:t>.</w:t>
      </w:r>
    </w:p>
    <w:p w14:paraId="6D8F558A" w14:textId="77777777" w:rsidR="00A2153D" w:rsidRDefault="00A2153D" w:rsidP="00A2153D">
      <w:pPr>
        <w:pStyle w:val="BodyText"/>
      </w:pPr>
    </w:p>
    <w:p w14:paraId="1F4341F7" w14:textId="77777777" w:rsidR="00A2153D" w:rsidRDefault="00A2153D" w:rsidP="00597401">
      <w:pPr>
        <w:pStyle w:val="Heading1numbered"/>
        <w:numPr>
          <w:ilvl w:val="0"/>
          <w:numId w:val="12"/>
        </w:numPr>
      </w:pPr>
      <w:bookmarkStart w:id="187" w:name="_Toc110262397"/>
      <w:bookmarkStart w:id="188" w:name="_Ref108163770"/>
      <w:bookmarkStart w:id="189" w:name="_Toc107997235"/>
      <w:bookmarkStart w:id="190" w:name="_Toc113621666"/>
      <w:r>
        <w:lastRenderedPageBreak/>
        <w:t>Impacts on the dairy industry</w:t>
      </w:r>
      <w:bookmarkEnd w:id="187"/>
      <w:bookmarkEnd w:id="188"/>
      <w:bookmarkEnd w:id="189"/>
      <w:bookmarkEnd w:id="190"/>
    </w:p>
    <w:p w14:paraId="724673E6" w14:textId="77777777" w:rsidR="00A2153D" w:rsidRDefault="00A2153D" w:rsidP="00597401">
      <w:pPr>
        <w:pStyle w:val="Heading2numbered"/>
        <w:numPr>
          <w:ilvl w:val="1"/>
          <w:numId w:val="12"/>
        </w:numPr>
        <w:tabs>
          <w:tab w:val="clear" w:pos="851"/>
        </w:tabs>
        <w:ind w:left="0" w:firstLine="0"/>
      </w:pPr>
      <w:bookmarkStart w:id="191" w:name="_Toc107997237"/>
      <w:bookmarkStart w:id="192" w:name="_Toc110262398"/>
      <w:bookmarkStart w:id="193" w:name="_Toc113621667"/>
      <w:bookmarkStart w:id="194" w:name="_Toc107997236"/>
      <w:r>
        <w:t>Impacts on dairy farming</w:t>
      </w:r>
      <w:bookmarkEnd w:id="191"/>
      <w:bookmarkEnd w:id="192"/>
      <w:bookmarkEnd w:id="193"/>
    </w:p>
    <w:p w14:paraId="13D93039" w14:textId="555D9FD1" w:rsidR="00A2153D" w:rsidRDefault="00A2153D" w:rsidP="00A2153D">
      <w:pPr>
        <w:pStyle w:val="BodyText"/>
      </w:pPr>
      <w:r>
        <w:t>According to the Regional Irrigated Land and Water Use Mapping in the Goulburn Murray Irrigation District (RILWUM) 2019-20</w:t>
      </w:r>
      <w:r w:rsidR="0065778B">
        <w:t xml:space="preserve"> </w:t>
      </w:r>
      <w:r w:rsidR="0065778B" w:rsidRPr="0065778B">
        <w:t>Farm Irrigation Survey</w:t>
      </w:r>
      <w:r>
        <w:t xml:space="preserve"> (Goulburn Broken CMA 2021), GMID irrigators had been farming for an average of 35 years</w:t>
      </w:r>
      <w:r w:rsidR="009F6712">
        <w:t xml:space="preserve"> a</w:t>
      </w:r>
      <w:r>
        <w:t xml:space="preserve">nd 84% of them own their own properties, which was down from 97% in 2015-16 (96.5%). In the same period, there had been an increase in those who own one property while also leasing, managing, or share farming additional properties. For example, in 2015/16, 1.5% of irrigators reported owning and leasing land, compared to 5% in 2019/20. </w:t>
      </w:r>
    </w:p>
    <w:p w14:paraId="0E1BC351" w14:textId="77777777" w:rsidR="00A2153D" w:rsidRDefault="00A2153D" w:rsidP="00A2153D">
      <w:pPr>
        <w:pStyle w:val="BodyText"/>
      </w:pPr>
      <w:r>
        <w:t>This suggests a structural change in the nature of agricultural enterprises and a changing approach to risk management.</w:t>
      </w:r>
    </w:p>
    <w:p w14:paraId="5A20AE46" w14:textId="0FB92E8E" w:rsidR="00A2153D" w:rsidRDefault="00A2153D" w:rsidP="00A2153D">
      <w:pPr>
        <w:pStyle w:val="BodyText"/>
      </w:pPr>
      <w:r>
        <w:t>In 2019-20</w:t>
      </w:r>
      <w:r w:rsidR="005F00EA">
        <w:t>,</w:t>
      </w:r>
      <w:r>
        <w:t xml:space="preserve"> 53% of irrigators had less than 200ML of HRWS, 44% held more than 200ML, and nearly 3% owned no entitlements. Unsurprisingly therefore, 57% of all irrigators (68% of Dairy) reported that allocation trade forms part of their long-term business plan. There was a strong relationship between property size of and entitlement ownership </w:t>
      </w:r>
      <w:r w:rsidR="004D2A2F">
        <w:t>—</w:t>
      </w:r>
      <w:r>
        <w:t xml:space="preserve"> the larger the land holding, the higher the ownership level for water entitlements. More than 42% of irrigators reported they had the water entitlement volume required to irrigate their properties. This was down from 64% in 2015</w:t>
      </w:r>
      <w:r w:rsidR="004D2A2F">
        <w:t>-</w:t>
      </w:r>
      <w:r>
        <w:t xml:space="preserve">16. </w:t>
      </w:r>
    </w:p>
    <w:p w14:paraId="32CAA7F2" w14:textId="77777777" w:rsidR="00A2153D" w:rsidRDefault="00A2153D" w:rsidP="00A2153D">
      <w:pPr>
        <w:pStyle w:val="BodyText"/>
      </w:pPr>
      <w:r>
        <w:t>This reflects a corresponding increase in specialisation in several aspects of the overall dairy production system that have been developed to support the complex feeding systems that have been more widely adopted in the GMID than in other parts of Australia. The trends in the adoption of these systems in the GMID suggest that they are an adaptation to reduced water availability for dairying under the Basin Plan.</w:t>
      </w:r>
    </w:p>
    <w:p w14:paraId="2399B3B3" w14:textId="1084255D" w:rsidR="00A2153D" w:rsidRDefault="00A2153D" w:rsidP="00A2153D">
      <w:pPr>
        <w:pStyle w:val="BodyText"/>
      </w:pPr>
      <w:r>
        <w:t xml:space="preserve">In 1996, at the start of the Millennium Drought, dairy farmers in the GMID started to introduce Total Mixed Ration (TMR), Partial Mixed Ration (PMR) and Total Non-grazed Feeding (TNF) systems as an adaptation to low water availability. This approach initially peaked in 2009 and started to decline after the drought broke. Many farmers sold much of their high security water rights during this period and relied more heavily on the water </w:t>
      </w:r>
      <w:r w:rsidR="004D2A2F">
        <w:t xml:space="preserve">allocation </w:t>
      </w:r>
      <w:r>
        <w:t>market</w:t>
      </w:r>
      <w:r w:rsidR="004D2A2F">
        <w:t xml:space="preserve"> (with the expectation of a return to historical patterns of water availability)</w:t>
      </w:r>
      <w:r>
        <w:t xml:space="preserve">. </w:t>
      </w:r>
    </w:p>
    <w:p w14:paraId="5A8FAA20" w14:textId="77777777" w:rsidR="00A2153D" w:rsidRDefault="00A2153D" w:rsidP="00A2153D">
      <w:pPr>
        <w:pStyle w:val="BodyText"/>
      </w:pPr>
      <w:r>
        <w:t xml:space="preserve">This approach served them well in the four years in a row after the drought when water allocations combined with carryover volumes could sustain use in excess of entitlement volumes. During this period dairy farms began to change their farming practices back to include more grazing. </w:t>
      </w:r>
    </w:p>
    <w:p w14:paraId="547E6E22" w14:textId="67EEBDF4" w:rsidR="00A2153D" w:rsidRDefault="00A2153D" w:rsidP="00A2153D">
      <w:pPr>
        <w:pStyle w:val="BodyText"/>
      </w:pPr>
      <w:r>
        <w:t>However, after the dry sequence began in 2015</w:t>
      </w:r>
      <w:r w:rsidR="00DC76A5">
        <w:t>-</w:t>
      </w:r>
      <w:r>
        <w:t xml:space="preserve">16, dairy farmers again experienced greater competition for irrigation water from other industries including horticulture, and they became more conscious of how much water had been recovered for the environment. </w:t>
      </w:r>
    </w:p>
    <w:p w14:paraId="1153E665" w14:textId="77777777" w:rsidR="00A2153D" w:rsidRDefault="00A2153D" w:rsidP="00A2153D">
      <w:pPr>
        <w:pStyle w:val="BodyText"/>
      </w:pPr>
      <w:r>
        <w:t>Scarce allocations, increased water prices, and greater volatility became more apparent. In many ways this provided the real reckoning with the impacts of the Basin Plan. In response many farmers who had difficulty adjusting to the greater complexity of the feeding systems necessary to cope with these realities got out of dairy farming</w:t>
      </w:r>
      <w:r>
        <w:rPr>
          <w:i/>
          <w:iCs/>
        </w:rPr>
        <w:t>.</w:t>
      </w:r>
      <w:r>
        <w:t xml:space="preserve"> They began running dairy associated and dairy agistment and fodder businesses – or they got out of irrigation all together.</w:t>
      </w:r>
    </w:p>
    <w:p w14:paraId="5ABA7493" w14:textId="77777777" w:rsidR="00A2153D" w:rsidRDefault="00A2153D" w:rsidP="00A2153D">
      <w:pPr>
        <w:pStyle w:val="BodyText"/>
      </w:pPr>
      <w:r>
        <w:lastRenderedPageBreak/>
        <w:t xml:space="preserve">According to the Murray Dairy Trends Report 2021 (Dairy Australia 2021), the remaining dairy farmers in the irrigation areas of the GMID and southern Riverina are seeking alternative farming systems to meet the challenges brought by rising costs of irrigation water and feed. This has seen the introduction of more complex feeding systems. It has also brought increased investment in the infrastructure and equipment necessary to support these feeding systems. These include basic sacrifice paddocks, gravel feed pads, concrete feed pads (with and without shelters), and barns (for fully-housed dairy systems). </w:t>
      </w:r>
    </w:p>
    <w:p w14:paraId="3E171AF9" w14:textId="77777777" w:rsidR="00A2153D" w:rsidRDefault="00A2153D" w:rsidP="00A2153D">
      <w:pPr>
        <w:pStyle w:val="BodyText"/>
      </w:pPr>
      <w:r>
        <w:t>There have been a wide variety of responses. Some businesses have moved to fully housed systems, some have invested in sophisticated feeding infrastructure and equipment, some in less sophisticated infrastructure, while others provide supplementary feed in the paddock – with or without grazing. At one end of that spectrum, the shift away from traditional grazing systems is permanent, the other end of the spectrum it may represent temporary changes during challenging seasons – with a view to returning to more traditional grazing systems when water allocations are high and water prices are low. Increasingly, however, the change looks to be a permanent response to lower, and more volatile, water availability.</w:t>
      </w:r>
    </w:p>
    <w:p w14:paraId="177287B2" w14:textId="03C8FA15" w:rsidR="00A2153D" w:rsidRDefault="008A3509" w:rsidP="00A2153D">
      <w:pPr>
        <w:pStyle w:val="BodyText"/>
      </w:pPr>
      <w:r w:rsidRPr="008A3509">
        <w:t>Goulburn Broken CMA</w:t>
      </w:r>
      <w:r>
        <w:t xml:space="preserve"> (</w:t>
      </w:r>
      <w:r w:rsidRPr="008A3509">
        <w:t>2021</w:t>
      </w:r>
      <w:r>
        <w:t>)</w:t>
      </w:r>
      <w:r w:rsidR="00A2153D">
        <w:t xml:space="preserve"> reports that nearly two-thirds of irrigators had a ‘large’ to ‘some’ reliance on allocation trade to manage in the 2019-20 irrigation season. This was similar to 2015-16. As previously discussed, allocation volumes were low for both seasons, and prices were high. Consequently, half of the GMID’s irrigated dairy farmers reported a negative impact on their potential to make a profit. A similar percentage (46%) reported a negative impact on their ability to plan and implement a water budget. By contrast, 40% of irrigators indicated no or little reliance on allocation trade – with no statistical difference between industries. </w:t>
      </w:r>
    </w:p>
    <w:p w14:paraId="1FCC64D9" w14:textId="77777777" w:rsidR="00A2153D" w:rsidRDefault="00A2153D" w:rsidP="00A2153D">
      <w:pPr>
        <w:pStyle w:val="BodyText"/>
      </w:pPr>
      <w:r>
        <w:t>Somewhat paradoxically, over two-thirds of irrigators also reported that allocation trade was having a positive impact on their ability to make a profit. This rating was highest for those irrigators who were cropping, presumably this was because they were among the most active sellers of allocations. The seeming paradox could also be explained by a grudging recognition by irrigators that even though they might prefer that water trade had never been introduced it does give them options to minimise their losses and improve their returns in dry times.</w:t>
      </w:r>
    </w:p>
    <w:p w14:paraId="7F45A09C" w14:textId="77777777" w:rsidR="00A2153D" w:rsidRDefault="00A2153D" w:rsidP="00A2153D">
      <w:pPr>
        <w:pStyle w:val="BodyText"/>
      </w:pPr>
      <w:r>
        <w:t xml:space="preserve">Irrigators were highly sensitive to allocation prices with 77% of all irrigators indicating prices greater than $250/ML were not viable for their business. However, there were more irrigators in 2019-20 who were prepared to pay more than $250/ML compared to 2015-16. This suggests that many had adapted their business models to match market realities. </w:t>
      </w:r>
    </w:p>
    <w:p w14:paraId="2D2F8153" w14:textId="77777777" w:rsidR="00A2153D" w:rsidRDefault="00A2153D" w:rsidP="00597401">
      <w:pPr>
        <w:pStyle w:val="Heading2numbered"/>
        <w:numPr>
          <w:ilvl w:val="1"/>
          <w:numId w:val="12"/>
        </w:numPr>
        <w:tabs>
          <w:tab w:val="clear" w:pos="851"/>
        </w:tabs>
        <w:ind w:left="0" w:firstLine="0"/>
      </w:pPr>
      <w:bookmarkStart w:id="195" w:name="_Toc110262399"/>
      <w:bookmarkStart w:id="196" w:name="_Toc113621668"/>
      <w:r>
        <w:t>Impacts on milk production</w:t>
      </w:r>
      <w:bookmarkEnd w:id="194"/>
      <w:bookmarkEnd w:id="195"/>
      <w:bookmarkEnd w:id="196"/>
    </w:p>
    <w:p w14:paraId="12812259" w14:textId="2E3FCAA6" w:rsidR="00A2153D" w:rsidRDefault="00A2153D" w:rsidP="00A2153D">
      <w:pPr>
        <w:pStyle w:val="BodyText"/>
      </w:pPr>
      <w:r>
        <w:t xml:space="preserve">Milk production would have been higher had there been no water recovery for the Basin Plan. Water recovery through buybacks and on-farm efficiency projects has reduced the consumptive pool of water. As discussed in Section 7, water recovery under the Basin Plan has had </w:t>
      </w:r>
      <w:r w:rsidR="00870DE6">
        <w:t>negligible</w:t>
      </w:r>
      <w:r>
        <w:t xml:space="preserve"> impact on horticultural industries. Consequently, the bulk of the impact of the recovery of high reliability entitlements has been felt by the dairy industry. </w:t>
      </w:r>
    </w:p>
    <w:p w14:paraId="2DBA7EB6" w14:textId="6A347631" w:rsidR="00870DE6" w:rsidRDefault="00A2153D" w:rsidP="00A2153D">
      <w:pPr>
        <w:pStyle w:val="BodyText"/>
      </w:pPr>
      <w:r>
        <w:t xml:space="preserve">There is a relationship between the total volume of irrigation water applied for dairy production and the volume of milk produced. </w:t>
      </w:r>
      <w:r w:rsidR="00870DE6">
        <w:t xml:space="preserve">There is also an expectation that, if more water is used in the GMID, then more </w:t>
      </w:r>
      <w:r w:rsidR="003F672B">
        <w:t>water would be used for dairy production in the GMID — it may also be assumed that this increase is roughly proportional</w:t>
      </w:r>
      <w:r w:rsidR="00870DE6">
        <w:t xml:space="preserve">. </w:t>
      </w:r>
      <w:r>
        <w:t>Using th</w:t>
      </w:r>
      <w:r w:rsidR="00870DE6">
        <w:t>ese relationships</w:t>
      </w:r>
      <w:r>
        <w:t xml:space="preserve"> it is possible to </w:t>
      </w:r>
      <w:r w:rsidR="003819C7">
        <w:t>estimat</w:t>
      </w:r>
      <w:r>
        <w:t xml:space="preserve">e how much extra milk would have been produced if there had been no water recovery for the environment. </w:t>
      </w:r>
    </w:p>
    <w:p w14:paraId="7F0F77F6" w14:textId="261F2D18" w:rsidR="00A2153D" w:rsidRDefault="00A2153D" w:rsidP="00A2153D">
      <w:pPr>
        <w:pStyle w:val="BodyText"/>
      </w:pPr>
      <w:r>
        <w:lastRenderedPageBreak/>
        <w:fldChar w:fldCharType="begin"/>
      </w:r>
      <w:r>
        <w:instrText xml:space="preserve"> REF _Ref109648388 \h </w:instrText>
      </w:r>
      <w:r>
        <w:fldChar w:fldCharType="separate"/>
      </w:r>
      <w:r w:rsidR="00D4298A">
        <w:rPr>
          <w:b/>
          <w:bCs/>
        </w:rPr>
        <w:t xml:space="preserve">Figure </w:t>
      </w:r>
      <w:r w:rsidR="00D4298A">
        <w:rPr>
          <w:b/>
          <w:bCs/>
          <w:noProof/>
        </w:rPr>
        <w:t>21</w:t>
      </w:r>
      <w:r>
        <w:fldChar w:fldCharType="end"/>
      </w:r>
      <w:r>
        <w:t xml:space="preserve"> presents observed and counterfactual milk production for the GMID. It shows, for example, that in 20</w:t>
      </w:r>
      <w:r w:rsidR="00F2163F">
        <w:t>20</w:t>
      </w:r>
      <w:r>
        <w:t>-2</w:t>
      </w:r>
      <w:r w:rsidR="00F2163F">
        <w:t>1</w:t>
      </w:r>
      <w:r>
        <w:t xml:space="preserve">, in the absence of the Basin Plan, </w:t>
      </w:r>
      <w:r w:rsidRPr="00F2163F">
        <w:t xml:space="preserve">there would have been an extra </w:t>
      </w:r>
      <w:r w:rsidR="00F2163F" w:rsidRPr="00F2163F">
        <w:t>46% water use in the GMID</w:t>
      </w:r>
      <w:r w:rsidRPr="00F2163F">
        <w:t xml:space="preserve"> available for the dairy industry, </w:t>
      </w:r>
      <w:r w:rsidR="00F2163F" w:rsidRPr="00F2163F">
        <w:t xml:space="preserve">and </w:t>
      </w:r>
      <w:r w:rsidRPr="00F2163F">
        <w:t xml:space="preserve">there would have been an </w:t>
      </w:r>
      <w:r w:rsidR="00F2163F" w:rsidRPr="00F2163F">
        <w:t>extra 46%</w:t>
      </w:r>
      <w:r w:rsidRPr="00F2163F">
        <w:t xml:space="preserve"> of milk produced </w:t>
      </w:r>
      <w:r w:rsidR="00F2163F" w:rsidRPr="00F2163F">
        <w:t>—</w:t>
      </w:r>
      <w:r w:rsidRPr="00F2163F">
        <w:t xml:space="preserve"> a</w:t>
      </w:r>
      <w:r w:rsidR="00F2163F" w:rsidRPr="00F2163F">
        <w:t>n additional 585 million litres</w:t>
      </w:r>
      <w:r w:rsidRPr="00F2163F">
        <w:t>.</w:t>
      </w:r>
    </w:p>
    <w:p w14:paraId="1D2BE8EB" w14:textId="652BA9C0" w:rsidR="003F672B" w:rsidRDefault="003F672B" w:rsidP="00A2153D">
      <w:pPr>
        <w:pStyle w:val="BodyText"/>
      </w:pPr>
      <w:r>
        <w:t>Another approach to view this is that:</w:t>
      </w:r>
    </w:p>
    <w:p w14:paraId="571C0E1B" w14:textId="44DFED79" w:rsidR="003F672B" w:rsidRDefault="00A777A3" w:rsidP="003F672B">
      <w:pPr>
        <w:pStyle w:val="ParaBullet1"/>
        <w:numPr>
          <w:ilvl w:val="0"/>
          <w:numId w:val="14"/>
        </w:numPr>
      </w:pPr>
      <w:r>
        <w:t>GMID m</w:t>
      </w:r>
      <w:r w:rsidR="003F672B">
        <w:t xml:space="preserve">ilk production dropped from </w:t>
      </w:r>
      <w:r>
        <w:t xml:space="preserve">an average of </w:t>
      </w:r>
      <w:r w:rsidR="003F672B">
        <w:t>around 2350</w:t>
      </w:r>
      <w:r>
        <w:t xml:space="preserve"> million litres in 2003-04 to 2005-06, to about 1270 million litres in 2019-20 and 2020-21 — a reduction of 46%.</w:t>
      </w:r>
    </w:p>
    <w:p w14:paraId="5FA4118B" w14:textId="29CFC7BB" w:rsidR="00A777A3" w:rsidRDefault="00A777A3" w:rsidP="003F672B">
      <w:pPr>
        <w:pStyle w:val="ParaBullet1"/>
        <w:numPr>
          <w:ilvl w:val="0"/>
          <w:numId w:val="14"/>
        </w:numPr>
      </w:pPr>
      <w:r>
        <w:t>The counterfactual suggests that, in the absence of water recovery, milk production would have averaged in the order of 1930 million litres in 2019-20 and 2020-21.</w:t>
      </w:r>
    </w:p>
    <w:p w14:paraId="425D5DAA" w14:textId="2BED69E7" w:rsidR="00A777A3" w:rsidRDefault="00A777A3" w:rsidP="003F672B">
      <w:pPr>
        <w:pStyle w:val="ParaBullet1"/>
        <w:numPr>
          <w:ilvl w:val="0"/>
          <w:numId w:val="14"/>
        </w:numPr>
      </w:pPr>
      <w:r>
        <w:t>Based on this</w:t>
      </w:r>
      <w:r w:rsidR="00F15D33">
        <w:t>,</w:t>
      </w:r>
      <w:r>
        <w:t xml:space="preserve"> </w:t>
      </w:r>
      <w:r w:rsidR="00F15D33">
        <w:t>the observed 46% decline in milk production can be disaggregated as:</w:t>
      </w:r>
    </w:p>
    <w:p w14:paraId="0EA71AC9" w14:textId="0790BE0E" w:rsidR="00F15D33" w:rsidRDefault="00F15D33" w:rsidP="00F15D33">
      <w:pPr>
        <w:pStyle w:val="ParaBullet2"/>
      </w:pPr>
      <w:r>
        <w:t>28% due to water recovery</w:t>
      </w:r>
    </w:p>
    <w:p w14:paraId="56D7D722" w14:textId="0425745B" w:rsidR="00F15D33" w:rsidRDefault="00F15D33" w:rsidP="00F15D33">
      <w:pPr>
        <w:pStyle w:val="ParaBullet2"/>
      </w:pPr>
      <w:r>
        <w:t>18% due to other factors</w:t>
      </w:r>
    </w:p>
    <w:p w14:paraId="6ACAE087" w14:textId="47ACF078" w:rsidR="00F15D33" w:rsidRDefault="00F15D33" w:rsidP="00F15D33">
      <w:pPr>
        <w:pStyle w:val="ParaBullet2"/>
        <w:numPr>
          <w:ilvl w:val="0"/>
          <w:numId w:val="14"/>
        </w:numPr>
      </w:pPr>
      <w:r>
        <w:t>Given the observed new lower levels of production, the counterfactual milk production is about 50% higher than observed — 46% in 2018-19, 57% in 2019-20 and 46% in 2020-21.</w:t>
      </w:r>
    </w:p>
    <w:p w14:paraId="58080210" w14:textId="77777777" w:rsidR="00A2153D" w:rsidRDefault="00A2153D" w:rsidP="00A2153D">
      <w:pPr>
        <w:pStyle w:val="BodyText"/>
      </w:pPr>
      <w:r>
        <w:t>The difference between observed and counterfactual milk production may have been lower if, for any reason, the marginal increase in water use was applied less efficiently than the observed average efficiency.</w:t>
      </w:r>
    </w:p>
    <w:p w14:paraId="46440D0F" w14:textId="4CEC63FC" w:rsidR="00A2153D" w:rsidRDefault="00A2153D" w:rsidP="00A2153D">
      <w:pPr>
        <w:pStyle w:val="Caption"/>
      </w:pPr>
      <w:bookmarkStart w:id="197" w:name="_Ref109648388"/>
      <w:bookmarkStart w:id="198" w:name="_Toc104933299"/>
      <w:bookmarkStart w:id="199" w:name="_Toc110262452"/>
      <w:bookmarkStart w:id="200" w:name="_Toc113621733"/>
      <w:r>
        <w:rPr>
          <w:b/>
          <w:bCs/>
        </w:rPr>
        <w:t xml:space="preserve">Figure </w:t>
      </w:r>
      <w:r>
        <w:fldChar w:fldCharType="begin"/>
      </w:r>
      <w:r>
        <w:rPr>
          <w:b/>
          <w:bCs/>
        </w:rPr>
        <w:instrText xml:space="preserve"> SEQ Figure \* ARABIC </w:instrText>
      </w:r>
      <w:r>
        <w:fldChar w:fldCharType="separate"/>
      </w:r>
      <w:r w:rsidR="00D4298A">
        <w:rPr>
          <w:b/>
          <w:bCs/>
          <w:noProof/>
        </w:rPr>
        <w:t>21</w:t>
      </w:r>
      <w:r>
        <w:fldChar w:fldCharType="end"/>
      </w:r>
      <w:bookmarkEnd w:id="197"/>
      <w:r>
        <w:t>: GMID milk production (observed and counterfactual)</w:t>
      </w:r>
      <w:bookmarkEnd w:id="198"/>
      <w:bookmarkEnd w:id="199"/>
      <w:bookmarkEnd w:id="200"/>
    </w:p>
    <w:p w14:paraId="3BB5CBD8" w14:textId="11BA3D2E" w:rsidR="00A2153D" w:rsidRDefault="00A2153D" w:rsidP="00A2153D">
      <w:pPr>
        <w:pStyle w:val="Image-Page1fullwidth"/>
        <w:keepNext/>
        <w:framePr w:w="0" w:hSpace="0" w:wrap="auto" w:vAnchor="margin" w:yAlign="inline"/>
        <w:spacing w:after="0" w:line="240" w:lineRule="auto"/>
      </w:pPr>
      <w:r>
        <w:drawing>
          <wp:inline distT="0" distB="0" distL="0" distR="0" wp14:anchorId="7C508DAD" wp14:editId="5E4ED7D0">
            <wp:extent cx="5734050" cy="3543300"/>
            <wp:effectExtent l="0" t="0" r="0" b="0"/>
            <wp:docPr id="30" name="Picture 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hart, bar char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4050" cy="3543300"/>
                    </a:xfrm>
                    <a:prstGeom prst="rect">
                      <a:avLst/>
                    </a:prstGeom>
                    <a:noFill/>
                    <a:ln>
                      <a:noFill/>
                    </a:ln>
                  </pic:spPr>
                </pic:pic>
              </a:graphicData>
            </a:graphic>
          </wp:inline>
        </w:drawing>
      </w:r>
    </w:p>
    <w:p w14:paraId="4859FDAD" w14:textId="77777777" w:rsidR="00A2153D" w:rsidRDefault="00A2153D" w:rsidP="00A2153D">
      <w:pPr>
        <w:pStyle w:val="Source"/>
        <w:rPr>
          <w:color w:val="9BA1A5"/>
        </w:rPr>
      </w:pPr>
      <w:r>
        <w:rPr>
          <w:color w:val="9BA1A5"/>
        </w:rPr>
        <w:t>Source: Frontier Economics analysis.</w:t>
      </w:r>
    </w:p>
    <w:p w14:paraId="3F65B861" w14:textId="77777777" w:rsidR="00A2153D" w:rsidRDefault="00A2153D" w:rsidP="00A2153D">
      <w:pPr>
        <w:pStyle w:val="BodyText"/>
      </w:pPr>
    </w:p>
    <w:p w14:paraId="3C5F359C" w14:textId="77777777" w:rsidR="00A2153D" w:rsidRDefault="00A2153D" w:rsidP="00A2153D">
      <w:pPr>
        <w:pStyle w:val="BodyText"/>
      </w:pPr>
      <w:r>
        <w:lastRenderedPageBreak/>
        <w:t>This reduced supply has reduced throughput in dairy processing. Although milk processing is not reported by factory, milk manufacturers operate farm to factory milk pick-up and milk is generally processed in the region of production.</w:t>
      </w:r>
    </w:p>
    <w:p w14:paraId="5934772E" w14:textId="150436BF" w:rsidR="00A73D66" w:rsidRDefault="00546F25" w:rsidP="00A2153D">
      <w:pPr>
        <w:pStyle w:val="BodyText"/>
      </w:pPr>
      <w:r w:rsidRPr="008E10E6">
        <w:t xml:space="preserve">The smaller milk pool has resulted </w:t>
      </w:r>
      <w:r w:rsidR="008B4252">
        <w:t>factory closures (such as Rochester and Leitchville) as well as</w:t>
      </w:r>
      <w:r w:rsidRPr="008E10E6">
        <w:t xml:space="preserve"> under-utilised milk processing capacity </w:t>
      </w:r>
      <w:r w:rsidR="008B4252">
        <w:t>(</w:t>
      </w:r>
      <w:r w:rsidRPr="008E10E6">
        <w:t>as there is significant processing capacity to be filled</w:t>
      </w:r>
      <w:r w:rsidR="008B4252">
        <w:t>)</w:t>
      </w:r>
      <w:r w:rsidRPr="008E10E6">
        <w:t xml:space="preserve"> which has significantly impacted productivity and costs. Saputo</w:t>
      </w:r>
      <w:r w:rsidR="008E10E6" w:rsidRPr="008E10E6">
        <w:t>, for example,</w:t>
      </w:r>
      <w:r w:rsidRPr="008E10E6">
        <w:t xml:space="preserve"> reported that </w:t>
      </w:r>
      <w:r w:rsidR="008E10E6" w:rsidRPr="008E10E6">
        <w:t xml:space="preserve">it </w:t>
      </w:r>
      <w:r w:rsidRPr="008E10E6">
        <w:t>shut down one of two dryers in one location, and that profitability was hindered by a reduction in milk intake</w:t>
      </w:r>
      <w:r w:rsidR="008E10E6" w:rsidRPr="008E10E6">
        <w:t>.</w:t>
      </w:r>
      <w:r w:rsidR="008E10E6" w:rsidRPr="008E10E6">
        <w:rPr>
          <w:rStyle w:val="FootnoteReference"/>
        </w:rPr>
        <w:footnoteReference w:id="23"/>
      </w:r>
      <w:r w:rsidR="008E10E6" w:rsidRPr="008E10E6">
        <w:t xml:space="preserve"> The smaller milk pool has also </w:t>
      </w:r>
      <w:r w:rsidRPr="008E10E6">
        <w:t>increased competition for milk to fill the capacities that factories have</w:t>
      </w:r>
      <w:r w:rsidR="008E10E6" w:rsidRPr="008E10E6">
        <w:t xml:space="preserve"> — meaning that the</w:t>
      </w:r>
      <w:r w:rsidR="00A73D66" w:rsidRPr="008E10E6">
        <w:t xml:space="preserve"> farmgate milk prices offered to farmers </w:t>
      </w:r>
      <w:r w:rsidR="008E10E6" w:rsidRPr="008E10E6">
        <w:t xml:space="preserve">in northern Victoria </w:t>
      </w:r>
      <w:r w:rsidR="00A73D66" w:rsidRPr="008E10E6">
        <w:t xml:space="preserve">tend to be higher than that offered to farmers in </w:t>
      </w:r>
      <w:r w:rsidRPr="008E10E6">
        <w:t>other milk producing regions of Victoria</w:t>
      </w:r>
      <w:r w:rsidR="008E10E6" w:rsidRPr="008E10E6">
        <w:t>.</w:t>
      </w:r>
      <w:r w:rsidR="008E10E6" w:rsidRPr="008E10E6">
        <w:rPr>
          <w:rStyle w:val="FootnoteReference"/>
        </w:rPr>
        <w:footnoteReference w:id="24"/>
      </w:r>
    </w:p>
    <w:p w14:paraId="3D0B28DA" w14:textId="77777777" w:rsidR="00A73D66" w:rsidRDefault="00A73D66" w:rsidP="00A2153D">
      <w:pPr>
        <w:pStyle w:val="BodyText"/>
      </w:pPr>
    </w:p>
    <w:p w14:paraId="110F8190" w14:textId="77777777" w:rsidR="00A2153D" w:rsidRDefault="00A2153D" w:rsidP="00597401">
      <w:pPr>
        <w:pStyle w:val="Heading1numbered"/>
        <w:numPr>
          <w:ilvl w:val="0"/>
          <w:numId w:val="12"/>
        </w:numPr>
      </w:pPr>
      <w:bookmarkStart w:id="201" w:name="_Toc107997238"/>
      <w:bookmarkStart w:id="202" w:name="_Ref108163772"/>
      <w:bookmarkStart w:id="203" w:name="_Toc110262400"/>
      <w:bookmarkStart w:id="204" w:name="_Toc113621669"/>
      <w:r>
        <w:lastRenderedPageBreak/>
        <w:t>Impacts in NSW and SA – and their implications for Victoria</w:t>
      </w:r>
      <w:bookmarkEnd w:id="201"/>
      <w:bookmarkEnd w:id="202"/>
      <w:bookmarkEnd w:id="203"/>
      <w:bookmarkEnd w:id="204"/>
    </w:p>
    <w:p w14:paraId="1AEA2431" w14:textId="22EDBDFB" w:rsidR="00A2153D" w:rsidRDefault="00A2153D" w:rsidP="00A2153D">
      <w:pPr>
        <w:pStyle w:val="BodyText"/>
      </w:pPr>
      <w:r>
        <w:t>Most of the water used for irrigation along the Murray in South Australia supports horticultural crops. Between 2015 and 2021 horticulture expanded by similar amounts of land in Victoria, NSW, and South Australia</w:t>
      </w:r>
      <w:r w:rsidR="00641422">
        <w:t xml:space="preserve"> (SunRISE 2022)</w:t>
      </w:r>
      <w:r>
        <w:t xml:space="preserve">. As discussed in section 7, the Basin Plan has not had significant </w:t>
      </w:r>
      <w:r w:rsidR="009600D9">
        <w:t xml:space="preserve">immediate </w:t>
      </w:r>
      <w:r>
        <w:t>impacts on the perennial horticultural industries in the Lower Murray-Darling Region.</w:t>
      </w:r>
    </w:p>
    <w:p w14:paraId="237B2C17" w14:textId="77777777" w:rsidR="00A2153D" w:rsidRDefault="00A2153D" w:rsidP="00A2153D">
      <w:pPr>
        <w:pStyle w:val="BodyText"/>
      </w:pPr>
      <w:r>
        <w:t>The run of low allocations to NSW general security water entitlements between 2017-18 and 2020-21 wrought significant changes to irrigated agriculture in southern NSW. There has been a steep decline in NSW Murray milk production and rice production has halved.</w:t>
      </w:r>
    </w:p>
    <w:p w14:paraId="4757425A" w14:textId="77777777" w:rsidR="00A2153D" w:rsidRDefault="00A2153D" w:rsidP="00A2153D">
      <w:pPr>
        <w:pStyle w:val="BodyText"/>
      </w:pPr>
      <w:r>
        <w:t>NSW irrigators are increasingly exploring mixed farming systems that can accommodate the volatility in allocation levels and water prices. Apart from the western part of the NSW Murray, where soil types are better suited to rice production than other crops, rice has become a crop that will be grown as part of the production system only when water prices are below $120–$150 per megalitre.</w:t>
      </w:r>
    </w:p>
    <w:p w14:paraId="799941EC" w14:textId="77777777" w:rsidR="00A2153D" w:rsidRDefault="00A2153D" w:rsidP="00A2153D">
      <w:pPr>
        <w:pStyle w:val="BodyText"/>
      </w:pPr>
      <w:r>
        <w:t xml:space="preserve">Cotton production has increased more in the Murrumbidgee Valley, but it has also increased in the NSW Murray Valley. Maize production has also increased as people become more familiar with growing row crops. Supplementary irrigation of winter crops like wheat and canola also generates high marginal returns per megalitre. </w:t>
      </w:r>
    </w:p>
    <w:p w14:paraId="0782E2AA" w14:textId="77777777" w:rsidR="00A2153D" w:rsidRDefault="00A2153D" w:rsidP="00A2153D">
      <w:pPr>
        <w:pStyle w:val="BodyText"/>
      </w:pPr>
      <w:r>
        <w:t>More progressive growers enthusiastically adopted the on-farm water efficiency measures used to recover water for the environment. Those measures provided an opportunity to evaluate newer technology without major capital borrowings. Many growers have continued to redevelop using similar technology following the experience they gained directly, or they observed on neighbouring properties. They have also increased their own water use and put added pressure on annual water prices.</w:t>
      </w:r>
    </w:p>
    <w:p w14:paraId="433E44D6" w14:textId="77777777" w:rsidR="00A2153D" w:rsidRDefault="00A2153D" w:rsidP="00A2153D">
      <w:pPr>
        <w:pStyle w:val="BodyText"/>
      </w:pPr>
      <w:r>
        <w:t>Land values have doubled in the past five years, and irrigated farms are being sold without water entitlements. The previous landholders are either retaining the water entitlements as a form of superannuation or the water holdings are being associated with the farms in ways that no longer reflect traditional institutional links with site-use approvals. Progressive farmers have committed to change, and they appear to be demonstrating that successful farm businesses can be operated in the current environment — with significant changes to farming systems.</w:t>
      </w:r>
    </w:p>
    <w:p w14:paraId="46E39E9B" w14:textId="7186C38E" w:rsidR="00A2153D" w:rsidRDefault="00A2153D" w:rsidP="00A2153D">
      <w:pPr>
        <w:pStyle w:val="BodyText"/>
      </w:pPr>
      <w:r>
        <w:t xml:space="preserve">While southern NSW irrigators are adapting to seasonal and annual opportunities, there has been a regional reduction in total water use, and we understand there would be a reduction in </w:t>
      </w:r>
      <w:r w:rsidR="000606F7">
        <w:t>Gross Value of Irrigated Agricultural Production (</w:t>
      </w:r>
      <w:r>
        <w:t>GVIAP</w:t>
      </w:r>
      <w:r w:rsidR="000606F7">
        <w:t>)</w:t>
      </w:r>
      <w:r>
        <w:rPr>
          <w:rStyle w:val="FootnoteReference"/>
        </w:rPr>
        <w:footnoteReference w:id="25"/>
      </w:r>
      <w:r>
        <w:t>, as a result of water recovery and greater competition in the water market. This has reduced economic activity in the region, with that being most marked in the western part of the NSW Murray Valley. Irrigated farming is the underlying driver of these regional economies</w:t>
      </w:r>
    </w:p>
    <w:p w14:paraId="6AF57948" w14:textId="77777777" w:rsidR="00A2153D" w:rsidRDefault="00A2153D" w:rsidP="00A2153D">
      <w:pPr>
        <w:pStyle w:val="BodyText"/>
      </w:pPr>
      <w:r>
        <w:lastRenderedPageBreak/>
        <w:t>Because the western part of the NSW Murray Valley does not allow as much flexibility in crop production systems irrigation has declined more markedly there. Correspondingly the socio-economic impacts there have been greater. Nonetheless, with water prices falling below the $120–$150 per megalitre threshold for rice production in 2021-22, growers on the poorer soils in the western regions have demonstrated their capacity, and willingness, to ramp up production when the opportunity arises.</w:t>
      </w:r>
    </w:p>
    <w:p w14:paraId="663AAEDF" w14:textId="77777777" w:rsidR="00A2153D" w:rsidRDefault="00A2153D" w:rsidP="00A2153D">
      <w:pPr>
        <w:pStyle w:val="BodyText"/>
      </w:pPr>
      <w:r>
        <w:t>Carryover as a percentage of total allocations has also risen in NSW. Mostly this is to dampen volatility, but there is also a component of ‘carryover parking’. This allows one party to carryover an allocation from one season by paying to use the entitlement and carryover capacity of another party. Parking is more attractive for those businesses that depend more on allocation trade than those that rely more on allocations against their held entitlements. This is the case for many large-scale horticultural enterprises.</w:t>
      </w:r>
    </w:p>
    <w:p w14:paraId="74539A9E" w14:textId="7B6C62D7" w:rsidR="00A2153D" w:rsidRDefault="00A2153D" w:rsidP="00A2153D">
      <w:pPr>
        <w:pStyle w:val="BodyText"/>
      </w:pPr>
      <w:r>
        <w:t xml:space="preserve">Carryover enables people to make opportunistic use of dam storage space </w:t>
      </w:r>
      <w:r w:rsidR="00DC4E88">
        <w:t>—</w:t>
      </w:r>
      <w:r>
        <w:t xml:space="preserve"> when it is available. All carryover is subject to spill if the total volume (carry over plus allocations) in an individual entitlement holder’s account reaches 100% of the entitlement volume</w:t>
      </w:r>
      <w:r w:rsidR="00992D97">
        <w:rPr>
          <w:rStyle w:val="FootnoteReference"/>
        </w:rPr>
        <w:footnoteReference w:id="26"/>
      </w:r>
      <w:r>
        <w:t xml:space="preserve">. In Victoria, there must be enough water in storage to meet two-years’ worth of 100% allocations against high reliability entitlements before any allocations are made against low reliability entitlements. Consequently, carryover in low reliability accounts is less likely to spill. (There have only been allocations against </w:t>
      </w:r>
      <w:r w:rsidR="00DC76A5">
        <w:t xml:space="preserve">Victorian </w:t>
      </w:r>
      <w:r>
        <w:t>low reliability entitlements in two of the last ten years.)</w:t>
      </w:r>
    </w:p>
    <w:p w14:paraId="465F9808" w14:textId="36454A01" w:rsidR="00A2153D" w:rsidRDefault="00A2153D" w:rsidP="00A2153D">
      <w:pPr>
        <w:pStyle w:val="BodyText"/>
      </w:pPr>
      <w:r>
        <w:t>The risk of spill for water parked in NSW general security entitlements is somewhere in between that of Victorian high and low reliability accounts. Moreover, a 5% evaporation loss applies to all water carried over in Victoria. In that context, parking water in NSW accounts is an attractive option.</w:t>
      </w:r>
    </w:p>
    <w:p w14:paraId="5C5855D4" w14:textId="77777777" w:rsidR="00A2153D" w:rsidRDefault="00A2153D" w:rsidP="00A2153D">
      <w:pPr>
        <w:pStyle w:val="BodyText"/>
      </w:pPr>
      <w:r>
        <w:t>Assuming that carryover parking strategies are implemented towards the end of the water year, then the volume of parked water appears to be relatively small compared to the total volume of carryover, at this stage. Looking forward, more comprehensive data on carryover parking will be available given that ‘reason for trade’ will be recorded on trade forms — as has been recorded in Victoria in 2020-21 and 2021-22.</w:t>
      </w:r>
    </w:p>
    <w:p w14:paraId="27003990" w14:textId="77777777" w:rsidR="00A2153D" w:rsidRDefault="00A2153D" w:rsidP="00597401">
      <w:pPr>
        <w:pStyle w:val="Heading1numbered"/>
        <w:numPr>
          <w:ilvl w:val="0"/>
          <w:numId w:val="12"/>
        </w:numPr>
      </w:pPr>
      <w:bookmarkStart w:id="205" w:name="_Ref108123017"/>
      <w:bookmarkStart w:id="206" w:name="_Ref108088925"/>
      <w:bookmarkStart w:id="207" w:name="_Toc107997249"/>
      <w:bookmarkStart w:id="208" w:name="_Toc113621670"/>
      <w:bookmarkStart w:id="209" w:name="_Toc110262401"/>
      <w:r>
        <w:lastRenderedPageBreak/>
        <w:t>The environmental outcomes and benefits</w:t>
      </w:r>
      <w:bookmarkEnd w:id="205"/>
      <w:bookmarkEnd w:id="206"/>
      <w:bookmarkEnd w:id="207"/>
      <w:r>
        <w:t xml:space="preserve"> of the Basin Plan</w:t>
      </w:r>
      <w:bookmarkEnd w:id="208"/>
      <w:r>
        <w:t xml:space="preserve"> </w:t>
      </w:r>
      <w:bookmarkEnd w:id="209"/>
    </w:p>
    <w:p w14:paraId="3BBB2E95" w14:textId="506D3F0D" w:rsidR="00DC4E88" w:rsidRDefault="00A2153D" w:rsidP="00A2153D">
      <w:pPr>
        <w:pStyle w:val="BodyText"/>
      </w:pPr>
      <w:r>
        <w:t xml:space="preserve">It would be remiss to focus on the </w:t>
      </w:r>
      <w:r w:rsidR="00992D97">
        <w:t xml:space="preserve">adverse </w:t>
      </w:r>
      <w:r>
        <w:t xml:space="preserve">socio-economic impacts of the Basin Plan without framing them in the context of the environmental outcomes and benefits of the Plan. </w:t>
      </w:r>
    </w:p>
    <w:p w14:paraId="02290488" w14:textId="6C84681E" w:rsidR="00A2153D" w:rsidRDefault="00A2153D" w:rsidP="00A2153D">
      <w:pPr>
        <w:pStyle w:val="BodyText"/>
      </w:pPr>
      <w:r>
        <w:t xml:space="preserve">There </w:t>
      </w:r>
      <w:r w:rsidR="00004F45">
        <w:t xml:space="preserve">are numerous publicly available reports that provide </w:t>
      </w:r>
      <w:r>
        <w:t>unambiguous evidence that environmental watering is restoring the environmental values of the Basin.</w:t>
      </w:r>
      <w:r w:rsidR="00004F45">
        <w:rPr>
          <w:rStyle w:val="FootnoteReference"/>
        </w:rPr>
        <w:footnoteReference w:id="27"/>
      </w:r>
      <w:r w:rsidR="00004F45" w:rsidRPr="00004F45">
        <w:rPr>
          <w:rStyle w:val="FootnoteReference"/>
        </w:rPr>
        <w:t xml:space="preserve"> </w:t>
      </w:r>
      <w:r w:rsidR="00004F45">
        <w:rPr>
          <w:rStyle w:val="FootnoteReference"/>
        </w:rPr>
        <w:footnoteReference w:id="28"/>
      </w:r>
      <w:r w:rsidR="000870A2">
        <w:t xml:space="preserve"> </w:t>
      </w:r>
      <w:r w:rsidR="000870A2">
        <w:rPr>
          <w:rStyle w:val="FootnoteReference"/>
        </w:rPr>
        <w:footnoteReference w:id="29"/>
      </w:r>
      <w:r w:rsidR="000870A2">
        <w:t xml:space="preserve"> </w:t>
      </w:r>
      <w:r w:rsidR="000870A2">
        <w:rPr>
          <w:rStyle w:val="FootnoteReference"/>
        </w:rPr>
        <w:footnoteReference w:id="30"/>
      </w:r>
      <w:r w:rsidR="000870A2">
        <w:t xml:space="preserve"> </w:t>
      </w:r>
      <w:r w:rsidR="000870A2">
        <w:rPr>
          <w:rStyle w:val="FootnoteReference"/>
        </w:rPr>
        <w:footnoteReference w:id="31"/>
      </w:r>
      <w:r w:rsidR="00DC4E88">
        <w:t xml:space="preserve"> For example, the 2021 State of the Environment Report noted that, given the Basin Plan and the associated water recovery: “Flows are now provided by releasing water for the environment. These are restoring the health of rivers and wetlands and helping to mitigate issues such as fish deaths and algal blooms that occurred during the recent drought”.</w:t>
      </w:r>
    </w:p>
    <w:p w14:paraId="7A9F8D13" w14:textId="77777777" w:rsidR="00A2153D" w:rsidRDefault="00A2153D" w:rsidP="00A2153D">
      <w:pPr>
        <w:pStyle w:val="BodyText"/>
      </w:pPr>
    </w:p>
    <w:p w14:paraId="55F41088" w14:textId="0E4AD642" w:rsidR="00A2153D" w:rsidRDefault="00A2153D" w:rsidP="00597401">
      <w:pPr>
        <w:pStyle w:val="Heading1numbered"/>
        <w:numPr>
          <w:ilvl w:val="0"/>
          <w:numId w:val="12"/>
        </w:numPr>
      </w:pPr>
      <w:bookmarkStart w:id="210" w:name="_Toc107997241"/>
      <w:bookmarkStart w:id="211" w:name="_Toc110262402"/>
      <w:bookmarkStart w:id="212" w:name="_Toc113621671"/>
      <w:r>
        <w:lastRenderedPageBreak/>
        <w:t>Socio-economic impacts of the Basin Plan in Victoria</w:t>
      </w:r>
      <w:bookmarkEnd w:id="210"/>
      <w:bookmarkEnd w:id="211"/>
      <w:r w:rsidR="007471D8">
        <w:t xml:space="preserve"> to date</w:t>
      </w:r>
      <w:bookmarkEnd w:id="212"/>
    </w:p>
    <w:p w14:paraId="0F2B2147" w14:textId="77777777" w:rsidR="00A2153D" w:rsidRDefault="00A2153D" w:rsidP="00597401">
      <w:pPr>
        <w:pStyle w:val="Heading2numbered"/>
        <w:numPr>
          <w:ilvl w:val="1"/>
          <w:numId w:val="12"/>
        </w:numPr>
        <w:tabs>
          <w:tab w:val="clear" w:pos="851"/>
        </w:tabs>
        <w:ind w:left="0" w:firstLine="0"/>
      </w:pPr>
      <w:bookmarkStart w:id="213" w:name="_Toc107997242"/>
      <w:bookmarkStart w:id="214" w:name="_Toc110262403"/>
      <w:bookmarkStart w:id="215" w:name="_Toc113621672"/>
      <w:r>
        <w:t>Previous findings</w:t>
      </w:r>
      <w:bookmarkEnd w:id="213"/>
      <w:r>
        <w:t xml:space="preserve"> on socio-economic impacts of the Basin Plan</w:t>
      </w:r>
      <w:bookmarkEnd w:id="214"/>
      <w:bookmarkEnd w:id="215"/>
    </w:p>
    <w:p w14:paraId="04A85B8A" w14:textId="77777777" w:rsidR="00A2153D" w:rsidRDefault="00A2153D" w:rsidP="00A2153D">
      <w:pPr>
        <w:pStyle w:val="BodyText"/>
      </w:pPr>
      <w:r>
        <w:t>The 2017 review found:</w:t>
      </w:r>
    </w:p>
    <w:p w14:paraId="158A7D56" w14:textId="77777777" w:rsidR="00DB18D0" w:rsidRDefault="00A2153D" w:rsidP="00597401">
      <w:pPr>
        <w:pStyle w:val="ListBullet1"/>
        <w:numPr>
          <w:ilvl w:val="0"/>
          <w:numId w:val="19"/>
        </w:numPr>
      </w:pPr>
      <w:r>
        <w:t>The Commonwealth buyback of water entitlements provided timely assistance to many farmers with high debt levels. However, most of the buyback was from Victoria including the vast majority of high reliability entitlements secured through buyback.</w:t>
      </w:r>
    </w:p>
    <w:p w14:paraId="49CC8032" w14:textId="301402A0" w:rsidR="00A2153D" w:rsidRPr="00DB18D0" w:rsidRDefault="00DB18D0" w:rsidP="00DB18D0">
      <w:pPr>
        <w:pStyle w:val="ListBullet1"/>
        <w:ind w:left="284"/>
        <w:rPr>
          <w:i/>
          <w:iCs/>
        </w:rPr>
      </w:pPr>
      <w:r>
        <w:rPr>
          <w:i/>
          <w:iCs/>
        </w:rPr>
        <w:t>This finding has held true over the past five years.</w:t>
      </w:r>
    </w:p>
    <w:p w14:paraId="455EC772" w14:textId="5DE5ADD8" w:rsidR="00A2153D" w:rsidRDefault="00A2153D" w:rsidP="00597401">
      <w:pPr>
        <w:pStyle w:val="ListBullet1"/>
        <w:numPr>
          <w:ilvl w:val="0"/>
          <w:numId w:val="19"/>
        </w:numPr>
      </w:pPr>
      <w:r>
        <w:t>That left Victoria’s irrigated dairy industry particularly exposed to increased reliance on allocation purchases. It also left Victorian horticulturalists exposed to the risk of low allocations. In a repeat of 2008</w:t>
      </w:r>
      <w:r w:rsidR="00C445B9">
        <w:t>-</w:t>
      </w:r>
      <w:r>
        <w:t>09 allocations, more horticultural land would be exposed to the risk of being dried off.</w:t>
      </w:r>
    </w:p>
    <w:p w14:paraId="57624A84" w14:textId="2EE73BE9" w:rsidR="00DB18D0" w:rsidRPr="00DB18D0" w:rsidRDefault="00DB18D0" w:rsidP="00DB18D0">
      <w:pPr>
        <w:pStyle w:val="ListBullet1"/>
        <w:ind w:left="284"/>
        <w:rPr>
          <w:i/>
          <w:iCs/>
        </w:rPr>
      </w:pPr>
      <w:r>
        <w:rPr>
          <w:i/>
          <w:iCs/>
        </w:rPr>
        <w:t>This finding has held true over the past five years.</w:t>
      </w:r>
      <w:r w:rsidR="00C445B9" w:rsidRPr="00C445B9">
        <w:rPr>
          <w:i/>
          <w:iCs/>
        </w:rPr>
        <w:t xml:space="preserve"> 2018</w:t>
      </w:r>
      <w:r w:rsidR="00C445B9">
        <w:rPr>
          <w:i/>
          <w:iCs/>
        </w:rPr>
        <w:t>-</w:t>
      </w:r>
      <w:r w:rsidR="00C445B9" w:rsidRPr="00C445B9">
        <w:rPr>
          <w:i/>
          <w:iCs/>
        </w:rPr>
        <w:t>19 and 2019</w:t>
      </w:r>
      <w:r w:rsidR="00C445B9">
        <w:rPr>
          <w:i/>
          <w:iCs/>
        </w:rPr>
        <w:t>-20</w:t>
      </w:r>
      <w:r w:rsidR="00C445B9" w:rsidRPr="00C445B9">
        <w:rPr>
          <w:i/>
          <w:iCs/>
        </w:rPr>
        <w:t xml:space="preserve"> have shown that the impact</w:t>
      </w:r>
      <w:r w:rsidR="002F6FFF">
        <w:rPr>
          <w:i/>
          <w:iCs/>
        </w:rPr>
        <w:t>s</w:t>
      </w:r>
      <w:r w:rsidR="00C445B9" w:rsidRPr="00C445B9">
        <w:rPr>
          <w:i/>
          <w:iCs/>
        </w:rPr>
        <w:t xml:space="preserve"> of these buyback are felt in </w:t>
      </w:r>
      <w:r w:rsidR="002F6FFF">
        <w:rPr>
          <w:i/>
          <w:iCs/>
        </w:rPr>
        <w:t>GMID water use during</w:t>
      </w:r>
      <w:r w:rsidR="00C445B9" w:rsidRPr="00C445B9">
        <w:rPr>
          <w:i/>
          <w:iCs/>
        </w:rPr>
        <w:t xml:space="preserve"> dry years in Victoria</w:t>
      </w:r>
      <w:r w:rsidR="002F6FFF">
        <w:rPr>
          <w:i/>
          <w:iCs/>
        </w:rPr>
        <w:t>. Allocations as low as observed in 2008-09 have not yet been repeated, but climate change is expected to increase the likelihood and severity of dry years in the future.</w:t>
      </w:r>
    </w:p>
    <w:p w14:paraId="60162C9D" w14:textId="2BBC9320" w:rsidR="00A2153D" w:rsidRDefault="00A2153D" w:rsidP="00597401">
      <w:pPr>
        <w:pStyle w:val="ListBullet1"/>
        <w:numPr>
          <w:ilvl w:val="0"/>
          <w:numId w:val="19"/>
        </w:numPr>
      </w:pPr>
      <w:r>
        <w:t xml:space="preserve">The characteristics of water use in the southern-connected Basin have changed significantly as a result of the Basin Plan. The consumptive pool has decreased significantly, and the mix of industries has changed. </w:t>
      </w:r>
    </w:p>
    <w:p w14:paraId="6FDC4427" w14:textId="23264235" w:rsidR="00DB18D0" w:rsidRPr="00DB18D0" w:rsidRDefault="00A51F9D" w:rsidP="00DB18D0">
      <w:pPr>
        <w:pStyle w:val="ListBullet1"/>
        <w:ind w:left="284"/>
        <w:rPr>
          <w:i/>
          <w:iCs/>
        </w:rPr>
      </w:pPr>
      <w:r>
        <w:rPr>
          <w:i/>
          <w:iCs/>
        </w:rPr>
        <w:t>The characteristics of water use in the southern-connected Basin have changed even more in response to the Basin Plan</w:t>
      </w:r>
      <w:r w:rsidR="002F6FFF">
        <w:rPr>
          <w:i/>
          <w:iCs/>
        </w:rPr>
        <w:t xml:space="preserve"> and broader trends</w:t>
      </w:r>
      <w:r w:rsidR="00DB18D0">
        <w:rPr>
          <w:i/>
          <w:iCs/>
        </w:rPr>
        <w:t xml:space="preserve"> over the past five years.</w:t>
      </w:r>
    </w:p>
    <w:p w14:paraId="4DBA78D2" w14:textId="19D525D0" w:rsidR="00A2153D" w:rsidRDefault="00A2153D" w:rsidP="00597401">
      <w:pPr>
        <w:pStyle w:val="ListBullet1"/>
        <w:numPr>
          <w:ilvl w:val="0"/>
          <w:numId w:val="19"/>
        </w:numPr>
      </w:pPr>
      <w:r>
        <w:t>In particular, horticulture, with its relatively fixed water demands now accounts for a larger proportion of the consumptive pool. It is now at the point where in a repeat of 2008</w:t>
      </w:r>
      <w:r w:rsidR="002F6FFF">
        <w:t>-</w:t>
      </w:r>
      <w:r>
        <w:t>09 allocation levels, horticultural use could account for all the available water. The proportion of the consumptive pool dedicated to horticulture will increase as horticulture continues to expand. It would increase further still under the 2750 GL and 3200 GL water recovery scenarios.</w:t>
      </w:r>
    </w:p>
    <w:p w14:paraId="5D6A7433" w14:textId="3B353B6E" w:rsidR="00D32976" w:rsidRDefault="00D32976" w:rsidP="0007656F">
      <w:pPr>
        <w:pStyle w:val="ListBullet1"/>
        <w:ind w:left="284"/>
      </w:pPr>
      <w:r>
        <w:rPr>
          <w:i/>
          <w:iCs/>
        </w:rPr>
        <w:t xml:space="preserve">While buyback reduced significantly in the last five years, on-farm efficiency projects continued to reduce the </w:t>
      </w:r>
      <w:r w:rsidR="00BA5D7D">
        <w:rPr>
          <w:i/>
          <w:iCs/>
        </w:rPr>
        <w:t xml:space="preserve">consumptive pool. Horticulture has also continued to expand. Horticulture has therefore expanded </w:t>
      </w:r>
      <w:r w:rsidR="0007656F">
        <w:rPr>
          <w:i/>
          <w:iCs/>
        </w:rPr>
        <w:t>t</w:t>
      </w:r>
      <w:r w:rsidR="00BA5D7D">
        <w:rPr>
          <w:i/>
          <w:iCs/>
        </w:rPr>
        <w:t xml:space="preserve">o account for an even bigger slice of an even smaller pie </w:t>
      </w:r>
      <w:r w:rsidR="0007656F">
        <w:rPr>
          <w:i/>
          <w:iCs/>
        </w:rPr>
        <w:t>i</w:t>
      </w:r>
      <w:r w:rsidR="00BA5D7D">
        <w:rPr>
          <w:i/>
          <w:iCs/>
        </w:rPr>
        <w:t xml:space="preserve">n the </w:t>
      </w:r>
      <w:r w:rsidR="0007656F">
        <w:rPr>
          <w:i/>
          <w:iCs/>
        </w:rPr>
        <w:t>p</w:t>
      </w:r>
      <w:r w:rsidR="00BA5D7D">
        <w:rPr>
          <w:i/>
          <w:iCs/>
        </w:rPr>
        <w:t>ast five years</w:t>
      </w:r>
      <w:r w:rsidR="0007656F">
        <w:rPr>
          <w:i/>
          <w:iCs/>
        </w:rPr>
        <w:t>.</w:t>
      </w:r>
    </w:p>
    <w:p w14:paraId="05B9FED0" w14:textId="0435B1B2" w:rsidR="00A2153D" w:rsidRDefault="00A2153D" w:rsidP="00597401">
      <w:pPr>
        <w:pStyle w:val="ListBullet1"/>
        <w:numPr>
          <w:ilvl w:val="0"/>
          <w:numId w:val="19"/>
        </w:numPr>
      </w:pPr>
      <w:r>
        <w:t xml:space="preserve">Because buyback was weighted towards high reliability entitlements, the remaining consumptive pool will yield more variable allocations at the Basin-scale. This has changed the risk profile for those irrigators who must compete with horticulturalists for allocations in dry years. </w:t>
      </w:r>
    </w:p>
    <w:p w14:paraId="6B3FEE4A" w14:textId="77C48444" w:rsidR="0007656F" w:rsidRPr="00DB18D0" w:rsidRDefault="0007656F" w:rsidP="0007656F">
      <w:pPr>
        <w:pStyle w:val="ListBullet1"/>
        <w:ind w:left="284"/>
        <w:rPr>
          <w:i/>
          <w:iCs/>
        </w:rPr>
      </w:pPr>
      <w:r>
        <w:rPr>
          <w:i/>
          <w:iCs/>
        </w:rPr>
        <w:t xml:space="preserve">This finding has held true over the past five years, and as horticulture has expanded </w:t>
      </w:r>
      <w:r w:rsidR="00726F77">
        <w:rPr>
          <w:i/>
          <w:iCs/>
        </w:rPr>
        <w:t xml:space="preserve">to account for more of the allocations from high reliability entitlements, dairying and cropping farming systems are being squeezed into even greater reliance on </w:t>
      </w:r>
      <w:r w:rsidR="00F90B97">
        <w:rPr>
          <w:i/>
          <w:iCs/>
        </w:rPr>
        <w:t>more volatile allocations</w:t>
      </w:r>
      <w:r>
        <w:rPr>
          <w:i/>
          <w:iCs/>
        </w:rPr>
        <w:t>.</w:t>
      </w:r>
    </w:p>
    <w:p w14:paraId="4B7121F7" w14:textId="036C198B" w:rsidR="00A2153D" w:rsidRDefault="00A2153D" w:rsidP="00597401">
      <w:pPr>
        <w:pStyle w:val="ListBullet1"/>
        <w:numPr>
          <w:ilvl w:val="0"/>
          <w:numId w:val="19"/>
        </w:numPr>
      </w:pPr>
      <w:r>
        <w:lastRenderedPageBreak/>
        <w:t>If water recovery had not occurred, water use in the GMID would have been 29-31% higher in the past three years (2013</w:t>
      </w:r>
      <w:r w:rsidR="008B4252">
        <w:t>-</w:t>
      </w:r>
      <w:r>
        <w:t>14 to 2015</w:t>
      </w:r>
      <w:r w:rsidR="008B4252">
        <w:t>-</w:t>
      </w:r>
      <w:r>
        <w:t xml:space="preserve">16). Accordingly, GMID milk production could be expected to have been about 30% higher than was observed. </w:t>
      </w:r>
    </w:p>
    <w:p w14:paraId="6BB67DDE" w14:textId="1E679420" w:rsidR="0099095C" w:rsidRPr="0099095C" w:rsidRDefault="0099095C" w:rsidP="0099095C">
      <w:pPr>
        <w:pStyle w:val="ListBullet1"/>
        <w:ind w:left="284"/>
        <w:rPr>
          <w:i/>
          <w:iCs/>
        </w:rPr>
      </w:pPr>
      <w:r>
        <w:rPr>
          <w:i/>
          <w:iCs/>
        </w:rPr>
        <w:t>In the absence of the Basin Plan, milk production in the GMID would have been 50% higher over the past five years.</w:t>
      </w:r>
    </w:p>
    <w:p w14:paraId="4E30E79B" w14:textId="44E32FF2" w:rsidR="00A2153D" w:rsidRDefault="00A2153D" w:rsidP="00597401">
      <w:pPr>
        <w:pStyle w:val="ListBullet1"/>
        <w:numPr>
          <w:ilvl w:val="0"/>
          <w:numId w:val="19"/>
        </w:numPr>
      </w:pPr>
      <w:r>
        <w:t>The foregone production would otherwise have had significant flow-on effects in towns and communities where farm inputs are sourced and where dairy manufacturing occurs. Water use by horticulturalists would have been largely the same with and without the Basin Plan.</w:t>
      </w:r>
    </w:p>
    <w:p w14:paraId="5AB34283" w14:textId="200AF446" w:rsidR="0099095C" w:rsidRPr="0099095C" w:rsidRDefault="0099095C" w:rsidP="0099095C">
      <w:pPr>
        <w:pStyle w:val="ListBullet1"/>
        <w:ind w:left="284"/>
        <w:rPr>
          <w:i/>
          <w:iCs/>
        </w:rPr>
      </w:pPr>
      <w:r>
        <w:rPr>
          <w:i/>
          <w:iCs/>
        </w:rPr>
        <w:t>This finding has held true over the past five years.</w:t>
      </w:r>
    </w:p>
    <w:p w14:paraId="45320E35" w14:textId="4DE58238" w:rsidR="00A2153D" w:rsidRDefault="00A2153D" w:rsidP="00597401">
      <w:pPr>
        <w:pStyle w:val="ListBullet1"/>
        <w:numPr>
          <w:ilvl w:val="0"/>
          <w:numId w:val="19"/>
        </w:numPr>
      </w:pPr>
      <w:r>
        <w:t>Irrigators have been adapting, but the relative abundance of water since buyback was completed, with the notable exception of 2015</w:t>
      </w:r>
      <w:r w:rsidR="009F35DA">
        <w:t>-</w:t>
      </w:r>
      <w:r>
        <w:t>16, has enabled many irrigators to maintain water use though water allocation purchases. Consequently, many of the socio-economic impacts of the Basin Plan may not be observed until the next drought.</w:t>
      </w:r>
    </w:p>
    <w:p w14:paraId="0BF6C50C" w14:textId="53F3BF2E" w:rsidR="00CD0EFB" w:rsidRPr="00CD0EFB" w:rsidRDefault="00CD0EFB" w:rsidP="00CD0EFB">
      <w:pPr>
        <w:pStyle w:val="ListBullet1"/>
        <w:ind w:left="284"/>
        <w:rPr>
          <w:i/>
          <w:iCs/>
        </w:rPr>
      </w:pPr>
      <w:r>
        <w:rPr>
          <w:i/>
          <w:iCs/>
        </w:rPr>
        <w:t>This finding proved to be prescient.</w:t>
      </w:r>
    </w:p>
    <w:p w14:paraId="2C57EC7C" w14:textId="48FA33FB" w:rsidR="00A2153D" w:rsidRDefault="00A2153D" w:rsidP="00597401">
      <w:pPr>
        <w:pStyle w:val="ListBullet1"/>
        <w:numPr>
          <w:ilvl w:val="0"/>
          <w:numId w:val="19"/>
        </w:numPr>
      </w:pPr>
      <w:r>
        <w:t xml:space="preserve">Further water recovery through government investment in on-farm efficiency savings may be positive for the farm enterprise being funded, however the effects on other water users and irrigation communities may be negative. </w:t>
      </w:r>
    </w:p>
    <w:p w14:paraId="41A91015" w14:textId="28D10655" w:rsidR="00CD0EFB" w:rsidRPr="00CD0EFB" w:rsidRDefault="00CD0EFB" w:rsidP="00CD0EFB">
      <w:pPr>
        <w:pStyle w:val="ListBullet1"/>
        <w:ind w:left="284"/>
        <w:rPr>
          <w:i/>
          <w:iCs/>
        </w:rPr>
      </w:pPr>
      <w:r>
        <w:rPr>
          <w:i/>
          <w:iCs/>
        </w:rPr>
        <w:t>This finding was controversial in 2017, but it has been validated by several studies since then.</w:t>
      </w:r>
    </w:p>
    <w:p w14:paraId="441813BC" w14:textId="75ECB581" w:rsidR="00A2153D" w:rsidRDefault="00A2153D" w:rsidP="00597401">
      <w:pPr>
        <w:pStyle w:val="ListBullet1"/>
        <w:numPr>
          <w:ilvl w:val="0"/>
          <w:numId w:val="19"/>
        </w:numPr>
      </w:pPr>
      <w:r>
        <w:t>On-farm water savings have similar characteristics to off-farm water savings in wet-to-average years. However, because most of the investments have occurred on farms that support interruptible and semi-interruptible enterprises, in dry and extreme dry years the on-farm projects serve to reduce the consumptive pool; those irrigators have less water to sell to non-interruptible horticulturalists in dry sequences. This will elevate allocation prices in dry years.</w:t>
      </w:r>
    </w:p>
    <w:p w14:paraId="14FC12C6" w14:textId="228E77C4" w:rsidR="00CD0EFB" w:rsidRPr="00CD0EFB" w:rsidRDefault="00CD0EFB" w:rsidP="00CD0EFB">
      <w:pPr>
        <w:pStyle w:val="ListBullet1"/>
        <w:ind w:left="284"/>
        <w:rPr>
          <w:i/>
          <w:iCs/>
        </w:rPr>
      </w:pPr>
      <w:r>
        <w:rPr>
          <w:i/>
          <w:iCs/>
        </w:rPr>
        <w:t>This finding has held true over the past five years</w:t>
      </w:r>
      <w:r w:rsidR="009F35DA">
        <w:rPr>
          <w:i/>
          <w:iCs/>
        </w:rPr>
        <w:t>. Other studies, including by ABARES, have found that on-farm water savings increase water allocation prices.</w:t>
      </w:r>
    </w:p>
    <w:p w14:paraId="6AB9E019" w14:textId="0E5F3D04" w:rsidR="00A2153D" w:rsidRDefault="00A2153D" w:rsidP="00597401">
      <w:pPr>
        <w:pStyle w:val="ListBullet1"/>
        <w:numPr>
          <w:ilvl w:val="0"/>
          <w:numId w:val="19"/>
        </w:numPr>
      </w:pPr>
      <w:r>
        <w:t>A key finding is that Victorian irrigators who sold water entitlements to the Commonwealth are now more reliant on allocation purchases than they would have been without the Basin Plan. This has increased their farming risk. The nature of this risk was masked for four years by the high level of carryover resulting from the extraordinarily high rainfall years of 2010</w:t>
      </w:r>
      <w:r w:rsidR="009F35DA">
        <w:t>-</w:t>
      </w:r>
      <w:r>
        <w:t>11 and 2011</w:t>
      </w:r>
      <w:r w:rsidR="009F35DA">
        <w:t>-</w:t>
      </w:r>
      <w:r>
        <w:t xml:space="preserve">12. </w:t>
      </w:r>
    </w:p>
    <w:p w14:paraId="6FE390A4" w14:textId="267F1C10" w:rsidR="00F06294" w:rsidRPr="00F06294" w:rsidRDefault="00F06294" w:rsidP="00F06294">
      <w:pPr>
        <w:pStyle w:val="ListBullet1"/>
        <w:ind w:left="284"/>
        <w:rPr>
          <w:i/>
          <w:iCs/>
        </w:rPr>
      </w:pPr>
      <w:r>
        <w:rPr>
          <w:i/>
          <w:iCs/>
        </w:rPr>
        <w:t>This finding proved to be prescient.</w:t>
      </w:r>
      <w:r w:rsidR="009F35DA">
        <w:rPr>
          <w:i/>
          <w:iCs/>
        </w:rPr>
        <w:t xml:space="preserve"> Over the past five years, Victorian dairy</w:t>
      </w:r>
      <w:r w:rsidR="00230CCA">
        <w:rPr>
          <w:i/>
          <w:iCs/>
        </w:rPr>
        <w:t xml:space="preserve"> farms have had to become increasingly flexible and strategic to manage this increased level of farm risk.</w:t>
      </w:r>
    </w:p>
    <w:p w14:paraId="77D6FFE3" w14:textId="77777777" w:rsidR="00A2153D" w:rsidRDefault="00A2153D" w:rsidP="00597401">
      <w:pPr>
        <w:pStyle w:val="Heading2numbered"/>
        <w:numPr>
          <w:ilvl w:val="1"/>
          <w:numId w:val="12"/>
        </w:numPr>
        <w:tabs>
          <w:tab w:val="clear" w:pos="851"/>
        </w:tabs>
        <w:ind w:left="0" w:firstLine="0"/>
      </w:pPr>
      <w:bookmarkStart w:id="216" w:name="_Toc107997245"/>
      <w:bookmarkStart w:id="217" w:name="_Toc110262404"/>
      <w:bookmarkStart w:id="218" w:name="_Toc113621673"/>
      <w:bookmarkStart w:id="219" w:name="_Toc107997248"/>
      <w:r>
        <w:t>The likely impacts of water recovery offsets: SDLAM Projects</w:t>
      </w:r>
      <w:bookmarkEnd w:id="216"/>
      <w:bookmarkEnd w:id="217"/>
      <w:bookmarkEnd w:id="218"/>
    </w:p>
    <w:p w14:paraId="0E239B62" w14:textId="77777777" w:rsidR="00A2153D" w:rsidRDefault="00A2153D" w:rsidP="00A2153D">
      <w:pPr>
        <w:pStyle w:val="BodyText"/>
      </w:pPr>
      <w:r>
        <w:t xml:space="preserve">The Murray-Darling Basin Plan’s 2,750 GL target is only enough to protect low-lying floodplains. There simply is not enough water to simulate the large-scale floods needed to reach the mid- to upper-levels of the floodplains. </w:t>
      </w:r>
    </w:p>
    <w:p w14:paraId="070CB215" w14:textId="6F2D1A51" w:rsidR="00A2153D" w:rsidRDefault="00A2153D" w:rsidP="00A2153D">
      <w:pPr>
        <w:pStyle w:val="BodyText"/>
      </w:pPr>
      <w:r>
        <w:t xml:space="preserve">The Basin Plan was developed to achieve environmental outcomes for the river and its floodplains: it is about more than just the amount </w:t>
      </w:r>
      <w:r w:rsidR="00F93A78">
        <w:t xml:space="preserve">— </w:t>
      </w:r>
      <w:r>
        <w:t>or volume</w:t>
      </w:r>
      <w:r w:rsidR="00F93A78">
        <w:t xml:space="preserve"> — </w:t>
      </w:r>
      <w:r>
        <w:t>of water.</w:t>
      </w:r>
    </w:p>
    <w:p w14:paraId="0D187AF1" w14:textId="072B78A3" w:rsidR="00A2153D" w:rsidRDefault="00A2153D" w:rsidP="00A2153D">
      <w:pPr>
        <w:pStyle w:val="BodyText"/>
      </w:pPr>
      <w:r>
        <w:t xml:space="preserve">Using infrastructure to deliver water to high value sites, and changing the way dams and rivers are managed, can help, to achieve better environmental outcomes with less water. In many cases, environmental works like flow regulators, pumps and channels are the only way to get </w:t>
      </w:r>
      <w:r>
        <w:lastRenderedPageBreak/>
        <w:t xml:space="preserve">water to many of the sites that need it. This approach works when there is not enough water to flood wetlands naturally. </w:t>
      </w:r>
      <w:r w:rsidR="00756DF3" w:rsidRPr="00756DF3">
        <w:t xml:space="preserve">Constraints investigations are targeting low-lying floodplains, however, </w:t>
      </w:r>
      <w:r w:rsidR="009B132C">
        <w:t>i</w:t>
      </w:r>
      <w:r>
        <w:t xml:space="preserve">n some areas, options to ease delivery constraints are also being investigated to allow higher flows down the river. Creating the large flows required to flood these areas naturally would need massive volumes of water and would damage private land and public infrastructure, such as bridges and roads. </w:t>
      </w:r>
      <w:r w:rsidR="0089568F" w:rsidRPr="0089568F">
        <w:t>Constraints projects aim deliver water to these sites while reducing the extent of such impacts</w:t>
      </w:r>
      <w:r w:rsidR="0089568F">
        <w:t>.</w:t>
      </w:r>
    </w:p>
    <w:p w14:paraId="7F312293" w14:textId="77777777" w:rsidR="00A2153D" w:rsidRDefault="00A2153D" w:rsidP="00A2153D">
      <w:pPr>
        <w:pStyle w:val="BodyText"/>
      </w:pPr>
      <w:r>
        <w:t xml:space="preserve">In this context, the ‘Sustainable Diversion Limit Adjustment Mechanism‘ (SDLAM) is a key part of the Basin Plan. SDLAM projects aim to achieve specific environmental benefits using less water by ‘increasing the efficiency’ of environmental watering. This reduces the volume of water that needs to be recovered for the environment. The SDLAM mechanism enables these savings to be translated into an upward adjustment to the SDL, thereby reducing the need to recover more water </w:t>
      </w:r>
      <w:r>
        <w:rPr>
          <w:i/>
          <w:iCs/>
        </w:rPr>
        <w:t>per se</w:t>
      </w:r>
      <w:r>
        <w:t>. By offsetting water recovery that would be otherwise required to implement the Basin Plan, SDLAM projects can be considered to avoid the social and economic impacts of water recovery.</w:t>
      </w:r>
    </w:p>
    <w:p w14:paraId="1B0855FE" w14:textId="77777777" w:rsidR="00A2153D" w:rsidRDefault="00A2153D" w:rsidP="00A2153D">
      <w:pPr>
        <w:pStyle w:val="BodyText"/>
      </w:pPr>
      <w:r>
        <w:t xml:space="preserve">The works and measures involved in SDLAM projects include channels, flow regulators and pumps to enable more efficient use of water. For example, water can be pumped directly into a wetland and regulators can be used to hold retain water for long enough to meet the needs of water dependent plants and animals. This is an example of a </w:t>
      </w:r>
      <w:r>
        <w:rPr>
          <w:i/>
          <w:iCs/>
        </w:rPr>
        <w:t>supply project</w:t>
      </w:r>
      <w:r>
        <w:t xml:space="preserve">, which contribute to the more efficiently delivery of water for the environment. SDLAM also include </w:t>
      </w:r>
      <w:r>
        <w:rPr>
          <w:i/>
          <w:iCs/>
        </w:rPr>
        <w:t>constraints projects</w:t>
      </w:r>
      <w:r>
        <w:t xml:space="preserve"> which aim to overcome some of the physical barriers that impact delivering water in the system.</w:t>
      </w:r>
    </w:p>
    <w:p w14:paraId="29D7BD07" w14:textId="77777777" w:rsidR="00A2153D" w:rsidRDefault="00A2153D" w:rsidP="00A2153D">
      <w:pPr>
        <w:pStyle w:val="BodyText"/>
      </w:pPr>
      <w:r>
        <w:t>The funding quantum for SDLAM project is significant:</w:t>
      </w:r>
    </w:p>
    <w:p w14:paraId="547B8185" w14:textId="77777777" w:rsidR="00A2153D" w:rsidRDefault="00A2153D" w:rsidP="00597401">
      <w:pPr>
        <w:pStyle w:val="ParaBullet1"/>
        <w:numPr>
          <w:ilvl w:val="0"/>
          <w:numId w:val="14"/>
        </w:numPr>
      </w:pPr>
      <w:r>
        <w:t>$1.3 billion to support the implementation of the package of supply projects</w:t>
      </w:r>
      <w:r>
        <w:rPr>
          <w:rStyle w:val="FootnoteReference"/>
        </w:rPr>
        <w:footnoteReference w:id="32"/>
      </w:r>
    </w:p>
    <w:p w14:paraId="2124AC33" w14:textId="77777777" w:rsidR="00A2153D" w:rsidRDefault="00A2153D" w:rsidP="00597401">
      <w:pPr>
        <w:pStyle w:val="ParaBullet1"/>
        <w:numPr>
          <w:ilvl w:val="0"/>
          <w:numId w:val="14"/>
        </w:numPr>
      </w:pPr>
      <w:r>
        <w:t>$200 million to ease the priority constraints through constraints projects</w:t>
      </w:r>
      <w:r>
        <w:rPr>
          <w:rStyle w:val="FootnoteReference"/>
        </w:rPr>
        <w:footnoteReference w:id="33"/>
      </w:r>
      <w:r>
        <w:t>.</w:t>
      </w:r>
    </w:p>
    <w:p w14:paraId="16EEF50D" w14:textId="425D0039" w:rsidR="00A2153D" w:rsidRDefault="00A2153D" w:rsidP="00A2153D">
      <w:r>
        <w:t>As are the potential benefits of outcome — with the 36 supply and constraints projects determined to provide an adjustment to the SDLs of 605GL/y. These types of projects are also estimated to be a cost</w:t>
      </w:r>
      <w:r w:rsidR="00135242">
        <w:t>-</w:t>
      </w:r>
      <w:r>
        <w:t>effective mechanism to contribute to implementing the Basin Plan (by offsetting water recovery) at an approximate cost of just under $2500/ML (based on a total of $1.5 billion funding providing 605GL of offsets). As noted by the Productivity Commission: “The package of agreed supply measures is potentially more cost effective than recovering 605 GL of water entitlements to achieve the environmental outcomes”</w:t>
      </w:r>
      <w:r w:rsidR="00477F7C">
        <w:t xml:space="preserve"> </w:t>
      </w:r>
      <w:r w:rsidR="00BC7915">
        <w:t>(Productivity Commission 2018</w:t>
      </w:r>
      <w:r w:rsidR="00477F7C">
        <w:t>, p. 16</w:t>
      </w:r>
      <w:r w:rsidR="00BC7915">
        <w:t>).</w:t>
      </w:r>
    </w:p>
    <w:p w14:paraId="683BA300" w14:textId="7E40D36D" w:rsidR="00A2153D" w:rsidRDefault="00A2153D" w:rsidP="00A2153D">
      <w:r>
        <w:t>A Victorian element in the set SDLAM projects is the Victorian Murray Floodplain Restoration Project (VMFRP). The VMFRP involves works to augment water supply to nine high-value floodplains along the Murray River — project sites are Gunbower National Park, Guttrum and Benwell Forests, Vinifera Floodplain, Nyah Floodplain, Burra Creek, Belsar-Yungera, Hattah Lakes North, Wallpolla Island and Lindsay Island. The Annual Progress Report</w:t>
      </w:r>
      <w:r>
        <w:rPr>
          <w:rStyle w:val="FootnoteReference"/>
        </w:rPr>
        <w:footnoteReference w:id="34"/>
      </w:r>
      <w:r>
        <w:t xml:space="preserve"> provides savings estimate per project. Overall, the set of 9 projects of the Victorian Murray Floodplain Restoration Projects (VMFRP) has </w:t>
      </w:r>
      <w:r>
        <w:lastRenderedPageBreak/>
        <w:t>an estimated contribution of 53-73GL and a construction cost of $300m</w:t>
      </w:r>
      <w:r>
        <w:rPr>
          <w:rStyle w:val="FootnoteReference"/>
        </w:rPr>
        <w:footnoteReference w:id="35"/>
      </w:r>
      <w:r>
        <w:t xml:space="preserve"> — equating to </w:t>
      </w:r>
      <w:r w:rsidR="004075F4">
        <w:t>$</w:t>
      </w:r>
      <w:r>
        <w:t>4,110–5,660/ML.</w:t>
      </w:r>
    </w:p>
    <w:p w14:paraId="52E92871" w14:textId="29BFB2A0" w:rsidR="00A2153D" w:rsidRDefault="00A2153D" w:rsidP="00A2153D">
      <w:pPr>
        <w:pStyle w:val="BodyText"/>
      </w:pPr>
      <w:r>
        <w:t>In all, SDLAM projects were intended to deliver 605 GL by the deadline of 30 June 2024. However, in 2021 the Commonwealth Department of Agriculture, Water and Environment (DAWE) engaged the consulting firm Indec, which specialises in the review and implementation of highly complex projects, to conduct a Status Assessment for the Sustainable Diversion Limit Adjustment Mechanism Program (</w:t>
      </w:r>
      <w:r w:rsidR="008B5791">
        <w:t xml:space="preserve">Indec </w:t>
      </w:r>
      <w:r>
        <w:t xml:space="preserve">2021). Indec reported that based on the information provided: </w:t>
      </w:r>
    </w:p>
    <w:p w14:paraId="55C1510A" w14:textId="3A345A73" w:rsidR="00A2153D" w:rsidRDefault="00A2153D" w:rsidP="00230CCA">
      <w:pPr>
        <w:pStyle w:val="ListParagraph"/>
      </w:pPr>
      <w:r>
        <w:t xml:space="preserve">81% (30) of individual projects should be able to be delivered before 30 June 2024 without major intervention, delivering 73.5% (444.7 GL) of SDLAM offset volumes. </w:t>
      </w:r>
    </w:p>
    <w:p w14:paraId="49ABDD7A" w14:textId="057EBBB5" w:rsidR="00B1380B" w:rsidRDefault="00A2153D" w:rsidP="00230CCA">
      <w:pPr>
        <w:pStyle w:val="ListParagraph"/>
      </w:pPr>
      <w:r>
        <w:t>19% (7) of individual projects are unlikely to be delivered before 30 30 June 2024 without major intervention and were categorised as being ‘At Risk’</w:t>
      </w:r>
      <w:r w:rsidR="00BD65F2">
        <w:t xml:space="preserve">. </w:t>
      </w:r>
      <w:r>
        <w:t xml:space="preserve">These projects account for 26.5% (160.5 GL) of SDLAM offset volumes. </w:t>
      </w:r>
    </w:p>
    <w:p w14:paraId="0DFE37AD" w14:textId="0818D53C" w:rsidR="00A2153D" w:rsidRDefault="00A2153D" w:rsidP="00A2153D">
      <w:pPr>
        <w:pStyle w:val="BodyText"/>
      </w:pPr>
      <w:r>
        <w:t>If the remaining 160.5</w:t>
      </w:r>
      <w:r w:rsidR="00DC76A5">
        <w:t> </w:t>
      </w:r>
      <w:r>
        <w:t>GL of offsets through SDLAM projects are not achieved by 30 June 2024, there will be a new water recovery liability — and the Commonwealth will need to determine whether it will reduce that liability by one or more of the following options:</w:t>
      </w:r>
    </w:p>
    <w:p w14:paraId="6CAA9088" w14:textId="77777777" w:rsidR="00A2153D" w:rsidRDefault="00A2153D" w:rsidP="00230CCA">
      <w:pPr>
        <w:pStyle w:val="ListParagraph"/>
      </w:pPr>
      <w:r>
        <w:t>Allowing more time for the SDLAM projects to be completed</w:t>
      </w:r>
    </w:p>
    <w:p w14:paraId="6677A372" w14:textId="77777777" w:rsidR="00A2153D" w:rsidRDefault="00A2153D" w:rsidP="00230CCA">
      <w:pPr>
        <w:pStyle w:val="ListParagraph"/>
      </w:pPr>
      <w:r>
        <w:t>Developing replacement SDLAM projects with extended timelines</w:t>
      </w:r>
    </w:p>
    <w:p w14:paraId="16C637F0" w14:textId="77777777" w:rsidR="00A2153D" w:rsidRDefault="00A2153D" w:rsidP="00230CCA">
      <w:pPr>
        <w:pStyle w:val="ListParagraph"/>
      </w:pPr>
      <w:r>
        <w:t>Finding further off-farm efficiency measures</w:t>
      </w:r>
    </w:p>
    <w:p w14:paraId="4D5CBEC4" w14:textId="77777777" w:rsidR="00A2153D" w:rsidRDefault="00A2153D" w:rsidP="00230CCA">
      <w:pPr>
        <w:pStyle w:val="ListParagraph"/>
      </w:pPr>
      <w:r>
        <w:t>Finding further on-farm efficiency measures that satisfy the agreed socio-economic criteria</w:t>
      </w:r>
    </w:p>
    <w:p w14:paraId="7A0F311A" w14:textId="77777777" w:rsidR="00A2153D" w:rsidRDefault="00A2153D" w:rsidP="00230CCA">
      <w:pPr>
        <w:pStyle w:val="ListParagraph"/>
      </w:pPr>
      <w:r>
        <w:t>Buying back more entitlements.</w:t>
      </w:r>
    </w:p>
    <w:p w14:paraId="33DBB2B9" w14:textId="77777777" w:rsidR="00A2153D" w:rsidRDefault="00A2153D" w:rsidP="00A2153D">
      <w:pPr>
        <w:pStyle w:val="BodyText"/>
      </w:pPr>
      <w:r>
        <w:t>Given that the ‘at risk’ projects are predominantly projects intended to reduce the constraints to delivering environmental water more efficiently and effectively, it is difficult to see that substituting these projects for more water recovery would result in better environmental outcomes. Extending the timelines may however deliver better environmental outcomes.</w:t>
      </w:r>
    </w:p>
    <w:p w14:paraId="3658C91A" w14:textId="6969A633" w:rsidR="00A2153D" w:rsidRDefault="00A2153D" w:rsidP="00A2153D">
      <w:pPr>
        <w:pStyle w:val="BodyText"/>
      </w:pPr>
      <w:r>
        <w:t>If the alternative were pursued and 160.5 GL were recovered through off-farm efficiency measures, assuming that there are still cost-effective savings to be made, the impacts in Victoria would be neutral. If it were recovered through buybacks or on-farm efficiency measures it would amplify the existing pressures on the dairy industry. To put this in perspective, 160.5 GL is equivalent to the volume of water used in the Murray Valley Irrigation Area in 2015-16 and 2018-19</w:t>
      </w:r>
      <w:r w:rsidR="00061C5D">
        <w:t xml:space="preserve"> (GBCMA 2021)</w:t>
      </w:r>
      <w:r>
        <w:t>.</w:t>
      </w:r>
      <w:r w:rsidR="00135242">
        <w:t xml:space="preserve"> </w:t>
      </w:r>
      <w:r>
        <w:t>And ultimately, in a repeat of the Millennium Drought, it would result in around an extra 6,700 hectares of perennial horticulture being dried off (assuming 50% allocations and average annual water use of 12 ML per hectare).</w:t>
      </w:r>
    </w:p>
    <w:p w14:paraId="5D21CBFA" w14:textId="50717BDB" w:rsidR="0089310B" w:rsidRDefault="0089310B" w:rsidP="0089310B">
      <w:pPr>
        <w:pStyle w:val="BodyText"/>
      </w:pPr>
      <w:r>
        <w:t>In fact, t</w:t>
      </w:r>
      <w:r w:rsidR="00B035C8">
        <w:t xml:space="preserve">he shortfall in SDLAM projects could be significantly </w:t>
      </w:r>
      <w:r>
        <w:t xml:space="preserve">larger than the Indec assessment. </w:t>
      </w:r>
      <w:r w:rsidR="006C575E">
        <w:t>O</w:t>
      </w:r>
      <w:r>
        <w:t>nly 278.7</w:t>
      </w:r>
      <w:r w:rsidR="00DC76A5">
        <w:t> </w:t>
      </w:r>
      <w:r>
        <w:t xml:space="preserve">GL of </w:t>
      </w:r>
      <w:r w:rsidRPr="007A43A2">
        <w:t xml:space="preserve">SDLAM </w:t>
      </w:r>
      <w:r>
        <w:t>projects are in operation</w:t>
      </w:r>
      <w:r w:rsidR="00D840D8">
        <w:t xml:space="preserve"> — suggesting the </w:t>
      </w:r>
      <w:r w:rsidR="00867131">
        <w:t xml:space="preserve">SDLAM </w:t>
      </w:r>
      <w:r w:rsidR="00D840D8">
        <w:t>shortfall could be as large as 3</w:t>
      </w:r>
      <w:r w:rsidR="009A3EE0">
        <w:t>26.</w:t>
      </w:r>
      <w:r w:rsidR="00627938">
        <w:t>3</w:t>
      </w:r>
      <w:r w:rsidR="00DC76A5">
        <w:t> </w:t>
      </w:r>
      <w:r w:rsidR="00D840D8">
        <w:t>GL</w:t>
      </w:r>
      <w:r>
        <w:t>. The remaining SDLAM projects that Indec forecast to be able to contribute to offsetting water recovery are</w:t>
      </w:r>
      <w:r w:rsidRPr="007A43A2">
        <w:t xml:space="preserve"> under risk</w:t>
      </w:r>
      <w:r>
        <w:t xml:space="preserve"> (</w:t>
      </w:r>
      <w:r>
        <w:fldChar w:fldCharType="begin"/>
      </w:r>
      <w:r>
        <w:instrText xml:space="preserve"> REF _Ref110806379 \h </w:instrText>
      </w:r>
      <w:r>
        <w:fldChar w:fldCharType="separate"/>
      </w:r>
      <w:r w:rsidR="00D4298A" w:rsidRPr="00603BC1">
        <w:rPr>
          <w:rStyle w:val="Bold"/>
        </w:rPr>
        <w:t xml:space="preserve">Table </w:t>
      </w:r>
      <w:r w:rsidR="00D4298A">
        <w:rPr>
          <w:rStyle w:val="Bold"/>
          <w:noProof/>
        </w:rPr>
        <w:t>14</w:t>
      </w:r>
      <w:r>
        <w:fldChar w:fldCharType="end"/>
      </w:r>
      <w:r>
        <w:t>).</w:t>
      </w:r>
    </w:p>
    <w:p w14:paraId="749B1593" w14:textId="30FE9DDE" w:rsidR="0089310B" w:rsidRDefault="0089310B" w:rsidP="0089310B">
      <w:pPr>
        <w:pStyle w:val="Caption"/>
      </w:pPr>
      <w:bookmarkStart w:id="220" w:name="_Ref110806379"/>
      <w:bookmarkStart w:id="221" w:name="_Toc113621701"/>
      <w:r w:rsidRPr="00603BC1">
        <w:rPr>
          <w:rStyle w:val="Bold"/>
        </w:rPr>
        <w:lastRenderedPageBreak/>
        <w:t xml:space="preserve">Table </w:t>
      </w:r>
      <w:r w:rsidRPr="00603BC1">
        <w:rPr>
          <w:rStyle w:val="Bold"/>
        </w:rPr>
        <w:fldChar w:fldCharType="begin"/>
      </w:r>
      <w:r w:rsidRPr="00603BC1">
        <w:rPr>
          <w:rStyle w:val="Bold"/>
        </w:rPr>
        <w:instrText xml:space="preserve"> SEQ Table \* ARABIC </w:instrText>
      </w:r>
      <w:r w:rsidRPr="00603BC1">
        <w:rPr>
          <w:rStyle w:val="Bold"/>
        </w:rPr>
        <w:fldChar w:fldCharType="separate"/>
      </w:r>
      <w:r w:rsidR="00D4298A">
        <w:rPr>
          <w:rStyle w:val="Bold"/>
          <w:noProof/>
        </w:rPr>
        <w:t>14</w:t>
      </w:r>
      <w:r w:rsidRPr="00603BC1">
        <w:rPr>
          <w:rStyle w:val="Bold"/>
        </w:rPr>
        <w:fldChar w:fldCharType="end"/>
      </w:r>
      <w:bookmarkEnd w:id="220"/>
      <w:r w:rsidRPr="00603BC1">
        <w:rPr>
          <w:rStyle w:val="Bold"/>
        </w:rPr>
        <w:t>:</w:t>
      </w:r>
      <w:r>
        <w:t xml:space="preserve"> Indec assessment of SDLAM projects and associated risk (GL SDL offset)</w:t>
      </w:r>
      <w:bookmarkEnd w:id="221"/>
    </w:p>
    <w:tbl>
      <w:tblPr>
        <w:tblStyle w:val="FETableStyle"/>
        <w:tblW w:w="5000" w:type="pct"/>
        <w:tblLook w:val="0420" w:firstRow="1" w:lastRow="0" w:firstColumn="0" w:lastColumn="0" w:noHBand="0" w:noVBand="1"/>
      </w:tblPr>
      <w:tblGrid>
        <w:gridCol w:w="3037"/>
        <w:gridCol w:w="2208"/>
        <w:gridCol w:w="3825"/>
      </w:tblGrid>
      <w:tr w:rsidR="0089310B" w:rsidRPr="00BD65F2" w14:paraId="51C4D695" w14:textId="77777777" w:rsidTr="00AE61BE">
        <w:trPr>
          <w:cnfStyle w:val="100000000000" w:firstRow="1" w:lastRow="0" w:firstColumn="0" w:lastColumn="0" w:oddVBand="0" w:evenVBand="0" w:oddHBand="0" w:evenHBand="0" w:firstRowFirstColumn="0" w:firstRowLastColumn="0" w:lastRowFirstColumn="0" w:lastRowLastColumn="0"/>
        </w:trPr>
        <w:tc>
          <w:tcPr>
            <w:tcW w:w="3037" w:type="dxa"/>
            <w:noWrap/>
            <w:hideMark/>
          </w:tcPr>
          <w:p w14:paraId="7C97ADD9" w14:textId="77777777" w:rsidR="0089310B" w:rsidRPr="00BD65F2" w:rsidRDefault="0089310B" w:rsidP="00AE61BE">
            <w:pPr>
              <w:pStyle w:val="TableHeading"/>
              <w:rPr>
                <w:b/>
              </w:rPr>
            </w:pPr>
            <w:r>
              <w:rPr>
                <w:b/>
              </w:rPr>
              <w:t>Risk level</w:t>
            </w:r>
          </w:p>
        </w:tc>
        <w:tc>
          <w:tcPr>
            <w:tcW w:w="2208" w:type="dxa"/>
            <w:noWrap/>
            <w:hideMark/>
          </w:tcPr>
          <w:p w14:paraId="61F54B00" w14:textId="77777777" w:rsidR="0089310B" w:rsidRPr="00BD65F2" w:rsidRDefault="0089310B" w:rsidP="00AE61BE">
            <w:pPr>
              <w:pStyle w:val="TableHeading"/>
              <w:jc w:val="right"/>
              <w:rPr>
                <w:b/>
              </w:rPr>
            </w:pPr>
            <w:r>
              <w:rPr>
                <w:b/>
              </w:rPr>
              <w:t>SDLAM projects</w:t>
            </w:r>
          </w:p>
        </w:tc>
        <w:tc>
          <w:tcPr>
            <w:tcW w:w="3825" w:type="dxa"/>
            <w:noWrap/>
            <w:hideMark/>
          </w:tcPr>
          <w:p w14:paraId="1A4B31DE" w14:textId="77777777" w:rsidR="0089310B" w:rsidRPr="00BD65F2" w:rsidRDefault="0089310B" w:rsidP="00AE61BE">
            <w:pPr>
              <w:pStyle w:val="TableHeading"/>
              <w:jc w:val="right"/>
              <w:rPr>
                <w:b/>
              </w:rPr>
            </w:pPr>
            <w:r>
              <w:rPr>
                <w:b/>
              </w:rPr>
              <w:t>P</w:t>
            </w:r>
            <w:r w:rsidRPr="00BD65F2">
              <w:rPr>
                <w:b/>
              </w:rPr>
              <w:t>rojects</w:t>
            </w:r>
            <w:r>
              <w:rPr>
                <w:b/>
              </w:rPr>
              <w:t xml:space="preserve"> assessed as </w:t>
            </w:r>
            <w:r w:rsidRPr="00BD65F2">
              <w:rPr>
                <w:b/>
              </w:rPr>
              <w:t>able to be delivered before 30 June 2024</w:t>
            </w:r>
          </w:p>
        </w:tc>
      </w:tr>
      <w:tr w:rsidR="0089310B" w:rsidRPr="00BD65F2" w14:paraId="49AD22CC" w14:textId="77777777" w:rsidTr="00AE61BE">
        <w:trPr>
          <w:cnfStyle w:val="000000100000" w:firstRow="0" w:lastRow="0" w:firstColumn="0" w:lastColumn="0" w:oddVBand="0" w:evenVBand="0" w:oddHBand="1" w:evenHBand="0" w:firstRowFirstColumn="0" w:firstRowLastColumn="0" w:lastRowFirstColumn="0" w:lastRowLastColumn="0"/>
        </w:trPr>
        <w:tc>
          <w:tcPr>
            <w:tcW w:w="3037" w:type="dxa"/>
            <w:noWrap/>
            <w:hideMark/>
          </w:tcPr>
          <w:p w14:paraId="0768F02B" w14:textId="77777777" w:rsidR="0089310B" w:rsidRPr="00BD65F2" w:rsidRDefault="0089310B" w:rsidP="00AE61BE">
            <w:pPr>
              <w:pStyle w:val="TableText"/>
            </w:pPr>
            <w:r w:rsidRPr="00BD65F2">
              <w:t>Extreme</w:t>
            </w:r>
          </w:p>
        </w:tc>
        <w:tc>
          <w:tcPr>
            <w:tcW w:w="2208" w:type="dxa"/>
            <w:noWrap/>
            <w:hideMark/>
          </w:tcPr>
          <w:p w14:paraId="5FD25386" w14:textId="77777777" w:rsidR="0089310B" w:rsidRPr="00BD65F2" w:rsidRDefault="0089310B" w:rsidP="00AE61BE">
            <w:pPr>
              <w:pStyle w:val="TableText"/>
              <w:ind w:right="310"/>
              <w:jc w:val="right"/>
            </w:pPr>
            <w:r w:rsidRPr="00BD65F2">
              <w:t>70.6</w:t>
            </w:r>
          </w:p>
        </w:tc>
        <w:tc>
          <w:tcPr>
            <w:tcW w:w="3825" w:type="dxa"/>
            <w:noWrap/>
            <w:hideMark/>
          </w:tcPr>
          <w:p w14:paraId="22DB1479" w14:textId="77777777" w:rsidR="0089310B" w:rsidRPr="00BD65F2" w:rsidRDefault="0089310B" w:rsidP="00AE61BE">
            <w:pPr>
              <w:pStyle w:val="TableText"/>
              <w:ind w:right="591"/>
              <w:jc w:val="right"/>
            </w:pPr>
            <w:r>
              <w:t>-</w:t>
            </w:r>
          </w:p>
        </w:tc>
      </w:tr>
      <w:tr w:rsidR="0089310B" w:rsidRPr="00BD65F2" w14:paraId="75CAE484" w14:textId="77777777" w:rsidTr="00AE61BE">
        <w:trPr>
          <w:cnfStyle w:val="000000010000" w:firstRow="0" w:lastRow="0" w:firstColumn="0" w:lastColumn="0" w:oddVBand="0" w:evenVBand="0" w:oddHBand="0" w:evenHBand="1" w:firstRowFirstColumn="0" w:firstRowLastColumn="0" w:lastRowFirstColumn="0" w:lastRowLastColumn="0"/>
        </w:trPr>
        <w:tc>
          <w:tcPr>
            <w:tcW w:w="3037" w:type="dxa"/>
            <w:noWrap/>
            <w:hideMark/>
          </w:tcPr>
          <w:p w14:paraId="121CD8D5" w14:textId="77777777" w:rsidR="0089310B" w:rsidRPr="00BD65F2" w:rsidRDefault="0089310B" w:rsidP="00AE61BE">
            <w:pPr>
              <w:pStyle w:val="TableText"/>
            </w:pPr>
            <w:r w:rsidRPr="00BD65F2">
              <w:t>High</w:t>
            </w:r>
          </w:p>
        </w:tc>
        <w:tc>
          <w:tcPr>
            <w:tcW w:w="2208" w:type="dxa"/>
            <w:noWrap/>
            <w:hideMark/>
          </w:tcPr>
          <w:p w14:paraId="77B72C5B" w14:textId="77777777" w:rsidR="0089310B" w:rsidRPr="00BD65F2" w:rsidRDefault="0089310B" w:rsidP="00AE61BE">
            <w:pPr>
              <w:pStyle w:val="TableText"/>
              <w:ind w:right="310"/>
              <w:jc w:val="right"/>
            </w:pPr>
            <w:r w:rsidRPr="00BD65F2">
              <w:t>89.9</w:t>
            </w:r>
          </w:p>
        </w:tc>
        <w:tc>
          <w:tcPr>
            <w:tcW w:w="3825" w:type="dxa"/>
            <w:noWrap/>
            <w:hideMark/>
          </w:tcPr>
          <w:p w14:paraId="492D9C1D" w14:textId="77777777" w:rsidR="0089310B" w:rsidRPr="00BD65F2" w:rsidRDefault="0089310B" w:rsidP="00AE61BE">
            <w:pPr>
              <w:pStyle w:val="TableText"/>
              <w:ind w:right="591"/>
              <w:jc w:val="right"/>
            </w:pPr>
            <w:r>
              <w:t>-</w:t>
            </w:r>
          </w:p>
        </w:tc>
      </w:tr>
      <w:tr w:rsidR="0089310B" w:rsidRPr="00BD65F2" w14:paraId="05F17756" w14:textId="77777777" w:rsidTr="00AE61BE">
        <w:trPr>
          <w:cnfStyle w:val="000000100000" w:firstRow="0" w:lastRow="0" w:firstColumn="0" w:lastColumn="0" w:oddVBand="0" w:evenVBand="0" w:oddHBand="1" w:evenHBand="0" w:firstRowFirstColumn="0" w:firstRowLastColumn="0" w:lastRowFirstColumn="0" w:lastRowLastColumn="0"/>
        </w:trPr>
        <w:tc>
          <w:tcPr>
            <w:tcW w:w="3037" w:type="dxa"/>
            <w:noWrap/>
            <w:hideMark/>
          </w:tcPr>
          <w:p w14:paraId="03AD8FF2" w14:textId="77777777" w:rsidR="0089310B" w:rsidRPr="00BD65F2" w:rsidRDefault="0089310B" w:rsidP="00AE61BE">
            <w:pPr>
              <w:pStyle w:val="TableText"/>
            </w:pPr>
            <w:r w:rsidRPr="00BD65F2">
              <w:t>Significant</w:t>
            </w:r>
          </w:p>
        </w:tc>
        <w:tc>
          <w:tcPr>
            <w:tcW w:w="2208" w:type="dxa"/>
            <w:noWrap/>
            <w:hideMark/>
          </w:tcPr>
          <w:p w14:paraId="3477F149" w14:textId="77777777" w:rsidR="0089310B" w:rsidRPr="00BD65F2" w:rsidRDefault="0089310B" w:rsidP="00AE61BE">
            <w:pPr>
              <w:pStyle w:val="TableText"/>
              <w:ind w:right="310"/>
              <w:jc w:val="right"/>
            </w:pPr>
            <w:r w:rsidRPr="00BD65F2">
              <w:t>53.1</w:t>
            </w:r>
          </w:p>
        </w:tc>
        <w:tc>
          <w:tcPr>
            <w:tcW w:w="3825" w:type="dxa"/>
            <w:noWrap/>
            <w:hideMark/>
          </w:tcPr>
          <w:p w14:paraId="78704419" w14:textId="77777777" w:rsidR="0089310B" w:rsidRPr="00BD65F2" w:rsidRDefault="0089310B" w:rsidP="00AE61BE">
            <w:pPr>
              <w:pStyle w:val="TableText"/>
              <w:ind w:right="591"/>
              <w:jc w:val="right"/>
            </w:pPr>
            <w:r w:rsidRPr="00BD65F2">
              <w:t>53.1</w:t>
            </w:r>
          </w:p>
        </w:tc>
      </w:tr>
      <w:tr w:rsidR="0089310B" w:rsidRPr="00BD65F2" w14:paraId="6EAF8A7F" w14:textId="77777777" w:rsidTr="00AE61BE">
        <w:trPr>
          <w:cnfStyle w:val="000000010000" w:firstRow="0" w:lastRow="0" w:firstColumn="0" w:lastColumn="0" w:oddVBand="0" w:evenVBand="0" w:oddHBand="0" w:evenHBand="1" w:firstRowFirstColumn="0" w:firstRowLastColumn="0" w:lastRowFirstColumn="0" w:lastRowLastColumn="0"/>
        </w:trPr>
        <w:tc>
          <w:tcPr>
            <w:tcW w:w="3037" w:type="dxa"/>
            <w:noWrap/>
            <w:hideMark/>
          </w:tcPr>
          <w:p w14:paraId="1B7BC249" w14:textId="77777777" w:rsidR="0089310B" w:rsidRPr="00BD65F2" w:rsidRDefault="0089310B" w:rsidP="00AE61BE">
            <w:pPr>
              <w:pStyle w:val="TableText"/>
            </w:pPr>
            <w:r w:rsidRPr="00BD65F2">
              <w:t>Medium</w:t>
            </w:r>
          </w:p>
        </w:tc>
        <w:tc>
          <w:tcPr>
            <w:tcW w:w="2208" w:type="dxa"/>
            <w:noWrap/>
            <w:hideMark/>
          </w:tcPr>
          <w:p w14:paraId="75D92C27" w14:textId="77777777" w:rsidR="0089310B" w:rsidRPr="00BD65F2" w:rsidRDefault="0089310B" w:rsidP="00AE61BE">
            <w:pPr>
              <w:pStyle w:val="TableText"/>
              <w:ind w:right="310"/>
              <w:jc w:val="right"/>
            </w:pPr>
            <w:r w:rsidRPr="00BD65F2">
              <w:t>93.1</w:t>
            </w:r>
          </w:p>
        </w:tc>
        <w:tc>
          <w:tcPr>
            <w:tcW w:w="3825" w:type="dxa"/>
            <w:noWrap/>
            <w:hideMark/>
          </w:tcPr>
          <w:p w14:paraId="277FD8DE" w14:textId="77777777" w:rsidR="0089310B" w:rsidRPr="00BD65F2" w:rsidRDefault="0089310B" w:rsidP="00AE61BE">
            <w:pPr>
              <w:pStyle w:val="TableText"/>
              <w:ind w:right="591"/>
              <w:jc w:val="right"/>
            </w:pPr>
            <w:r w:rsidRPr="00BD65F2">
              <w:t>93.1</w:t>
            </w:r>
          </w:p>
        </w:tc>
      </w:tr>
      <w:tr w:rsidR="0089310B" w:rsidRPr="00BD65F2" w14:paraId="2160AE7E" w14:textId="77777777" w:rsidTr="00AE61BE">
        <w:trPr>
          <w:cnfStyle w:val="000000100000" w:firstRow="0" w:lastRow="0" w:firstColumn="0" w:lastColumn="0" w:oddVBand="0" w:evenVBand="0" w:oddHBand="1" w:evenHBand="0" w:firstRowFirstColumn="0" w:firstRowLastColumn="0" w:lastRowFirstColumn="0" w:lastRowLastColumn="0"/>
        </w:trPr>
        <w:tc>
          <w:tcPr>
            <w:tcW w:w="3037" w:type="dxa"/>
            <w:noWrap/>
            <w:hideMark/>
          </w:tcPr>
          <w:p w14:paraId="5F611FC6" w14:textId="77777777" w:rsidR="0089310B" w:rsidRPr="00BD65F2" w:rsidRDefault="0089310B" w:rsidP="00AE61BE">
            <w:pPr>
              <w:pStyle w:val="TableText"/>
            </w:pPr>
            <w:r w:rsidRPr="00BD65F2">
              <w:t>Low</w:t>
            </w:r>
          </w:p>
        </w:tc>
        <w:tc>
          <w:tcPr>
            <w:tcW w:w="2208" w:type="dxa"/>
            <w:noWrap/>
            <w:hideMark/>
          </w:tcPr>
          <w:p w14:paraId="2C0CCFAA" w14:textId="77777777" w:rsidR="0089310B" w:rsidRPr="00BD65F2" w:rsidRDefault="0089310B" w:rsidP="00AE61BE">
            <w:pPr>
              <w:pStyle w:val="TableText"/>
              <w:ind w:right="310"/>
              <w:jc w:val="right"/>
            </w:pPr>
            <w:r w:rsidRPr="00BD65F2">
              <w:t>20</w:t>
            </w:r>
            <w:r>
              <w:t>.0</w:t>
            </w:r>
          </w:p>
        </w:tc>
        <w:tc>
          <w:tcPr>
            <w:tcW w:w="3825" w:type="dxa"/>
            <w:noWrap/>
            <w:hideMark/>
          </w:tcPr>
          <w:p w14:paraId="02877358" w14:textId="77777777" w:rsidR="0089310B" w:rsidRPr="00BD65F2" w:rsidRDefault="0089310B" w:rsidP="00AE61BE">
            <w:pPr>
              <w:pStyle w:val="TableText"/>
              <w:ind w:right="591"/>
              <w:jc w:val="right"/>
            </w:pPr>
            <w:r w:rsidRPr="00BD65F2">
              <w:t>20</w:t>
            </w:r>
            <w:r>
              <w:t>.0</w:t>
            </w:r>
          </w:p>
        </w:tc>
      </w:tr>
      <w:tr w:rsidR="0089310B" w:rsidRPr="00BD65F2" w14:paraId="2071BE21" w14:textId="77777777" w:rsidTr="00AE61BE">
        <w:trPr>
          <w:cnfStyle w:val="000000010000" w:firstRow="0" w:lastRow="0" w:firstColumn="0" w:lastColumn="0" w:oddVBand="0" w:evenVBand="0" w:oddHBand="0" w:evenHBand="1" w:firstRowFirstColumn="0" w:firstRowLastColumn="0" w:lastRowFirstColumn="0" w:lastRowLastColumn="0"/>
        </w:trPr>
        <w:tc>
          <w:tcPr>
            <w:tcW w:w="3037" w:type="dxa"/>
            <w:noWrap/>
            <w:hideMark/>
          </w:tcPr>
          <w:p w14:paraId="1512E21C" w14:textId="77777777" w:rsidR="0089310B" w:rsidRPr="00BD65F2" w:rsidRDefault="0089310B" w:rsidP="00AE61BE">
            <w:pPr>
              <w:pStyle w:val="TableText"/>
            </w:pPr>
            <w:r w:rsidRPr="00BD65F2">
              <w:t>In operation</w:t>
            </w:r>
          </w:p>
        </w:tc>
        <w:tc>
          <w:tcPr>
            <w:tcW w:w="2208" w:type="dxa"/>
            <w:noWrap/>
            <w:hideMark/>
          </w:tcPr>
          <w:p w14:paraId="1078F77C" w14:textId="77777777" w:rsidR="0089310B" w:rsidRPr="00BD65F2" w:rsidRDefault="0089310B" w:rsidP="00AE61BE">
            <w:pPr>
              <w:pStyle w:val="TableText"/>
              <w:ind w:right="310"/>
              <w:jc w:val="right"/>
            </w:pPr>
            <w:r w:rsidRPr="00BD65F2">
              <w:t>278.7</w:t>
            </w:r>
          </w:p>
        </w:tc>
        <w:tc>
          <w:tcPr>
            <w:tcW w:w="3825" w:type="dxa"/>
            <w:noWrap/>
            <w:hideMark/>
          </w:tcPr>
          <w:p w14:paraId="0BBB0314" w14:textId="77777777" w:rsidR="0089310B" w:rsidRPr="00BD65F2" w:rsidRDefault="0089310B" w:rsidP="00AE61BE">
            <w:pPr>
              <w:pStyle w:val="TableText"/>
              <w:ind w:right="591"/>
              <w:jc w:val="right"/>
            </w:pPr>
            <w:r w:rsidRPr="00BD65F2">
              <w:t>278.7</w:t>
            </w:r>
          </w:p>
        </w:tc>
      </w:tr>
      <w:tr w:rsidR="0089310B" w:rsidRPr="00BD65F2" w14:paraId="48C30E9F" w14:textId="77777777" w:rsidTr="00AE61BE">
        <w:trPr>
          <w:cnfStyle w:val="000000100000" w:firstRow="0" w:lastRow="0" w:firstColumn="0" w:lastColumn="0" w:oddVBand="0" w:evenVBand="0" w:oddHBand="1" w:evenHBand="0" w:firstRowFirstColumn="0" w:firstRowLastColumn="0" w:lastRowFirstColumn="0" w:lastRowLastColumn="0"/>
        </w:trPr>
        <w:tc>
          <w:tcPr>
            <w:tcW w:w="3037" w:type="dxa"/>
            <w:noWrap/>
            <w:hideMark/>
          </w:tcPr>
          <w:p w14:paraId="4697C3BE" w14:textId="1D7A40E7" w:rsidR="0089310B" w:rsidRPr="00BD65F2" w:rsidRDefault="0089310B" w:rsidP="00AE61BE">
            <w:pPr>
              <w:pStyle w:val="TableText"/>
              <w:rPr>
                <w:b/>
                <w:bCs/>
              </w:rPr>
            </w:pPr>
            <w:r w:rsidRPr="00BD65F2">
              <w:rPr>
                <w:b/>
                <w:bCs/>
              </w:rPr>
              <w:t>Total</w:t>
            </w:r>
            <w:r w:rsidR="00482A31">
              <w:rPr>
                <w:b/>
                <w:bCs/>
              </w:rPr>
              <w:t>*</w:t>
            </w:r>
          </w:p>
        </w:tc>
        <w:tc>
          <w:tcPr>
            <w:tcW w:w="2208" w:type="dxa"/>
            <w:noWrap/>
            <w:hideMark/>
          </w:tcPr>
          <w:p w14:paraId="473D1C00" w14:textId="156C5271" w:rsidR="0089310B" w:rsidRPr="00BD65F2" w:rsidRDefault="0089310B" w:rsidP="00482A31">
            <w:pPr>
              <w:pStyle w:val="TableText"/>
              <w:ind w:right="310"/>
              <w:jc w:val="right"/>
              <w:rPr>
                <w:b/>
                <w:bCs/>
              </w:rPr>
            </w:pPr>
            <w:r w:rsidRPr="00BD65F2">
              <w:rPr>
                <w:b/>
                <w:bCs/>
              </w:rPr>
              <w:t>605</w:t>
            </w:r>
          </w:p>
        </w:tc>
        <w:tc>
          <w:tcPr>
            <w:tcW w:w="3825" w:type="dxa"/>
            <w:noWrap/>
            <w:hideMark/>
          </w:tcPr>
          <w:p w14:paraId="0E680CE3" w14:textId="3DBD1EEF" w:rsidR="0089310B" w:rsidRPr="00BD65F2" w:rsidRDefault="0089310B" w:rsidP="00482A31">
            <w:pPr>
              <w:pStyle w:val="TableText"/>
              <w:ind w:right="591"/>
              <w:jc w:val="right"/>
              <w:rPr>
                <w:b/>
                <w:bCs/>
              </w:rPr>
            </w:pPr>
            <w:r w:rsidRPr="00BD65F2">
              <w:rPr>
                <w:b/>
                <w:bCs/>
              </w:rPr>
              <w:t>444.</w:t>
            </w:r>
            <w:r w:rsidR="00482A31">
              <w:rPr>
                <w:b/>
                <w:bCs/>
              </w:rPr>
              <w:t>7</w:t>
            </w:r>
          </w:p>
        </w:tc>
      </w:tr>
    </w:tbl>
    <w:p w14:paraId="7E14BF67" w14:textId="67A824DC" w:rsidR="0089310B" w:rsidRPr="00885B0A" w:rsidRDefault="0089310B" w:rsidP="0089310B">
      <w:pPr>
        <w:spacing w:after="320"/>
        <w:rPr>
          <w:color w:val="9BA1A5"/>
        </w:rPr>
      </w:pPr>
      <w:r>
        <w:rPr>
          <w:i/>
          <w:color w:val="9BA1A5"/>
          <w:sz w:val="16"/>
          <w:szCs w:val="16"/>
        </w:rPr>
        <w:t>Note: *</w:t>
      </w:r>
      <w:r w:rsidR="00482A31">
        <w:rPr>
          <w:i/>
          <w:color w:val="9BA1A5"/>
          <w:sz w:val="16"/>
          <w:szCs w:val="16"/>
        </w:rPr>
        <w:t>Column sums differ from total due to r</w:t>
      </w:r>
      <w:r>
        <w:rPr>
          <w:i/>
          <w:color w:val="9BA1A5"/>
          <w:sz w:val="16"/>
          <w:szCs w:val="16"/>
        </w:rPr>
        <w:t>ounding</w:t>
      </w:r>
      <w:r w:rsidR="00556C0D">
        <w:rPr>
          <w:i/>
          <w:color w:val="9BA1A5"/>
          <w:sz w:val="16"/>
          <w:szCs w:val="16"/>
        </w:rPr>
        <w:t>.</w:t>
      </w:r>
      <w:r>
        <w:rPr>
          <w:i/>
          <w:color w:val="9BA1A5"/>
          <w:sz w:val="16"/>
          <w:szCs w:val="16"/>
        </w:rPr>
        <w:tab/>
      </w:r>
      <w:r>
        <w:rPr>
          <w:i/>
          <w:color w:val="9BA1A5"/>
          <w:sz w:val="16"/>
          <w:szCs w:val="16"/>
        </w:rPr>
        <w:br/>
      </w:r>
      <w:r w:rsidRPr="00885B0A">
        <w:rPr>
          <w:i/>
          <w:color w:val="9BA1A5"/>
          <w:sz w:val="16"/>
          <w:szCs w:val="16"/>
        </w:rPr>
        <w:t xml:space="preserve">Source: </w:t>
      </w:r>
      <w:r>
        <w:rPr>
          <w:i/>
          <w:color w:val="9BA1A5"/>
          <w:sz w:val="16"/>
          <w:szCs w:val="16"/>
        </w:rPr>
        <w:t>Indec 2021.</w:t>
      </w:r>
    </w:p>
    <w:p w14:paraId="3BE823AA" w14:textId="77777777" w:rsidR="00B035C8" w:rsidRDefault="00B035C8" w:rsidP="00A2153D">
      <w:pPr>
        <w:pStyle w:val="BodyText"/>
      </w:pPr>
    </w:p>
    <w:p w14:paraId="0727B90D" w14:textId="77777777" w:rsidR="00A2153D" w:rsidRDefault="00A2153D" w:rsidP="00597401">
      <w:pPr>
        <w:pStyle w:val="Heading2numbered"/>
        <w:numPr>
          <w:ilvl w:val="1"/>
          <w:numId w:val="12"/>
        </w:numPr>
        <w:tabs>
          <w:tab w:val="clear" w:pos="851"/>
        </w:tabs>
        <w:ind w:left="0" w:firstLine="0"/>
      </w:pPr>
      <w:bookmarkStart w:id="222" w:name="_Toc107997246"/>
      <w:bookmarkStart w:id="223" w:name="_Toc110262405"/>
      <w:bookmarkStart w:id="224" w:name="_Toc113621674"/>
      <w:r>
        <w:t>The likely impacts of additional water recovery through efficiency measures</w:t>
      </w:r>
      <w:bookmarkEnd w:id="222"/>
      <w:bookmarkEnd w:id="223"/>
      <w:bookmarkEnd w:id="224"/>
    </w:p>
    <w:p w14:paraId="19F2C998" w14:textId="6C6D1F3C" w:rsidR="00A2153D" w:rsidRDefault="00A2153D" w:rsidP="00A2153D">
      <w:pPr>
        <w:pStyle w:val="BodyText"/>
      </w:pPr>
      <w:r>
        <w:t>The Basin Plan provides for efficiency projects to adjust the SDL by recovering an additional 450</w:t>
      </w:r>
      <w:r w:rsidR="003963E3">
        <w:t> </w:t>
      </w:r>
      <w:r>
        <w:t>GL of water for the environment. At least 62 GL must be recovered through Efficiency Measures to enable the full 605 GL supply offset to take effect, (605 GL supply offset minus the five per cent limit of 543 GL).</w:t>
      </w:r>
    </w:p>
    <w:p w14:paraId="122C8398" w14:textId="46E52950" w:rsidR="00A2153D" w:rsidRDefault="00A2153D" w:rsidP="00A2153D">
      <w:pPr>
        <w:pStyle w:val="BodyText"/>
      </w:pPr>
      <w:r>
        <w:t xml:space="preserve">Efficiency </w:t>
      </w:r>
      <w:r w:rsidR="0039105E">
        <w:t>m</w:t>
      </w:r>
      <w:r>
        <w:t xml:space="preserve">easures projects are required to have neutral or positive socio-economic impacts. In 2018, the </w:t>
      </w:r>
      <w:r w:rsidR="0039105E">
        <w:t xml:space="preserve">Murray-Darling Basin </w:t>
      </w:r>
      <w:r>
        <w:t>Ministerial Council agreed to additional socio-economic criteria for assessing projects.</w:t>
      </w:r>
      <w:r>
        <w:rPr>
          <w:rStyle w:val="FootnoteReference"/>
        </w:rPr>
        <w:footnoteReference w:id="36"/>
      </w:r>
      <w:r>
        <w:t xml:space="preserve"> While the additional criteria are designed to provide assurance to stakeholders that the socio-economic impacts of efficiency measures projects are considered appropriately, they have made it more difficult for projects to meet the neutrality test (MDBA 2020). At the time of our last report in 2017, the voluntary participation of consumptive water users in projects was assumed to demonstrate positive or neutral impacts.</w:t>
      </w:r>
    </w:p>
    <w:p w14:paraId="50C11A9C" w14:textId="47FF7A47" w:rsidR="00A2153D" w:rsidRDefault="00A2153D" w:rsidP="00A2153D">
      <w:pPr>
        <w:pStyle w:val="BodyText"/>
      </w:pPr>
      <w:r>
        <w:t>In July 2019, the Commonwealth Government launched the Water Efficiency Program to progress the recovery of the additional 450 GL of environmental water, in accordance with the additional socio-economic criteria. This program was closed in March 2021 in response to the findings of the Sefton Report, which included a finding that: “On-farm infrastructure programs have improved the productivity and viability of most participants but left non-participants at a competitive disadvantage”.</w:t>
      </w:r>
      <w:r w:rsidR="00135242">
        <w:rPr>
          <w:rStyle w:val="FootnoteReference"/>
        </w:rPr>
        <w:footnoteReference w:id="37"/>
      </w:r>
      <w:r>
        <w:t xml:space="preserve"> The Water Efficiency Program was replaced by the ‘Off-farm Efficiency Program’ which was designed to avoid impacts on the consumptive pool. However, </w:t>
      </w:r>
      <w:r>
        <w:lastRenderedPageBreak/>
        <w:t>while it made $1.33 billion available for state-led off-farm projects, as well as $150 million in direct grants, it also set aside $60 million for state-led on-farm projects where the agreed socio-economic criteria were met – where those projects could demonstrate community support.</w:t>
      </w:r>
    </w:p>
    <w:p w14:paraId="3805149F" w14:textId="1469BD1A" w:rsidR="00A2153D" w:rsidRDefault="00A2153D" w:rsidP="00A2153D">
      <w:pPr>
        <w:pStyle w:val="BodyText"/>
      </w:pPr>
      <w:r>
        <w:t>The Victorian Government has identified off-farm projects that will help Victoria achieve its contribution to the requisite 62 GL, but it does not anticipate finding</w:t>
      </w:r>
      <w:r w:rsidR="008F0A56">
        <w:t xml:space="preserve"> many</w:t>
      </w:r>
      <w:r>
        <w:t xml:space="preserve"> extra projects that meet the socio-economic criteria</w:t>
      </w:r>
      <w:r w:rsidR="008C637A">
        <w:t xml:space="preserve"> (DELWP 2018</w:t>
      </w:r>
      <w:r w:rsidR="008C3FDA">
        <w:t>b</w:t>
      </w:r>
      <w:r w:rsidR="008C637A">
        <w:t>)</w:t>
      </w:r>
      <w:r>
        <w:t>.</w:t>
      </w:r>
    </w:p>
    <w:p w14:paraId="148C9417" w14:textId="704F6506" w:rsidR="00CA43CD" w:rsidRDefault="003963E3" w:rsidP="003963E3">
      <w:pPr>
        <w:pStyle w:val="BodyText"/>
      </w:pPr>
      <w:r w:rsidRPr="00FD5883">
        <w:t>As at August 2022, there has been 2</w:t>
      </w:r>
      <w:r w:rsidR="00DC76A5">
        <w:t> </w:t>
      </w:r>
      <w:r w:rsidRPr="00FD5883">
        <w:t>GL recovered and 24 GL committed towards the 450 GL. The most recent review found that 62</w:t>
      </w:r>
      <w:r w:rsidR="00DC76A5">
        <w:t> </w:t>
      </w:r>
      <w:r w:rsidRPr="00FD5883">
        <w:t>GL could be achieved by 30 June 2024</w:t>
      </w:r>
      <w:r w:rsidR="0045330D">
        <w:t xml:space="preserve"> (Australian Government 2021)</w:t>
      </w:r>
      <w:r w:rsidRPr="00FD5883">
        <w:t>. The review also found that it</w:t>
      </w:r>
      <w:r>
        <w:t xml:space="preserve"> was not technically possible to achieve the full 450GL while meeting the socio-economic neutrality requirement, </w:t>
      </w:r>
      <w:r w:rsidRPr="000F3D1E">
        <w:t>even if time and budget limits were removed</w:t>
      </w:r>
      <w:r w:rsidR="00CA43CD">
        <w:t xml:space="preserve"> (the technical maximum was 330</w:t>
      </w:r>
      <w:r w:rsidR="00DC76A5">
        <w:t> </w:t>
      </w:r>
      <w:r w:rsidR="00CA43CD">
        <w:t>GL).</w:t>
      </w:r>
    </w:p>
    <w:p w14:paraId="35F4EC35" w14:textId="77777777" w:rsidR="00A2153D" w:rsidRDefault="00A2153D" w:rsidP="00A2153D">
      <w:pPr>
        <w:pStyle w:val="BodyText"/>
      </w:pPr>
      <w:r>
        <w:t xml:space="preserve">The 450 GL of recovery from efficiency measures has been a major source of political tension since the Basin Plan was signed into law. Successive Victorian and NSW Governments have seen it is an optional extra that might be added if it could be shown to have neutral or positive socio-economic outcomes. South Australian Governments have invariably seen it as an integral part of the total water recovery effort. Successive Commonwealth Governments have oscillated between these viewpoints. The recent changes in government in South Australia and the Commonwealth have increased the short-term uncertainty around the future of the proposed recovery of the additional 450 GL. </w:t>
      </w:r>
    </w:p>
    <w:p w14:paraId="10167BEF" w14:textId="6419C6E8" w:rsidR="00A2153D" w:rsidRDefault="00A2153D" w:rsidP="00A2153D">
      <w:pPr>
        <w:pStyle w:val="BodyText"/>
      </w:pPr>
      <w:r>
        <w:t xml:space="preserve">One possible outcome is that there will be acceptance that the additional water recovery through efficiency measures will be capped at the 62 GL necessary to enable all the SDLAM projects to provide SDL offsets. </w:t>
      </w:r>
      <w:r w:rsidR="008B4252" w:rsidRPr="008B4252">
        <w:t>The use of buybacks to recover the additional 450 GL would require legislative change</w:t>
      </w:r>
      <w:r>
        <w:t>. An alternative would be to recover the water through off-farm efficiency measures</w:t>
      </w:r>
      <w:r w:rsidR="008B4252" w:rsidRPr="008B4252">
        <w:t xml:space="preserve"> under the existing Off-farm Efficiency Program (OFEP)</w:t>
      </w:r>
      <w:r>
        <w:t xml:space="preserve">. However, a stocktake of off-farm efficiency projects carried out at the commencement of the </w:t>
      </w:r>
      <w:r w:rsidR="008B4252">
        <w:t>OFEP</w:t>
      </w:r>
      <w:r>
        <w:t xml:space="preserve"> did not identify opportunities to recover such volumes through off-farm projects</w:t>
      </w:r>
      <w:r w:rsidR="00A279FD">
        <w:t xml:space="preserve"> (DELWP 2018a)</w:t>
      </w:r>
      <w:r>
        <w:t>.</w:t>
      </w:r>
      <w:r w:rsidR="00A279FD">
        <w:rPr>
          <w:rStyle w:val="CommentReference"/>
          <w:rFonts w:ascii="Arial" w:eastAsiaTheme="minorEastAsia" w:hAnsi="Arial" w:cs="Arial"/>
          <w:color w:val="374249"/>
          <w:lang w:eastAsia="en-AU"/>
        </w:rPr>
        <w:t xml:space="preserve"> </w:t>
      </w:r>
    </w:p>
    <w:p w14:paraId="023C5BE7" w14:textId="77777777" w:rsidR="00AF20D0" w:rsidRDefault="00A2153D" w:rsidP="00A2153D">
      <w:pPr>
        <w:pStyle w:val="BodyText"/>
      </w:pPr>
      <w:r>
        <w:t xml:space="preserve">If the alternatives were pursued and 388 GL were recovered through off-farm efficiency measures that meet the agreed socio-economic criteria, the impacts in Victoria would be neutral. </w:t>
      </w:r>
    </w:p>
    <w:p w14:paraId="6955FED9" w14:textId="5714661B" w:rsidR="002F534E" w:rsidRDefault="00A2153D" w:rsidP="00A2153D">
      <w:pPr>
        <w:pStyle w:val="BodyText"/>
      </w:pPr>
      <w:r>
        <w:t xml:space="preserve">If it were recovered through buybacks or on-farm efficiency measures it would amplify the existing pressures on the </w:t>
      </w:r>
      <w:r w:rsidR="00E66A16">
        <w:t>GMID districts (</w:t>
      </w:r>
      <w:r w:rsidR="00E36A10">
        <w:t xml:space="preserve">and the </w:t>
      </w:r>
      <w:r>
        <w:t>dairy industry</w:t>
      </w:r>
      <w:r w:rsidR="00E36A10">
        <w:t>) discussed in previous sections</w:t>
      </w:r>
      <w:r>
        <w:t xml:space="preserve">. </w:t>
      </w:r>
      <w:r w:rsidR="002F534E">
        <w:t>By reducing the consumptive pool, this water recovery would significantly increase the price of water allocations</w:t>
      </w:r>
      <w:r w:rsidR="0061548A">
        <w:t xml:space="preserve"> and </w:t>
      </w:r>
      <w:r w:rsidR="00AF20D0">
        <w:t>face</w:t>
      </w:r>
      <w:r w:rsidR="0061548A">
        <w:t xml:space="preserve"> a number of additional challenges:</w:t>
      </w:r>
    </w:p>
    <w:p w14:paraId="6BF2EA9D" w14:textId="416EE4F0" w:rsidR="003E1D9F" w:rsidRDefault="002F534E" w:rsidP="00D82EA4">
      <w:pPr>
        <w:pStyle w:val="ListParagraph"/>
      </w:pPr>
      <w:r>
        <w:t xml:space="preserve">ABARES </w:t>
      </w:r>
      <w:r w:rsidR="003E1D9F">
        <w:t>has identified that water recovery and the subsequent reduction in the consumpti</w:t>
      </w:r>
      <w:r w:rsidR="00895B07">
        <w:t>ve</w:t>
      </w:r>
      <w:r w:rsidR="003E1D9F">
        <w:t xml:space="preserve"> pool has increase</w:t>
      </w:r>
      <w:r w:rsidR="00DC76A5">
        <w:t>d</w:t>
      </w:r>
      <w:r w:rsidR="003E1D9F">
        <w:t xml:space="preserve"> water allocation prices, across all seasonal conditions. </w:t>
      </w:r>
      <w:r w:rsidR="00AF20D0">
        <w:t xml:space="preserve">ABARES </w:t>
      </w:r>
      <w:r w:rsidR="004B456B">
        <w:t xml:space="preserve">(Whittle et al 2020) </w:t>
      </w:r>
      <w:r w:rsidR="00AF20D0">
        <w:t xml:space="preserve">estimated the effect of all water recovery across a mix of ‘dry’, ‘typical’ and ‘wet’ years to be an average of $72/ML. </w:t>
      </w:r>
      <w:r w:rsidR="003E1D9F">
        <w:t>Further water</w:t>
      </w:r>
      <w:r w:rsidR="003E1D9F" w:rsidRPr="003E1D9F">
        <w:t xml:space="preserve"> </w:t>
      </w:r>
      <w:r w:rsidR="003E1D9F">
        <w:t>recover</w:t>
      </w:r>
      <w:r w:rsidR="009B495C">
        <w:t>y</w:t>
      </w:r>
      <w:r w:rsidR="003E1D9F">
        <w:t xml:space="preserve"> through buybacks or on-farm efficiency measures would </w:t>
      </w:r>
      <w:r w:rsidR="00AF20D0">
        <w:t>further increase the price of allocations in ‘dry’, ‘typical’ and ‘wet’ seasons.</w:t>
      </w:r>
    </w:p>
    <w:p w14:paraId="36389CDB" w14:textId="27B22C82" w:rsidR="002F534E" w:rsidRDefault="00250C39" w:rsidP="002F534E">
      <w:pPr>
        <w:pStyle w:val="ListParagraph"/>
      </w:pPr>
      <w:r w:rsidRPr="00250C39">
        <w:t>Aither</w:t>
      </w:r>
      <w:r w:rsidR="000E26C9">
        <w:t xml:space="preserve"> (2020)</w:t>
      </w:r>
      <w:r w:rsidR="00A279FD">
        <w:t xml:space="preserve"> </w:t>
      </w:r>
      <w:r w:rsidRPr="00250C39">
        <w:t>estimates that</w:t>
      </w:r>
      <w:r>
        <w:t xml:space="preserve"> </w:t>
      </w:r>
      <w:r w:rsidRPr="00250C39">
        <w:t>the average impact of consumptive water recovery</w:t>
      </w:r>
      <w:r>
        <w:t xml:space="preserve"> </w:t>
      </w:r>
      <w:r w:rsidRPr="00250C39">
        <w:t>on water allocation prices between 2007-08 to 2017-18 was</w:t>
      </w:r>
      <w:r>
        <w:t xml:space="preserve"> an increase of </w:t>
      </w:r>
      <w:r w:rsidRPr="00250C39">
        <w:t>$58</w:t>
      </w:r>
      <w:r>
        <w:t>/</w:t>
      </w:r>
      <w:r w:rsidRPr="00250C39">
        <w:t>ML</w:t>
      </w:r>
      <w:r>
        <w:t xml:space="preserve"> </w:t>
      </w:r>
      <w:r w:rsidRPr="00250C39">
        <w:t>(</w:t>
      </w:r>
      <w:r>
        <w:t xml:space="preserve">equivalent to </w:t>
      </w:r>
      <w:r w:rsidRPr="00250C39">
        <w:t>39</w:t>
      </w:r>
      <w:r>
        <w:t>%</w:t>
      </w:r>
      <w:r w:rsidRPr="00250C39">
        <w:t>)</w:t>
      </w:r>
      <w:r>
        <w:t xml:space="preserve"> based on an average reduction in annual supply of 800GL. They also ana</w:t>
      </w:r>
      <w:r w:rsidR="009454FA">
        <w:t>l</w:t>
      </w:r>
      <w:r>
        <w:t xml:space="preserve">ysed future scenarios of </w:t>
      </w:r>
      <w:r w:rsidR="009454FA">
        <w:t xml:space="preserve">a further 100GL and 500GL </w:t>
      </w:r>
      <w:r w:rsidR="009454FA" w:rsidRPr="009454FA">
        <w:t>recovered from the s</w:t>
      </w:r>
      <w:r w:rsidR="009454FA">
        <w:t xml:space="preserve">outhern </w:t>
      </w:r>
      <w:r w:rsidR="009454FA" w:rsidRPr="009454FA">
        <w:t>MDB consumptive pool through entitlement purchases or on-farm efficiency programs</w:t>
      </w:r>
      <w:r w:rsidR="009454FA">
        <w:t xml:space="preserve"> </w:t>
      </w:r>
      <w:r w:rsidR="009454FA" w:rsidRPr="009454FA">
        <w:t>with entitlement transfers</w:t>
      </w:r>
      <w:r w:rsidR="009454FA">
        <w:t>. Given an assumption of</w:t>
      </w:r>
      <w:r w:rsidR="000F7A1B">
        <w:t xml:space="preserve"> recent climate and</w:t>
      </w:r>
      <w:r w:rsidR="009454FA">
        <w:t xml:space="preserve"> known horticultural development, the future median allocation price was modelled to increase from $325/ML to $339/ML for the 100GL recovery (an increase of $14/ML), and to $390/ML for the 500GL recovery (an increase of $65/ML).</w:t>
      </w:r>
    </w:p>
    <w:p w14:paraId="6A7846E6" w14:textId="6FFEC551" w:rsidR="002F534E" w:rsidRDefault="002F534E" w:rsidP="002F534E">
      <w:pPr>
        <w:pStyle w:val="ListParagraph"/>
      </w:pPr>
      <w:r>
        <w:lastRenderedPageBreak/>
        <w:t>In addition, it is not clear that</w:t>
      </w:r>
      <w:r w:rsidRPr="002F534E">
        <w:t xml:space="preserve"> 388 GL of recovery </w:t>
      </w:r>
      <w:r>
        <w:t xml:space="preserve">could be secured </w:t>
      </w:r>
      <w:r w:rsidRPr="002F534E">
        <w:t>through on farm projects</w:t>
      </w:r>
      <w:r>
        <w:t xml:space="preserve"> without exorbitant costs — given that average costs from recent programs already exceed </w:t>
      </w:r>
      <w:r w:rsidRPr="002F534E">
        <w:t>$16,</w:t>
      </w:r>
      <w:r>
        <w:t>000</w:t>
      </w:r>
      <w:r w:rsidRPr="002F534E">
        <w:t>/ML LTAAY</w:t>
      </w:r>
      <w:r>
        <w:t xml:space="preserve">, and further recovery would be increasingly </w:t>
      </w:r>
      <w:r w:rsidR="0061548A">
        <w:t>costly.</w:t>
      </w:r>
    </w:p>
    <w:p w14:paraId="1BE4959C" w14:textId="4A582E37" w:rsidR="0061548A" w:rsidRDefault="0061548A" w:rsidP="002F534E">
      <w:pPr>
        <w:pStyle w:val="ListParagraph"/>
      </w:pPr>
      <w:r>
        <w:t xml:space="preserve">Finally, States such as </w:t>
      </w:r>
      <w:r w:rsidRPr="0061548A">
        <w:t>Vic</w:t>
      </w:r>
      <w:r>
        <w:t xml:space="preserve">toria and </w:t>
      </w:r>
      <w:r w:rsidRPr="0061548A">
        <w:t xml:space="preserve">NSW do not support </w:t>
      </w:r>
      <w:r w:rsidR="00AD5E5A">
        <w:t xml:space="preserve">further buyback or </w:t>
      </w:r>
      <w:r w:rsidRPr="0061548A">
        <w:t>on-farm projects as they do not meet the socio-economic criteria.</w:t>
      </w:r>
    </w:p>
    <w:p w14:paraId="2D2DB503" w14:textId="48268CC2" w:rsidR="00A2153D" w:rsidRDefault="002F534E" w:rsidP="00A2153D">
      <w:pPr>
        <w:pStyle w:val="BodyText"/>
      </w:pPr>
      <w:r>
        <w:t>U</w:t>
      </w:r>
      <w:r w:rsidR="00A2153D">
        <w:t>ltimately, in a repeat of the Millennium Drought, it would result in an extra 9,000 hectares of perennial horticulture being dried off (assuming buyback in line with the current CEWH portfolio (with 53% high reliability entitlements), 50% allocations and average annual water use of 12 ML per hectare). During severe drought would mean an extra 7 per cent reduction in the existing 131,480 hectares total active permanent plantings in the Lower Murray-Darling.</w:t>
      </w:r>
    </w:p>
    <w:p w14:paraId="4D85F0DB" w14:textId="271177F7" w:rsidR="00A2153D" w:rsidRDefault="00A2153D" w:rsidP="00A2153D">
      <w:pPr>
        <w:pStyle w:val="BodyText"/>
      </w:pPr>
      <w:r>
        <w:t>Put differently, South Australia’s consumptive pool of high reliability entitlements is 403 GL (i.e. entitlements on issue and not held by the environment)</w:t>
      </w:r>
      <w:r w:rsidR="000E26C9">
        <w:t xml:space="preserve"> (Aither 2021</w:t>
      </w:r>
      <w:r w:rsidR="008C3FDA">
        <w:t>, p</w:t>
      </w:r>
      <w:r w:rsidR="008D3D8F" w:rsidRPr="008D3D8F">
        <w:t>. 30</w:t>
      </w:r>
      <w:r w:rsidR="000E26C9">
        <w:t>)</w:t>
      </w:r>
      <w:r>
        <w:t xml:space="preserve">, whereas an annual average 388 GL </w:t>
      </w:r>
      <w:r w:rsidR="00847907" w:rsidRPr="00847907">
        <w:t xml:space="preserve">of water recovery in long-term equivalent terms would </w:t>
      </w:r>
      <w:r>
        <w:t>require 437GL of SA Murray entitlements which is well in excess of the SA Murray entitlements in the consumptive pool.</w:t>
      </w:r>
    </w:p>
    <w:p w14:paraId="2675E750" w14:textId="77777777" w:rsidR="00A2153D" w:rsidRDefault="00A2153D" w:rsidP="00A2153D">
      <w:pPr>
        <w:pStyle w:val="BodyText"/>
      </w:pPr>
    </w:p>
    <w:p w14:paraId="1437B52B" w14:textId="451F928D" w:rsidR="00A2153D" w:rsidRDefault="00A2153D" w:rsidP="00597401">
      <w:pPr>
        <w:pStyle w:val="Heading1numbered"/>
        <w:numPr>
          <w:ilvl w:val="0"/>
          <w:numId w:val="12"/>
        </w:numPr>
      </w:pPr>
      <w:bookmarkStart w:id="225" w:name="_Toc110262406"/>
      <w:bookmarkStart w:id="226" w:name="_Toc113621675"/>
      <w:r>
        <w:lastRenderedPageBreak/>
        <w:t xml:space="preserve">The </w:t>
      </w:r>
      <w:r w:rsidR="00CA4FC5">
        <w:t xml:space="preserve">potential </w:t>
      </w:r>
      <w:r>
        <w:t>impacts of the Basin Plan into the future</w:t>
      </w:r>
      <w:bookmarkEnd w:id="219"/>
      <w:bookmarkEnd w:id="225"/>
      <w:bookmarkEnd w:id="226"/>
    </w:p>
    <w:p w14:paraId="382DE293" w14:textId="79887DE9" w:rsidR="00A2153D" w:rsidRDefault="00A2153D" w:rsidP="00A2153D">
      <w:pPr>
        <w:pStyle w:val="BodyText"/>
      </w:pPr>
      <w:r>
        <w:t xml:space="preserve">This section considers the possible future impacts of the Basin Plan. Firstly, by considering the socio-economic impact of a </w:t>
      </w:r>
      <w:r w:rsidR="00BF551C">
        <w:t>large-scale</w:t>
      </w:r>
      <w:r>
        <w:t xml:space="preserve"> buyback, with a consequent reduction in the consumptive pool. Secondly, the insights from this are then used to consider a range of future SDL scenarios that are foreseeable approaches to implementing the Basin Plan to 30 June 2024 and beyond.</w:t>
      </w:r>
    </w:p>
    <w:p w14:paraId="535A04D5" w14:textId="0DD7E547" w:rsidR="00A2153D" w:rsidRDefault="00A2153D" w:rsidP="00597401">
      <w:pPr>
        <w:pStyle w:val="Heading2numbered"/>
        <w:numPr>
          <w:ilvl w:val="1"/>
          <w:numId w:val="12"/>
        </w:numPr>
        <w:tabs>
          <w:tab w:val="clear" w:pos="851"/>
        </w:tabs>
        <w:ind w:left="0" w:firstLine="0"/>
      </w:pPr>
      <w:bookmarkStart w:id="227" w:name="_Ref110258698"/>
      <w:bookmarkStart w:id="228" w:name="_Toc110262407"/>
      <w:bookmarkStart w:id="229" w:name="_Toc113621676"/>
      <w:r>
        <w:t>The impact of a 450</w:t>
      </w:r>
      <w:r w:rsidR="0048727C">
        <w:t xml:space="preserve"> </w:t>
      </w:r>
      <w:r>
        <w:t>GL buyback</w:t>
      </w:r>
      <w:bookmarkEnd w:id="227"/>
      <w:bookmarkEnd w:id="228"/>
      <w:bookmarkEnd w:id="229"/>
    </w:p>
    <w:p w14:paraId="14B5DD14" w14:textId="17C49CDF" w:rsidR="00907A0F" w:rsidRDefault="00A2153D" w:rsidP="00A2153D">
      <w:pPr>
        <w:pStyle w:val="BodyText"/>
      </w:pPr>
      <w:r>
        <w:t>At the time of preparing this report, there was significant discussion in the media</w:t>
      </w:r>
      <w:r>
        <w:rPr>
          <w:rStyle w:val="FootnoteReference"/>
        </w:rPr>
        <w:footnoteReference w:id="38"/>
      </w:r>
      <w:r>
        <w:t xml:space="preserve"> that water buyback in the order of 450</w:t>
      </w:r>
      <w:r w:rsidR="0048727C">
        <w:t xml:space="preserve"> </w:t>
      </w:r>
      <w:r>
        <w:t>GL may be required</w:t>
      </w:r>
      <w:r w:rsidR="007471D8">
        <w:t xml:space="preserve"> to comply with the Basin Plan obligations</w:t>
      </w:r>
      <w:r>
        <w:t>.</w:t>
      </w:r>
      <w:r w:rsidR="0048727C">
        <w:t xml:space="preserve"> </w:t>
      </w:r>
    </w:p>
    <w:p w14:paraId="0AA91712" w14:textId="6982D954" w:rsidR="00907A0F" w:rsidRDefault="0048727C" w:rsidP="00A2153D">
      <w:pPr>
        <w:pStyle w:val="BodyText"/>
      </w:pPr>
      <w:r>
        <w:t xml:space="preserve">It is important to note that this could not happen without legislative change; the 450 GL </w:t>
      </w:r>
      <w:r w:rsidR="00736264">
        <w:t xml:space="preserve">is legislatively tied to efficiency measures. As previously discussed on-farm efficiency measures would </w:t>
      </w:r>
      <w:r w:rsidR="00555DB2">
        <w:t>have socio-economic impacts</w:t>
      </w:r>
      <w:r w:rsidR="00555DB2" w:rsidRPr="00555DB2">
        <w:t xml:space="preserve"> </w:t>
      </w:r>
      <w:r w:rsidR="00555DB2">
        <w:t>similar to, and arguably higher than, buybacks.</w:t>
      </w:r>
      <w:r w:rsidR="00907A0F">
        <w:t xml:space="preserve"> </w:t>
      </w:r>
      <w:r w:rsidR="007135D8">
        <w:t>It is also important to note that buyback</w:t>
      </w:r>
      <w:r w:rsidR="00907A0F">
        <w:t>s and on-farm efficiency measures</w:t>
      </w:r>
      <w:r w:rsidR="007135D8">
        <w:t xml:space="preserve"> do not satisfy the socio-economic neutrality </w:t>
      </w:r>
      <w:r w:rsidR="00CA4420">
        <w:t>criteria</w:t>
      </w:r>
      <w:r w:rsidR="00907A0F">
        <w:t>.</w:t>
      </w:r>
      <w:r w:rsidR="007135D8">
        <w:t xml:space="preserve"> </w:t>
      </w:r>
    </w:p>
    <w:p w14:paraId="026E8890" w14:textId="482768A9" w:rsidR="00A2153D" w:rsidRDefault="00A2153D" w:rsidP="00A2153D">
      <w:pPr>
        <w:pStyle w:val="BodyText"/>
      </w:pPr>
      <w:r>
        <w:t xml:space="preserve">The impact of an average annual 450GL reduction in the consumptive pool would be very significant (see </w:t>
      </w:r>
      <w:r>
        <w:fldChar w:fldCharType="begin"/>
      </w:r>
      <w:r>
        <w:instrText xml:space="preserve"> REF _Ref109911219 \r \h </w:instrText>
      </w:r>
      <w:r>
        <w:fldChar w:fldCharType="separate"/>
      </w:r>
      <w:r w:rsidR="00D4298A">
        <w:t>12.1.1</w:t>
      </w:r>
      <w:r>
        <w:fldChar w:fldCharType="end"/>
      </w:r>
      <w:r>
        <w:t xml:space="preserve">), and the ultimate impact would depend heavily on the characteristics of the water entitlements that are bought back (see </w:t>
      </w:r>
      <w:r>
        <w:fldChar w:fldCharType="begin"/>
      </w:r>
      <w:r>
        <w:instrText xml:space="preserve"> REF _Ref109911228 \r \h </w:instrText>
      </w:r>
      <w:r>
        <w:fldChar w:fldCharType="separate"/>
      </w:r>
      <w:r w:rsidR="00D4298A">
        <w:t>12.1.2</w:t>
      </w:r>
      <w:r>
        <w:fldChar w:fldCharType="end"/>
      </w:r>
      <w:r>
        <w:t>).</w:t>
      </w:r>
    </w:p>
    <w:p w14:paraId="6579ADC3" w14:textId="71D70C11" w:rsidR="00A2153D" w:rsidRDefault="00A2153D" w:rsidP="00A2153D">
      <w:pPr>
        <w:pStyle w:val="BodyText"/>
      </w:pPr>
      <w:r>
        <w:t xml:space="preserve">To commence this discussion, we consider the change in water available for use and the consequent change in irrigated production from </w:t>
      </w:r>
      <w:r w:rsidR="00DC76A5">
        <w:t xml:space="preserve">a </w:t>
      </w:r>
      <w:r>
        <w:t>buyback program that seeks to purchase entitlements broadly in line with the current composition of the CEWH portfolio. We also consider the potential environmental benefits associated with these additional volumes.</w:t>
      </w:r>
    </w:p>
    <w:p w14:paraId="080C0D8D" w14:textId="77777777" w:rsidR="00A2153D" w:rsidRDefault="00A2153D" w:rsidP="00597401">
      <w:pPr>
        <w:pStyle w:val="Heading3numbered"/>
        <w:numPr>
          <w:ilvl w:val="2"/>
          <w:numId w:val="12"/>
        </w:numPr>
        <w:tabs>
          <w:tab w:val="clear" w:pos="851"/>
        </w:tabs>
        <w:ind w:left="0" w:firstLine="0"/>
      </w:pPr>
      <w:bookmarkStart w:id="230" w:name="_Ref109944986"/>
      <w:bookmarkStart w:id="231" w:name="_Ref109911219"/>
      <w:r>
        <w:t>Socio-economic impacts of a 450GL buyback</w:t>
      </w:r>
      <w:bookmarkEnd w:id="230"/>
    </w:p>
    <w:bookmarkEnd w:id="231"/>
    <w:p w14:paraId="5170A06E" w14:textId="0BE19FE5" w:rsidR="00A2153D" w:rsidRDefault="00A2153D" w:rsidP="00A2153D">
      <w:pPr>
        <w:pStyle w:val="BodyText"/>
      </w:pPr>
      <w:r>
        <w:t>The buyback of the long</w:t>
      </w:r>
      <w:r w:rsidR="007471D8">
        <w:t>-</w:t>
      </w:r>
      <w:r>
        <w:t xml:space="preserve">term annual average of 450GL of water entitlement would significantly reduce the consumptive pool available to irrigators and other water users. </w:t>
      </w:r>
    </w:p>
    <w:p w14:paraId="68C77D5E" w14:textId="4CEE2C6C" w:rsidR="00A2153D" w:rsidRDefault="00A2153D" w:rsidP="00A2153D">
      <w:pPr>
        <w:pStyle w:val="BodyText"/>
      </w:pPr>
      <w:r>
        <w:fldChar w:fldCharType="begin"/>
      </w:r>
      <w:r>
        <w:instrText xml:space="preserve"> REF _Ref109921947 \h </w:instrText>
      </w:r>
      <w:r>
        <w:fldChar w:fldCharType="separate"/>
      </w:r>
      <w:r w:rsidR="00D4298A">
        <w:rPr>
          <w:rStyle w:val="Bold"/>
        </w:rPr>
        <w:t xml:space="preserve">Table </w:t>
      </w:r>
      <w:r w:rsidR="00D4298A">
        <w:rPr>
          <w:rStyle w:val="Bold"/>
          <w:noProof/>
        </w:rPr>
        <w:t>15</w:t>
      </w:r>
      <w:r>
        <w:fldChar w:fldCharType="end"/>
      </w:r>
      <w:r>
        <w:t xml:space="preserve"> </w:t>
      </w:r>
      <w:r w:rsidR="009C57FF">
        <w:t>demonstrates</w:t>
      </w:r>
      <w:r>
        <w:t xml:space="preserve"> the required volumes of water entitlements if this purchase was broadly in line with the current composition of the CEWH portfolio. In order to secure the 450GL average annual volume in this way, this would require:</w:t>
      </w:r>
    </w:p>
    <w:p w14:paraId="48215E15" w14:textId="77777777" w:rsidR="00A2153D" w:rsidRDefault="00A2153D" w:rsidP="00597401">
      <w:pPr>
        <w:pStyle w:val="ParaBullet1"/>
        <w:numPr>
          <w:ilvl w:val="0"/>
          <w:numId w:val="14"/>
        </w:numPr>
      </w:pPr>
      <w:r>
        <w:t>45.7GL of SA Murray water entitlements</w:t>
      </w:r>
    </w:p>
    <w:p w14:paraId="43232ACA" w14:textId="77777777" w:rsidR="00A2153D" w:rsidRDefault="00A2153D" w:rsidP="00597401">
      <w:pPr>
        <w:pStyle w:val="ParaBullet1"/>
        <w:numPr>
          <w:ilvl w:val="0"/>
          <w:numId w:val="14"/>
        </w:numPr>
      </w:pPr>
      <w:r>
        <w:t>104.2GL of NSW Murray General Security licences</w:t>
      </w:r>
    </w:p>
    <w:p w14:paraId="372D5516" w14:textId="77777777" w:rsidR="00A2153D" w:rsidRDefault="00A2153D" w:rsidP="00597401">
      <w:pPr>
        <w:pStyle w:val="ParaBullet1"/>
        <w:numPr>
          <w:ilvl w:val="0"/>
          <w:numId w:val="14"/>
        </w:numPr>
      </w:pPr>
      <w:r>
        <w:t>80.7GL of NSW Murrumbidgee General Security licences</w:t>
      </w:r>
    </w:p>
    <w:p w14:paraId="6125EE54" w14:textId="77777777" w:rsidR="00A2153D" w:rsidRDefault="00A2153D" w:rsidP="00597401">
      <w:pPr>
        <w:pStyle w:val="ParaBullet1"/>
        <w:numPr>
          <w:ilvl w:val="0"/>
          <w:numId w:val="14"/>
        </w:numPr>
      </w:pPr>
      <w:r>
        <w:t>120.8 GL of NSW Murrumbidgee Supplementary licences</w:t>
      </w:r>
    </w:p>
    <w:p w14:paraId="0734F558" w14:textId="77777777" w:rsidR="00A2153D" w:rsidRDefault="00A2153D" w:rsidP="00597401">
      <w:pPr>
        <w:pStyle w:val="ParaBullet1"/>
        <w:numPr>
          <w:ilvl w:val="0"/>
          <w:numId w:val="14"/>
        </w:numPr>
      </w:pPr>
      <w:r>
        <w:t>102.1 GL of Victorian Murray HRWS</w:t>
      </w:r>
    </w:p>
    <w:p w14:paraId="58565374" w14:textId="5FF0E0DA" w:rsidR="00A2153D" w:rsidRDefault="00A2153D" w:rsidP="00597401">
      <w:pPr>
        <w:pStyle w:val="ParaBullet1"/>
        <w:numPr>
          <w:ilvl w:val="0"/>
          <w:numId w:val="14"/>
        </w:numPr>
      </w:pPr>
      <w:r>
        <w:lastRenderedPageBreak/>
        <w:t>89.8 GL of Victorian Goulburn HRWS.</w:t>
      </w:r>
    </w:p>
    <w:p w14:paraId="02CC7BEF" w14:textId="5C82A28B" w:rsidR="00A2153D" w:rsidRDefault="00A2153D" w:rsidP="00A2153D">
      <w:pPr>
        <w:pStyle w:val="Caption"/>
      </w:pPr>
      <w:bookmarkStart w:id="232" w:name="_Ref109921947"/>
      <w:bookmarkStart w:id="233" w:name="_Toc110262419"/>
      <w:bookmarkStart w:id="234" w:name="_Toc113621702"/>
      <w:r>
        <w:rPr>
          <w:rStyle w:val="Bold"/>
        </w:rPr>
        <w:t xml:space="preserve">Table </w:t>
      </w:r>
      <w:r>
        <w:fldChar w:fldCharType="begin"/>
      </w:r>
      <w:r>
        <w:rPr>
          <w:rStyle w:val="Bold"/>
        </w:rPr>
        <w:instrText xml:space="preserve"> SEQ Table \* ARABIC </w:instrText>
      </w:r>
      <w:r>
        <w:fldChar w:fldCharType="separate"/>
      </w:r>
      <w:r w:rsidR="00D4298A">
        <w:rPr>
          <w:rStyle w:val="Bold"/>
          <w:noProof/>
        </w:rPr>
        <w:t>15</w:t>
      </w:r>
      <w:r>
        <w:fldChar w:fldCharType="end"/>
      </w:r>
      <w:bookmarkEnd w:id="232"/>
      <w:r>
        <w:rPr>
          <w:rStyle w:val="Bold"/>
        </w:rPr>
        <w:t>:</w:t>
      </w:r>
      <w:r>
        <w:t xml:space="preserve"> </w:t>
      </w:r>
      <w:r w:rsidR="009C57FF">
        <w:t xml:space="preserve">Example </w:t>
      </w:r>
      <w:r>
        <w:t xml:space="preserve">450GL buyback in line with </w:t>
      </w:r>
      <w:r w:rsidR="009C57FF">
        <w:t xml:space="preserve">the </w:t>
      </w:r>
      <w:r>
        <w:t>current CEWH portfolio</w:t>
      </w:r>
      <w:bookmarkEnd w:id="233"/>
      <w:bookmarkEnd w:id="234"/>
    </w:p>
    <w:tbl>
      <w:tblPr>
        <w:tblStyle w:val="FETableStyle"/>
        <w:tblW w:w="5000" w:type="pct"/>
        <w:tblLook w:val="0420" w:firstRow="1" w:lastRow="0" w:firstColumn="0" w:lastColumn="0" w:noHBand="0" w:noVBand="1"/>
      </w:tblPr>
      <w:tblGrid>
        <w:gridCol w:w="4834"/>
        <w:gridCol w:w="2118"/>
        <w:gridCol w:w="2118"/>
      </w:tblGrid>
      <w:tr w:rsidR="00A2153D" w14:paraId="2C9198A9" w14:textId="77777777" w:rsidTr="00A2153D">
        <w:trPr>
          <w:cnfStyle w:val="100000000000" w:firstRow="1" w:lastRow="0" w:firstColumn="0" w:lastColumn="0" w:oddVBand="0" w:evenVBand="0" w:oddHBand="0" w:evenHBand="0" w:firstRowFirstColumn="0" w:firstRowLastColumn="0" w:lastRowFirstColumn="0" w:lastRowLastColumn="0"/>
        </w:trPr>
        <w:tc>
          <w:tcPr>
            <w:tcW w:w="4834" w:type="dxa"/>
            <w:tcBorders>
              <w:top w:val="nil"/>
              <w:left w:val="nil"/>
              <w:bottom w:val="nil"/>
              <w:right w:val="nil"/>
            </w:tcBorders>
            <w:noWrap/>
            <w:hideMark/>
          </w:tcPr>
          <w:p w14:paraId="79BB3DC9" w14:textId="77777777" w:rsidR="00A2153D" w:rsidRDefault="00A2153D">
            <w:pPr>
              <w:pStyle w:val="TableHeading"/>
              <w:rPr>
                <w:b/>
              </w:rPr>
            </w:pPr>
            <w:r>
              <w:rPr>
                <w:b/>
              </w:rPr>
              <w:t>Entitlement type</w:t>
            </w:r>
          </w:p>
        </w:tc>
        <w:tc>
          <w:tcPr>
            <w:tcW w:w="2118" w:type="dxa"/>
            <w:tcBorders>
              <w:top w:val="nil"/>
              <w:left w:val="nil"/>
              <w:bottom w:val="nil"/>
              <w:right w:val="nil"/>
            </w:tcBorders>
            <w:noWrap/>
            <w:hideMark/>
          </w:tcPr>
          <w:p w14:paraId="1F3E508B" w14:textId="77777777" w:rsidR="00A2153D" w:rsidRDefault="00A2153D">
            <w:pPr>
              <w:pStyle w:val="TableHeading"/>
              <w:jc w:val="right"/>
              <w:rPr>
                <w:b/>
              </w:rPr>
            </w:pPr>
            <w:r>
              <w:rPr>
                <w:b/>
              </w:rPr>
              <w:t>LTAAY GL</w:t>
            </w:r>
          </w:p>
        </w:tc>
        <w:tc>
          <w:tcPr>
            <w:tcW w:w="2118" w:type="dxa"/>
            <w:tcBorders>
              <w:top w:val="nil"/>
              <w:left w:val="nil"/>
              <w:bottom w:val="nil"/>
              <w:right w:val="nil"/>
            </w:tcBorders>
            <w:noWrap/>
            <w:hideMark/>
          </w:tcPr>
          <w:p w14:paraId="34A4AD1A" w14:textId="77777777" w:rsidR="00A2153D" w:rsidRDefault="00A2153D">
            <w:pPr>
              <w:pStyle w:val="TableHeading"/>
              <w:jc w:val="right"/>
              <w:rPr>
                <w:b/>
              </w:rPr>
            </w:pPr>
            <w:r>
              <w:rPr>
                <w:b/>
              </w:rPr>
              <w:t>Nominal GL</w:t>
            </w:r>
          </w:p>
        </w:tc>
      </w:tr>
      <w:tr w:rsidR="00A2153D" w14:paraId="3E3B3624" w14:textId="77777777" w:rsidTr="00A2153D">
        <w:trPr>
          <w:cnfStyle w:val="000000100000" w:firstRow="0" w:lastRow="0" w:firstColumn="0" w:lastColumn="0" w:oddVBand="0" w:evenVBand="0" w:oddHBand="1" w:evenHBand="0" w:firstRowFirstColumn="0" w:firstRowLastColumn="0" w:lastRowFirstColumn="0" w:lastRowLastColumn="0"/>
        </w:trPr>
        <w:tc>
          <w:tcPr>
            <w:tcW w:w="4834" w:type="dxa"/>
            <w:noWrap/>
            <w:hideMark/>
          </w:tcPr>
          <w:p w14:paraId="689A598B" w14:textId="77777777" w:rsidR="00A2153D" w:rsidRDefault="00A2153D">
            <w:pPr>
              <w:pStyle w:val="TableText"/>
            </w:pPr>
            <w:r>
              <w:t>SA Murray (High)</w:t>
            </w:r>
          </w:p>
        </w:tc>
        <w:tc>
          <w:tcPr>
            <w:tcW w:w="2118" w:type="dxa"/>
            <w:noWrap/>
            <w:vAlign w:val="top"/>
            <w:hideMark/>
          </w:tcPr>
          <w:p w14:paraId="046A14A6" w14:textId="77777777" w:rsidR="00A2153D" w:rsidRDefault="00A2153D">
            <w:pPr>
              <w:pStyle w:val="TableText"/>
              <w:jc w:val="right"/>
            </w:pPr>
            <w:r>
              <w:t>40.6</w:t>
            </w:r>
          </w:p>
        </w:tc>
        <w:tc>
          <w:tcPr>
            <w:tcW w:w="2118" w:type="dxa"/>
            <w:noWrap/>
            <w:vAlign w:val="top"/>
            <w:hideMark/>
          </w:tcPr>
          <w:p w14:paraId="74A6CE09" w14:textId="77777777" w:rsidR="00A2153D" w:rsidRDefault="00A2153D">
            <w:pPr>
              <w:pStyle w:val="TableText"/>
              <w:jc w:val="right"/>
            </w:pPr>
            <w:r>
              <w:t>45.7</w:t>
            </w:r>
          </w:p>
        </w:tc>
      </w:tr>
      <w:tr w:rsidR="00A2153D" w14:paraId="104AAAD3" w14:textId="77777777" w:rsidTr="00A2153D">
        <w:trPr>
          <w:cnfStyle w:val="000000010000" w:firstRow="0" w:lastRow="0" w:firstColumn="0" w:lastColumn="0" w:oddVBand="0" w:evenVBand="0" w:oddHBand="0" w:evenHBand="1" w:firstRowFirstColumn="0" w:firstRowLastColumn="0" w:lastRowFirstColumn="0" w:lastRowLastColumn="0"/>
        </w:trPr>
        <w:tc>
          <w:tcPr>
            <w:tcW w:w="4834" w:type="dxa"/>
            <w:tcBorders>
              <w:top w:val="nil"/>
              <w:left w:val="nil"/>
              <w:right w:val="nil"/>
            </w:tcBorders>
            <w:noWrap/>
            <w:hideMark/>
          </w:tcPr>
          <w:p w14:paraId="0098DB20" w14:textId="77777777" w:rsidR="00A2153D" w:rsidRDefault="00A2153D">
            <w:pPr>
              <w:pStyle w:val="TableText"/>
            </w:pPr>
            <w:r>
              <w:t>NSW Murray HS</w:t>
            </w:r>
          </w:p>
        </w:tc>
        <w:tc>
          <w:tcPr>
            <w:tcW w:w="2118" w:type="dxa"/>
            <w:tcBorders>
              <w:top w:val="nil"/>
              <w:left w:val="nil"/>
              <w:right w:val="nil"/>
            </w:tcBorders>
            <w:noWrap/>
            <w:vAlign w:val="top"/>
            <w:hideMark/>
          </w:tcPr>
          <w:p w14:paraId="031AF827" w14:textId="77777777" w:rsidR="00A2153D" w:rsidRDefault="00A2153D">
            <w:pPr>
              <w:pStyle w:val="TableText"/>
              <w:jc w:val="right"/>
            </w:pPr>
            <w:r>
              <w:t>4.4</w:t>
            </w:r>
          </w:p>
        </w:tc>
        <w:tc>
          <w:tcPr>
            <w:tcW w:w="2118" w:type="dxa"/>
            <w:tcBorders>
              <w:top w:val="nil"/>
              <w:left w:val="nil"/>
              <w:right w:val="nil"/>
            </w:tcBorders>
            <w:noWrap/>
            <w:vAlign w:val="top"/>
            <w:hideMark/>
          </w:tcPr>
          <w:p w14:paraId="3CAE9303" w14:textId="77777777" w:rsidR="00A2153D" w:rsidRDefault="00A2153D">
            <w:pPr>
              <w:pStyle w:val="TableText"/>
              <w:jc w:val="right"/>
            </w:pPr>
            <w:r>
              <w:t>5.0</w:t>
            </w:r>
          </w:p>
        </w:tc>
      </w:tr>
      <w:tr w:rsidR="00A2153D" w14:paraId="6841B885" w14:textId="77777777" w:rsidTr="00A2153D">
        <w:trPr>
          <w:cnfStyle w:val="000000100000" w:firstRow="0" w:lastRow="0" w:firstColumn="0" w:lastColumn="0" w:oddVBand="0" w:evenVBand="0" w:oddHBand="1" w:evenHBand="0" w:firstRowFirstColumn="0" w:firstRowLastColumn="0" w:lastRowFirstColumn="0" w:lastRowLastColumn="0"/>
        </w:trPr>
        <w:tc>
          <w:tcPr>
            <w:tcW w:w="4834" w:type="dxa"/>
            <w:noWrap/>
            <w:hideMark/>
          </w:tcPr>
          <w:p w14:paraId="1B882BE2" w14:textId="77777777" w:rsidR="00A2153D" w:rsidRDefault="00A2153D">
            <w:pPr>
              <w:pStyle w:val="TableText"/>
            </w:pPr>
            <w:r>
              <w:t>NSW Murray GS</w:t>
            </w:r>
          </w:p>
        </w:tc>
        <w:tc>
          <w:tcPr>
            <w:tcW w:w="2118" w:type="dxa"/>
            <w:noWrap/>
            <w:vAlign w:val="top"/>
            <w:hideMark/>
          </w:tcPr>
          <w:p w14:paraId="52083EAA" w14:textId="77777777" w:rsidR="00A2153D" w:rsidRDefault="00A2153D">
            <w:pPr>
              <w:pStyle w:val="TableText"/>
              <w:jc w:val="right"/>
            </w:pPr>
            <w:r>
              <w:t>72.8</w:t>
            </w:r>
          </w:p>
        </w:tc>
        <w:tc>
          <w:tcPr>
            <w:tcW w:w="2118" w:type="dxa"/>
            <w:noWrap/>
            <w:vAlign w:val="top"/>
            <w:hideMark/>
          </w:tcPr>
          <w:p w14:paraId="2158D720" w14:textId="77777777" w:rsidR="00A2153D" w:rsidRDefault="00A2153D">
            <w:pPr>
              <w:pStyle w:val="TableText"/>
              <w:jc w:val="right"/>
            </w:pPr>
            <w:r>
              <w:t>104.2</w:t>
            </w:r>
          </w:p>
        </w:tc>
      </w:tr>
      <w:tr w:rsidR="00A2153D" w14:paraId="663923E2" w14:textId="77777777" w:rsidTr="00A2153D">
        <w:trPr>
          <w:cnfStyle w:val="000000010000" w:firstRow="0" w:lastRow="0" w:firstColumn="0" w:lastColumn="0" w:oddVBand="0" w:evenVBand="0" w:oddHBand="0" w:evenHBand="1" w:firstRowFirstColumn="0" w:firstRowLastColumn="0" w:lastRowFirstColumn="0" w:lastRowLastColumn="0"/>
        </w:trPr>
        <w:tc>
          <w:tcPr>
            <w:tcW w:w="4834" w:type="dxa"/>
            <w:tcBorders>
              <w:top w:val="nil"/>
              <w:left w:val="nil"/>
              <w:right w:val="nil"/>
            </w:tcBorders>
            <w:noWrap/>
            <w:hideMark/>
          </w:tcPr>
          <w:p w14:paraId="3C50B49D" w14:textId="77777777" w:rsidR="00A2153D" w:rsidRDefault="00A2153D">
            <w:pPr>
              <w:pStyle w:val="TableText"/>
            </w:pPr>
            <w:r>
              <w:t>NSW Murray Supplementary</w:t>
            </w:r>
          </w:p>
        </w:tc>
        <w:tc>
          <w:tcPr>
            <w:tcW w:w="2118" w:type="dxa"/>
            <w:tcBorders>
              <w:top w:val="nil"/>
              <w:left w:val="nil"/>
              <w:right w:val="nil"/>
            </w:tcBorders>
            <w:noWrap/>
            <w:vAlign w:val="top"/>
            <w:hideMark/>
          </w:tcPr>
          <w:p w14:paraId="7F2DACE5" w14:textId="77777777" w:rsidR="00A2153D" w:rsidRDefault="00A2153D">
            <w:pPr>
              <w:pStyle w:val="TableText"/>
              <w:jc w:val="right"/>
            </w:pPr>
            <w:r>
              <w:t>0.0</w:t>
            </w:r>
          </w:p>
        </w:tc>
        <w:tc>
          <w:tcPr>
            <w:tcW w:w="2118" w:type="dxa"/>
            <w:tcBorders>
              <w:top w:val="nil"/>
              <w:left w:val="nil"/>
              <w:right w:val="nil"/>
            </w:tcBorders>
            <w:noWrap/>
            <w:vAlign w:val="top"/>
            <w:hideMark/>
          </w:tcPr>
          <w:p w14:paraId="164EC06F" w14:textId="77777777" w:rsidR="00A2153D" w:rsidRDefault="00A2153D">
            <w:pPr>
              <w:pStyle w:val="TableText"/>
              <w:jc w:val="right"/>
            </w:pPr>
            <w:r>
              <w:t>0.1</w:t>
            </w:r>
          </w:p>
        </w:tc>
      </w:tr>
      <w:tr w:rsidR="00A2153D" w14:paraId="42F2BF6F" w14:textId="77777777" w:rsidTr="00A2153D">
        <w:trPr>
          <w:cnfStyle w:val="000000100000" w:firstRow="0" w:lastRow="0" w:firstColumn="0" w:lastColumn="0" w:oddVBand="0" w:evenVBand="0" w:oddHBand="1" w:evenHBand="0" w:firstRowFirstColumn="0" w:firstRowLastColumn="0" w:lastRowFirstColumn="0" w:lastRowLastColumn="0"/>
        </w:trPr>
        <w:tc>
          <w:tcPr>
            <w:tcW w:w="4834" w:type="dxa"/>
            <w:noWrap/>
            <w:hideMark/>
          </w:tcPr>
          <w:p w14:paraId="392292D5" w14:textId="77777777" w:rsidR="00A2153D" w:rsidRDefault="00A2153D">
            <w:pPr>
              <w:pStyle w:val="TableText"/>
            </w:pPr>
            <w:r>
              <w:t>NSW Murray conveyance</w:t>
            </w:r>
          </w:p>
        </w:tc>
        <w:tc>
          <w:tcPr>
            <w:tcW w:w="2118" w:type="dxa"/>
            <w:noWrap/>
            <w:vAlign w:val="top"/>
            <w:hideMark/>
          </w:tcPr>
          <w:p w14:paraId="7E67C746" w14:textId="77777777" w:rsidR="00A2153D" w:rsidRDefault="00A2153D">
            <w:pPr>
              <w:pStyle w:val="TableText"/>
              <w:jc w:val="right"/>
            </w:pPr>
            <w:r>
              <w:t>5.2</w:t>
            </w:r>
          </w:p>
        </w:tc>
        <w:tc>
          <w:tcPr>
            <w:tcW w:w="2118" w:type="dxa"/>
            <w:noWrap/>
            <w:vAlign w:val="top"/>
            <w:hideMark/>
          </w:tcPr>
          <w:p w14:paraId="6E54B6B9" w14:textId="77777777" w:rsidR="00A2153D" w:rsidRDefault="00A2153D">
            <w:pPr>
              <w:pStyle w:val="TableText"/>
              <w:jc w:val="right"/>
            </w:pPr>
            <w:r>
              <w:t>5.7</w:t>
            </w:r>
          </w:p>
        </w:tc>
      </w:tr>
      <w:tr w:rsidR="00A2153D" w14:paraId="3126444A" w14:textId="77777777" w:rsidTr="00A2153D">
        <w:trPr>
          <w:cnfStyle w:val="000000010000" w:firstRow="0" w:lastRow="0" w:firstColumn="0" w:lastColumn="0" w:oddVBand="0" w:evenVBand="0" w:oddHBand="0" w:evenHBand="1" w:firstRowFirstColumn="0" w:firstRowLastColumn="0" w:lastRowFirstColumn="0" w:lastRowLastColumn="0"/>
        </w:trPr>
        <w:tc>
          <w:tcPr>
            <w:tcW w:w="4834" w:type="dxa"/>
            <w:tcBorders>
              <w:top w:val="nil"/>
              <w:left w:val="nil"/>
              <w:right w:val="nil"/>
            </w:tcBorders>
            <w:noWrap/>
            <w:hideMark/>
          </w:tcPr>
          <w:p w14:paraId="75A6D246" w14:textId="77777777" w:rsidR="00A2153D" w:rsidRDefault="00A2153D">
            <w:pPr>
              <w:pStyle w:val="TableText"/>
            </w:pPr>
            <w:r>
              <w:t>NSW Murray other</w:t>
            </w:r>
          </w:p>
        </w:tc>
        <w:tc>
          <w:tcPr>
            <w:tcW w:w="2118" w:type="dxa"/>
            <w:tcBorders>
              <w:top w:val="nil"/>
              <w:left w:val="nil"/>
              <w:right w:val="nil"/>
            </w:tcBorders>
            <w:noWrap/>
            <w:vAlign w:val="top"/>
            <w:hideMark/>
          </w:tcPr>
          <w:p w14:paraId="1BDDB62D" w14:textId="77777777" w:rsidR="00A2153D" w:rsidRDefault="00A2153D">
            <w:pPr>
              <w:pStyle w:val="TableText"/>
              <w:jc w:val="right"/>
            </w:pPr>
            <w:r>
              <w:t>0.5</w:t>
            </w:r>
          </w:p>
        </w:tc>
        <w:tc>
          <w:tcPr>
            <w:tcW w:w="2118" w:type="dxa"/>
            <w:tcBorders>
              <w:top w:val="nil"/>
              <w:left w:val="nil"/>
              <w:right w:val="nil"/>
            </w:tcBorders>
            <w:noWrap/>
            <w:vAlign w:val="top"/>
            <w:hideMark/>
          </w:tcPr>
          <w:p w14:paraId="23A2A1CF" w14:textId="77777777" w:rsidR="00A2153D" w:rsidRDefault="00A2153D">
            <w:pPr>
              <w:pStyle w:val="TableText"/>
              <w:jc w:val="right"/>
            </w:pPr>
            <w:r>
              <w:t>0.5</w:t>
            </w:r>
          </w:p>
        </w:tc>
      </w:tr>
      <w:tr w:rsidR="00A2153D" w14:paraId="70C2C8E3" w14:textId="77777777" w:rsidTr="00A2153D">
        <w:trPr>
          <w:cnfStyle w:val="000000100000" w:firstRow="0" w:lastRow="0" w:firstColumn="0" w:lastColumn="0" w:oddVBand="0" w:evenVBand="0" w:oddHBand="1" w:evenHBand="0" w:firstRowFirstColumn="0" w:firstRowLastColumn="0" w:lastRowFirstColumn="0" w:lastRowLastColumn="0"/>
        </w:trPr>
        <w:tc>
          <w:tcPr>
            <w:tcW w:w="4834" w:type="dxa"/>
            <w:noWrap/>
            <w:hideMark/>
          </w:tcPr>
          <w:p w14:paraId="2416864E" w14:textId="77777777" w:rsidR="00A2153D" w:rsidRDefault="00A2153D">
            <w:pPr>
              <w:pStyle w:val="TableText"/>
            </w:pPr>
            <w:r>
              <w:t>NSW Lower Darling HS</w:t>
            </w:r>
          </w:p>
        </w:tc>
        <w:tc>
          <w:tcPr>
            <w:tcW w:w="2118" w:type="dxa"/>
            <w:noWrap/>
            <w:vAlign w:val="top"/>
            <w:hideMark/>
          </w:tcPr>
          <w:p w14:paraId="0F2B1363" w14:textId="77777777" w:rsidR="00A2153D" w:rsidRDefault="00A2153D">
            <w:pPr>
              <w:pStyle w:val="TableText"/>
              <w:jc w:val="right"/>
            </w:pPr>
            <w:r>
              <w:t>0.9</w:t>
            </w:r>
          </w:p>
        </w:tc>
        <w:tc>
          <w:tcPr>
            <w:tcW w:w="2118" w:type="dxa"/>
            <w:noWrap/>
            <w:vAlign w:val="top"/>
            <w:hideMark/>
          </w:tcPr>
          <w:p w14:paraId="02938786" w14:textId="77777777" w:rsidR="00A2153D" w:rsidRDefault="00A2153D">
            <w:pPr>
              <w:pStyle w:val="TableText"/>
              <w:jc w:val="right"/>
            </w:pPr>
            <w:r>
              <w:t>1.2</w:t>
            </w:r>
          </w:p>
        </w:tc>
      </w:tr>
      <w:tr w:rsidR="00A2153D" w14:paraId="7DB8651A" w14:textId="77777777" w:rsidTr="00A2153D">
        <w:trPr>
          <w:cnfStyle w:val="000000010000" w:firstRow="0" w:lastRow="0" w:firstColumn="0" w:lastColumn="0" w:oddVBand="0" w:evenVBand="0" w:oddHBand="0" w:evenHBand="1" w:firstRowFirstColumn="0" w:firstRowLastColumn="0" w:lastRowFirstColumn="0" w:lastRowLastColumn="0"/>
        </w:trPr>
        <w:tc>
          <w:tcPr>
            <w:tcW w:w="4834" w:type="dxa"/>
            <w:tcBorders>
              <w:top w:val="nil"/>
              <w:left w:val="nil"/>
              <w:right w:val="nil"/>
            </w:tcBorders>
            <w:noWrap/>
            <w:hideMark/>
          </w:tcPr>
          <w:p w14:paraId="7BA1A8EB" w14:textId="77777777" w:rsidR="00A2153D" w:rsidRDefault="00A2153D">
            <w:pPr>
              <w:pStyle w:val="TableText"/>
            </w:pPr>
            <w:r>
              <w:t>NSW Lower Darling GS</w:t>
            </w:r>
          </w:p>
        </w:tc>
        <w:tc>
          <w:tcPr>
            <w:tcW w:w="2118" w:type="dxa"/>
            <w:tcBorders>
              <w:top w:val="nil"/>
              <w:left w:val="nil"/>
              <w:right w:val="nil"/>
            </w:tcBorders>
            <w:noWrap/>
            <w:vAlign w:val="top"/>
            <w:hideMark/>
          </w:tcPr>
          <w:p w14:paraId="03DA4B44" w14:textId="77777777" w:rsidR="00A2153D" w:rsidRDefault="00A2153D">
            <w:pPr>
              <w:pStyle w:val="TableText"/>
              <w:jc w:val="right"/>
            </w:pPr>
            <w:r>
              <w:t>5.7</w:t>
            </w:r>
          </w:p>
        </w:tc>
        <w:tc>
          <w:tcPr>
            <w:tcW w:w="2118" w:type="dxa"/>
            <w:tcBorders>
              <w:top w:val="nil"/>
              <w:left w:val="nil"/>
              <w:right w:val="nil"/>
            </w:tcBorders>
            <w:noWrap/>
            <w:vAlign w:val="top"/>
            <w:hideMark/>
          </w:tcPr>
          <w:p w14:paraId="688627F9" w14:textId="77777777" w:rsidR="00A2153D" w:rsidRDefault="00A2153D">
            <w:pPr>
              <w:pStyle w:val="TableText"/>
              <w:jc w:val="right"/>
            </w:pPr>
            <w:r>
              <w:t>6.1</w:t>
            </w:r>
          </w:p>
        </w:tc>
      </w:tr>
      <w:tr w:rsidR="00A2153D" w14:paraId="427B727E" w14:textId="77777777" w:rsidTr="00A2153D">
        <w:trPr>
          <w:cnfStyle w:val="000000100000" w:firstRow="0" w:lastRow="0" w:firstColumn="0" w:lastColumn="0" w:oddVBand="0" w:evenVBand="0" w:oddHBand="1" w:evenHBand="0" w:firstRowFirstColumn="0" w:firstRowLastColumn="0" w:lastRowFirstColumn="0" w:lastRowLastColumn="0"/>
        </w:trPr>
        <w:tc>
          <w:tcPr>
            <w:tcW w:w="4834" w:type="dxa"/>
            <w:noWrap/>
            <w:hideMark/>
          </w:tcPr>
          <w:p w14:paraId="260B9AFF" w14:textId="77777777" w:rsidR="00A2153D" w:rsidRDefault="00A2153D">
            <w:pPr>
              <w:pStyle w:val="TableText"/>
            </w:pPr>
            <w:r>
              <w:t>NSW Murrumbidgee HS</w:t>
            </w:r>
          </w:p>
        </w:tc>
        <w:tc>
          <w:tcPr>
            <w:tcW w:w="2118" w:type="dxa"/>
            <w:noWrap/>
            <w:vAlign w:val="top"/>
            <w:hideMark/>
          </w:tcPr>
          <w:p w14:paraId="2645E88D" w14:textId="77777777" w:rsidR="00A2153D" w:rsidRDefault="00A2153D">
            <w:pPr>
              <w:pStyle w:val="TableText"/>
              <w:jc w:val="right"/>
            </w:pPr>
            <w:r>
              <w:t>3.9</w:t>
            </w:r>
          </w:p>
        </w:tc>
        <w:tc>
          <w:tcPr>
            <w:tcW w:w="2118" w:type="dxa"/>
            <w:noWrap/>
            <w:vAlign w:val="top"/>
            <w:hideMark/>
          </w:tcPr>
          <w:p w14:paraId="62F740BD" w14:textId="77777777" w:rsidR="00A2153D" w:rsidRDefault="00A2153D">
            <w:pPr>
              <w:pStyle w:val="TableText"/>
              <w:jc w:val="right"/>
            </w:pPr>
            <w:r>
              <w:t>4.0</w:t>
            </w:r>
          </w:p>
        </w:tc>
      </w:tr>
      <w:tr w:rsidR="00A2153D" w14:paraId="7202B0B7" w14:textId="77777777" w:rsidTr="00A2153D">
        <w:trPr>
          <w:cnfStyle w:val="000000010000" w:firstRow="0" w:lastRow="0" w:firstColumn="0" w:lastColumn="0" w:oddVBand="0" w:evenVBand="0" w:oddHBand="0" w:evenHBand="1" w:firstRowFirstColumn="0" w:firstRowLastColumn="0" w:lastRowFirstColumn="0" w:lastRowLastColumn="0"/>
        </w:trPr>
        <w:tc>
          <w:tcPr>
            <w:tcW w:w="4834" w:type="dxa"/>
            <w:tcBorders>
              <w:top w:val="nil"/>
              <w:left w:val="nil"/>
              <w:right w:val="nil"/>
            </w:tcBorders>
            <w:noWrap/>
            <w:hideMark/>
          </w:tcPr>
          <w:p w14:paraId="14E431D4" w14:textId="77777777" w:rsidR="00A2153D" w:rsidRDefault="00A2153D">
            <w:pPr>
              <w:pStyle w:val="TableText"/>
            </w:pPr>
            <w:r>
              <w:t>NSW Murrumbidgee GS</w:t>
            </w:r>
          </w:p>
        </w:tc>
        <w:tc>
          <w:tcPr>
            <w:tcW w:w="2118" w:type="dxa"/>
            <w:tcBorders>
              <w:top w:val="nil"/>
              <w:left w:val="nil"/>
              <w:right w:val="nil"/>
            </w:tcBorders>
            <w:noWrap/>
            <w:vAlign w:val="top"/>
            <w:hideMark/>
          </w:tcPr>
          <w:p w14:paraId="115854A1" w14:textId="77777777" w:rsidR="00A2153D" w:rsidRDefault="00A2153D">
            <w:pPr>
              <w:pStyle w:val="TableText"/>
              <w:jc w:val="right"/>
            </w:pPr>
            <w:r>
              <w:t>47.7</w:t>
            </w:r>
          </w:p>
        </w:tc>
        <w:tc>
          <w:tcPr>
            <w:tcW w:w="2118" w:type="dxa"/>
            <w:tcBorders>
              <w:top w:val="nil"/>
              <w:left w:val="nil"/>
              <w:right w:val="nil"/>
            </w:tcBorders>
            <w:noWrap/>
            <w:vAlign w:val="top"/>
            <w:hideMark/>
          </w:tcPr>
          <w:p w14:paraId="04B36A53" w14:textId="77777777" w:rsidR="00A2153D" w:rsidRDefault="00A2153D">
            <w:pPr>
              <w:pStyle w:val="TableText"/>
              <w:jc w:val="right"/>
            </w:pPr>
            <w:r>
              <w:t>80.7</w:t>
            </w:r>
          </w:p>
        </w:tc>
      </w:tr>
      <w:tr w:rsidR="00A2153D" w14:paraId="134D8468" w14:textId="77777777" w:rsidTr="00A2153D">
        <w:trPr>
          <w:cnfStyle w:val="000000100000" w:firstRow="0" w:lastRow="0" w:firstColumn="0" w:lastColumn="0" w:oddVBand="0" w:evenVBand="0" w:oddHBand="1" w:evenHBand="0" w:firstRowFirstColumn="0" w:firstRowLastColumn="0" w:lastRowFirstColumn="0" w:lastRowLastColumn="0"/>
        </w:trPr>
        <w:tc>
          <w:tcPr>
            <w:tcW w:w="4834" w:type="dxa"/>
            <w:noWrap/>
            <w:hideMark/>
          </w:tcPr>
          <w:p w14:paraId="6C425004" w14:textId="77777777" w:rsidR="00A2153D" w:rsidRDefault="00A2153D">
            <w:pPr>
              <w:pStyle w:val="TableText"/>
            </w:pPr>
            <w:r>
              <w:t>NSW Murrumbidgee Supplementary</w:t>
            </w:r>
          </w:p>
        </w:tc>
        <w:tc>
          <w:tcPr>
            <w:tcW w:w="2118" w:type="dxa"/>
            <w:noWrap/>
            <w:vAlign w:val="top"/>
            <w:hideMark/>
          </w:tcPr>
          <w:p w14:paraId="4704AD40" w14:textId="77777777" w:rsidR="00A2153D" w:rsidRDefault="00A2153D">
            <w:pPr>
              <w:pStyle w:val="TableText"/>
              <w:jc w:val="right"/>
            </w:pPr>
            <w:r>
              <w:t>53.3</w:t>
            </w:r>
          </w:p>
        </w:tc>
        <w:tc>
          <w:tcPr>
            <w:tcW w:w="2118" w:type="dxa"/>
            <w:noWrap/>
            <w:vAlign w:val="top"/>
            <w:hideMark/>
          </w:tcPr>
          <w:p w14:paraId="19775D93" w14:textId="77777777" w:rsidR="00A2153D" w:rsidRDefault="00A2153D">
            <w:pPr>
              <w:pStyle w:val="TableText"/>
              <w:jc w:val="right"/>
            </w:pPr>
            <w:r>
              <w:t>120.8</w:t>
            </w:r>
          </w:p>
        </w:tc>
      </w:tr>
      <w:tr w:rsidR="00A2153D" w14:paraId="45B263F9" w14:textId="77777777" w:rsidTr="00A2153D">
        <w:trPr>
          <w:cnfStyle w:val="000000010000" w:firstRow="0" w:lastRow="0" w:firstColumn="0" w:lastColumn="0" w:oddVBand="0" w:evenVBand="0" w:oddHBand="0" w:evenHBand="1" w:firstRowFirstColumn="0" w:firstRowLastColumn="0" w:lastRowFirstColumn="0" w:lastRowLastColumn="0"/>
        </w:trPr>
        <w:tc>
          <w:tcPr>
            <w:tcW w:w="4834" w:type="dxa"/>
            <w:tcBorders>
              <w:top w:val="nil"/>
              <w:left w:val="nil"/>
              <w:right w:val="nil"/>
            </w:tcBorders>
            <w:noWrap/>
            <w:hideMark/>
          </w:tcPr>
          <w:p w14:paraId="1FDD3F82" w14:textId="77777777" w:rsidR="00A2153D" w:rsidRDefault="00A2153D">
            <w:pPr>
              <w:pStyle w:val="TableText"/>
            </w:pPr>
            <w:r>
              <w:t>NSW Murrumbidgee conveyance</w:t>
            </w:r>
          </w:p>
        </w:tc>
        <w:tc>
          <w:tcPr>
            <w:tcW w:w="2118" w:type="dxa"/>
            <w:tcBorders>
              <w:top w:val="nil"/>
              <w:left w:val="nil"/>
              <w:right w:val="nil"/>
            </w:tcBorders>
            <w:noWrap/>
            <w:vAlign w:val="top"/>
            <w:hideMark/>
          </w:tcPr>
          <w:p w14:paraId="05DA1AC6" w14:textId="77777777" w:rsidR="00A2153D" w:rsidRDefault="00A2153D">
            <w:pPr>
              <w:pStyle w:val="TableText"/>
              <w:jc w:val="right"/>
            </w:pPr>
            <w:r>
              <w:t>12.3</w:t>
            </w:r>
          </w:p>
        </w:tc>
        <w:tc>
          <w:tcPr>
            <w:tcW w:w="2118" w:type="dxa"/>
            <w:tcBorders>
              <w:top w:val="nil"/>
              <w:left w:val="nil"/>
              <w:right w:val="nil"/>
            </w:tcBorders>
            <w:noWrap/>
            <w:vAlign w:val="top"/>
            <w:hideMark/>
          </w:tcPr>
          <w:p w14:paraId="1B41C86B" w14:textId="77777777" w:rsidR="00A2153D" w:rsidRDefault="00A2153D">
            <w:pPr>
              <w:pStyle w:val="TableText"/>
              <w:jc w:val="right"/>
            </w:pPr>
            <w:r>
              <w:t>14.2</w:t>
            </w:r>
          </w:p>
        </w:tc>
      </w:tr>
      <w:tr w:rsidR="00A2153D" w14:paraId="3BD3D583" w14:textId="77777777" w:rsidTr="00A2153D">
        <w:trPr>
          <w:cnfStyle w:val="000000100000" w:firstRow="0" w:lastRow="0" w:firstColumn="0" w:lastColumn="0" w:oddVBand="0" w:evenVBand="0" w:oddHBand="1" w:evenHBand="0" w:firstRowFirstColumn="0" w:firstRowLastColumn="0" w:lastRowFirstColumn="0" w:lastRowLastColumn="0"/>
        </w:trPr>
        <w:tc>
          <w:tcPr>
            <w:tcW w:w="4834" w:type="dxa"/>
            <w:noWrap/>
            <w:hideMark/>
          </w:tcPr>
          <w:p w14:paraId="67B21CA6" w14:textId="77777777" w:rsidR="00A2153D" w:rsidRDefault="00A2153D">
            <w:pPr>
              <w:pStyle w:val="TableText"/>
            </w:pPr>
            <w:r>
              <w:t>NSW Murrumbidgee other</w:t>
            </w:r>
          </w:p>
        </w:tc>
        <w:tc>
          <w:tcPr>
            <w:tcW w:w="2118" w:type="dxa"/>
            <w:noWrap/>
            <w:vAlign w:val="top"/>
            <w:hideMark/>
          </w:tcPr>
          <w:p w14:paraId="3701FA4D" w14:textId="77777777" w:rsidR="00A2153D" w:rsidRDefault="00A2153D">
            <w:pPr>
              <w:pStyle w:val="TableText"/>
              <w:jc w:val="right"/>
            </w:pPr>
            <w:r>
              <w:t>1.5</w:t>
            </w:r>
          </w:p>
        </w:tc>
        <w:tc>
          <w:tcPr>
            <w:tcW w:w="2118" w:type="dxa"/>
            <w:noWrap/>
            <w:vAlign w:val="top"/>
            <w:hideMark/>
          </w:tcPr>
          <w:p w14:paraId="61EC2853" w14:textId="77777777" w:rsidR="00A2153D" w:rsidRDefault="00A2153D">
            <w:pPr>
              <w:pStyle w:val="TableText"/>
              <w:jc w:val="right"/>
            </w:pPr>
            <w:r>
              <w:t>1.5</w:t>
            </w:r>
          </w:p>
        </w:tc>
      </w:tr>
      <w:tr w:rsidR="00A2153D" w14:paraId="78077B68" w14:textId="77777777" w:rsidTr="00A2153D">
        <w:trPr>
          <w:cnfStyle w:val="000000010000" w:firstRow="0" w:lastRow="0" w:firstColumn="0" w:lastColumn="0" w:oddVBand="0" w:evenVBand="0" w:oddHBand="0" w:evenHBand="1" w:firstRowFirstColumn="0" w:firstRowLastColumn="0" w:lastRowFirstColumn="0" w:lastRowLastColumn="0"/>
        </w:trPr>
        <w:tc>
          <w:tcPr>
            <w:tcW w:w="4834" w:type="dxa"/>
            <w:tcBorders>
              <w:top w:val="nil"/>
              <w:left w:val="nil"/>
              <w:right w:val="nil"/>
            </w:tcBorders>
            <w:noWrap/>
            <w:hideMark/>
          </w:tcPr>
          <w:p w14:paraId="48B2E8DE" w14:textId="77777777" w:rsidR="00A2153D" w:rsidRDefault="00A2153D">
            <w:pPr>
              <w:pStyle w:val="TableText"/>
            </w:pPr>
            <w:r>
              <w:t>VIC Murray HRWS</w:t>
            </w:r>
          </w:p>
        </w:tc>
        <w:tc>
          <w:tcPr>
            <w:tcW w:w="2118" w:type="dxa"/>
            <w:tcBorders>
              <w:top w:val="nil"/>
              <w:left w:val="nil"/>
              <w:right w:val="nil"/>
            </w:tcBorders>
            <w:noWrap/>
            <w:vAlign w:val="top"/>
            <w:hideMark/>
          </w:tcPr>
          <w:p w14:paraId="129C642B" w14:textId="77777777" w:rsidR="00A2153D" w:rsidRDefault="00A2153D">
            <w:pPr>
              <w:pStyle w:val="TableText"/>
              <w:jc w:val="right"/>
            </w:pPr>
            <w:r>
              <w:t>99.5</w:t>
            </w:r>
          </w:p>
        </w:tc>
        <w:tc>
          <w:tcPr>
            <w:tcW w:w="2118" w:type="dxa"/>
            <w:tcBorders>
              <w:top w:val="nil"/>
              <w:left w:val="nil"/>
              <w:right w:val="nil"/>
            </w:tcBorders>
            <w:noWrap/>
            <w:vAlign w:val="top"/>
            <w:hideMark/>
          </w:tcPr>
          <w:p w14:paraId="14BB7F18" w14:textId="77777777" w:rsidR="00A2153D" w:rsidRDefault="00A2153D">
            <w:pPr>
              <w:pStyle w:val="TableText"/>
              <w:jc w:val="right"/>
            </w:pPr>
            <w:r>
              <w:t>102.1</w:t>
            </w:r>
          </w:p>
        </w:tc>
      </w:tr>
      <w:tr w:rsidR="00A2153D" w14:paraId="7212BF8D" w14:textId="77777777" w:rsidTr="00A2153D">
        <w:trPr>
          <w:cnfStyle w:val="000000100000" w:firstRow="0" w:lastRow="0" w:firstColumn="0" w:lastColumn="0" w:oddVBand="0" w:evenVBand="0" w:oddHBand="1" w:evenHBand="0" w:firstRowFirstColumn="0" w:firstRowLastColumn="0" w:lastRowFirstColumn="0" w:lastRowLastColumn="0"/>
        </w:trPr>
        <w:tc>
          <w:tcPr>
            <w:tcW w:w="4834" w:type="dxa"/>
            <w:noWrap/>
            <w:hideMark/>
          </w:tcPr>
          <w:p w14:paraId="52162DC1" w14:textId="77777777" w:rsidR="00A2153D" w:rsidRDefault="00A2153D">
            <w:pPr>
              <w:pStyle w:val="TableText"/>
            </w:pPr>
            <w:r>
              <w:t>VIC Murray LRWS</w:t>
            </w:r>
          </w:p>
        </w:tc>
        <w:tc>
          <w:tcPr>
            <w:tcW w:w="2118" w:type="dxa"/>
            <w:noWrap/>
            <w:vAlign w:val="top"/>
            <w:hideMark/>
          </w:tcPr>
          <w:p w14:paraId="37E63163" w14:textId="77777777" w:rsidR="00A2153D" w:rsidRDefault="00A2153D">
            <w:pPr>
              <w:pStyle w:val="TableText"/>
              <w:jc w:val="right"/>
            </w:pPr>
            <w:r>
              <w:t>5.4</w:t>
            </w:r>
          </w:p>
        </w:tc>
        <w:tc>
          <w:tcPr>
            <w:tcW w:w="2118" w:type="dxa"/>
            <w:noWrap/>
            <w:vAlign w:val="top"/>
            <w:hideMark/>
          </w:tcPr>
          <w:p w14:paraId="15016880" w14:textId="77777777" w:rsidR="00A2153D" w:rsidRDefault="00A2153D">
            <w:pPr>
              <w:pStyle w:val="TableText"/>
              <w:jc w:val="right"/>
            </w:pPr>
            <w:r>
              <w:t>10.0</w:t>
            </w:r>
          </w:p>
        </w:tc>
      </w:tr>
      <w:tr w:rsidR="00A2153D" w14:paraId="41B3C800" w14:textId="77777777" w:rsidTr="00A2153D">
        <w:trPr>
          <w:cnfStyle w:val="000000010000" w:firstRow="0" w:lastRow="0" w:firstColumn="0" w:lastColumn="0" w:oddVBand="0" w:evenVBand="0" w:oddHBand="0" w:evenHBand="1" w:firstRowFirstColumn="0" w:firstRowLastColumn="0" w:lastRowFirstColumn="0" w:lastRowLastColumn="0"/>
        </w:trPr>
        <w:tc>
          <w:tcPr>
            <w:tcW w:w="4834" w:type="dxa"/>
            <w:tcBorders>
              <w:top w:val="nil"/>
              <w:left w:val="nil"/>
              <w:right w:val="nil"/>
            </w:tcBorders>
            <w:noWrap/>
            <w:hideMark/>
          </w:tcPr>
          <w:p w14:paraId="544B883F" w14:textId="77777777" w:rsidR="00A2153D" w:rsidRDefault="00A2153D">
            <w:pPr>
              <w:pStyle w:val="TableText"/>
            </w:pPr>
            <w:r>
              <w:t>VIC Goulburn HRWS</w:t>
            </w:r>
          </w:p>
        </w:tc>
        <w:tc>
          <w:tcPr>
            <w:tcW w:w="2118" w:type="dxa"/>
            <w:tcBorders>
              <w:top w:val="nil"/>
              <w:left w:val="nil"/>
              <w:right w:val="nil"/>
            </w:tcBorders>
            <w:noWrap/>
            <w:vAlign w:val="top"/>
            <w:hideMark/>
          </w:tcPr>
          <w:p w14:paraId="70B6B4D2" w14:textId="77777777" w:rsidR="00A2153D" w:rsidRDefault="00A2153D">
            <w:pPr>
              <w:pStyle w:val="TableText"/>
              <w:jc w:val="right"/>
            </w:pPr>
            <w:r>
              <w:t>86.8</w:t>
            </w:r>
          </w:p>
        </w:tc>
        <w:tc>
          <w:tcPr>
            <w:tcW w:w="2118" w:type="dxa"/>
            <w:tcBorders>
              <w:top w:val="nil"/>
              <w:left w:val="nil"/>
              <w:right w:val="nil"/>
            </w:tcBorders>
            <w:noWrap/>
            <w:vAlign w:val="top"/>
            <w:hideMark/>
          </w:tcPr>
          <w:p w14:paraId="2C43D79F" w14:textId="77777777" w:rsidR="00A2153D" w:rsidRDefault="00A2153D">
            <w:pPr>
              <w:pStyle w:val="TableText"/>
              <w:jc w:val="right"/>
            </w:pPr>
            <w:r>
              <w:t>89.8</w:t>
            </w:r>
          </w:p>
        </w:tc>
      </w:tr>
      <w:tr w:rsidR="00A2153D" w14:paraId="350A4F79" w14:textId="77777777" w:rsidTr="00A2153D">
        <w:trPr>
          <w:cnfStyle w:val="000000100000" w:firstRow="0" w:lastRow="0" w:firstColumn="0" w:lastColumn="0" w:oddVBand="0" w:evenVBand="0" w:oddHBand="1" w:evenHBand="0" w:firstRowFirstColumn="0" w:firstRowLastColumn="0" w:lastRowFirstColumn="0" w:lastRowLastColumn="0"/>
        </w:trPr>
        <w:tc>
          <w:tcPr>
            <w:tcW w:w="4834" w:type="dxa"/>
            <w:noWrap/>
            <w:hideMark/>
          </w:tcPr>
          <w:p w14:paraId="290C8EA7" w14:textId="77777777" w:rsidR="00A2153D" w:rsidRDefault="00A2153D">
            <w:pPr>
              <w:pStyle w:val="TableText"/>
            </w:pPr>
            <w:r>
              <w:t>VIC Goulburn LRWS</w:t>
            </w:r>
          </w:p>
        </w:tc>
        <w:tc>
          <w:tcPr>
            <w:tcW w:w="2118" w:type="dxa"/>
            <w:noWrap/>
            <w:vAlign w:val="top"/>
            <w:hideMark/>
          </w:tcPr>
          <w:p w14:paraId="61C970A9" w14:textId="77777777" w:rsidR="00A2153D" w:rsidRDefault="00A2153D">
            <w:pPr>
              <w:pStyle w:val="TableText"/>
              <w:jc w:val="right"/>
            </w:pPr>
            <w:r>
              <w:t>7.0</w:t>
            </w:r>
          </w:p>
        </w:tc>
        <w:tc>
          <w:tcPr>
            <w:tcW w:w="2118" w:type="dxa"/>
            <w:noWrap/>
            <w:vAlign w:val="top"/>
            <w:hideMark/>
          </w:tcPr>
          <w:p w14:paraId="07F3F4FD" w14:textId="77777777" w:rsidR="00A2153D" w:rsidRDefault="00A2153D">
            <w:pPr>
              <w:pStyle w:val="TableText"/>
              <w:jc w:val="right"/>
            </w:pPr>
            <w:r>
              <w:t>12.0</w:t>
            </w:r>
          </w:p>
        </w:tc>
      </w:tr>
      <w:tr w:rsidR="00A2153D" w14:paraId="1200AEE5" w14:textId="77777777" w:rsidTr="00A2153D">
        <w:trPr>
          <w:cnfStyle w:val="000000010000" w:firstRow="0" w:lastRow="0" w:firstColumn="0" w:lastColumn="0" w:oddVBand="0" w:evenVBand="0" w:oddHBand="0" w:evenHBand="1" w:firstRowFirstColumn="0" w:firstRowLastColumn="0" w:lastRowFirstColumn="0" w:lastRowLastColumn="0"/>
        </w:trPr>
        <w:tc>
          <w:tcPr>
            <w:tcW w:w="4834" w:type="dxa"/>
            <w:tcBorders>
              <w:top w:val="nil"/>
              <w:left w:val="nil"/>
              <w:right w:val="nil"/>
            </w:tcBorders>
            <w:noWrap/>
            <w:hideMark/>
          </w:tcPr>
          <w:p w14:paraId="6797AC52" w14:textId="77777777" w:rsidR="00A2153D" w:rsidRDefault="00A2153D">
            <w:pPr>
              <w:pStyle w:val="TableText"/>
            </w:pPr>
            <w:r>
              <w:t>VIC Other HRWS</w:t>
            </w:r>
          </w:p>
        </w:tc>
        <w:tc>
          <w:tcPr>
            <w:tcW w:w="2118" w:type="dxa"/>
            <w:tcBorders>
              <w:top w:val="nil"/>
              <w:left w:val="nil"/>
              <w:right w:val="nil"/>
            </w:tcBorders>
            <w:noWrap/>
            <w:vAlign w:val="top"/>
            <w:hideMark/>
          </w:tcPr>
          <w:p w14:paraId="40BABE0D" w14:textId="77777777" w:rsidR="00A2153D" w:rsidRDefault="00A2153D">
            <w:pPr>
              <w:pStyle w:val="TableText"/>
              <w:jc w:val="right"/>
            </w:pPr>
            <w:r>
              <w:t>2.5</w:t>
            </w:r>
          </w:p>
        </w:tc>
        <w:tc>
          <w:tcPr>
            <w:tcW w:w="2118" w:type="dxa"/>
            <w:tcBorders>
              <w:top w:val="nil"/>
              <w:left w:val="nil"/>
              <w:right w:val="nil"/>
            </w:tcBorders>
            <w:noWrap/>
            <w:vAlign w:val="top"/>
            <w:hideMark/>
          </w:tcPr>
          <w:p w14:paraId="5719C0A7" w14:textId="77777777" w:rsidR="00A2153D" w:rsidRDefault="00A2153D">
            <w:pPr>
              <w:pStyle w:val="TableText"/>
              <w:jc w:val="right"/>
            </w:pPr>
            <w:r>
              <w:t>3.0</w:t>
            </w:r>
          </w:p>
        </w:tc>
      </w:tr>
      <w:tr w:rsidR="00A2153D" w14:paraId="0D4D2DAE" w14:textId="77777777" w:rsidTr="00A2153D">
        <w:trPr>
          <w:cnfStyle w:val="000000100000" w:firstRow="0" w:lastRow="0" w:firstColumn="0" w:lastColumn="0" w:oddVBand="0" w:evenVBand="0" w:oddHBand="1" w:evenHBand="0" w:firstRowFirstColumn="0" w:firstRowLastColumn="0" w:lastRowFirstColumn="0" w:lastRowLastColumn="0"/>
        </w:trPr>
        <w:tc>
          <w:tcPr>
            <w:tcW w:w="4834" w:type="dxa"/>
            <w:noWrap/>
            <w:hideMark/>
          </w:tcPr>
          <w:p w14:paraId="3F425411" w14:textId="77777777" w:rsidR="00A2153D" w:rsidRDefault="00A2153D">
            <w:pPr>
              <w:pStyle w:val="TableText"/>
            </w:pPr>
            <w:r>
              <w:t>VIC Other LRWS</w:t>
            </w:r>
          </w:p>
        </w:tc>
        <w:tc>
          <w:tcPr>
            <w:tcW w:w="2118" w:type="dxa"/>
            <w:noWrap/>
            <w:vAlign w:val="top"/>
            <w:hideMark/>
          </w:tcPr>
          <w:p w14:paraId="6E9FF7F3" w14:textId="77777777" w:rsidR="00A2153D" w:rsidRDefault="00A2153D">
            <w:pPr>
              <w:pStyle w:val="TableText"/>
              <w:jc w:val="right"/>
            </w:pPr>
            <w:r>
              <w:t>0.1</w:t>
            </w:r>
          </w:p>
        </w:tc>
        <w:tc>
          <w:tcPr>
            <w:tcW w:w="2118" w:type="dxa"/>
            <w:noWrap/>
            <w:vAlign w:val="top"/>
            <w:hideMark/>
          </w:tcPr>
          <w:p w14:paraId="09F81513" w14:textId="77777777" w:rsidR="00A2153D" w:rsidRDefault="00A2153D">
            <w:pPr>
              <w:pStyle w:val="TableText"/>
              <w:jc w:val="right"/>
            </w:pPr>
            <w:r>
              <w:t>0.3</w:t>
            </w:r>
          </w:p>
        </w:tc>
      </w:tr>
    </w:tbl>
    <w:p w14:paraId="64DE3364" w14:textId="77777777" w:rsidR="00A2153D" w:rsidRDefault="00A2153D" w:rsidP="00A2153D">
      <w:pPr>
        <w:spacing w:after="320"/>
        <w:rPr>
          <w:color w:val="9BA1A5"/>
        </w:rPr>
      </w:pPr>
      <w:r>
        <w:rPr>
          <w:i/>
          <w:color w:val="9BA1A5"/>
          <w:sz w:val="16"/>
          <w:szCs w:val="16"/>
        </w:rPr>
        <w:t>Source: Frontier Economics</w:t>
      </w:r>
    </w:p>
    <w:p w14:paraId="75A93F6E" w14:textId="7CBC84DC" w:rsidR="00A2153D" w:rsidRDefault="00A2153D" w:rsidP="00BB1F3C">
      <w:pPr>
        <w:pStyle w:val="BodyText"/>
      </w:pPr>
      <w:r>
        <w:t>Water trade throughout the southern MDB enables water users to reallocate their water use subject to the prevailing trade constraints — meaning that the location of water buybacks and changes in water use may differ. The analysis below is based on the relative volume and security of the entitlements in the 450GL buyback and allows for different allocation years.</w:t>
      </w:r>
      <w:r w:rsidR="00BB1F3C">
        <w:t xml:space="preserve"> </w:t>
      </w:r>
      <w:r>
        <w:fldChar w:fldCharType="begin"/>
      </w:r>
      <w:r>
        <w:instrText xml:space="preserve"> REF _Ref109922768 \h </w:instrText>
      </w:r>
      <w:r>
        <w:fldChar w:fldCharType="separate"/>
      </w:r>
      <w:r w:rsidR="00D4298A">
        <w:rPr>
          <w:rStyle w:val="Bold"/>
        </w:rPr>
        <w:t xml:space="preserve">Table </w:t>
      </w:r>
      <w:r w:rsidR="00D4298A">
        <w:rPr>
          <w:rStyle w:val="Bold"/>
          <w:noProof/>
        </w:rPr>
        <w:t>16</w:t>
      </w:r>
      <w:r>
        <w:fldChar w:fldCharType="end"/>
      </w:r>
      <w:r>
        <w:t xml:space="preserve"> estimates the volume of reduced water use by industry and location. </w:t>
      </w:r>
      <w:r>
        <w:fldChar w:fldCharType="begin"/>
      </w:r>
      <w:r>
        <w:instrText xml:space="preserve"> REF _Ref109922759 \h </w:instrText>
      </w:r>
      <w:r>
        <w:fldChar w:fldCharType="separate"/>
      </w:r>
      <w:r w:rsidR="00D4298A">
        <w:rPr>
          <w:rStyle w:val="Bold"/>
        </w:rPr>
        <w:t xml:space="preserve">Table </w:t>
      </w:r>
      <w:r w:rsidR="00D4298A">
        <w:rPr>
          <w:rStyle w:val="Bold"/>
          <w:noProof/>
        </w:rPr>
        <w:t>17</w:t>
      </w:r>
      <w:r>
        <w:fldChar w:fldCharType="end"/>
      </w:r>
      <w:r>
        <w:t xml:space="preserve"> provides an </w:t>
      </w:r>
      <w:r>
        <w:lastRenderedPageBreak/>
        <w:t xml:space="preserve">indication of the reduction in area irrigated if this were to proceed. </w:t>
      </w:r>
      <w:r>
        <w:fldChar w:fldCharType="begin"/>
      </w:r>
      <w:r>
        <w:instrText xml:space="preserve"> REF _Ref109922776 \h </w:instrText>
      </w:r>
      <w:r>
        <w:fldChar w:fldCharType="separate"/>
      </w:r>
      <w:r w:rsidR="00D4298A">
        <w:rPr>
          <w:rStyle w:val="Bold"/>
        </w:rPr>
        <w:t xml:space="preserve">Table </w:t>
      </w:r>
      <w:r w:rsidR="00D4298A">
        <w:rPr>
          <w:rStyle w:val="Bold"/>
          <w:noProof/>
        </w:rPr>
        <w:t>18</w:t>
      </w:r>
      <w:r>
        <w:fldChar w:fldCharType="end"/>
      </w:r>
      <w:r>
        <w:t xml:space="preserve"> indicates an approximate economic impact of the reduced irrigation.</w:t>
      </w:r>
    </w:p>
    <w:p w14:paraId="78F34755" w14:textId="7017D1F1" w:rsidR="00A2153D" w:rsidRDefault="00A2153D" w:rsidP="00A2153D">
      <w:pPr>
        <w:pStyle w:val="Caption"/>
      </w:pPr>
      <w:bookmarkStart w:id="235" w:name="_Ref109922768"/>
      <w:bookmarkStart w:id="236" w:name="_Toc110262420"/>
      <w:bookmarkStart w:id="237" w:name="_Toc113621703"/>
      <w:r>
        <w:rPr>
          <w:rStyle w:val="Bold"/>
        </w:rPr>
        <w:t xml:space="preserve">Table </w:t>
      </w:r>
      <w:r>
        <w:fldChar w:fldCharType="begin"/>
      </w:r>
      <w:r>
        <w:rPr>
          <w:rStyle w:val="Bold"/>
        </w:rPr>
        <w:instrText xml:space="preserve"> SEQ Table \* ARABIC </w:instrText>
      </w:r>
      <w:r>
        <w:fldChar w:fldCharType="separate"/>
      </w:r>
      <w:r w:rsidR="00D4298A">
        <w:rPr>
          <w:rStyle w:val="Bold"/>
          <w:noProof/>
        </w:rPr>
        <w:t>16</w:t>
      </w:r>
      <w:r>
        <w:fldChar w:fldCharType="end"/>
      </w:r>
      <w:bookmarkEnd w:id="235"/>
      <w:r>
        <w:rPr>
          <w:rStyle w:val="Bold"/>
        </w:rPr>
        <w:t>:</w:t>
      </w:r>
      <w:r>
        <w:t xml:space="preserve"> Expected reduction in volumes of annual water use due to a 450 GL buyback</w:t>
      </w:r>
      <w:bookmarkEnd w:id="236"/>
      <w:bookmarkEnd w:id="237"/>
    </w:p>
    <w:tbl>
      <w:tblPr>
        <w:tblStyle w:val="FETableStyle"/>
        <w:tblW w:w="5000" w:type="pct"/>
        <w:tblLook w:val="0420" w:firstRow="1" w:lastRow="0" w:firstColumn="0" w:lastColumn="0" w:noHBand="0" w:noVBand="1"/>
      </w:tblPr>
      <w:tblGrid>
        <w:gridCol w:w="2124"/>
        <w:gridCol w:w="1482"/>
        <w:gridCol w:w="1323"/>
        <w:gridCol w:w="1601"/>
        <w:gridCol w:w="1337"/>
        <w:gridCol w:w="1203"/>
      </w:tblGrid>
      <w:tr w:rsidR="00A2153D" w14:paraId="3547275E" w14:textId="77777777" w:rsidTr="00A2153D">
        <w:trPr>
          <w:cnfStyle w:val="100000000000" w:firstRow="1" w:lastRow="0" w:firstColumn="0" w:lastColumn="0" w:oddVBand="0" w:evenVBand="0" w:oddHBand="0" w:evenHBand="0" w:firstRowFirstColumn="0" w:firstRowLastColumn="0" w:lastRowFirstColumn="0" w:lastRowLastColumn="0"/>
        </w:trPr>
        <w:tc>
          <w:tcPr>
            <w:tcW w:w="2263" w:type="dxa"/>
            <w:tcBorders>
              <w:top w:val="nil"/>
              <w:left w:val="nil"/>
              <w:bottom w:val="nil"/>
              <w:right w:val="nil"/>
            </w:tcBorders>
            <w:noWrap/>
            <w:hideMark/>
          </w:tcPr>
          <w:p w14:paraId="28048922" w14:textId="77777777" w:rsidR="00A2153D" w:rsidRDefault="00A2153D">
            <w:pPr>
              <w:pStyle w:val="TableHeading"/>
              <w:rPr>
                <w:b/>
              </w:rPr>
            </w:pPr>
            <w:r>
              <w:rPr>
                <w:b/>
              </w:rPr>
              <w:t>Industry</w:t>
            </w:r>
          </w:p>
        </w:tc>
        <w:tc>
          <w:tcPr>
            <w:tcW w:w="1574" w:type="dxa"/>
            <w:tcBorders>
              <w:top w:val="nil"/>
              <w:left w:val="nil"/>
              <w:bottom w:val="nil"/>
              <w:right w:val="nil"/>
            </w:tcBorders>
            <w:noWrap/>
            <w:hideMark/>
          </w:tcPr>
          <w:p w14:paraId="510D9D90" w14:textId="77777777" w:rsidR="00A2153D" w:rsidRDefault="00A2153D">
            <w:pPr>
              <w:pStyle w:val="TableHeading"/>
              <w:jc w:val="right"/>
              <w:rPr>
                <w:b/>
              </w:rPr>
            </w:pPr>
            <w:r>
              <w:rPr>
                <w:b/>
              </w:rPr>
              <w:t>Total GL reduction</w:t>
            </w:r>
          </w:p>
        </w:tc>
        <w:tc>
          <w:tcPr>
            <w:tcW w:w="1403" w:type="dxa"/>
            <w:tcBorders>
              <w:top w:val="nil"/>
              <w:left w:val="nil"/>
              <w:bottom w:val="nil"/>
              <w:right w:val="nil"/>
            </w:tcBorders>
            <w:noWrap/>
            <w:hideMark/>
          </w:tcPr>
          <w:p w14:paraId="126290B5" w14:textId="77777777" w:rsidR="00A2153D" w:rsidRDefault="00A2153D">
            <w:pPr>
              <w:pStyle w:val="TableHeading"/>
              <w:jc w:val="right"/>
              <w:rPr>
                <w:b/>
              </w:rPr>
            </w:pPr>
            <w:r>
              <w:rPr>
                <w:b/>
              </w:rPr>
              <w:t>Vic GMID</w:t>
            </w:r>
          </w:p>
        </w:tc>
        <w:tc>
          <w:tcPr>
            <w:tcW w:w="1701" w:type="dxa"/>
            <w:tcBorders>
              <w:top w:val="nil"/>
              <w:left w:val="nil"/>
              <w:bottom w:val="nil"/>
              <w:right w:val="nil"/>
            </w:tcBorders>
            <w:noWrap/>
            <w:hideMark/>
          </w:tcPr>
          <w:p w14:paraId="6A5618BD" w14:textId="77777777" w:rsidR="00A2153D" w:rsidRDefault="00A2153D">
            <w:pPr>
              <w:pStyle w:val="TableHeading"/>
              <w:jc w:val="right"/>
              <w:rPr>
                <w:b/>
              </w:rPr>
            </w:pPr>
            <w:r>
              <w:rPr>
                <w:b/>
              </w:rPr>
              <w:t>Vic Mallee</w:t>
            </w:r>
          </w:p>
        </w:tc>
        <w:tc>
          <w:tcPr>
            <w:tcW w:w="1418" w:type="dxa"/>
            <w:tcBorders>
              <w:top w:val="nil"/>
              <w:left w:val="nil"/>
              <w:bottom w:val="nil"/>
              <w:right w:val="nil"/>
            </w:tcBorders>
            <w:noWrap/>
            <w:hideMark/>
          </w:tcPr>
          <w:p w14:paraId="03FFF237" w14:textId="77777777" w:rsidR="00A2153D" w:rsidRDefault="00A2153D">
            <w:pPr>
              <w:pStyle w:val="TableHeading"/>
              <w:jc w:val="right"/>
              <w:rPr>
                <w:b/>
              </w:rPr>
            </w:pPr>
            <w:r>
              <w:rPr>
                <w:b/>
              </w:rPr>
              <w:t>NSW</w:t>
            </w:r>
          </w:p>
        </w:tc>
        <w:tc>
          <w:tcPr>
            <w:tcW w:w="1275" w:type="dxa"/>
            <w:tcBorders>
              <w:top w:val="nil"/>
              <w:left w:val="nil"/>
              <w:bottom w:val="nil"/>
              <w:right w:val="nil"/>
            </w:tcBorders>
            <w:noWrap/>
            <w:hideMark/>
          </w:tcPr>
          <w:p w14:paraId="0CFBDC82" w14:textId="77777777" w:rsidR="00A2153D" w:rsidRDefault="00A2153D">
            <w:pPr>
              <w:pStyle w:val="TableHeading"/>
              <w:jc w:val="right"/>
              <w:rPr>
                <w:b/>
              </w:rPr>
            </w:pPr>
            <w:r>
              <w:rPr>
                <w:b/>
              </w:rPr>
              <w:t>SA</w:t>
            </w:r>
          </w:p>
        </w:tc>
      </w:tr>
      <w:tr w:rsidR="00A2153D" w14:paraId="655C122D" w14:textId="77777777" w:rsidTr="00A2153D">
        <w:trPr>
          <w:cnfStyle w:val="000000100000" w:firstRow="0" w:lastRow="0" w:firstColumn="0" w:lastColumn="0" w:oddVBand="0" w:evenVBand="0" w:oddHBand="1" w:evenHBand="0" w:firstRowFirstColumn="0" w:firstRowLastColumn="0" w:lastRowFirstColumn="0" w:lastRowLastColumn="0"/>
        </w:trPr>
        <w:tc>
          <w:tcPr>
            <w:tcW w:w="2263" w:type="dxa"/>
            <w:noWrap/>
            <w:hideMark/>
          </w:tcPr>
          <w:p w14:paraId="05BE0736" w14:textId="77777777" w:rsidR="00A2153D" w:rsidRDefault="00A2153D">
            <w:pPr>
              <w:pStyle w:val="TableText"/>
            </w:pPr>
            <w:r>
              <w:t>Horticulture</w:t>
            </w:r>
          </w:p>
        </w:tc>
        <w:tc>
          <w:tcPr>
            <w:tcW w:w="1574" w:type="dxa"/>
            <w:noWrap/>
            <w:hideMark/>
          </w:tcPr>
          <w:p w14:paraId="66274FB9" w14:textId="77777777" w:rsidR="00A2153D" w:rsidRDefault="00A2153D">
            <w:pPr>
              <w:pStyle w:val="TableText"/>
              <w:jc w:val="right"/>
            </w:pPr>
            <w:r>
              <w:t>112</w:t>
            </w:r>
          </w:p>
        </w:tc>
        <w:tc>
          <w:tcPr>
            <w:tcW w:w="1403" w:type="dxa"/>
            <w:noWrap/>
            <w:hideMark/>
          </w:tcPr>
          <w:p w14:paraId="0D2A5363" w14:textId="77777777" w:rsidR="00A2153D" w:rsidRDefault="00A2153D">
            <w:pPr>
              <w:pStyle w:val="TableText"/>
              <w:jc w:val="right"/>
            </w:pPr>
            <w:r>
              <w:t>12</w:t>
            </w:r>
          </w:p>
        </w:tc>
        <w:tc>
          <w:tcPr>
            <w:tcW w:w="1701" w:type="dxa"/>
            <w:noWrap/>
            <w:hideMark/>
          </w:tcPr>
          <w:p w14:paraId="2BCDB503" w14:textId="77777777" w:rsidR="00A2153D" w:rsidRDefault="00A2153D">
            <w:pPr>
              <w:pStyle w:val="TableText"/>
              <w:jc w:val="right"/>
            </w:pPr>
            <w:r>
              <w:t>49</w:t>
            </w:r>
          </w:p>
        </w:tc>
        <w:tc>
          <w:tcPr>
            <w:tcW w:w="1418" w:type="dxa"/>
            <w:noWrap/>
            <w:hideMark/>
          </w:tcPr>
          <w:p w14:paraId="0DA608D6" w14:textId="77777777" w:rsidR="00A2153D" w:rsidRDefault="00A2153D">
            <w:pPr>
              <w:pStyle w:val="TableText"/>
              <w:jc w:val="right"/>
            </w:pPr>
            <w:r>
              <w:t>16</w:t>
            </w:r>
          </w:p>
        </w:tc>
        <w:tc>
          <w:tcPr>
            <w:tcW w:w="1275" w:type="dxa"/>
            <w:noWrap/>
            <w:hideMark/>
          </w:tcPr>
          <w:p w14:paraId="35ADBDEE" w14:textId="77777777" w:rsidR="00A2153D" w:rsidRDefault="00A2153D">
            <w:pPr>
              <w:pStyle w:val="TableText"/>
              <w:jc w:val="right"/>
            </w:pPr>
            <w:r>
              <w:t>35</w:t>
            </w:r>
          </w:p>
        </w:tc>
      </w:tr>
      <w:tr w:rsidR="00A2153D" w14:paraId="73D0218E" w14:textId="77777777" w:rsidTr="00A2153D">
        <w:trPr>
          <w:cnfStyle w:val="000000010000" w:firstRow="0" w:lastRow="0" w:firstColumn="0" w:lastColumn="0" w:oddVBand="0" w:evenVBand="0" w:oddHBand="0" w:evenHBand="1" w:firstRowFirstColumn="0" w:firstRowLastColumn="0" w:lastRowFirstColumn="0" w:lastRowLastColumn="0"/>
        </w:trPr>
        <w:tc>
          <w:tcPr>
            <w:tcW w:w="2263" w:type="dxa"/>
            <w:tcBorders>
              <w:top w:val="nil"/>
              <w:left w:val="nil"/>
              <w:right w:val="nil"/>
            </w:tcBorders>
            <w:noWrap/>
            <w:hideMark/>
          </w:tcPr>
          <w:p w14:paraId="18322377" w14:textId="77777777" w:rsidR="00A2153D" w:rsidRDefault="00A2153D">
            <w:pPr>
              <w:pStyle w:val="TableText"/>
            </w:pPr>
            <w:r>
              <w:t>Dairy</w:t>
            </w:r>
          </w:p>
        </w:tc>
        <w:tc>
          <w:tcPr>
            <w:tcW w:w="1574" w:type="dxa"/>
            <w:tcBorders>
              <w:top w:val="nil"/>
              <w:left w:val="nil"/>
              <w:right w:val="nil"/>
            </w:tcBorders>
            <w:noWrap/>
            <w:hideMark/>
          </w:tcPr>
          <w:p w14:paraId="56873AE9" w14:textId="77777777" w:rsidR="00A2153D" w:rsidRDefault="00A2153D">
            <w:pPr>
              <w:pStyle w:val="TableText"/>
              <w:jc w:val="right"/>
            </w:pPr>
            <w:r>
              <w:t>137</w:t>
            </w:r>
          </w:p>
        </w:tc>
        <w:tc>
          <w:tcPr>
            <w:tcW w:w="1403" w:type="dxa"/>
            <w:tcBorders>
              <w:top w:val="nil"/>
              <w:left w:val="nil"/>
              <w:right w:val="nil"/>
            </w:tcBorders>
            <w:noWrap/>
            <w:hideMark/>
          </w:tcPr>
          <w:p w14:paraId="1CEBDCB4" w14:textId="77777777" w:rsidR="00A2153D" w:rsidRDefault="00A2153D">
            <w:pPr>
              <w:pStyle w:val="TableText"/>
              <w:jc w:val="right"/>
            </w:pPr>
            <w:r>
              <w:t>125</w:t>
            </w:r>
          </w:p>
        </w:tc>
        <w:tc>
          <w:tcPr>
            <w:tcW w:w="1701" w:type="dxa"/>
            <w:tcBorders>
              <w:top w:val="nil"/>
              <w:left w:val="nil"/>
              <w:right w:val="nil"/>
            </w:tcBorders>
            <w:noWrap/>
            <w:hideMark/>
          </w:tcPr>
          <w:p w14:paraId="1F7EB9FD" w14:textId="77777777" w:rsidR="00A2153D" w:rsidRDefault="00A2153D">
            <w:pPr>
              <w:pStyle w:val="TableText"/>
              <w:jc w:val="right"/>
            </w:pPr>
            <w:r>
              <w:t>0</w:t>
            </w:r>
          </w:p>
        </w:tc>
        <w:tc>
          <w:tcPr>
            <w:tcW w:w="1418" w:type="dxa"/>
            <w:tcBorders>
              <w:top w:val="nil"/>
              <w:left w:val="nil"/>
              <w:right w:val="nil"/>
            </w:tcBorders>
            <w:noWrap/>
            <w:hideMark/>
          </w:tcPr>
          <w:p w14:paraId="5BB1D528" w14:textId="77777777" w:rsidR="00A2153D" w:rsidRDefault="00A2153D">
            <w:pPr>
              <w:pStyle w:val="TableText"/>
              <w:jc w:val="right"/>
            </w:pPr>
            <w:r>
              <w:t>10</w:t>
            </w:r>
          </w:p>
        </w:tc>
        <w:tc>
          <w:tcPr>
            <w:tcW w:w="1275" w:type="dxa"/>
            <w:tcBorders>
              <w:top w:val="nil"/>
              <w:left w:val="nil"/>
              <w:right w:val="nil"/>
            </w:tcBorders>
            <w:noWrap/>
            <w:hideMark/>
          </w:tcPr>
          <w:p w14:paraId="504B4CDA" w14:textId="77777777" w:rsidR="00A2153D" w:rsidRDefault="00A2153D">
            <w:pPr>
              <w:pStyle w:val="TableText"/>
              <w:jc w:val="right"/>
            </w:pPr>
            <w:r>
              <w:t>2</w:t>
            </w:r>
          </w:p>
        </w:tc>
      </w:tr>
      <w:tr w:rsidR="00A2153D" w14:paraId="4DCF1167" w14:textId="77777777" w:rsidTr="00A2153D">
        <w:trPr>
          <w:cnfStyle w:val="000000100000" w:firstRow="0" w:lastRow="0" w:firstColumn="0" w:lastColumn="0" w:oddVBand="0" w:evenVBand="0" w:oddHBand="1" w:evenHBand="0" w:firstRowFirstColumn="0" w:firstRowLastColumn="0" w:lastRowFirstColumn="0" w:lastRowLastColumn="0"/>
        </w:trPr>
        <w:tc>
          <w:tcPr>
            <w:tcW w:w="2263" w:type="dxa"/>
            <w:noWrap/>
            <w:hideMark/>
          </w:tcPr>
          <w:p w14:paraId="12A4470A" w14:textId="77777777" w:rsidR="00A2153D" w:rsidRDefault="00A2153D">
            <w:pPr>
              <w:pStyle w:val="TableText"/>
            </w:pPr>
            <w:r>
              <w:t>Mixed grazing</w:t>
            </w:r>
          </w:p>
        </w:tc>
        <w:tc>
          <w:tcPr>
            <w:tcW w:w="1574" w:type="dxa"/>
            <w:noWrap/>
            <w:hideMark/>
          </w:tcPr>
          <w:p w14:paraId="43460740" w14:textId="77777777" w:rsidR="00A2153D" w:rsidRDefault="00A2153D">
            <w:pPr>
              <w:pStyle w:val="TableText"/>
              <w:jc w:val="right"/>
            </w:pPr>
            <w:r>
              <w:t>40</w:t>
            </w:r>
          </w:p>
        </w:tc>
        <w:tc>
          <w:tcPr>
            <w:tcW w:w="1403" w:type="dxa"/>
            <w:noWrap/>
            <w:hideMark/>
          </w:tcPr>
          <w:p w14:paraId="7090FA10" w14:textId="77777777" w:rsidR="00A2153D" w:rsidRDefault="00A2153D">
            <w:pPr>
              <w:pStyle w:val="TableText"/>
              <w:jc w:val="right"/>
            </w:pPr>
            <w:r>
              <w:t>20</w:t>
            </w:r>
          </w:p>
        </w:tc>
        <w:tc>
          <w:tcPr>
            <w:tcW w:w="1701" w:type="dxa"/>
            <w:noWrap/>
            <w:hideMark/>
          </w:tcPr>
          <w:p w14:paraId="04D63386" w14:textId="77777777" w:rsidR="00A2153D" w:rsidRDefault="00A2153D"/>
        </w:tc>
        <w:tc>
          <w:tcPr>
            <w:tcW w:w="1418" w:type="dxa"/>
            <w:noWrap/>
            <w:hideMark/>
          </w:tcPr>
          <w:p w14:paraId="28834AF6" w14:textId="77777777" w:rsidR="00A2153D" w:rsidRDefault="00A2153D">
            <w:pPr>
              <w:pStyle w:val="TableText"/>
              <w:jc w:val="right"/>
            </w:pPr>
            <w:r>
              <w:t>20</w:t>
            </w:r>
          </w:p>
        </w:tc>
        <w:tc>
          <w:tcPr>
            <w:tcW w:w="1275" w:type="dxa"/>
            <w:noWrap/>
            <w:hideMark/>
          </w:tcPr>
          <w:p w14:paraId="4FDF8A72" w14:textId="77777777" w:rsidR="00A2153D" w:rsidRDefault="00A2153D">
            <w:pPr>
              <w:pStyle w:val="TableText"/>
              <w:jc w:val="right"/>
            </w:pPr>
            <w:r>
              <w:t>0</w:t>
            </w:r>
          </w:p>
        </w:tc>
      </w:tr>
      <w:tr w:rsidR="00A2153D" w14:paraId="30256A7A" w14:textId="77777777" w:rsidTr="00A2153D">
        <w:trPr>
          <w:cnfStyle w:val="000000010000" w:firstRow="0" w:lastRow="0" w:firstColumn="0" w:lastColumn="0" w:oddVBand="0" w:evenVBand="0" w:oddHBand="0" w:evenHBand="1" w:firstRowFirstColumn="0" w:firstRowLastColumn="0" w:lastRowFirstColumn="0" w:lastRowLastColumn="0"/>
        </w:trPr>
        <w:tc>
          <w:tcPr>
            <w:tcW w:w="2263" w:type="dxa"/>
            <w:tcBorders>
              <w:top w:val="nil"/>
              <w:left w:val="nil"/>
              <w:right w:val="nil"/>
            </w:tcBorders>
            <w:noWrap/>
            <w:hideMark/>
          </w:tcPr>
          <w:p w14:paraId="1BDB7C07" w14:textId="77777777" w:rsidR="00A2153D" w:rsidRDefault="00A2153D">
            <w:pPr>
              <w:pStyle w:val="TableText"/>
            </w:pPr>
            <w:r>
              <w:t>Irrigated cropping</w:t>
            </w:r>
          </w:p>
        </w:tc>
        <w:tc>
          <w:tcPr>
            <w:tcW w:w="1574" w:type="dxa"/>
            <w:tcBorders>
              <w:top w:val="nil"/>
              <w:left w:val="nil"/>
              <w:right w:val="nil"/>
            </w:tcBorders>
            <w:noWrap/>
            <w:hideMark/>
          </w:tcPr>
          <w:p w14:paraId="4E31E9B1" w14:textId="77777777" w:rsidR="00A2153D" w:rsidRDefault="00A2153D">
            <w:pPr>
              <w:pStyle w:val="TableText"/>
              <w:jc w:val="right"/>
            </w:pPr>
            <w:r>
              <w:t>36</w:t>
            </w:r>
          </w:p>
        </w:tc>
        <w:tc>
          <w:tcPr>
            <w:tcW w:w="1403" w:type="dxa"/>
            <w:tcBorders>
              <w:top w:val="nil"/>
              <w:left w:val="nil"/>
              <w:right w:val="nil"/>
            </w:tcBorders>
            <w:noWrap/>
            <w:hideMark/>
          </w:tcPr>
          <w:p w14:paraId="6BDEFA46" w14:textId="77777777" w:rsidR="00A2153D" w:rsidRDefault="00A2153D">
            <w:pPr>
              <w:pStyle w:val="TableText"/>
              <w:jc w:val="right"/>
            </w:pPr>
            <w:r>
              <w:t>10</w:t>
            </w:r>
          </w:p>
        </w:tc>
        <w:tc>
          <w:tcPr>
            <w:tcW w:w="1701" w:type="dxa"/>
            <w:tcBorders>
              <w:top w:val="nil"/>
              <w:left w:val="nil"/>
              <w:right w:val="nil"/>
            </w:tcBorders>
            <w:noWrap/>
            <w:hideMark/>
          </w:tcPr>
          <w:p w14:paraId="64343A80" w14:textId="77777777" w:rsidR="00A2153D" w:rsidRDefault="00A2153D"/>
        </w:tc>
        <w:tc>
          <w:tcPr>
            <w:tcW w:w="1418" w:type="dxa"/>
            <w:tcBorders>
              <w:top w:val="nil"/>
              <w:left w:val="nil"/>
              <w:right w:val="nil"/>
            </w:tcBorders>
            <w:noWrap/>
            <w:hideMark/>
          </w:tcPr>
          <w:p w14:paraId="42B53012" w14:textId="77777777" w:rsidR="00A2153D" w:rsidRDefault="00A2153D">
            <w:pPr>
              <w:pStyle w:val="TableText"/>
              <w:jc w:val="right"/>
            </w:pPr>
            <w:r>
              <w:t>26</w:t>
            </w:r>
          </w:p>
        </w:tc>
        <w:tc>
          <w:tcPr>
            <w:tcW w:w="1275" w:type="dxa"/>
            <w:tcBorders>
              <w:top w:val="nil"/>
              <w:left w:val="nil"/>
              <w:right w:val="nil"/>
            </w:tcBorders>
            <w:noWrap/>
            <w:hideMark/>
          </w:tcPr>
          <w:p w14:paraId="3C01E7C6" w14:textId="77777777" w:rsidR="00A2153D" w:rsidRDefault="00A2153D"/>
        </w:tc>
      </w:tr>
      <w:tr w:rsidR="00A2153D" w14:paraId="292A7B07" w14:textId="77777777" w:rsidTr="00A2153D">
        <w:trPr>
          <w:cnfStyle w:val="000000100000" w:firstRow="0" w:lastRow="0" w:firstColumn="0" w:lastColumn="0" w:oddVBand="0" w:evenVBand="0" w:oddHBand="1" w:evenHBand="0" w:firstRowFirstColumn="0" w:firstRowLastColumn="0" w:lastRowFirstColumn="0" w:lastRowLastColumn="0"/>
        </w:trPr>
        <w:tc>
          <w:tcPr>
            <w:tcW w:w="2263" w:type="dxa"/>
            <w:noWrap/>
            <w:hideMark/>
          </w:tcPr>
          <w:p w14:paraId="2672921A" w14:textId="77777777" w:rsidR="00A2153D" w:rsidRDefault="00A2153D">
            <w:pPr>
              <w:pStyle w:val="TableText"/>
            </w:pPr>
            <w:r>
              <w:t>Rice</w:t>
            </w:r>
          </w:p>
        </w:tc>
        <w:tc>
          <w:tcPr>
            <w:tcW w:w="1574" w:type="dxa"/>
            <w:noWrap/>
            <w:hideMark/>
          </w:tcPr>
          <w:p w14:paraId="145BC9BD" w14:textId="77777777" w:rsidR="00A2153D" w:rsidRDefault="00A2153D">
            <w:pPr>
              <w:pStyle w:val="TableText"/>
              <w:jc w:val="right"/>
            </w:pPr>
            <w:r>
              <w:t>83</w:t>
            </w:r>
          </w:p>
        </w:tc>
        <w:tc>
          <w:tcPr>
            <w:tcW w:w="1403" w:type="dxa"/>
            <w:noWrap/>
            <w:hideMark/>
          </w:tcPr>
          <w:p w14:paraId="2057066B" w14:textId="77777777" w:rsidR="00A2153D" w:rsidRDefault="00A2153D"/>
        </w:tc>
        <w:tc>
          <w:tcPr>
            <w:tcW w:w="1701" w:type="dxa"/>
            <w:noWrap/>
            <w:hideMark/>
          </w:tcPr>
          <w:p w14:paraId="459DF789" w14:textId="77777777" w:rsidR="00A2153D" w:rsidRDefault="00A2153D">
            <w:pPr>
              <w:spacing w:before="0" w:after="0" w:line="240" w:lineRule="auto"/>
              <w:jc w:val="left"/>
              <w:rPr>
                <w:rFonts w:ascii="AR ESSENCE" w:hAnsi="AR ESSENCE"/>
                <w:color w:val="auto"/>
                <w:lang w:eastAsia="en-AU"/>
              </w:rPr>
            </w:pPr>
          </w:p>
        </w:tc>
        <w:tc>
          <w:tcPr>
            <w:tcW w:w="1418" w:type="dxa"/>
            <w:noWrap/>
            <w:hideMark/>
          </w:tcPr>
          <w:p w14:paraId="582E133E" w14:textId="77777777" w:rsidR="00A2153D" w:rsidRDefault="00A2153D">
            <w:pPr>
              <w:pStyle w:val="TableText"/>
              <w:jc w:val="right"/>
            </w:pPr>
            <w:r>
              <w:t>83</w:t>
            </w:r>
          </w:p>
        </w:tc>
        <w:tc>
          <w:tcPr>
            <w:tcW w:w="1275" w:type="dxa"/>
            <w:noWrap/>
            <w:hideMark/>
          </w:tcPr>
          <w:p w14:paraId="7AA50E82" w14:textId="77777777" w:rsidR="00A2153D" w:rsidRDefault="00A2153D"/>
        </w:tc>
      </w:tr>
      <w:tr w:rsidR="00A2153D" w14:paraId="0A4C65B4" w14:textId="77777777" w:rsidTr="00A2153D">
        <w:trPr>
          <w:cnfStyle w:val="000000010000" w:firstRow="0" w:lastRow="0" w:firstColumn="0" w:lastColumn="0" w:oddVBand="0" w:evenVBand="0" w:oddHBand="0" w:evenHBand="1" w:firstRowFirstColumn="0" w:firstRowLastColumn="0" w:lastRowFirstColumn="0" w:lastRowLastColumn="0"/>
        </w:trPr>
        <w:tc>
          <w:tcPr>
            <w:tcW w:w="2263" w:type="dxa"/>
            <w:tcBorders>
              <w:top w:val="nil"/>
              <w:left w:val="nil"/>
              <w:right w:val="nil"/>
            </w:tcBorders>
            <w:noWrap/>
            <w:hideMark/>
          </w:tcPr>
          <w:p w14:paraId="5DBE814D" w14:textId="77777777" w:rsidR="00A2153D" w:rsidRDefault="00A2153D">
            <w:pPr>
              <w:pStyle w:val="TableText"/>
            </w:pPr>
            <w:r>
              <w:t>Cotton</w:t>
            </w:r>
          </w:p>
        </w:tc>
        <w:tc>
          <w:tcPr>
            <w:tcW w:w="1574" w:type="dxa"/>
            <w:tcBorders>
              <w:top w:val="nil"/>
              <w:left w:val="nil"/>
              <w:right w:val="nil"/>
            </w:tcBorders>
            <w:noWrap/>
            <w:hideMark/>
          </w:tcPr>
          <w:p w14:paraId="707344EE" w14:textId="77777777" w:rsidR="00A2153D" w:rsidRDefault="00A2153D">
            <w:pPr>
              <w:pStyle w:val="TableText"/>
              <w:jc w:val="right"/>
            </w:pPr>
            <w:r>
              <w:t>42</w:t>
            </w:r>
          </w:p>
        </w:tc>
        <w:tc>
          <w:tcPr>
            <w:tcW w:w="1403" w:type="dxa"/>
            <w:tcBorders>
              <w:top w:val="nil"/>
              <w:left w:val="nil"/>
              <w:right w:val="nil"/>
            </w:tcBorders>
            <w:noWrap/>
            <w:hideMark/>
          </w:tcPr>
          <w:p w14:paraId="11285620" w14:textId="77777777" w:rsidR="00A2153D" w:rsidRDefault="00A2153D"/>
        </w:tc>
        <w:tc>
          <w:tcPr>
            <w:tcW w:w="1701" w:type="dxa"/>
            <w:tcBorders>
              <w:top w:val="nil"/>
              <w:left w:val="nil"/>
              <w:right w:val="nil"/>
            </w:tcBorders>
            <w:noWrap/>
            <w:hideMark/>
          </w:tcPr>
          <w:p w14:paraId="537CC03F" w14:textId="77777777" w:rsidR="00A2153D" w:rsidRDefault="00A2153D">
            <w:pPr>
              <w:spacing w:before="0" w:after="0" w:line="240" w:lineRule="auto"/>
              <w:jc w:val="left"/>
              <w:rPr>
                <w:rFonts w:ascii="AR ESSENCE" w:hAnsi="AR ESSENCE"/>
                <w:color w:val="auto"/>
                <w:lang w:eastAsia="en-AU"/>
              </w:rPr>
            </w:pPr>
          </w:p>
        </w:tc>
        <w:tc>
          <w:tcPr>
            <w:tcW w:w="1418" w:type="dxa"/>
            <w:tcBorders>
              <w:top w:val="nil"/>
              <w:left w:val="nil"/>
              <w:right w:val="nil"/>
            </w:tcBorders>
            <w:noWrap/>
            <w:hideMark/>
          </w:tcPr>
          <w:p w14:paraId="73E81AAF" w14:textId="77777777" w:rsidR="00A2153D" w:rsidRDefault="00A2153D">
            <w:pPr>
              <w:pStyle w:val="TableText"/>
              <w:jc w:val="right"/>
            </w:pPr>
            <w:r>
              <w:t>42</w:t>
            </w:r>
          </w:p>
        </w:tc>
        <w:tc>
          <w:tcPr>
            <w:tcW w:w="1275" w:type="dxa"/>
            <w:tcBorders>
              <w:top w:val="nil"/>
              <w:left w:val="nil"/>
              <w:right w:val="nil"/>
            </w:tcBorders>
            <w:noWrap/>
            <w:hideMark/>
          </w:tcPr>
          <w:p w14:paraId="2A5497B3" w14:textId="77777777" w:rsidR="00A2153D" w:rsidRDefault="00A2153D"/>
        </w:tc>
      </w:tr>
      <w:tr w:rsidR="00A2153D" w14:paraId="1938CFAF" w14:textId="77777777" w:rsidTr="00A2153D">
        <w:trPr>
          <w:cnfStyle w:val="000000100000" w:firstRow="0" w:lastRow="0" w:firstColumn="0" w:lastColumn="0" w:oddVBand="0" w:evenVBand="0" w:oddHBand="1" w:evenHBand="0" w:firstRowFirstColumn="0" w:firstRowLastColumn="0" w:lastRowFirstColumn="0" w:lastRowLastColumn="0"/>
        </w:trPr>
        <w:tc>
          <w:tcPr>
            <w:tcW w:w="2263" w:type="dxa"/>
            <w:noWrap/>
            <w:hideMark/>
          </w:tcPr>
          <w:p w14:paraId="2FE65C4B" w14:textId="77777777" w:rsidR="00A2153D" w:rsidRDefault="00A2153D">
            <w:pPr>
              <w:pStyle w:val="TableText"/>
            </w:pPr>
            <w:r>
              <w:t>Total Reduction</w:t>
            </w:r>
          </w:p>
        </w:tc>
        <w:tc>
          <w:tcPr>
            <w:tcW w:w="1574" w:type="dxa"/>
            <w:noWrap/>
            <w:hideMark/>
          </w:tcPr>
          <w:p w14:paraId="336F820A" w14:textId="77777777" w:rsidR="00A2153D" w:rsidRDefault="00A2153D">
            <w:pPr>
              <w:pStyle w:val="TableText"/>
              <w:jc w:val="right"/>
            </w:pPr>
            <w:r>
              <w:t>450</w:t>
            </w:r>
          </w:p>
        </w:tc>
        <w:tc>
          <w:tcPr>
            <w:tcW w:w="1403" w:type="dxa"/>
            <w:noWrap/>
            <w:hideMark/>
          </w:tcPr>
          <w:p w14:paraId="57DC7679" w14:textId="77777777" w:rsidR="00A2153D" w:rsidRDefault="00A2153D">
            <w:pPr>
              <w:pStyle w:val="TableText"/>
              <w:jc w:val="right"/>
            </w:pPr>
            <w:r>
              <w:t>167</w:t>
            </w:r>
          </w:p>
        </w:tc>
        <w:tc>
          <w:tcPr>
            <w:tcW w:w="1701" w:type="dxa"/>
            <w:noWrap/>
            <w:hideMark/>
          </w:tcPr>
          <w:p w14:paraId="3FB9ECAE" w14:textId="77777777" w:rsidR="00A2153D" w:rsidRDefault="00A2153D">
            <w:pPr>
              <w:pStyle w:val="TableText"/>
              <w:jc w:val="right"/>
            </w:pPr>
            <w:r>
              <w:t>49</w:t>
            </w:r>
          </w:p>
        </w:tc>
        <w:tc>
          <w:tcPr>
            <w:tcW w:w="1418" w:type="dxa"/>
            <w:noWrap/>
            <w:hideMark/>
          </w:tcPr>
          <w:p w14:paraId="5AB99831" w14:textId="77777777" w:rsidR="00A2153D" w:rsidRDefault="00A2153D">
            <w:pPr>
              <w:pStyle w:val="TableText"/>
              <w:jc w:val="right"/>
            </w:pPr>
            <w:r>
              <w:t>197</w:t>
            </w:r>
          </w:p>
        </w:tc>
        <w:tc>
          <w:tcPr>
            <w:tcW w:w="1275" w:type="dxa"/>
            <w:noWrap/>
            <w:hideMark/>
          </w:tcPr>
          <w:p w14:paraId="1D10667F" w14:textId="77777777" w:rsidR="00A2153D" w:rsidRDefault="00A2153D">
            <w:pPr>
              <w:pStyle w:val="TableText"/>
              <w:jc w:val="right"/>
            </w:pPr>
            <w:r>
              <w:t>37</w:t>
            </w:r>
          </w:p>
        </w:tc>
      </w:tr>
    </w:tbl>
    <w:p w14:paraId="3384333C" w14:textId="77777777" w:rsidR="00A2153D" w:rsidRDefault="00A2153D" w:rsidP="00A2153D">
      <w:pPr>
        <w:spacing w:after="320"/>
        <w:rPr>
          <w:color w:val="9BA1A5"/>
        </w:rPr>
      </w:pPr>
      <w:r>
        <w:rPr>
          <w:i/>
          <w:color w:val="9BA1A5"/>
          <w:sz w:val="16"/>
          <w:szCs w:val="16"/>
        </w:rPr>
        <w:t>Source: Analysis by RMCG, with TC&amp;A and Frontier Economics.</w:t>
      </w:r>
    </w:p>
    <w:p w14:paraId="71AE4349" w14:textId="3A0FDD47" w:rsidR="00A2153D" w:rsidRDefault="00A2153D" w:rsidP="00A2153D">
      <w:pPr>
        <w:pStyle w:val="BodyText"/>
      </w:pPr>
      <w:bookmarkStart w:id="238" w:name="_Ref109922759"/>
      <w:bookmarkStart w:id="239" w:name="_Toc110262421"/>
      <w:bookmarkStart w:id="240" w:name="_Toc113621704"/>
      <w:r>
        <w:rPr>
          <w:rStyle w:val="Bold"/>
        </w:rPr>
        <w:t xml:space="preserve">Table </w:t>
      </w:r>
      <w:r>
        <w:fldChar w:fldCharType="begin"/>
      </w:r>
      <w:r>
        <w:rPr>
          <w:rStyle w:val="Bold"/>
        </w:rPr>
        <w:instrText xml:space="preserve"> SEQ Table \* ARABIC </w:instrText>
      </w:r>
      <w:r>
        <w:fldChar w:fldCharType="separate"/>
      </w:r>
      <w:r w:rsidR="00D4298A">
        <w:rPr>
          <w:rStyle w:val="Bold"/>
          <w:noProof/>
        </w:rPr>
        <w:t>17</w:t>
      </w:r>
      <w:r>
        <w:fldChar w:fldCharType="end"/>
      </w:r>
      <w:bookmarkEnd w:id="238"/>
      <w:r>
        <w:rPr>
          <w:rStyle w:val="Bold"/>
        </w:rPr>
        <w:t>:</w:t>
      </w:r>
      <w:r>
        <w:t xml:space="preserve"> Estimated areas associated with r</w:t>
      </w:r>
      <w:r>
        <w:rPr>
          <w:noProof/>
        </w:rPr>
        <w:t>educed irrigation from a 450 GL buyback (ha)</w:t>
      </w:r>
      <w:bookmarkEnd w:id="239"/>
      <w:bookmarkEnd w:id="240"/>
    </w:p>
    <w:tbl>
      <w:tblPr>
        <w:tblStyle w:val="FETableStyle"/>
        <w:tblW w:w="5000" w:type="pct"/>
        <w:tblLook w:val="0420" w:firstRow="1" w:lastRow="0" w:firstColumn="0" w:lastColumn="0" w:noHBand="0" w:noVBand="1"/>
      </w:tblPr>
      <w:tblGrid>
        <w:gridCol w:w="1843"/>
        <w:gridCol w:w="1295"/>
        <w:gridCol w:w="1178"/>
        <w:gridCol w:w="1220"/>
        <w:gridCol w:w="1178"/>
        <w:gridCol w:w="1178"/>
        <w:gridCol w:w="1178"/>
      </w:tblGrid>
      <w:tr w:rsidR="00A2153D" w14:paraId="70932907" w14:textId="77777777" w:rsidTr="00A2153D">
        <w:trPr>
          <w:cnfStyle w:val="100000000000" w:firstRow="1" w:lastRow="0" w:firstColumn="0" w:lastColumn="0" w:oddVBand="0" w:evenVBand="0" w:oddHBand="0" w:evenHBand="0" w:firstRowFirstColumn="0" w:firstRowLastColumn="0" w:lastRowFirstColumn="0" w:lastRowLastColumn="0"/>
        </w:trPr>
        <w:tc>
          <w:tcPr>
            <w:tcW w:w="1843" w:type="dxa"/>
            <w:tcBorders>
              <w:top w:val="nil"/>
              <w:left w:val="nil"/>
              <w:bottom w:val="nil"/>
              <w:right w:val="nil"/>
            </w:tcBorders>
            <w:noWrap/>
            <w:hideMark/>
          </w:tcPr>
          <w:p w14:paraId="45583417" w14:textId="77777777" w:rsidR="00A2153D" w:rsidRDefault="00A2153D">
            <w:pPr>
              <w:pStyle w:val="TableHeading"/>
              <w:rPr>
                <w:b/>
              </w:rPr>
            </w:pPr>
            <w:r>
              <w:rPr>
                <w:b/>
              </w:rPr>
              <w:t>Area dried off (ha)</w:t>
            </w:r>
          </w:p>
        </w:tc>
        <w:tc>
          <w:tcPr>
            <w:tcW w:w="1295" w:type="dxa"/>
            <w:tcBorders>
              <w:top w:val="nil"/>
              <w:left w:val="nil"/>
              <w:bottom w:val="nil"/>
              <w:right w:val="nil"/>
            </w:tcBorders>
            <w:noWrap/>
            <w:hideMark/>
          </w:tcPr>
          <w:p w14:paraId="63D337D6" w14:textId="77777777" w:rsidR="00A2153D" w:rsidRDefault="00A2153D">
            <w:pPr>
              <w:pStyle w:val="TableHeading"/>
              <w:jc w:val="right"/>
              <w:rPr>
                <w:b/>
              </w:rPr>
            </w:pPr>
            <w:r>
              <w:rPr>
                <w:b/>
              </w:rPr>
              <w:t>ML/ha</w:t>
            </w:r>
          </w:p>
        </w:tc>
        <w:tc>
          <w:tcPr>
            <w:tcW w:w="1178" w:type="dxa"/>
            <w:tcBorders>
              <w:top w:val="nil"/>
              <w:left w:val="nil"/>
              <w:bottom w:val="nil"/>
              <w:right w:val="nil"/>
            </w:tcBorders>
            <w:noWrap/>
            <w:hideMark/>
          </w:tcPr>
          <w:p w14:paraId="3911F2A5" w14:textId="77777777" w:rsidR="00A2153D" w:rsidRDefault="00A2153D">
            <w:pPr>
              <w:pStyle w:val="TableHeading"/>
              <w:jc w:val="right"/>
              <w:rPr>
                <w:b/>
              </w:rPr>
            </w:pPr>
            <w:r>
              <w:rPr>
                <w:b/>
              </w:rPr>
              <w:t>Vic GMID</w:t>
            </w:r>
          </w:p>
        </w:tc>
        <w:tc>
          <w:tcPr>
            <w:tcW w:w="1220" w:type="dxa"/>
            <w:tcBorders>
              <w:top w:val="nil"/>
              <w:left w:val="nil"/>
              <w:bottom w:val="nil"/>
              <w:right w:val="nil"/>
            </w:tcBorders>
            <w:noWrap/>
            <w:hideMark/>
          </w:tcPr>
          <w:p w14:paraId="00967EFC" w14:textId="77777777" w:rsidR="00A2153D" w:rsidRDefault="00A2153D">
            <w:pPr>
              <w:pStyle w:val="TableHeading"/>
              <w:jc w:val="right"/>
              <w:rPr>
                <w:b/>
              </w:rPr>
            </w:pPr>
            <w:r>
              <w:rPr>
                <w:b/>
              </w:rPr>
              <w:t>Vic Mallee</w:t>
            </w:r>
          </w:p>
        </w:tc>
        <w:tc>
          <w:tcPr>
            <w:tcW w:w="1178" w:type="dxa"/>
            <w:tcBorders>
              <w:top w:val="nil"/>
              <w:left w:val="nil"/>
              <w:bottom w:val="nil"/>
              <w:right w:val="nil"/>
            </w:tcBorders>
            <w:noWrap/>
            <w:hideMark/>
          </w:tcPr>
          <w:p w14:paraId="28923143" w14:textId="77777777" w:rsidR="00A2153D" w:rsidRDefault="00A2153D">
            <w:pPr>
              <w:pStyle w:val="TableHeading"/>
              <w:jc w:val="right"/>
              <w:rPr>
                <w:b/>
              </w:rPr>
            </w:pPr>
            <w:r>
              <w:rPr>
                <w:b/>
              </w:rPr>
              <w:t>NSW</w:t>
            </w:r>
          </w:p>
        </w:tc>
        <w:tc>
          <w:tcPr>
            <w:tcW w:w="1178" w:type="dxa"/>
            <w:tcBorders>
              <w:top w:val="nil"/>
              <w:left w:val="nil"/>
              <w:bottom w:val="nil"/>
              <w:right w:val="nil"/>
            </w:tcBorders>
            <w:noWrap/>
            <w:hideMark/>
          </w:tcPr>
          <w:p w14:paraId="0B789529" w14:textId="77777777" w:rsidR="00A2153D" w:rsidRDefault="00A2153D">
            <w:pPr>
              <w:pStyle w:val="TableHeading"/>
              <w:jc w:val="right"/>
              <w:rPr>
                <w:b/>
              </w:rPr>
            </w:pPr>
            <w:r>
              <w:rPr>
                <w:b/>
              </w:rPr>
              <w:t>SA</w:t>
            </w:r>
          </w:p>
        </w:tc>
        <w:tc>
          <w:tcPr>
            <w:tcW w:w="1178" w:type="dxa"/>
            <w:tcBorders>
              <w:top w:val="nil"/>
              <w:left w:val="nil"/>
              <w:bottom w:val="nil"/>
              <w:right w:val="nil"/>
            </w:tcBorders>
            <w:noWrap/>
            <w:hideMark/>
          </w:tcPr>
          <w:p w14:paraId="2BFEFF41" w14:textId="77777777" w:rsidR="00A2153D" w:rsidRDefault="00A2153D">
            <w:pPr>
              <w:pStyle w:val="TableHeading"/>
              <w:jc w:val="right"/>
              <w:rPr>
                <w:b/>
              </w:rPr>
            </w:pPr>
            <w:r>
              <w:rPr>
                <w:b/>
              </w:rPr>
              <w:t>Total</w:t>
            </w:r>
          </w:p>
        </w:tc>
      </w:tr>
      <w:tr w:rsidR="00A2153D" w14:paraId="59BC389D" w14:textId="77777777" w:rsidTr="00A2153D">
        <w:trPr>
          <w:cnfStyle w:val="000000100000" w:firstRow="0" w:lastRow="0" w:firstColumn="0" w:lastColumn="0" w:oddVBand="0" w:evenVBand="0" w:oddHBand="1" w:evenHBand="0" w:firstRowFirstColumn="0" w:firstRowLastColumn="0" w:lastRowFirstColumn="0" w:lastRowLastColumn="0"/>
        </w:trPr>
        <w:tc>
          <w:tcPr>
            <w:tcW w:w="1843" w:type="dxa"/>
            <w:noWrap/>
            <w:hideMark/>
          </w:tcPr>
          <w:p w14:paraId="5899F3E1" w14:textId="77777777" w:rsidR="00A2153D" w:rsidRDefault="00A2153D">
            <w:pPr>
              <w:pStyle w:val="TableText"/>
            </w:pPr>
            <w:r>
              <w:t>Perennial horticulture</w:t>
            </w:r>
          </w:p>
        </w:tc>
        <w:tc>
          <w:tcPr>
            <w:tcW w:w="1295" w:type="dxa"/>
            <w:noWrap/>
            <w:hideMark/>
          </w:tcPr>
          <w:p w14:paraId="252DEA6A" w14:textId="77777777" w:rsidR="00A2153D" w:rsidRDefault="00A2153D">
            <w:pPr>
              <w:pStyle w:val="TableText"/>
              <w:jc w:val="right"/>
            </w:pPr>
            <w:r>
              <w:t>10</w:t>
            </w:r>
          </w:p>
          <w:p w14:paraId="6D8698A8" w14:textId="77777777" w:rsidR="00A2153D" w:rsidRDefault="00A2153D">
            <w:pPr>
              <w:pStyle w:val="TableText"/>
              <w:jc w:val="right"/>
            </w:pPr>
            <w:r>
              <w:t>(5 in GMID)</w:t>
            </w:r>
          </w:p>
        </w:tc>
        <w:tc>
          <w:tcPr>
            <w:tcW w:w="1178" w:type="dxa"/>
            <w:noWrap/>
            <w:hideMark/>
          </w:tcPr>
          <w:p w14:paraId="5F9B4F0E" w14:textId="77777777" w:rsidR="00A2153D" w:rsidRDefault="00A2153D">
            <w:pPr>
              <w:pStyle w:val="TableText"/>
              <w:jc w:val="right"/>
            </w:pPr>
            <w:r>
              <w:t>2,400</w:t>
            </w:r>
          </w:p>
        </w:tc>
        <w:tc>
          <w:tcPr>
            <w:tcW w:w="1220" w:type="dxa"/>
            <w:noWrap/>
            <w:hideMark/>
          </w:tcPr>
          <w:p w14:paraId="6434A6D2" w14:textId="77777777" w:rsidR="00A2153D" w:rsidRDefault="00A2153D">
            <w:pPr>
              <w:pStyle w:val="TableText"/>
              <w:jc w:val="right"/>
            </w:pPr>
            <w:r>
              <w:t>4,900</w:t>
            </w:r>
          </w:p>
        </w:tc>
        <w:tc>
          <w:tcPr>
            <w:tcW w:w="1178" w:type="dxa"/>
            <w:noWrap/>
            <w:hideMark/>
          </w:tcPr>
          <w:p w14:paraId="52F0C537" w14:textId="77777777" w:rsidR="00A2153D" w:rsidRDefault="00A2153D">
            <w:pPr>
              <w:pStyle w:val="TableText"/>
              <w:jc w:val="right"/>
            </w:pPr>
            <w:r>
              <w:t>1,600</w:t>
            </w:r>
          </w:p>
        </w:tc>
        <w:tc>
          <w:tcPr>
            <w:tcW w:w="1178" w:type="dxa"/>
            <w:noWrap/>
            <w:hideMark/>
          </w:tcPr>
          <w:p w14:paraId="79CAC3A4" w14:textId="77777777" w:rsidR="00A2153D" w:rsidRDefault="00A2153D">
            <w:pPr>
              <w:pStyle w:val="TableText"/>
              <w:jc w:val="right"/>
            </w:pPr>
            <w:r>
              <w:t>3,500</w:t>
            </w:r>
          </w:p>
        </w:tc>
        <w:tc>
          <w:tcPr>
            <w:tcW w:w="1178" w:type="dxa"/>
            <w:noWrap/>
            <w:hideMark/>
          </w:tcPr>
          <w:p w14:paraId="72C063A9" w14:textId="77777777" w:rsidR="00A2153D" w:rsidRDefault="00A2153D">
            <w:pPr>
              <w:pStyle w:val="TableText"/>
              <w:jc w:val="right"/>
            </w:pPr>
            <w:r>
              <w:t>12,400</w:t>
            </w:r>
          </w:p>
        </w:tc>
      </w:tr>
      <w:tr w:rsidR="00A2153D" w14:paraId="2695C3E9" w14:textId="77777777" w:rsidTr="00A2153D">
        <w:trPr>
          <w:cnfStyle w:val="000000010000" w:firstRow="0" w:lastRow="0" w:firstColumn="0" w:lastColumn="0" w:oddVBand="0" w:evenVBand="0" w:oddHBand="0" w:evenHBand="1" w:firstRowFirstColumn="0" w:firstRowLastColumn="0" w:lastRowFirstColumn="0" w:lastRowLastColumn="0"/>
        </w:trPr>
        <w:tc>
          <w:tcPr>
            <w:tcW w:w="1843" w:type="dxa"/>
            <w:tcBorders>
              <w:top w:val="nil"/>
              <w:left w:val="nil"/>
              <w:right w:val="nil"/>
            </w:tcBorders>
            <w:noWrap/>
            <w:hideMark/>
          </w:tcPr>
          <w:p w14:paraId="24D4C05E" w14:textId="77777777" w:rsidR="00A2153D" w:rsidRDefault="00A2153D">
            <w:pPr>
              <w:pStyle w:val="TableText"/>
            </w:pPr>
            <w:r>
              <w:t>Dairy</w:t>
            </w:r>
          </w:p>
        </w:tc>
        <w:tc>
          <w:tcPr>
            <w:tcW w:w="1295" w:type="dxa"/>
            <w:tcBorders>
              <w:top w:val="nil"/>
              <w:left w:val="nil"/>
              <w:right w:val="nil"/>
            </w:tcBorders>
            <w:noWrap/>
            <w:hideMark/>
          </w:tcPr>
          <w:p w14:paraId="10E4AE1E" w14:textId="77777777" w:rsidR="00A2153D" w:rsidRDefault="00A2153D">
            <w:pPr>
              <w:pStyle w:val="TableText"/>
              <w:jc w:val="right"/>
            </w:pPr>
            <w:r>
              <w:t>4.5</w:t>
            </w:r>
          </w:p>
        </w:tc>
        <w:tc>
          <w:tcPr>
            <w:tcW w:w="1178" w:type="dxa"/>
            <w:tcBorders>
              <w:top w:val="nil"/>
              <w:left w:val="nil"/>
              <w:right w:val="nil"/>
            </w:tcBorders>
            <w:noWrap/>
            <w:hideMark/>
          </w:tcPr>
          <w:p w14:paraId="2FF871D1" w14:textId="77777777" w:rsidR="00A2153D" w:rsidRDefault="00A2153D">
            <w:pPr>
              <w:pStyle w:val="TableText"/>
              <w:jc w:val="right"/>
            </w:pPr>
            <w:r>
              <w:t>27,778</w:t>
            </w:r>
          </w:p>
        </w:tc>
        <w:tc>
          <w:tcPr>
            <w:tcW w:w="1220" w:type="dxa"/>
            <w:tcBorders>
              <w:top w:val="nil"/>
              <w:left w:val="nil"/>
              <w:right w:val="nil"/>
            </w:tcBorders>
            <w:noWrap/>
            <w:hideMark/>
          </w:tcPr>
          <w:p w14:paraId="69332C40" w14:textId="77777777" w:rsidR="00A2153D" w:rsidRDefault="00A2153D"/>
        </w:tc>
        <w:tc>
          <w:tcPr>
            <w:tcW w:w="1178" w:type="dxa"/>
            <w:tcBorders>
              <w:top w:val="nil"/>
              <w:left w:val="nil"/>
              <w:right w:val="nil"/>
            </w:tcBorders>
            <w:noWrap/>
            <w:hideMark/>
          </w:tcPr>
          <w:p w14:paraId="6B357E78" w14:textId="77777777" w:rsidR="00A2153D" w:rsidRDefault="00A2153D">
            <w:pPr>
              <w:pStyle w:val="TableText"/>
              <w:jc w:val="right"/>
            </w:pPr>
            <w:r>
              <w:t>2,222</w:t>
            </w:r>
          </w:p>
        </w:tc>
        <w:tc>
          <w:tcPr>
            <w:tcW w:w="1178" w:type="dxa"/>
            <w:tcBorders>
              <w:top w:val="nil"/>
              <w:left w:val="nil"/>
              <w:right w:val="nil"/>
            </w:tcBorders>
            <w:noWrap/>
            <w:hideMark/>
          </w:tcPr>
          <w:p w14:paraId="7E41BF05" w14:textId="77777777" w:rsidR="00A2153D" w:rsidRDefault="00A2153D">
            <w:pPr>
              <w:pStyle w:val="TableText"/>
              <w:jc w:val="right"/>
            </w:pPr>
            <w:r>
              <w:t>444</w:t>
            </w:r>
          </w:p>
        </w:tc>
        <w:tc>
          <w:tcPr>
            <w:tcW w:w="1178" w:type="dxa"/>
            <w:tcBorders>
              <w:top w:val="nil"/>
              <w:left w:val="nil"/>
              <w:right w:val="nil"/>
            </w:tcBorders>
            <w:noWrap/>
            <w:hideMark/>
          </w:tcPr>
          <w:p w14:paraId="3B4A25B7" w14:textId="77777777" w:rsidR="00A2153D" w:rsidRDefault="00A2153D">
            <w:pPr>
              <w:pStyle w:val="TableText"/>
              <w:jc w:val="right"/>
            </w:pPr>
            <w:r>
              <w:t>30,444</w:t>
            </w:r>
          </w:p>
        </w:tc>
      </w:tr>
      <w:tr w:rsidR="00A2153D" w14:paraId="07E8C0C3" w14:textId="77777777" w:rsidTr="00A2153D">
        <w:trPr>
          <w:cnfStyle w:val="000000100000" w:firstRow="0" w:lastRow="0" w:firstColumn="0" w:lastColumn="0" w:oddVBand="0" w:evenVBand="0" w:oddHBand="1" w:evenHBand="0" w:firstRowFirstColumn="0" w:firstRowLastColumn="0" w:lastRowFirstColumn="0" w:lastRowLastColumn="0"/>
        </w:trPr>
        <w:tc>
          <w:tcPr>
            <w:tcW w:w="1843" w:type="dxa"/>
            <w:noWrap/>
            <w:hideMark/>
          </w:tcPr>
          <w:p w14:paraId="5A8980BC" w14:textId="77777777" w:rsidR="00A2153D" w:rsidRDefault="00A2153D">
            <w:pPr>
              <w:pStyle w:val="TableText"/>
            </w:pPr>
            <w:r>
              <w:t>Mixed grazing</w:t>
            </w:r>
          </w:p>
        </w:tc>
        <w:tc>
          <w:tcPr>
            <w:tcW w:w="1295" w:type="dxa"/>
            <w:noWrap/>
            <w:hideMark/>
          </w:tcPr>
          <w:p w14:paraId="681C83E3" w14:textId="77777777" w:rsidR="00A2153D" w:rsidRDefault="00A2153D">
            <w:pPr>
              <w:pStyle w:val="TableText"/>
              <w:jc w:val="right"/>
            </w:pPr>
            <w:r>
              <w:t>2</w:t>
            </w:r>
          </w:p>
        </w:tc>
        <w:tc>
          <w:tcPr>
            <w:tcW w:w="1178" w:type="dxa"/>
            <w:noWrap/>
            <w:hideMark/>
          </w:tcPr>
          <w:p w14:paraId="28FC8245" w14:textId="77777777" w:rsidR="00A2153D" w:rsidRDefault="00A2153D">
            <w:pPr>
              <w:pStyle w:val="TableText"/>
              <w:jc w:val="right"/>
            </w:pPr>
            <w:r>
              <w:t>10,000</w:t>
            </w:r>
          </w:p>
        </w:tc>
        <w:tc>
          <w:tcPr>
            <w:tcW w:w="1220" w:type="dxa"/>
            <w:noWrap/>
            <w:hideMark/>
          </w:tcPr>
          <w:p w14:paraId="7A1E4CA2" w14:textId="77777777" w:rsidR="00A2153D" w:rsidRDefault="00A2153D"/>
        </w:tc>
        <w:tc>
          <w:tcPr>
            <w:tcW w:w="1178" w:type="dxa"/>
            <w:noWrap/>
            <w:hideMark/>
          </w:tcPr>
          <w:p w14:paraId="776ECC33" w14:textId="77777777" w:rsidR="00A2153D" w:rsidRDefault="00A2153D">
            <w:pPr>
              <w:pStyle w:val="TableText"/>
              <w:jc w:val="right"/>
            </w:pPr>
            <w:r>
              <w:t>10,000</w:t>
            </w:r>
          </w:p>
        </w:tc>
        <w:tc>
          <w:tcPr>
            <w:tcW w:w="1178" w:type="dxa"/>
            <w:noWrap/>
            <w:hideMark/>
          </w:tcPr>
          <w:p w14:paraId="709CA959" w14:textId="77777777" w:rsidR="00A2153D" w:rsidRDefault="00A2153D"/>
        </w:tc>
        <w:tc>
          <w:tcPr>
            <w:tcW w:w="1178" w:type="dxa"/>
            <w:noWrap/>
            <w:hideMark/>
          </w:tcPr>
          <w:p w14:paraId="4519C008" w14:textId="77777777" w:rsidR="00A2153D" w:rsidRDefault="00A2153D">
            <w:pPr>
              <w:pStyle w:val="TableText"/>
              <w:jc w:val="right"/>
            </w:pPr>
            <w:r>
              <w:t>20,000</w:t>
            </w:r>
          </w:p>
        </w:tc>
      </w:tr>
      <w:tr w:rsidR="00A2153D" w14:paraId="4618E4AD" w14:textId="77777777" w:rsidTr="00A2153D">
        <w:trPr>
          <w:cnfStyle w:val="000000010000" w:firstRow="0" w:lastRow="0" w:firstColumn="0" w:lastColumn="0" w:oddVBand="0" w:evenVBand="0" w:oddHBand="0" w:evenHBand="1" w:firstRowFirstColumn="0" w:firstRowLastColumn="0" w:lastRowFirstColumn="0" w:lastRowLastColumn="0"/>
        </w:trPr>
        <w:tc>
          <w:tcPr>
            <w:tcW w:w="1843" w:type="dxa"/>
            <w:tcBorders>
              <w:top w:val="nil"/>
              <w:left w:val="nil"/>
              <w:right w:val="nil"/>
            </w:tcBorders>
            <w:noWrap/>
            <w:hideMark/>
          </w:tcPr>
          <w:p w14:paraId="0737A1C1" w14:textId="77777777" w:rsidR="00A2153D" w:rsidRDefault="00A2153D">
            <w:pPr>
              <w:pStyle w:val="TableText"/>
            </w:pPr>
            <w:r>
              <w:t>Irrigated cropping</w:t>
            </w:r>
          </w:p>
        </w:tc>
        <w:tc>
          <w:tcPr>
            <w:tcW w:w="1295" w:type="dxa"/>
            <w:tcBorders>
              <w:top w:val="nil"/>
              <w:left w:val="nil"/>
              <w:right w:val="nil"/>
            </w:tcBorders>
            <w:noWrap/>
            <w:hideMark/>
          </w:tcPr>
          <w:p w14:paraId="7C452354" w14:textId="77777777" w:rsidR="00A2153D" w:rsidRDefault="00A2153D">
            <w:pPr>
              <w:pStyle w:val="TableText"/>
              <w:jc w:val="right"/>
            </w:pPr>
            <w:r>
              <w:t>2</w:t>
            </w:r>
          </w:p>
        </w:tc>
        <w:tc>
          <w:tcPr>
            <w:tcW w:w="1178" w:type="dxa"/>
            <w:tcBorders>
              <w:top w:val="nil"/>
              <w:left w:val="nil"/>
              <w:right w:val="nil"/>
            </w:tcBorders>
            <w:noWrap/>
            <w:hideMark/>
          </w:tcPr>
          <w:p w14:paraId="036952E4" w14:textId="77777777" w:rsidR="00A2153D" w:rsidRDefault="00A2153D">
            <w:pPr>
              <w:pStyle w:val="TableText"/>
              <w:jc w:val="right"/>
            </w:pPr>
            <w:r>
              <w:t>5,000</w:t>
            </w:r>
          </w:p>
        </w:tc>
        <w:tc>
          <w:tcPr>
            <w:tcW w:w="1220" w:type="dxa"/>
            <w:tcBorders>
              <w:top w:val="nil"/>
              <w:left w:val="nil"/>
              <w:right w:val="nil"/>
            </w:tcBorders>
            <w:noWrap/>
            <w:hideMark/>
          </w:tcPr>
          <w:p w14:paraId="7A9DB497" w14:textId="77777777" w:rsidR="00A2153D" w:rsidRDefault="00A2153D"/>
        </w:tc>
        <w:tc>
          <w:tcPr>
            <w:tcW w:w="1178" w:type="dxa"/>
            <w:tcBorders>
              <w:top w:val="nil"/>
              <w:left w:val="nil"/>
              <w:right w:val="nil"/>
            </w:tcBorders>
            <w:noWrap/>
            <w:hideMark/>
          </w:tcPr>
          <w:p w14:paraId="0F25F4CD" w14:textId="77777777" w:rsidR="00A2153D" w:rsidRDefault="00A2153D">
            <w:pPr>
              <w:pStyle w:val="TableText"/>
              <w:jc w:val="right"/>
            </w:pPr>
            <w:r>
              <w:t>13,000</w:t>
            </w:r>
          </w:p>
        </w:tc>
        <w:tc>
          <w:tcPr>
            <w:tcW w:w="1178" w:type="dxa"/>
            <w:tcBorders>
              <w:top w:val="nil"/>
              <w:left w:val="nil"/>
              <w:right w:val="nil"/>
            </w:tcBorders>
            <w:noWrap/>
            <w:hideMark/>
          </w:tcPr>
          <w:p w14:paraId="3E2D1E56" w14:textId="77777777" w:rsidR="00A2153D" w:rsidRDefault="00A2153D"/>
        </w:tc>
        <w:tc>
          <w:tcPr>
            <w:tcW w:w="1178" w:type="dxa"/>
            <w:tcBorders>
              <w:top w:val="nil"/>
              <w:left w:val="nil"/>
              <w:right w:val="nil"/>
            </w:tcBorders>
            <w:noWrap/>
            <w:hideMark/>
          </w:tcPr>
          <w:p w14:paraId="63F1961E" w14:textId="77777777" w:rsidR="00A2153D" w:rsidRDefault="00A2153D">
            <w:pPr>
              <w:pStyle w:val="TableText"/>
              <w:jc w:val="right"/>
            </w:pPr>
            <w:r>
              <w:t>18,000</w:t>
            </w:r>
          </w:p>
        </w:tc>
      </w:tr>
      <w:tr w:rsidR="00A2153D" w14:paraId="370D3FAF" w14:textId="77777777" w:rsidTr="00A2153D">
        <w:trPr>
          <w:cnfStyle w:val="000000100000" w:firstRow="0" w:lastRow="0" w:firstColumn="0" w:lastColumn="0" w:oddVBand="0" w:evenVBand="0" w:oddHBand="1" w:evenHBand="0" w:firstRowFirstColumn="0" w:firstRowLastColumn="0" w:lastRowFirstColumn="0" w:lastRowLastColumn="0"/>
        </w:trPr>
        <w:tc>
          <w:tcPr>
            <w:tcW w:w="1843" w:type="dxa"/>
            <w:noWrap/>
            <w:hideMark/>
          </w:tcPr>
          <w:p w14:paraId="44098A47" w14:textId="77777777" w:rsidR="00A2153D" w:rsidRDefault="00A2153D">
            <w:pPr>
              <w:pStyle w:val="TableText"/>
            </w:pPr>
            <w:r>
              <w:t>Rice</w:t>
            </w:r>
          </w:p>
        </w:tc>
        <w:tc>
          <w:tcPr>
            <w:tcW w:w="1295" w:type="dxa"/>
            <w:noWrap/>
            <w:hideMark/>
          </w:tcPr>
          <w:p w14:paraId="3D0A9FEF" w14:textId="77777777" w:rsidR="00A2153D" w:rsidRDefault="00A2153D">
            <w:pPr>
              <w:pStyle w:val="TableText"/>
              <w:jc w:val="right"/>
            </w:pPr>
            <w:r>
              <w:t>10</w:t>
            </w:r>
          </w:p>
        </w:tc>
        <w:tc>
          <w:tcPr>
            <w:tcW w:w="1178" w:type="dxa"/>
            <w:noWrap/>
            <w:hideMark/>
          </w:tcPr>
          <w:p w14:paraId="5BA65B01" w14:textId="77777777" w:rsidR="00A2153D" w:rsidRDefault="00A2153D"/>
        </w:tc>
        <w:tc>
          <w:tcPr>
            <w:tcW w:w="1220" w:type="dxa"/>
            <w:noWrap/>
            <w:hideMark/>
          </w:tcPr>
          <w:p w14:paraId="17FE24A2" w14:textId="77777777" w:rsidR="00A2153D" w:rsidRDefault="00A2153D">
            <w:pPr>
              <w:spacing w:before="0" w:after="0" w:line="240" w:lineRule="auto"/>
              <w:jc w:val="left"/>
              <w:rPr>
                <w:rFonts w:ascii="AR ESSENCE" w:hAnsi="AR ESSENCE"/>
                <w:color w:val="auto"/>
                <w:lang w:eastAsia="en-AU"/>
              </w:rPr>
            </w:pPr>
          </w:p>
        </w:tc>
        <w:tc>
          <w:tcPr>
            <w:tcW w:w="1178" w:type="dxa"/>
            <w:noWrap/>
            <w:hideMark/>
          </w:tcPr>
          <w:p w14:paraId="0BD02A94" w14:textId="77777777" w:rsidR="00A2153D" w:rsidRDefault="00A2153D">
            <w:pPr>
              <w:pStyle w:val="TableText"/>
              <w:jc w:val="right"/>
            </w:pPr>
            <w:r>
              <w:t>8,300</w:t>
            </w:r>
          </w:p>
        </w:tc>
        <w:tc>
          <w:tcPr>
            <w:tcW w:w="1178" w:type="dxa"/>
            <w:noWrap/>
            <w:hideMark/>
          </w:tcPr>
          <w:p w14:paraId="4BFE2D6E" w14:textId="77777777" w:rsidR="00A2153D" w:rsidRDefault="00A2153D"/>
        </w:tc>
        <w:tc>
          <w:tcPr>
            <w:tcW w:w="1178" w:type="dxa"/>
            <w:noWrap/>
            <w:hideMark/>
          </w:tcPr>
          <w:p w14:paraId="7121C19B" w14:textId="77777777" w:rsidR="00A2153D" w:rsidRDefault="00A2153D">
            <w:pPr>
              <w:pStyle w:val="TableText"/>
              <w:jc w:val="right"/>
            </w:pPr>
            <w:r>
              <w:t>8,300</w:t>
            </w:r>
          </w:p>
        </w:tc>
      </w:tr>
      <w:tr w:rsidR="00A2153D" w14:paraId="2718EF2C" w14:textId="77777777" w:rsidTr="00A2153D">
        <w:trPr>
          <w:cnfStyle w:val="000000010000" w:firstRow="0" w:lastRow="0" w:firstColumn="0" w:lastColumn="0" w:oddVBand="0" w:evenVBand="0" w:oddHBand="0" w:evenHBand="1" w:firstRowFirstColumn="0" w:firstRowLastColumn="0" w:lastRowFirstColumn="0" w:lastRowLastColumn="0"/>
        </w:trPr>
        <w:tc>
          <w:tcPr>
            <w:tcW w:w="1843" w:type="dxa"/>
            <w:tcBorders>
              <w:top w:val="nil"/>
              <w:left w:val="nil"/>
              <w:right w:val="nil"/>
            </w:tcBorders>
            <w:noWrap/>
            <w:hideMark/>
          </w:tcPr>
          <w:p w14:paraId="1250F777" w14:textId="77777777" w:rsidR="00A2153D" w:rsidRDefault="00A2153D">
            <w:pPr>
              <w:pStyle w:val="TableText"/>
            </w:pPr>
            <w:r>
              <w:t>Cotton</w:t>
            </w:r>
          </w:p>
        </w:tc>
        <w:tc>
          <w:tcPr>
            <w:tcW w:w="1295" w:type="dxa"/>
            <w:tcBorders>
              <w:top w:val="nil"/>
              <w:left w:val="nil"/>
              <w:right w:val="nil"/>
            </w:tcBorders>
            <w:noWrap/>
            <w:hideMark/>
          </w:tcPr>
          <w:p w14:paraId="4732505E" w14:textId="77777777" w:rsidR="00A2153D" w:rsidRDefault="00A2153D">
            <w:pPr>
              <w:pStyle w:val="TableText"/>
              <w:jc w:val="right"/>
            </w:pPr>
            <w:r>
              <w:t>8</w:t>
            </w:r>
          </w:p>
        </w:tc>
        <w:tc>
          <w:tcPr>
            <w:tcW w:w="1178" w:type="dxa"/>
            <w:tcBorders>
              <w:top w:val="nil"/>
              <w:left w:val="nil"/>
              <w:right w:val="nil"/>
            </w:tcBorders>
            <w:noWrap/>
            <w:hideMark/>
          </w:tcPr>
          <w:p w14:paraId="70421291" w14:textId="77777777" w:rsidR="00A2153D" w:rsidRDefault="00A2153D"/>
        </w:tc>
        <w:tc>
          <w:tcPr>
            <w:tcW w:w="1220" w:type="dxa"/>
            <w:tcBorders>
              <w:top w:val="nil"/>
              <w:left w:val="nil"/>
              <w:right w:val="nil"/>
            </w:tcBorders>
            <w:noWrap/>
            <w:hideMark/>
          </w:tcPr>
          <w:p w14:paraId="31CF3E83" w14:textId="77777777" w:rsidR="00A2153D" w:rsidRDefault="00A2153D">
            <w:pPr>
              <w:spacing w:before="0" w:after="0" w:line="240" w:lineRule="auto"/>
              <w:jc w:val="left"/>
              <w:rPr>
                <w:rFonts w:ascii="AR ESSENCE" w:hAnsi="AR ESSENCE"/>
                <w:color w:val="auto"/>
                <w:lang w:eastAsia="en-AU"/>
              </w:rPr>
            </w:pPr>
          </w:p>
        </w:tc>
        <w:tc>
          <w:tcPr>
            <w:tcW w:w="1178" w:type="dxa"/>
            <w:tcBorders>
              <w:top w:val="nil"/>
              <w:left w:val="nil"/>
              <w:right w:val="nil"/>
            </w:tcBorders>
            <w:noWrap/>
            <w:hideMark/>
          </w:tcPr>
          <w:p w14:paraId="769DE88D" w14:textId="77777777" w:rsidR="00A2153D" w:rsidRDefault="00A2153D">
            <w:pPr>
              <w:pStyle w:val="TableText"/>
              <w:jc w:val="right"/>
            </w:pPr>
            <w:r>
              <w:t>5,250</w:t>
            </w:r>
          </w:p>
        </w:tc>
        <w:tc>
          <w:tcPr>
            <w:tcW w:w="1178" w:type="dxa"/>
            <w:tcBorders>
              <w:top w:val="nil"/>
              <w:left w:val="nil"/>
              <w:right w:val="nil"/>
            </w:tcBorders>
            <w:noWrap/>
            <w:hideMark/>
          </w:tcPr>
          <w:p w14:paraId="22EF5592" w14:textId="77777777" w:rsidR="00A2153D" w:rsidRDefault="00A2153D"/>
        </w:tc>
        <w:tc>
          <w:tcPr>
            <w:tcW w:w="1178" w:type="dxa"/>
            <w:tcBorders>
              <w:top w:val="nil"/>
              <w:left w:val="nil"/>
              <w:right w:val="nil"/>
            </w:tcBorders>
            <w:noWrap/>
            <w:hideMark/>
          </w:tcPr>
          <w:p w14:paraId="52B28EB1" w14:textId="77777777" w:rsidR="00A2153D" w:rsidRDefault="00A2153D">
            <w:pPr>
              <w:pStyle w:val="TableText"/>
              <w:jc w:val="right"/>
            </w:pPr>
            <w:r>
              <w:t>5,250</w:t>
            </w:r>
          </w:p>
        </w:tc>
      </w:tr>
      <w:tr w:rsidR="00A2153D" w14:paraId="1F5F0C5B" w14:textId="77777777" w:rsidTr="00A2153D">
        <w:trPr>
          <w:cnfStyle w:val="000000100000" w:firstRow="0" w:lastRow="0" w:firstColumn="0" w:lastColumn="0" w:oddVBand="0" w:evenVBand="0" w:oddHBand="1" w:evenHBand="0" w:firstRowFirstColumn="0" w:firstRowLastColumn="0" w:lastRowFirstColumn="0" w:lastRowLastColumn="0"/>
        </w:trPr>
        <w:tc>
          <w:tcPr>
            <w:tcW w:w="1843" w:type="dxa"/>
            <w:noWrap/>
            <w:hideMark/>
          </w:tcPr>
          <w:p w14:paraId="029C40C8" w14:textId="77777777" w:rsidR="00A2153D" w:rsidRDefault="00A2153D">
            <w:pPr>
              <w:pStyle w:val="TableText"/>
              <w:rPr>
                <w:b/>
                <w:bCs/>
              </w:rPr>
            </w:pPr>
            <w:r>
              <w:rPr>
                <w:b/>
                <w:bCs/>
              </w:rPr>
              <w:t xml:space="preserve">Total area </w:t>
            </w:r>
            <w:r>
              <w:rPr>
                <w:b/>
                <w:bCs/>
              </w:rPr>
              <w:br/>
              <w:t>dried off</w:t>
            </w:r>
          </w:p>
        </w:tc>
        <w:tc>
          <w:tcPr>
            <w:tcW w:w="1295" w:type="dxa"/>
            <w:noWrap/>
            <w:hideMark/>
          </w:tcPr>
          <w:p w14:paraId="3F6DEB4F" w14:textId="77777777" w:rsidR="00A2153D" w:rsidRDefault="00A2153D">
            <w:pPr>
              <w:rPr>
                <w:b/>
                <w:bCs/>
              </w:rPr>
            </w:pPr>
          </w:p>
        </w:tc>
        <w:tc>
          <w:tcPr>
            <w:tcW w:w="1178" w:type="dxa"/>
            <w:noWrap/>
            <w:hideMark/>
          </w:tcPr>
          <w:p w14:paraId="76E90772" w14:textId="77777777" w:rsidR="00A2153D" w:rsidRDefault="00A2153D">
            <w:pPr>
              <w:pStyle w:val="TableText"/>
              <w:jc w:val="right"/>
              <w:rPr>
                <w:b/>
                <w:bCs/>
              </w:rPr>
            </w:pPr>
            <w:r>
              <w:rPr>
                <w:b/>
                <w:bCs/>
              </w:rPr>
              <w:t xml:space="preserve">45,178 </w:t>
            </w:r>
          </w:p>
        </w:tc>
        <w:tc>
          <w:tcPr>
            <w:tcW w:w="1220" w:type="dxa"/>
            <w:noWrap/>
            <w:hideMark/>
          </w:tcPr>
          <w:p w14:paraId="64CF97C6" w14:textId="77777777" w:rsidR="00A2153D" w:rsidRDefault="00A2153D">
            <w:pPr>
              <w:pStyle w:val="TableText"/>
              <w:jc w:val="right"/>
              <w:rPr>
                <w:b/>
                <w:bCs/>
              </w:rPr>
            </w:pPr>
            <w:r>
              <w:rPr>
                <w:b/>
                <w:bCs/>
              </w:rPr>
              <w:t xml:space="preserve">4,900 </w:t>
            </w:r>
          </w:p>
        </w:tc>
        <w:tc>
          <w:tcPr>
            <w:tcW w:w="1178" w:type="dxa"/>
            <w:noWrap/>
            <w:hideMark/>
          </w:tcPr>
          <w:p w14:paraId="0AFE6E69" w14:textId="77777777" w:rsidR="00A2153D" w:rsidRDefault="00A2153D">
            <w:pPr>
              <w:pStyle w:val="TableText"/>
              <w:jc w:val="right"/>
              <w:rPr>
                <w:b/>
                <w:bCs/>
              </w:rPr>
            </w:pPr>
            <w:r>
              <w:rPr>
                <w:b/>
                <w:bCs/>
              </w:rPr>
              <w:t xml:space="preserve">40,372 </w:t>
            </w:r>
          </w:p>
        </w:tc>
        <w:tc>
          <w:tcPr>
            <w:tcW w:w="1178" w:type="dxa"/>
            <w:noWrap/>
            <w:hideMark/>
          </w:tcPr>
          <w:p w14:paraId="5DDE5FB3" w14:textId="77777777" w:rsidR="00A2153D" w:rsidRDefault="00A2153D">
            <w:pPr>
              <w:pStyle w:val="TableText"/>
              <w:jc w:val="right"/>
              <w:rPr>
                <w:b/>
                <w:bCs/>
              </w:rPr>
            </w:pPr>
            <w:r>
              <w:rPr>
                <w:b/>
                <w:bCs/>
              </w:rPr>
              <w:t xml:space="preserve">3,944 </w:t>
            </w:r>
          </w:p>
        </w:tc>
        <w:tc>
          <w:tcPr>
            <w:tcW w:w="1178" w:type="dxa"/>
            <w:noWrap/>
            <w:hideMark/>
          </w:tcPr>
          <w:p w14:paraId="370A40A7" w14:textId="77777777" w:rsidR="00A2153D" w:rsidRDefault="00A2153D">
            <w:pPr>
              <w:pStyle w:val="TableText"/>
              <w:jc w:val="right"/>
              <w:rPr>
                <w:b/>
                <w:bCs/>
              </w:rPr>
            </w:pPr>
            <w:r>
              <w:rPr>
                <w:b/>
                <w:bCs/>
              </w:rPr>
              <w:t xml:space="preserve">94,394 </w:t>
            </w:r>
          </w:p>
        </w:tc>
      </w:tr>
    </w:tbl>
    <w:p w14:paraId="1C69AFB1" w14:textId="77777777" w:rsidR="00A2153D" w:rsidRDefault="00A2153D" w:rsidP="00A2153D">
      <w:pPr>
        <w:spacing w:after="320"/>
        <w:rPr>
          <w:color w:val="9BA1A5"/>
        </w:rPr>
      </w:pPr>
      <w:r>
        <w:rPr>
          <w:i/>
          <w:color w:val="9BA1A5"/>
          <w:sz w:val="16"/>
          <w:szCs w:val="16"/>
        </w:rPr>
        <w:t>Source: Analysis by RMCG, with TC&amp;A and Frontier Economics.</w:t>
      </w:r>
    </w:p>
    <w:p w14:paraId="1D85C85C" w14:textId="2501CF3B" w:rsidR="00A2153D" w:rsidRDefault="00A2153D" w:rsidP="00A2153D">
      <w:pPr>
        <w:pStyle w:val="Caption"/>
      </w:pPr>
      <w:bookmarkStart w:id="241" w:name="_Ref109922776"/>
      <w:bookmarkStart w:id="242" w:name="_Toc110262422"/>
      <w:bookmarkStart w:id="243" w:name="_Toc113621705"/>
      <w:r>
        <w:rPr>
          <w:rStyle w:val="Bold"/>
        </w:rPr>
        <w:lastRenderedPageBreak/>
        <w:t xml:space="preserve">Table </w:t>
      </w:r>
      <w:r>
        <w:fldChar w:fldCharType="begin"/>
      </w:r>
      <w:r>
        <w:rPr>
          <w:rStyle w:val="Bold"/>
        </w:rPr>
        <w:instrText xml:space="preserve"> SEQ Table \* ARABIC </w:instrText>
      </w:r>
      <w:r>
        <w:fldChar w:fldCharType="separate"/>
      </w:r>
      <w:r w:rsidR="00D4298A">
        <w:rPr>
          <w:rStyle w:val="Bold"/>
          <w:noProof/>
        </w:rPr>
        <w:t>18</w:t>
      </w:r>
      <w:r>
        <w:fldChar w:fldCharType="end"/>
      </w:r>
      <w:bookmarkEnd w:id="241"/>
      <w:r>
        <w:rPr>
          <w:rStyle w:val="Bold"/>
        </w:rPr>
        <w:t>:</w:t>
      </w:r>
      <w:r>
        <w:t xml:space="preserve"> Estimated GVIAP reduction associated with less irrigation from a 450 GL buyback</w:t>
      </w:r>
      <w:bookmarkEnd w:id="242"/>
      <w:bookmarkEnd w:id="243"/>
    </w:p>
    <w:tbl>
      <w:tblPr>
        <w:tblStyle w:val="FETableStyle"/>
        <w:tblW w:w="5000" w:type="pct"/>
        <w:tblLook w:val="0420" w:firstRow="1" w:lastRow="0" w:firstColumn="0" w:lastColumn="0" w:noHBand="0" w:noVBand="1"/>
      </w:tblPr>
      <w:tblGrid>
        <w:gridCol w:w="2262"/>
        <w:gridCol w:w="821"/>
        <w:gridCol w:w="1320"/>
        <w:gridCol w:w="1214"/>
        <w:gridCol w:w="1151"/>
        <w:gridCol w:w="1151"/>
        <w:gridCol w:w="1151"/>
      </w:tblGrid>
      <w:tr w:rsidR="00A2153D" w14:paraId="10C43F40" w14:textId="77777777" w:rsidTr="00A2153D">
        <w:trPr>
          <w:cnfStyle w:val="100000000000" w:firstRow="1" w:lastRow="0" w:firstColumn="0" w:lastColumn="0" w:oddVBand="0" w:evenVBand="0" w:oddHBand="0" w:evenHBand="0" w:firstRowFirstColumn="0" w:firstRowLastColumn="0" w:lastRowFirstColumn="0" w:lastRowLastColumn="0"/>
        </w:trPr>
        <w:tc>
          <w:tcPr>
            <w:tcW w:w="2263" w:type="dxa"/>
            <w:tcBorders>
              <w:top w:val="nil"/>
              <w:left w:val="nil"/>
              <w:bottom w:val="nil"/>
              <w:right w:val="nil"/>
            </w:tcBorders>
            <w:noWrap/>
            <w:hideMark/>
          </w:tcPr>
          <w:p w14:paraId="30642799" w14:textId="77777777" w:rsidR="00A2153D" w:rsidRDefault="00A2153D">
            <w:pPr>
              <w:pStyle w:val="TableHeading"/>
              <w:rPr>
                <w:b/>
              </w:rPr>
            </w:pPr>
            <w:r>
              <w:rPr>
                <w:b/>
              </w:rPr>
              <w:t xml:space="preserve">Lost GVIAP </w:t>
            </w:r>
            <w:r>
              <w:rPr>
                <w:b/>
              </w:rPr>
              <w:br/>
              <w:t>($m/yr)</w:t>
            </w:r>
          </w:p>
        </w:tc>
        <w:tc>
          <w:tcPr>
            <w:tcW w:w="820" w:type="dxa"/>
            <w:tcBorders>
              <w:top w:val="nil"/>
              <w:left w:val="nil"/>
              <w:bottom w:val="nil"/>
              <w:right w:val="nil"/>
            </w:tcBorders>
            <w:noWrap/>
            <w:hideMark/>
          </w:tcPr>
          <w:p w14:paraId="0D4FD893" w14:textId="77777777" w:rsidR="00A2153D" w:rsidRDefault="00A2153D">
            <w:pPr>
              <w:pStyle w:val="TableHeading"/>
              <w:jc w:val="right"/>
              <w:rPr>
                <w:b/>
              </w:rPr>
            </w:pPr>
            <w:r>
              <w:rPr>
                <w:b/>
              </w:rPr>
              <w:t>$/ML GVIAP</w:t>
            </w:r>
          </w:p>
        </w:tc>
        <w:tc>
          <w:tcPr>
            <w:tcW w:w="1320" w:type="dxa"/>
            <w:tcBorders>
              <w:top w:val="nil"/>
              <w:left w:val="nil"/>
              <w:bottom w:val="nil"/>
              <w:right w:val="nil"/>
            </w:tcBorders>
            <w:noWrap/>
            <w:hideMark/>
          </w:tcPr>
          <w:p w14:paraId="4B343786" w14:textId="77777777" w:rsidR="00A2153D" w:rsidRDefault="00A2153D">
            <w:pPr>
              <w:pStyle w:val="TableHeading"/>
              <w:jc w:val="right"/>
              <w:rPr>
                <w:b/>
              </w:rPr>
            </w:pPr>
            <w:r>
              <w:rPr>
                <w:b/>
              </w:rPr>
              <w:t>Vic GMID</w:t>
            </w:r>
            <w:r>
              <w:rPr>
                <w:b/>
              </w:rPr>
              <w:br/>
              <w:t>($m/yr)</w:t>
            </w:r>
          </w:p>
        </w:tc>
        <w:tc>
          <w:tcPr>
            <w:tcW w:w="1214" w:type="dxa"/>
            <w:tcBorders>
              <w:top w:val="nil"/>
              <w:left w:val="nil"/>
              <w:bottom w:val="nil"/>
              <w:right w:val="nil"/>
            </w:tcBorders>
            <w:noWrap/>
            <w:hideMark/>
          </w:tcPr>
          <w:p w14:paraId="2D42EB65" w14:textId="77777777" w:rsidR="00A2153D" w:rsidRDefault="00A2153D">
            <w:pPr>
              <w:pStyle w:val="TableHeading"/>
              <w:jc w:val="right"/>
              <w:rPr>
                <w:b/>
              </w:rPr>
            </w:pPr>
            <w:r>
              <w:rPr>
                <w:b/>
              </w:rPr>
              <w:t>Vic Mallee</w:t>
            </w:r>
            <w:r>
              <w:rPr>
                <w:b/>
              </w:rPr>
              <w:br/>
              <w:t>($m/yr)</w:t>
            </w:r>
          </w:p>
        </w:tc>
        <w:tc>
          <w:tcPr>
            <w:tcW w:w="1151" w:type="dxa"/>
            <w:tcBorders>
              <w:top w:val="nil"/>
              <w:left w:val="nil"/>
              <w:bottom w:val="nil"/>
              <w:right w:val="nil"/>
            </w:tcBorders>
            <w:noWrap/>
            <w:hideMark/>
          </w:tcPr>
          <w:p w14:paraId="7B4D41C0" w14:textId="77777777" w:rsidR="00A2153D" w:rsidRDefault="00A2153D">
            <w:pPr>
              <w:pStyle w:val="TableHeading"/>
              <w:jc w:val="right"/>
              <w:rPr>
                <w:b/>
              </w:rPr>
            </w:pPr>
            <w:r>
              <w:rPr>
                <w:b/>
              </w:rPr>
              <w:t>NSW</w:t>
            </w:r>
            <w:r>
              <w:rPr>
                <w:b/>
              </w:rPr>
              <w:br/>
              <w:t>($m/yr)</w:t>
            </w:r>
          </w:p>
        </w:tc>
        <w:tc>
          <w:tcPr>
            <w:tcW w:w="1151" w:type="dxa"/>
            <w:tcBorders>
              <w:top w:val="nil"/>
              <w:left w:val="nil"/>
              <w:bottom w:val="nil"/>
              <w:right w:val="nil"/>
            </w:tcBorders>
            <w:noWrap/>
            <w:hideMark/>
          </w:tcPr>
          <w:p w14:paraId="5DE06E91" w14:textId="77777777" w:rsidR="00A2153D" w:rsidRDefault="00A2153D">
            <w:pPr>
              <w:pStyle w:val="TableHeading"/>
              <w:jc w:val="right"/>
              <w:rPr>
                <w:b/>
              </w:rPr>
            </w:pPr>
            <w:r>
              <w:rPr>
                <w:b/>
              </w:rPr>
              <w:t>SA</w:t>
            </w:r>
            <w:r>
              <w:rPr>
                <w:b/>
              </w:rPr>
              <w:br/>
              <w:t>($m/yr)</w:t>
            </w:r>
          </w:p>
        </w:tc>
        <w:tc>
          <w:tcPr>
            <w:tcW w:w="1151" w:type="dxa"/>
            <w:tcBorders>
              <w:top w:val="nil"/>
              <w:left w:val="nil"/>
              <w:bottom w:val="nil"/>
              <w:right w:val="nil"/>
            </w:tcBorders>
            <w:noWrap/>
            <w:hideMark/>
          </w:tcPr>
          <w:p w14:paraId="05FE886C" w14:textId="77777777" w:rsidR="00A2153D" w:rsidRDefault="00A2153D">
            <w:pPr>
              <w:pStyle w:val="TableHeading"/>
              <w:jc w:val="right"/>
              <w:rPr>
                <w:b/>
              </w:rPr>
            </w:pPr>
            <w:r>
              <w:rPr>
                <w:b/>
              </w:rPr>
              <w:t>Total</w:t>
            </w:r>
            <w:r>
              <w:rPr>
                <w:b/>
              </w:rPr>
              <w:br/>
              <w:t>($m/yr)</w:t>
            </w:r>
          </w:p>
        </w:tc>
      </w:tr>
      <w:tr w:rsidR="00A2153D" w14:paraId="0C47F9D2" w14:textId="77777777" w:rsidTr="00A2153D">
        <w:trPr>
          <w:cnfStyle w:val="000000100000" w:firstRow="0" w:lastRow="0" w:firstColumn="0" w:lastColumn="0" w:oddVBand="0" w:evenVBand="0" w:oddHBand="1" w:evenHBand="0" w:firstRowFirstColumn="0" w:firstRowLastColumn="0" w:lastRowFirstColumn="0" w:lastRowLastColumn="0"/>
        </w:trPr>
        <w:tc>
          <w:tcPr>
            <w:tcW w:w="2263" w:type="dxa"/>
            <w:noWrap/>
            <w:hideMark/>
          </w:tcPr>
          <w:p w14:paraId="53BB2D93" w14:textId="77777777" w:rsidR="00A2153D" w:rsidRDefault="00A2153D">
            <w:pPr>
              <w:pStyle w:val="TableText"/>
            </w:pPr>
            <w:r>
              <w:t>Perennial horticulture</w:t>
            </w:r>
          </w:p>
        </w:tc>
        <w:tc>
          <w:tcPr>
            <w:tcW w:w="820" w:type="dxa"/>
            <w:noWrap/>
            <w:hideMark/>
          </w:tcPr>
          <w:p w14:paraId="4ED04A80" w14:textId="77777777" w:rsidR="00A2153D" w:rsidRDefault="00A2153D">
            <w:pPr>
              <w:pStyle w:val="TableText"/>
              <w:jc w:val="right"/>
            </w:pPr>
            <w:r>
              <w:t>2000</w:t>
            </w:r>
          </w:p>
        </w:tc>
        <w:tc>
          <w:tcPr>
            <w:tcW w:w="1320" w:type="dxa"/>
            <w:noWrap/>
            <w:hideMark/>
          </w:tcPr>
          <w:p w14:paraId="27C6F222" w14:textId="77777777" w:rsidR="00A2153D" w:rsidRDefault="00A2153D">
            <w:pPr>
              <w:pStyle w:val="TableText"/>
              <w:jc w:val="right"/>
            </w:pPr>
            <w:r>
              <w:t>24</w:t>
            </w:r>
          </w:p>
        </w:tc>
        <w:tc>
          <w:tcPr>
            <w:tcW w:w="1214" w:type="dxa"/>
            <w:noWrap/>
            <w:hideMark/>
          </w:tcPr>
          <w:p w14:paraId="1643CFD5" w14:textId="77777777" w:rsidR="00A2153D" w:rsidRDefault="00A2153D">
            <w:pPr>
              <w:pStyle w:val="TableText"/>
              <w:jc w:val="right"/>
            </w:pPr>
            <w:r>
              <w:t>98</w:t>
            </w:r>
          </w:p>
        </w:tc>
        <w:tc>
          <w:tcPr>
            <w:tcW w:w="1151" w:type="dxa"/>
            <w:noWrap/>
            <w:hideMark/>
          </w:tcPr>
          <w:p w14:paraId="4288CAD0" w14:textId="77777777" w:rsidR="00A2153D" w:rsidRDefault="00A2153D">
            <w:pPr>
              <w:pStyle w:val="TableText"/>
              <w:jc w:val="right"/>
            </w:pPr>
            <w:r>
              <w:t>32</w:t>
            </w:r>
          </w:p>
        </w:tc>
        <w:tc>
          <w:tcPr>
            <w:tcW w:w="1151" w:type="dxa"/>
            <w:noWrap/>
            <w:hideMark/>
          </w:tcPr>
          <w:p w14:paraId="14D95C64" w14:textId="77777777" w:rsidR="00A2153D" w:rsidRDefault="00A2153D">
            <w:pPr>
              <w:pStyle w:val="TableText"/>
              <w:jc w:val="right"/>
            </w:pPr>
            <w:r>
              <w:t>70</w:t>
            </w:r>
          </w:p>
        </w:tc>
        <w:tc>
          <w:tcPr>
            <w:tcW w:w="1151" w:type="dxa"/>
            <w:noWrap/>
            <w:hideMark/>
          </w:tcPr>
          <w:p w14:paraId="71BA1F19" w14:textId="77777777" w:rsidR="00A2153D" w:rsidRDefault="00A2153D">
            <w:pPr>
              <w:pStyle w:val="TableText"/>
              <w:jc w:val="right"/>
            </w:pPr>
            <w:r>
              <w:t>224</w:t>
            </w:r>
          </w:p>
        </w:tc>
      </w:tr>
      <w:tr w:rsidR="00A2153D" w14:paraId="4F072111" w14:textId="77777777" w:rsidTr="00A2153D">
        <w:trPr>
          <w:cnfStyle w:val="000000010000" w:firstRow="0" w:lastRow="0" w:firstColumn="0" w:lastColumn="0" w:oddVBand="0" w:evenVBand="0" w:oddHBand="0" w:evenHBand="1" w:firstRowFirstColumn="0" w:firstRowLastColumn="0" w:lastRowFirstColumn="0" w:lastRowLastColumn="0"/>
        </w:trPr>
        <w:tc>
          <w:tcPr>
            <w:tcW w:w="2263" w:type="dxa"/>
            <w:tcBorders>
              <w:top w:val="nil"/>
              <w:left w:val="nil"/>
              <w:right w:val="nil"/>
            </w:tcBorders>
            <w:noWrap/>
            <w:hideMark/>
          </w:tcPr>
          <w:p w14:paraId="4047AAF5" w14:textId="77777777" w:rsidR="00A2153D" w:rsidRDefault="00A2153D">
            <w:pPr>
              <w:pStyle w:val="TableText"/>
            </w:pPr>
            <w:r>
              <w:t>Dairy</w:t>
            </w:r>
          </w:p>
        </w:tc>
        <w:tc>
          <w:tcPr>
            <w:tcW w:w="820" w:type="dxa"/>
            <w:tcBorders>
              <w:top w:val="nil"/>
              <w:left w:val="nil"/>
              <w:right w:val="nil"/>
            </w:tcBorders>
            <w:noWrap/>
            <w:hideMark/>
          </w:tcPr>
          <w:p w14:paraId="18763F4A" w14:textId="77777777" w:rsidR="00A2153D" w:rsidRDefault="00A2153D">
            <w:pPr>
              <w:pStyle w:val="TableText"/>
              <w:jc w:val="right"/>
            </w:pPr>
            <w:r>
              <w:t>1350</w:t>
            </w:r>
          </w:p>
        </w:tc>
        <w:tc>
          <w:tcPr>
            <w:tcW w:w="1320" w:type="dxa"/>
            <w:tcBorders>
              <w:top w:val="nil"/>
              <w:left w:val="nil"/>
              <w:right w:val="nil"/>
            </w:tcBorders>
            <w:noWrap/>
            <w:hideMark/>
          </w:tcPr>
          <w:p w14:paraId="0B66BBE6" w14:textId="77777777" w:rsidR="00A2153D" w:rsidRDefault="00A2153D">
            <w:pPr>
              <w:pStyle w:val="TableText"/>
              <w:jc w:val="right"/>
            </w:pPr>
            <w:r>
              <w:t>169</w:t>
            </w:r>
          </w:p>
        </w:tc>
        <w:tc>
          <w:tcPr>
            <w:tcW w:w="1214" w:type="dxa"/>
            <w:tcBorders>
              <w:top w:val="nil"/>
              <w:left w:val="nil"/>
              <w:right w:val="nil"/>
            </w:tcBorders>
            <w:noWrap/>
            <w:hideMark/>
          </w:tcPr>
          <w:p w14:paraId="7F431B00" w14:textId="77777777" w:rsidR="00A2153D" w:rsidRDefault="00A2153D">
            <w:pPr>
              <w:pStyle w:val="TableText"/>
              <w:jc w:val="right"/>
            </w:pPr>
            <w:r>
              <w:t>-</w:t>
            </w:r>
          </w:p>
        </w:tc>
        <w:tc>
          <w:tcPr>
            <w:tcW w:w="1151" w:type="dxa"/>
            <w:tcBorders>
              <w:top w:val="nil"/>
              <w:left w:val="nil"/>
              <w:right w:val="nil"/>
            </w:tcBorders>
            <w:noWrap/>
            <w:hideMark/>
          </w:tcPr>
          <w:p w14:paraId="4C6FD4E5" w14:textId="77777777" w:rsidR="00A2153D" w:rsidRDefault="00A2153D">
            <w:pPr>
              <w:pStyle w:val="TableText"/>
              <w:jc w:val="right"/>
            </w:pPr>
            <w:r>
              <w:t>14</w:t>
            </w:r>
          </w:p>
        </w:tc>
        <w:tc>
          <w:tcPr>
            <w:tcW w:w="1151" w:type="dxa"/>
            <w:tcBorders>
              <w:top w:val="nil"/>
              <w:left w:val="nil"/>
              <w:right w:val="nil"/>
            </w:tcBorders>
            <w:noWrap/>
            <w:hideMark/>
          </w:tcPr>
          <w:p w14:paraId="794745CE" w14:textId="77777777" w:rsidR="00A2153D" w:rsidRDefault="00A2153D">
            <w:pPr>
              <w:pStyle w:val="TableText"/>
              <w:jc w:val="right"/>
            </w:pPr>
            <w:r>
              <w:t>3</w:t>
            </w:r>
          </w:p>
        </w:tc>
        <w:tc>
          <w:tcPr>
            <w:tcW w:w="1151" w:type="dxa"/>
            <w:tcBorders>
              <w:top w:val="nil"/>
              <w:left w:val="nil"/>
              <w:right w:val="nil"/>
            </w:tcBorders>
            <w:noWrap/>
            <w:hideMark/>
          </w:tcPr>
          <w:p w14:paraId="3E4DF043" w14:textId="77777777" w:rsidR="00A2153D" w:rsidRDefault="00A2153D">
            <w:pPr>
              <w:pStyle w:val="TableText"/>
              <w:jc w:val="right"/>
            </w:pPr>
            <w:r>
              <w:t>185</w:t>
            </w:r>
          </w:p>
        </w:tc>
      </w:tr>
      <w:tr w:rsidR="00A2153D" w14:paraId="0EEDAA95" w14:textId="77777777" w:rsidTr="00A2153D">
        <w:trPr>
          <w:cnfStyle w:val="000000100000" w:firstRow="0" w:lastRow="0" w:firstColumn="0" w:lastColumn="0" w:oddVBand="0" w:evenVBand="0" w:oddHBand="1" w:evenHBand="0" w:firstRowFirstColumn="0" w:firstRowLastColumn="0" w:lastRowFirstColumn="0" w:lastRowLastColumn="0"/>
        </w:trPr>
        <w:tc>
          <w:tcPr>
            <w:tcW w:w="2263" w:type="dxa"/>
            <w:noWrap/>
            <w:hideMark/>
          </w:tcPr>
          <w:p w14:paraId="5F8C6423" w14:textId="77777777" w:rsidR="00A2153D" w:rsidRDefault="00A2153D">
            <w:pPr>
              <w:pStyle w:val="TableText"/>
            </w:pPr>
            <w:r>
              <w:t>Mixed grazing</w:t>
            </w:r>
          </w:p>
        </w:tc>
        <w:tc>
          <w:tcPr>
            <w:tcW w:w="820" w:type="dxa"/>
            <w:noWrap/>
            <w:hideMark/>
          </w:tcPr>
          <w:p w14:paraId="27EA8030" w14:textId="77777777" w:rsidR="00A2153D" w:rsidRDefault="00A2153D">
            <w:pPr>
              <w:pStyle w:val="TableText"/>
              <w:jc w:val="right"/>
            </w:pPr>
            <w:r>
              <w:t>360</w:t>
            </w:r>
          </w:p>
        </w:tc>
        <w:tc>
          <w:tcPr>
            <w:tcW w:w="1320" w:type="dxa"/>
            <w:noWrap/>
            <w:hideMark/>
          </w:tcPr>
          <w:p w14:paraId="6A44735F" w14:textId="77777777" w:rsidR="00A2153D" w:rsidRDefault="00A2153D">
            <w:pPr>
              <w:pStyle w:val="TableText"/>
              <w:jc w:val="right"/>
            </w:pPr>
            <w:r>
              <w:t>7</w:t>
            </w:r>
          </w:p>
        </w:tc>
        <w:tc>
          <w:tcPr>
            <w:tcW w:w="1214" w:type="dxa"/>
            <w:noWrap/>
            <w:hideMark/>
          </w:tcPr>
          <w:p w14:paraId="5F0AFDB8" w14:textId="77777777" w:rsidR="00A2153D" w:rsidRDefault="00A2153D">
            <w:pPr>
              <w:pStyle w:val="TableText"/>
              <w:jc w:val="right"/>
            </w:pPr>
            <w:r>
              <w:t>-</w:t>
            </w:r>
          </w:p>
        </w:tc>
        <w:tc>
          <w:tcPr>
            <w:tcW w:w="1151" w:type="dxa"/>
            <w:noWrap/>
            <w:hideMark/>
          </w:tcPr>
          <w:p w14:paraId="43B45F80" w14:textId="77777777" w:rsidR="00A2153D" w:rsidRDefault="00A2153D">
            <w:pPr>
              <w:pStyle w:val="TableText"/>
              <w:jc w:val="right"/>
            </w:pPr>
            <w:r>
              <w:t>7</w:t>
            </w:r>
          </w:p>
        </w:tc>
        <w:tc>
          <w:tcPr>
            <w:tcW w:w="1151" w:type="dxa"/>
            <w:noWrap/>
            <w:hideMark/>
          </w:tcPr>
          <w:p w14:paraId="79C07B4D" w14:textId="77777777" w:rsidR="00A2153D" w:rsidRDefault="00A2153D">
            <w:pPr>
              <w:pStyle w:val="TableText"/>
              <w:jc w:val="right"/>
            </w:pPr>
            <w:r>
              <w:t>-</w:t>
            </w:r>
          </w:p>
        </w:tc>
        <w:tc>
          <w:tcPr>
            <w:tcW w:w="1151" w:type="dxa"/>
            <w:noWrap/>
            <w:hideMark/>
          </w:tcPr>
          <w:p w14:paraId="684735F3" w14:textId="77777777" w:rsidR="00A2153D" w:rsidRDefault="00A2153D">
            <w:pPr>
              <w:pStyle w:val="TableText"/>
              <w:jc w:val="right"/>
            </w:pPr>
            <w:r>
              <w:t>14</w:t>
            </w:r>
          </w:p>
        </w:tc>
      </w:tr>
      <w:tr w:rsidR="00A2153D" w14:paraId="389B9F35" w14:textId="77777777" w:rsidTr="00A2153D">
        <w:trPr>
          <w:cnfStyle w:val="000000010000" w:firstRow="0" w:lastRow="0" w:firstColumn="0" w:lastColumn="0" w:oddVBand="0" w:evenVBand="0" w:oddHBand="0" w:evenHBand="1" w:firstRowFirstColumn="0" w:firstRowLastColumn="0" w:lastRowFirstColumn="0" w:lastRowLastColumn="0"/>
        </w:trPr>
        <w:tc>
          <w:tcPr>
            <w:tcW w:w="2263" w:type="dxa"/>
            <w:tcBorders>
              <w:top w:val="nil"/>
              <w:left w:val="nil"/>
              <w:right w:val="nil"/>
            </w:tcBorders>
            <w:noWrap/>
            <w:hideMark/>
          </w:tcPr>
          <w:p w14:paraId="4EB5E0E8" w14:textId="77777777" w:rsidR="00A2153D" w:rsidRDefault="00A2153D">
            <w:pPr>
              <w:pStyle w:val="TableText"/>
            </w:pPr>
            <w:r>
              <w:t>Irrigated cropping</w:t>
            </w:r>
          </w:p>
        </w:tc>
        <w:tc>
          <w:tcPr>
            <w:tcW w:w="820" w:type="dxa"/>
            <w:tcBorders>
              <w:top w:val="nil"/>
              <w:left w:val="nil"/>
              <w:right w:val="nil"/>
            </w:tcBorders>
            <w:noWrap/>
            <w:hideMark/>
          </w:tcPr>
          <w:p w14:paraId="328208C3" w14:textId="77777777" w:rsidR="00A2153D" w:rsidRDefault="00A2153D">
            <w:pPr>
              <w:pStyle w:val="TableText"/>
              <w:jc w:val="right"/>
            </w:pPr>
            <w:r>
              <w:t>600</w:t>
            </w:r>
          </w:p>
        </w:tc>
        <w:tc>
          <w:tcPr>
            <w:tcW w:w="1320" w:type="dxa"/>
            <w:tcBorders>
              <w:top w:val="nil"/>
              <w:left w:val="nil"/>
              <w:right w:val="nil"/>
            </w:tcBorders>
            <w:noWrap/>
            <w:hideMark/>
          </w:tcPr>
          <w:p w14:paraId="4196EA92" w14:textId="77777777" w:rsidR="00A2153D" w:rsidRDefault="00A2153D">
            <w:pPr>
              <w:pStyle w:val="TableText"/>
              <w:jc w:val="right"/>
            </w:pPr>
            <w:r>
              <w:t>6</w:t>
            </w:r>
          </w:p>
        </w:tc>
        <w:tc>
          <w:tcPr>
            <w:tcW w:w="1214" w:type="dxa"/>
            <w:tcBorders>
              <w:top w:val="nil"/>
              <w:left w:val="nil"/>
              <w:right w:val="nil"/>
            </w:tcBorders>
            <w:noWrap/>
            <w:hideMark/>
          </w:tcPr>
          <w:p w14:paraId="55B1B2B0" w14:textId="77777777" w:rsidR="00A2153D" w:rsidRDefault="00A2153D">
            <w:pPr>
              <w:pStyle w:val="TableText"/>
              <w:jc w:val="right"/>
            </w:pPr>
            <w:r>
              <w:t>-</w:t>
            </w:r>
          </w:p>
        </w:tc>
        <w:tc>
          <w:tcPr>
            <w:tcW w:w="1151" w:type="dxa"/>
            <w:tcBorders>
              <w:top w:val="nil"/>
              <w:left w:val="nil"/>
              <w:right w:val="nil"/>
            </w:tcBorders>
            <w:noWrap/>
            <w:hideMark/>
          </w:tcPr>
          <w:p w14:paraId="1D20E700" w14:textId="77777777" w:rsidR="00A2153D" w:rsidRDefault="00A2153D">
            <w:pPr>
              <w:pStyle w:val="TableText"/>
              <w:jc w:val="right"/>
            </w:pPr>
            <w:r>
              <w:t>16</w:t>
            </w:r>
          </w:p>
        </w:tc>
        <w:tc>
          <w:tcPr>
            <w:tcW w:w="1151" w:type="dxa"/>
            <w:tcBorders>
              <w:top w:val="nil"/>
              <w:left w:val="nil"/>
              <w:right w:val="nil"/>
            </w:tcBorders>
            <w:noWrap/>
            <w:hideMark/>
          </w:tcPr>
          <w:p w14:paraId="124AB568" w14:textId="77777777" w:rsidR="00A2153D" w:rsidRDefault="00A2153D">
            <w:pPr>
              <w:pStyle w:val="TableText"/>
              <w:jc w:val="right"/>
            </w:pPr>
            <w:r>
              <w:t>-</w:t>
            </w:r>
          </w:p>
        </w:tc>
        <w:tc>
          <w:tcPr>
            <w:tcW w:w="1151" w:type="dxa"/>
            <w:tcBorders>
              <w:top w:val="nil"/>
              <w:left w:val="nil"/>
              <w:right w:val="nil"/>
            </w:tcBorders>
            <w:noWrap/>
            <w:hideMark/>
          </w:tcPr>
          <w:p w14:paraId="571E186B" w14:textId="77777777" w:rsidR="00A2153D" w:rsidRDefault="00A2153D">
            <w:pPr>
              <w:pStyle w:val="TableText"/>
              <w:jc w:val="right"/>
            </w:pPr>
            <w:r>
              <w:t>22</w:t>
            </w:r>
          </w:p>
        </w:tc>
      </w:tr>
      <w:tr w:rsidR="00A2153D" w14:paraId="5B7C7CC1" w14:textId="77777777" w:rsidTr="00A2153D">
        <w:trPr>
          <w:cnfStyle w:val="000000100000" w:firstRow="0" w:lastRow="0" w:firstColumn="0" w:lastColumn="0" w:oddVBand="0" w:evenVBand="0" w:oddHBand="1" w:evenHBand="0" w:firstRowFirstColumn="0" w:firstRowLastColumn="0" w:lastRowFirstColumn="0" w:lastRowLastColumn="0"/>
        </w:trPr>
        <w:tc>
          <w:tcPr>
            <w:tcW w:w="2263" w:type="dxa"/>
            <w:noWrap/>
            <w:hideMark/>
          </w:tcPr>
          <w:p w14:paraId="45378208" w14:textId="77777777" w:rsidR="00A2153D" w:rsidRDefault="00A2153D">
            <w:pPr>
              <w:pStyle w:val="TableText"/>
            </w:pPr>
            <w:r>
              <w:t>Rice</w:t>
            </w:r>
          </w:p>
        </w:tc>
        <w:tc>
          <w:tcPr>
            <w:tcW w:w="820" w:type="dxa"/>
            <w:noWrap/>
            <w:hideMark/>
          </w:tcPr>
          <w:p w14:paraId="7D843535" w14:textId="77777777" w:rsidR="00A2153D" w:rsidRDefault="00A2153D">
            <w:pPr>
              <w:pStyle w:val="TableText"/>
              <w:jc w:val="right"/>
            </w:pPr>
            <w:r>
              <w:t>420</w:t>
            </w:r>
          </w:p>
        </w:tc>
        <w:tc>
          <w:tcPr>
            <w:tcW w:w="1320" w:type="dxa"/>
            <w:noWrap/>
            <w:hideMark/>
          </w:tcPr>
          <w:p w14:paraId="53FA3D52" w14:textId="77777777" w:rsidR="00A2153D" w:rsidRDefault="00A2153D"/>
        </w:tc>
        <w:tc>
          <w:tcPr>
            <w:tcW w:w="1214" w:type="dxa"/>
            <w:noWrap/>
            <w:hideMark/>
          </w:tcPr>
          <w:p w14:paraId="420F516C" w14:textId="77777777" w:rsidR="00A2153D" w:rsidRDefault="00A2153D">
            <w:pPr>
              <w:pStyle w:val="TableText"/>
              <w:jc w:val="right"/>
            </w:pPr>
            <w:r>
              <w:t>-</w:t>
            </w:r>
          </w:p>
        </w:tc>
        <w:tc>
          <w:tcPr>
            <w:tcW w:w="1151" w:type="dxa"/>
            <w:noWrap/>
            <w:hideMark/>
          </w:tcPr>
          <w:p w14:paraId="60B385E2" w14:textId="77777777" w:rsidR="00A2153D" w:rsidRDefault="00A2153D">
            <w:pPr>
              <w:pStyle w:val="TableText"/>
              <w:jc w:val="right"/>
            </w:pPr>
            <w:r>
              <w:t>35</w:t>
            </w:r>
          </w:p>
        </w:tc>
        <w:tc>
          <w:tcPr>
            <w:tcW w:w="1151" w:type="dxa"/>
            <w:noWrap/>
            <w:hideMark/>
          </w:tcPr>
          <w:p w14:paraId="62240D49" w14:textId="77777777" w:rsidR="00A2153D" w:rsidRDefault="00A2153D">
            <w:pPr>
              <w:pStyle w:val="TableText"/>
              <w:jc w:val="right"/>
            </w:pPr>
            <w:r>
              <w:t>-</w:t>
            </w:r>
          </w:p>
        </w:tc>
        <w:tc>
          <w:tcPr>
            <w:tcW w:w="1151" w:type="dxa"/>
            <w:noWrap/>
            <w:hideMark/>
          </w:tcPr>
          <w:p w14:paraId="1C1E8FB9" w14:textId="77777777" w:rsidR="00A2153D" w:rsidRDefault="00A2153D">
            <w:pPr>
              <w:pStyle w:val="TableText"/>
              <w:jc w:val="right"/>
            </w:pPr>
            <w:r>
              <w:t>35</w:t>
            </w:r>
          </w:p>
        </w:tc>
      </w:tr>
      <w:tr w:rsidR="00A2153D" w14:paraId="49A1E30A" w14:textId="77777777" w:rsidTr="00A2153D">
        <w:trPr>
          <w:cnfStyle w:val="000000010000" w:firstRow="0" w:lastRow="0" w:firstColumn="0" w:lastColumn="0" w:oddVBand="0" w:evenVBand="0" w:oddHBand="0" w:evenHBand="1" w:firstRowFirstColumn="0" w:firstRowLastColumn="0" w:lastRowFirstColumn="0" w:lastRowLastColumn="0"/>
        </w:trPr>
        <w:tc>
          <w:tcPr>
            <w:tcW w:w="2263" w:type="dxa"/>
            <w:tcBorders>
              <w:top w:val="nil"/>
              <w:left w:val="nil"/>
              <w:right w:val="nil"/>
            </w:tcBorders>
            <w:noWrap/>
            <w:hideMark/>
          </w:tcPr>
          <w:p w14:paraId="51CADC11" w14:textId="77777777" w:rsidR="00A2153D" w:rsidRDefault="00A2153D">
            <w:pPr>
              <w:pStyle w:val="TableText"/>
            </w:pPr>
            <w:r>
              <w:t>Cotton</w:t>
            </w:r>
          </w:p>
        </w:tc>
        <w:tc>
          <w:tcPr>
            <w:tcW w:w="820" w:type="dxa"/>
            <w:tcBorders>
              <w:top w:val="nil"/>
              <w:left w:val="nil"/>
              <w:right w:val="nil"/>
            </w:tcBorders>
            <w:noWrap/>
            <w:hideMark/>
          </w:tcPr>
          <w:p w14:paraId="6E695DDA" w14:textId="77777777" w:rsidR="00A2153D" w:rsidRDefault="00A2153D">
            <w:pPr>
              <w:pStyle w:val="TableText"/>
              <w:jc w:val="right"/>
            </w:pPr>
            <w:r>
              <w:t>800</w:t>
            </w:r>
          </w:p>
        </w:tc>
        <w:tc>
          <w:tcPr>
            <w:tcW w:w="1320" w:type="dxa"/>
            <w:tcBorders>
              <w:top w:val="nil"/>
              <w:left w:val="nil"/>
              <w:right w:val="nil"/>
            </w:tcBorders>
            <w:noWrap/>
            <w:hideMark/>
          </w:tcPr>
          <w:p w14:paraId="5B4260B1" w14:textId="77777777" w:rsidR="00A2153D" w:rsidRDefault="00A2153D"/>
        </w:tc>
        <w:tc>
          <w:tcPr>
            <w:tcW w:w="1214" w:type="dxa"/>
            <w:tcBorders>
              <w:top w:val="nil"/>
              <w:left w:val="nil"/>
              <w:right w:val="nil"/>
            </w:tcBorders>
            <w:noWrap/>
            <w:hideMark/>
          </w:tcPr>
          <w:p w14:paraId="1C8440BE" w14:textId="77777777" w:rsidR="00A2153D" w:rsidRDefault="00A2153D">
            <w:pPr>
              <w:pStyle w:val="TableText"/>
              <w:jc w:val="right"/>
            </w:pPr>
            <w:r>
              <w:t>-</w:t>
            </w:r>
          </w:p>
        </w:tc>
        <w:tc>
          <w:tcPr>
            <w:tcW w:w="1151" w:type="dxa"/>
            <w:tcBorders>
              <w:top w:val="nil"/>
              <w:left w:val="nil"/>
              <w:right w:val="nil"/>
            </w:tcBorders>
            <w:noWrap/>
            <w:hideMark/>
          </w:tcPr>
          <w:p w14:paraId="18B475B8" w14:textId="77777777" w:rsidR="00A2153D" w:rsidRDefault="00A2153D">
            <w:pPr>
              <w:pStyle w:val="TableText"/>
              <w:jc w:val="right"/>
            </w:pPr>
            <w:r>
              <w:t>34</w:t>
            </w:r>
          </w:p>
        </w:tc>
        <w:tc>
          <w:tcPr>
            <w:tcW w:w="1151" w:type="dxa"/>
            <w:tcBorders>
              <w:top w:val="nil"/>
              <w:left w:val="nil"/>
              <w:right w:val="nil"/>
            </w:tcBorders>
            <w:noWrap/>
            <w:hideMark/>
          </w:tcPr>
          <w:p w14:paraId="5E14CC43" w14:textId="77777777" w:rsidR="00A2153D" w:rsidRDefault="00A2153D">
            <w:pPr>
              <w:pStyle w:val="TableText"/>
              <w:jc w:val="right"/>
            </w:pPr>
            <w:r>
              <w:t>-</w:t>
            </w:r>
          </w:p>
        </w:tc>
        <w:tc>
          <w:tcPr>
            <w:tcW w:w="1151" w:type="dxa"/>
            <w:tcBorders>
              <w:top w:val="nil"/>
              <w:left w:val="nil"/>
              <w:right w:val="nil"/>
            </w:tcBorders>
            <w:noWrap/>
            <w:hideMark/>
          </w:tcPr>
          <w:p w14:paraId="5EED1DED" w14:textId="77777777" w:rsidR="00A2153D" w:rsidRDefault="00A2153D">
            <w:pPr>
              <w:pStyle w:val="TableText"/>
              <w:jc w:val="right"/>
            </w:pPr>
            <w:r>
              <w:t>34</w:t>
            </w:r>
          </w:p>
        </w:tc>
      </w:tr>
      <w:tr w:rsidR="00A2153D" w14:paraId="3E48D3E0" w14:textId="77777777" w:rsidTr="00A2153D">
        <w:trPr>
          <w:cnfStyle w:val="000000100000" w:firstRow="0" w:lastRow="0" w:firstColumn="0" w:lastColumn="0" w:oddVBand="0" w:evenVBand="0" w:oddHBand="1" w:evenHBand="0" w:firstRowFirstColumn="0" w:firstRowLastColumn="0" w:lastRowFirstColumn="0" w:lastRowLastColumn="0"/>
        </w:trPr>
        <w:tc>
          <w:tcPr>
            <w:tcW w:w="2263" w:type="dxa"/>
            <w:noWrap/>
            <w:hideMark/>
          </w:tcPr>
          <w:p w14:paraId="628FDD95" w14:textId="77777777" w:rsidR="00A2153D" w:rsidRDefault="00A2153D">
            <w:pPr>
              <w:pStyle w:val="TableText"/>
              <w:rPr>
                <w:b/>
                <w:bCs/>
              </w:rPr>
            </w:pPr>
            <w:r>
              <w:rPr>
                <w:b/>
                <w:bCs/>
              </w:rPr>
              <w:t>All industries total</w:t>
            </w:r>
          </w:p>
        </w:tc>
        <w:tc>
          <w:tcPr>
            <w:tcW w:w="820" w:type="dxa"/>
            <w:noWrap/>
            <w:hideMark/>
          </w:tcPr>
          <w:p w14:paraId="44348CFF" w14:textId="77777777" w:rsidR="00A2153D" w:rsidRDefault="00A2153D">
            <w:pPr>
              <w:rPr>
                <w:b/>
                <w:bCs/>
              </w:rPr>
            </w:pPr>
          </w:p>
        </w:tc>
        <w:tc>
          <w:tcPr>
            <w:tcW w:w="1320" w:type="dxa"/>
            <w:noWrap/>
            <w:hideMark/>
          </w:tcPr>
          <w:p w14:paraId="2F11F3BF" w14:textId="77777777" w:rsidR="00A2153D" w:rsidRDefault="00A2153D">
            <w:pPr>
              <w:pStyle w:val="TableText"/>
              <w:jc w:val="right"/>
              <w:rPr>
                <w:b/>
                <w:bCs/>
              </w:rPr>
            </w:pPr>
            <w:r>
              <w:rPr>
                <w:b/>
                <w:bCs/>
              </w:rPr>
              <w:t>206</w:t>
            </w:r>
          </w:p>
        </w:tc>
        <w:tc>
          <w:tcPr>
            <w:tcW w:w="1214" w:type="dxa"/>
            <w:noWrap/>
            <w:hideMark/>
          </w:tcPr>
          <w:p w14:paraId="5EC0A972" w14:textId="77777777" w:rsidR="00A2153D" w:rsidRDefault="00A2153D">
            <w:pPr>
              <w:pStyle w:val="TableText"/>
              <w:jc w:val="right"/>
              <w:rPr>
                <w:b/>
                <w:bCs/>
              </w:rPr>
            </w:pPr>
            <w:r>
              <w:rPr>
                <w:b/>
                <w:bCs/>
              </w:rPr>
              <w:t>98</w:t>
            </w:r>
          </w:p>
        </w:tc>
        <w:tc>
          <w:tcPr>
            <w:tcW w:w="1151" w:type="dxa"/>
            <w:noWrap/>
            <w:hideMark/>
          </w:tcPr>
          <w:p w14:paraId="20316A0F" w14:textId="77777777" w:rsidR="00A2153D" w:rsidRDefault="00A2153D">
            <w:pPr>
              <w:pStyle w:val="TableText"/>
              <w:jc w:val="right"/>
              <w:rPr>
                <w:b/>
                <w:bCs/>
              </w:rPr>
            </w:pPr>
            <w:r>
              <w:rPr>
                <w:b/>
                <w:bCs/>
              </w:rPr>
              <w:t>137</w:t>
            </w:r>
          </w:p>
        </w:tc>
        <w:tc>
          <w:tcPr>
            <w:tcW w:w="1151" w:type="dxa"/>
            <w:noWrap/>
            <w:hideMark/>
          </w:tcPr>
          <w:p w14:paraId="22BE8DA7" w14:textId="77777777" w:rsidR="00A2153D" w:rsidRDefault="00A2153D">
            <w:pPr>
              <w:pStyle w:val="TableText"/>
              <w:jc w:val="right"/>
              <w:rPr>
                <w:b/>
                <w:bCs/>
              </w:rPr>
            </w:pPr>
            <w:r>
              <w:rPr>
                <w:b/>
                <w:bCs/>
              </w:rPr>
              <w:t>73</w:t>
            </w:r>
          </w:p>
        </w:tc>
        <w:tc>
          <w:tcPr>
            <w:tcW w:w="1151" w:type="dxa"/>
            <w:noWrap/>
            <w:hideMark/>
          </w:tcPr>
          <w:p w14:paraId="034D0F19" w14:textId="77777777" w:rsidR="00A2153D" w:rsidRDefault="00A2153D">
            <w:pPr>
              <w:pStyle w:val="TableText"/>
              <w:jc w:val="right"/>
              <w:rPr>
                <w:b/>
                <w:bCs/>
              </w:rPr>
            </w:pPr>
            <w:r>
              <w:rPr>
                <w:b/>
                <w:bCs/>
              </w:rPr>
              <w:t>513</w:t>
            </w:r>
          </w:p>
        </w:tc>
      </w:tr>
    </w:tbl>
    <w:p w14:paraId="0AF50F26" w14:textId="77777777" w:rsidR="00A2153D" w:rsidRDefault="00A2153D" w:rsidP="00A2153D">
      <w:pPr>
        <w:spacing w:after="320"/>
        <w:rPr>
          <w:color w:val="9BA1A5"/>
        </w:rPr>
      </w:pPr>
      <w:r>
        <w:rPr>
          <w:i/>
          <w:color w:val="9BA1A5"/>
          <w:sz w:val="16"/>
          <w:szCs w:val="16"/>
        </w:rPr>
        <w:t>Source: Analysis by RMCG, with TC&amp;A and Frontier Economics.</w:t>
      </w:r>
    </w:p>
    <w:p w14:paraId="7652D5F4" w14:textId="77777777" w:rsidR="00A2153D" w:rsidRDefault="00A2153D" w:rsidP="00A2153D">
      <w:pPr>
        <w:pStyle w:val="Heading4"/>
      </w:pPr>
      <w:r>
        <w:t>Impact and socio-economic cost</w:t>
      </w:r>
    </w:p>
    <w:p w14:paraId="62E6F7D6" w14:textId="7AA9D9FE" w:rsidR="00A2153D" w:rsidRDefault="007471D8" w:rsidP="00A2153D">
      <w:pPr>
        <w:pStyle w:val="BodyText"/>
      </w:pPr>
      <w:r>
        <w:t xml:space="preserve">A </w:t>
      </w:r>
      <w:r w:rsidR="00A2153D">
        <w:t>450GL buyback could be expected to reduce water use from the consumptive pool and result in drying off 95,00ha of irrigable land in the southern MDB — the majority in the Victorian GMID and the NSW Riverina. Within Victoria this constitutes a reduction of over 50,000 ha of irrigation being dried off in Northern Victoria — 45,000 ha in the GMID and 5,000 ha in the Mallee.</w:t>
      </w:r>
    </w:p>
    <w:p w14:paraId="51BEB2DE" w14:textId="77777777" w:rsidR="00A2153D" w:rsidRDefault="00A2153D" w:rsidP="00A2153D">
      <w:pPr>
        <w:pStyle w:val="BodyText"/>
      </w:pPr>
      <w:r>
        <w:t xml:space="preserve">The socio-economic impacts of this for Northern Victoria are significant, including: </w:t>
      </w:r>
    </w:p>
    <w:p w14:paraId="1BE0DE98" w14:textId="77777777" w:rsidR="00A2153D" w:rsidRDefault="00A2153D" w:rsidP="00597401">
      <w:pPr>
        <w:pStyle w:val="ParaBullet1"/>
        <w:numPr>
          <w:ilvl w:val="0"/>
          <w:numId w:val="14"/>
        </w:numPr>
      </w:pPr>
      <w:r>
        <w:t xml:space="preserve">An annual reduction in GVIAP of around $300m ($200m in GMID and $100m in the Mallee) </w:t>
      </w:r>
    </w:p>
    <w:p w14:paraId="1CC82EEF" w14:textId="77777777" w:rsidR="00A2153D" w:rsidRDefault="00A2153D" w:rsidP="00032238">
      <w:pPr>
        <w:pStyle w:val="ParaBullet2"/>
      </w:pPr>
      <w:r>
        <w:t>this is equivalent to a gross marginal loss of approximately $150m annually.</w:t>
      </w:r>
    </w:p>
    <w:p w14:paraId="46BD45C4" w14:textId="77777777" w:rsidR="00A2153D" w:rsidRDefault="00A2153D" w:rsidP="00597401">
      <w:pPr>
        <w:pStyle w:val="ParaBullet1"/>
        <w:numPr>
          <w:ilvl w:val="0"/>
          <w:numId w:val="14"/>
        </w:numPr>
      </w:pPr>
      <w:r>
        <w:t>The $300m loss in irrigated production value would be partially offset by the expansion of dryland agriculture, which would be an estimated:</w:t>
      </w:r>
    </w:p>
    <w:p w14:paraId="662A39DB" w14:textId="77777777" w:rsidR="00A2153D" w:rsidRDefault="00A2153D" w:rsidP="00032238">
      <w:pPr>
        <w:pStyle w:val="ParaBullet2"/>
      </w:pPr>
      <w:r>
        <w:t xml:space="preserve">$20–40m gross value in the GMID and $2m in the Mallee. </w:t>
      </w:r>
    </w:p>
    <w:p w14:paraId="7CFA7599" w14:textId="76A069B2" w:rsidR="00A2153D" w:rsidRDefault="00A2153D" w:rsidP="00032238">
      <w:pPr>
        <w:pStyle w:val="ParaBullet2"/>
      </w:pPr>
      <w:r>
        <w:t xml:space="preserve">This suggests a net loss in the gross value of agricultural production </w:t>
      </w:r>
      <w:r w:rsidR="006D009F">
        <w:t xml:space="preserve">(GVAP) </w:t>
      </w:r>
      <w:r>
        <w:t xml:space="preserve">of around $270m/yr. </w:t>
      </w:r>
    </w:p>
    <w:p w14:paraId="2F7E7621" w14:textId="77777777" w:rsidR="00A2153D" w:rsidRDefault="00A2153D" w:rsidP="00597401">
      <w:pPr>
        <w:pStyle w:val="ParaBullet1"/>
        <w:numPr>
          <w:ilvl w:val="0"/>
          <w:numId w:val="14"/>
        </w:numPr>
      </w:pPr>
      <w:r>
        <w:t>This corresponds to approximately 900 farm jobs lost (based on the 2016 ABS observation of $300,000 GVIAP/job). In addition to this, there would be associated job losses in up- and down-stream industries, as well as in irrigation-dependent communities.</w:t>
      </w:r>
    </w:p>
    <w:p w14:paraId="21869A18" w14:textId="77777777" w:rsidR="00A2153D" w:rsidRDefault="00A2153D" w:rsidP="00A2153D">
      <w:pPr>
        <w:pStyle w:val="Heading4"/>
      </w:pPr>
      <w:r>
        <w:t xml:space="preserve">Environmental benefits </w:t>
      </w:r>
    </w:p>
    <w:p w14:paraId="43D256D9" w14:textId="1A7B7D4F" w:rsidR="00A2153D" w:rsidRDefault="00A2153D" w:rsidP="00A2153D">
      <w:pPr>
        <w:pStyle w:val="BodyText"/>
        <w:keepNext/>
      </w:pPr>
      <w:r>
        <w:t xml:space="preserve">The buyback of this water would provide additional water to the environmental to generate environmental benefits. However, it is unclear whether how much of the 450GL can be used for </w:t>
      </w:r>
      <w:r>
        <w:lastRenderedPageBreak/>
        <w:t>optimal environmental watering given the constraints in water delivery that exist in the system. For example</w:t>
      </w:r>
      <w:r w:rsidR="0016111C">
        <w:t>:</w:t>
      </w:r>
    </w:p>
    <w:p w14:paraId="775A8B49" w14:textId="77777777" w:rsidR="00A2153D" w:rsidRDefault="00A2153D" w:rsidP="00597401">
      <w:pPr>
        <w:pStyle w:val="ParaBullet1"/>
        <w:numPr>
          <w:ilvl w:val="0"/>
          <w:numId w:val="14"/>
        </w:numPr>
      </w:pPr>
      <w:r>
        <w:t>The CEWH has noted that, in the Goulburn, ‘high volumes of intervalley transfer water has impacted on the planned delivery of e-water’.</w:t>
      </w:r>
      <w:r>
        <w:rPr>
          <w:rStyle w:val="FootnoteReference"/>
        </w:rPr>
        <w:footnoteReference w:id="39"/>
      </w:r>
      <w:r>
        <w:t xml:space="preserve"> </w:t>
      </w:r>
    </w:p>
    <w:p w14:paraId="679E6228" w14:textId="77777777" w:rsidR="00A2153D" w:rsidRDefault="00A2153D" w:rsidP="00597401">
      <w:pPr>
        <w:pStyle w:val="ParaBullet1"/>
        <w:numPr>
          <w:ilvl w:val="0"/>
          <w:numId w:val="14"/>
        </w:numPr>
      </w:pPr>
      <w:r>
        <w:t>The VEWH has noted that ‘water that was available in 2020-21 was not used … because operational decisions and lack of delivery rights for environmental water prevented delivery of required watering actions’.</w:t>
      </w:r>
      <w:r>
        <w:rPr>
          <w:rStyle w:val="FootnoteReference"/>
        </w:rPr>
        <w:footnoteReference w:id="40"/>
      </w:r>
    </w:p>
    <w:p w14:paraId="42289570" w14:textId="77777777" w:rsidR="00A2153D" w:rsidRDefault="00A2153D" w:rsidP="00597401">
      <w:pPr>
        <w:pStyle w:val="ParaBullet1"/>
        <w:numPr>
          <w:ilvl w:val="0"/>
          <w:numId w:val="14"/>
        </w:numPr>
      </w:pPr>
      <w:r>
        <w:t>A University of Melbourne environmental flow study found:</w:t>
      </w:r>
    </w:p>
    <w:p w14:paraId="29F9BBA9" w14:textId="77777777" w:rsidR="00A2153D" w:rsidRDefault="00A2153D" w:rsidP="00A2153D">
      <w:pPr>
        <w:pStyle w:val="ParaBullet2"/>
        <w:numPr>
          <w:ilvl w:val="0"/>
          <w:numId w:val="0"/>
        </w:numPr>
        <w:ind w:left="568"/>
      </w:pPr>
      <w:r>
        <w:rPr>
          <w:i/>
          <w:iCs/>
        </w:rPr>
        <w:t>environmental water holders often seek to provide additional environmental water to the South Australian Murray in summer and early autumn in order to maintain critical baseflows at the end of system. Baseflows of environmental water delivered in the [Lower Goulburn River] across summer and early autumn could help meet these demands. However, in recent seasons the [Lower Goulburn River] has already been running above target flow rates through summer and early autumn due to the delivery of IVTs. This has restricted the ability for environmental water to help contribute to downstream demands during the same period</w:t>
      </w:r>
      <w:r>
        <w:t>.</w:t>
      </w:r>
      <w:r>
        <w:rPr>
          <w:rStyle w:val="FootnoteReference"/>
        </w:rPr>
        <w:footnoteReference w:id="41"/>
      </w:r>
    </w:p>
    <w:p w14:paraId="6CA1114B" w14:textId="0CE8B69B" w:rsidR="00A2153D" w:rsidRDefault="00A2153D" w:rsidP="00A2153D">
      <w:pPr>
        <w:pStyle w:val="BodyText"/>
      </w:pPr>
      <w:r>
        <w:t xml:space="preserve">This suggests that the </w:t>
      </w:r>
      <w:r w:rsidR="00DD7AC6" w:rsidRPr="00DD7AC6">
        <w:t>end</w:t>
      </w:r>
      <w:r w:rsidR="00DD7AC6">
        <w:t>-</w:t>
      </w:r>
      <w:r w:rsidR="00DD7AC6" w:rsidRPr="00DD7AC6">
        <w:t>of</w:t>
      </w:r>
      <w:r w:rsidR="00DD7AC6">
        <w:t>-</w:t>
      </w:r>
      <w:r w:rsidR="00DD7AC6" w:rsidRPr="00DD7AC6">
        <w:t xml:space="preserve">system </w:t>
      </w:r>
      <w:r>
        <w:t xml:space="preserve">environmental benefits of additional water </w:t>
      </w:r>
      <w:r w:rsidR="005E489A">
        <w:t xml:space="preserve">recovery towards the 450 GL </w:t>
      </w:r>
      <w:r>
        <w:t>will not be fully realised until constraints are addressed (such as by SDLAM constraints projects).</w:t>
      </w:r>
    </w:p>
    <w:p w14:paraId="09B1140E" w14:textId="57B52E06" w:rsidR="006F2F81" w:rsidRDefault="006F2F81" w:rsidP="001262F2">
      <w:pPr>
        <w:pStyle w:val="BodyText"/>
      </w:pPr>
      <w:r>
        <w:t xml:space="preserve">The Productivity Commission </w:t>
      </w:r>
      <w:r w:rsidR="00BE2C64">
        <w:t xml:space="preserve">(2018) </w:t>
      </w:r>
      <w:r>
        <w:t>has highlighted this risk</w:t>
      </w:r>
      <w:r w:rsidR="001262F2">
        <w:t xml:space="preserve"> and noted </w:t>
      </w:r>
      <w:r w:rsidR="00261254">
        <w:t xml:space="preserve">that </w:t>
      </w:r>
      <w:r w:rsidR="001262F2">
        <w:t>‘</w:t>
      </w:r>
      <w:r w:rsidR="00261254">
        <w:t>i</w:t>
      </w:r>
      <w:r w:rsidR="001262F2">
        <w:t>f constraints projects are not implemented as anticipated, rushing to recover the full 450 GL by 2024 would risk the Australian Government spending hundreds of millions of dollars on an asset that (potentially) cannot be used for some time</w:t>
      </w:r>
      <w:r w:rsidR="00261254">
        <w:t>’.</w:t>
      </w:r>
    </w:p>
    <w:p w14:paraId="7A214E59" w14:textId="77777777" w:rsidR="00A2153D" w:rsidRDefault="00A2153D" w:rsidP="00597401">
      <w:pPr>
        <w:pStyle w:val="Heading3numbered"/>
        <w:numPr>
          <w:ilvl w:val="2"/>
          <w:numId w:val="12"/>
        </w:numPr>
        <w:tabs>
          <w:tab w:val="clear" w:pos="851"/>
        </w:tabs>
        <w:ind w:left="0" w:firstLine="0"/>
      </w:pPr>
      <w:bookmarkStart w:id="244" w:name="_Ref109911228"/>
      <w:r>
        <w:t>Impacts of alternative 450GL portfolios</w:t>
      </w:r>
    </w:p>
    <w:bookmarkEnd w:id="244"/>
    <w:p w14:paraId="6AC79FF2" w14:textId="77777777" w:rsidR="00A2153D" w:rsidRDefault="00A2153D" w:rsidP="00A2153D">
      <w:pPr>
        <w:pStyle w:val="BodyText"/>
      </w:pPr>
      <w:r>
        <w:t>There are many alternative approaches to augment the CEWH portfolio given the significant range of water entitlements available in the water market of the southern MDB.</w:t>
      </w:r>
    </w:p>
    <w:p w14:paraId="074FEB3F" w14:textId="1425FCAE" w:rsidR="00A2153D" w:rsidRDefault="00A2153D" w:rsidP="00A2153D">
      <w:pPr>
        <w:pStyle w:val="BodyText"/>
      </w:pPr>
      <w:r>
        <w:t>We consider two bookend portfolios</w:t>
      </w:r>
      <w:r w:rsidR="00BB1F3C">
        <w:t xml:space="preserve"> </w:t>
      </w:r>
      <w:r>
        <w:t>— a 450GL buyback of High Reliability entitlements only, and a 450GL buyback of Lower Reliability entitlements only — in line with the CEWH portfolio weightings of these entitlement types (</w:t>
      </w:r>
      <w:r>
        <w:fldChar w:fldCharType="begin"/>
      </w:r>
      <w:r>
        <w:instrText xml:space="preserve"> REF _Ref109943018 \h </w:instrText>
      </w:r>
      <w:r>
        <w:fldChar w:fldCharType="separate"/>
      </w:r>
      <w:r w:rsidR="00D4298A">
        <w:rPr>
          <w:rStyle w:val="Bold"/>
        </w:rPr>
        <w:t xml:space="preserve">Table </w:t>
      </w:r>
      <w:r w:rsidR="00D4298A">
        <w:rPr>
          <w:rStyle w:val="Bold"/>
          <w:noProof/>
        </w:rPr>
        <w:t>19</w:t>
      </w:r>
      <w:r>
        <w:fldChar w:fldCharType="end"/>
      </w:r>
      <w:r>
        <w:t>).</w:t>
      </w:r>
    </w:p>
    <w:p w14:paraId="20008BC2" w14:textId="4CCB9E04" w:rsidR="00A2153D" w:rsidRDefault="00A2153D" w:rsidP="00A2153D">
      <w:pPr>
        <w:pStyle w:val="BodyText"/>
      </w:pPr>
      <w:r>
        <w:t xml:space="preserve">A buyback of average annual 450GL of </w:t>
      </w:r>
      <w:r w:rsidR="00235635">
        <w:t>only h</w:t>
      </w:r>
      <w:r>
        <w:t>igh</w:t>
      </w:r>
      <w:r w:rsidR="00235635">
        <w:t>er</w:t>
      </w:r>
      <w:r>
        <w:t xml:space="preserve"> </w:t>
      </w:r>
      <w:r w:rsidR="00235635">
        <w:t>r</w:t>
      </w:r>
      <w:r>
        <w:t>eliability entitlements would require:</w:t>
      </w:r>
    </w:p>
    <w:p w14:paraId="4FFE49F9" w14:textId="77777777" w:rsidR="00A2153D" w:rsidRDefault="00A2153D" w:rsidP="00597401">
      <w:pPr>
        <w:pStyle w:val="ParaBullet1"/>
        <w:numPr>
          <w:ilvl w:val="0"/>
          <w:numId w:val="14"/>
        </w:numPr>
      </w:pPr>
      <w:r>
        <w:t>80.4GL of SA Murray water entitlements</w:t>
      </w:r>
    </w:p>
    <w:p w14:paraId="6968ADA5" w14:textId="77777777" w:rsidR="00A2153D" w:rsidRDefault="00A2153D" w:rsidP="00597401">
      <w:pPr>
        <w:pStyle w:val="ParaBullet1"/>
        <w:numPr>
          <w:ilvl w:val="0"/>
          <w:numId w:val="14"/>
        </w:numPr>
      </w:pPr>
      <w:r>
        <w:t>8.8GL NSW Murray High Security licences</w:t>
      </w:r>
    </w:p>
    <w:p w14:paraId="6FDA8B20" w14:textId="77777777" w:rsidR="00A2153D" w:rsidRDefault="00A2153D" w:rsidP="00597401">
      <w:pPr>
        <w:pStyle w:val="ParaBullet1"/>
        <w:numPr>
          <w:ilvl w:val="0"/>
          <w:numId w:val="14"/>
        </w:numPr>
      </w:pPr>
      <w:r>
        <w:t>10.0GL NSW Murrumbidgee High Security licences</w:t>
      </w:r>
    </w:p>
    <w:p w14:paraId="2E1831F4" w14:textId="77777777" w:rsidR="00A2153D" w:rsidRDefault="00A2153D" w:rsidP="00597401">
      <w:pPr>
        <w:pStyle w:val="ParaBullet1"/>
        <w:numPr>
          <w:ilvl w:val="0"/>
          <w:numId w:val="14"/>
        </w:numPr>
      </w:pPr>
      <w:r>
        <w:t>179.5 GL of Victorian Murray HRWS</w:t>
      </w:r>
    </w:p>
    <w:p w14:paraId="714123B2" w14:textId="77777777" w:rsidR="00A2153D" w:rsidRDefault="00A2153D" w:rsidP="00597401">
      <w:pPr>
        <w:pStyle w:val="ParaBullet1"/>
        <w:numPr>
          <w:ilvl w:val="0"/>
          <w:numId w:val="14"/>
        </w:numPr>
      </w:pPr>
      <w:r>
        <w:t>157.8 GL of Victorian Goulburn HRWS.</w:t>
      </w:r>
    </w:p>
    <w:p w14:paraId="6B035D7F" w14:textId="77777777" w:rsidR="00A2153D" w:rsidRDefault="00A2153D" w:rsidP="00A2153D">
      <w:pPr>
        <w:pStyle w:val="BodyText"/>
      </w:pPr>
      <w:r>
        <w:lastRenderedPageBreak/>
        <w:t>In comparison, relying on less reliable entitlements to achieve the average annual 450GL volume would require:</w:t>
      </w:r>
    </w:p>
    <w:p w14:paraId="7B26B876" w14:textId="77777777" w:rsidR="00A2153D" w:rsidRDefault="00A2153D" w:rsidP="00597401">
      <w:pPr>
        <w:pStyle w:val="ParaBullet1"/>
        <w:numPr>
          <w:ilvl w:val="0"/>
          <w:numId w:val="14"/>
        </w:numPr>
      </w:pPr>
      <w:r>
        <w:t>241.7GL of NSW Murray General Security licences</w:t>
      </w:r>
    </w:p>
    <w:p w14:paraId="177F734B" w14:textId="77777777" w:rsidR="00A2153D" w:rsidRDefault="00A2153D" w:rsidP="00597401">
      <w:pPr>
        <w:pStyle w:val="ParaBullet1"/>
        <w:numPr>
          <w:ilvl w:val="0"/>
          <w:numId w:val="14"/>
        </w:numPr>
      </w:pPr>
      <w:r>
        <w:t>187.3GL of NSW Murrumbidgee General Security licences</w:t>
      </w:r>
    </w:p>
    <w:p w14:paraId="0F76B16E" w14:textId="77777777" w:rsidR="00A2153D" w:rsidRDefault="00A2153D" w:rsidP="00597401">
      <w:pPr>
        <w:pStyle w:val="ParaBullet1"/>
        <w:numPr>
          <w:ilvl w:val="0"/>
          <w:numId w:val="14"/>
        </w:numPr>
      </w:pPr>
      <w:r>
        <w:t>280.2GL of NSW Murrumbidgee Supplementary licences</w:t>
      </w:r>
    </w:p>
    <w:p w14:paraId="578190BE" w14:textId="77777777" w:rsidR="00A2153D" w:rsidRDefault="00A2153D" w:rsidP="00597401">
      <w:pPr>
        <w:pStyle w:val="ParaBullet1"/>
        <w:numPr>
          <w:ilvl w:val="0"/>
          <w:numId w:val="14"/>
        </w:numPr>
      </w:pPr>
      <w:r>
        <w:t>23.2 GL of Victorian Murray LRWS</w:t>
      </w:r>
    </w:p>
    <w:p w14:paraId="209AA350" w14:textId="77777777" w:rsidR="00A2153D" w:rsidRDefault="00A2153D" w:rsidP="00597401">
      <w:pPr>
        <w:pStyle w:val="ParaBullet1"/>
        <w:numPr>
          <w:ilvl w:val="0"/>
          <w:numId w:val="14"/>
        </w:numPr>
      </w:pPr>
      <w:r>
        <w:t>27.8 GL of Victorian Goulburn LRWS.</w:t>
      </w:r>
    </w:p>
    <w:p w14:paraId="6778092E" w14:textId="647D0E3D" w:rsidR="00A2153D" w:rsidRDefault="00A2153D" w:rsidP="00A2153D">
      <w:pPr>
        <w:pStyle w:val="Caption"/>
      </w:pPr>
      <w:bookmarkStart w:id="245" w:name="_Ref109943018"/>
      <w:bookmarkStart w:id="246" w:name="_Toc110262423"/>
      <w:bookmarkStart w:id="247" w:name="_Toc113621706"/>
      <w:r>
        <w:rPr>
          <w:rStyle w:val="Bold"/>
        </w:rPr>
        <w:lastRenderedPageBreak/>
        <w:t xml:space="preserve">Table </w:t>
      </w:r>
      <w:r>
        <w:fldChar w:fldCharType="begin"/>
      </w:r>
      <w:r>
        <w:rPr>
          <w:rStyle w:val="Bold"/>
        </w:rPr>
        <w:instrText xml:space="preserve"> SEQ Table \* ARABIC </w:instrText>
      </w:r>
      <w:r>
        <w:fldChar w:fldCharType="separate"/>
      </w:r>
      <w:r w:rsidR="00D4298A">
        <w:rPr>
          <w:rStyle w:val="Bold"/>
          <w:noProof/>
        </w:rPr>
        <w:t>19</w:t>
      </w:r>
      <w:r>
        <w:fldChar w:fldCharType="end"/>
      </w:r>
      <w:bookmarkEnd w:id="245"/>
      <w:r>
        <w:rPr>
          <w:rStyle w:val="Bold"/>
        </w:rPr>
        <w:t>:</w:t>
      </w:r>
      <w:r>
        <w:t xml:space="preserve"> 450GL buyback of </w:t>
      </w:r>
      <w:r w:rsidR="001D32E6">
        <w:t>only h</w:t>
      </w:r>
      <w:r>
        <w:t>igh</w:t>
      </w:r>
      <w:r w:rsidR="001D32E6">
        <w:t>er</w:t>
      </w:r>
      <w:r>
        <w:t xml:space="preserve"> </w:t>
      </w:r>
      <w:r w:rsidR="001D32E6">
        <w:t>r</w:t>
      </w:r>
      <w:r>
        <w:t xml:space="preserve">eliability entitlements, or </w:t>
      </w:r>
      <w:r w:rsidR="000D3BB0">
        <w:t xml:space="preserve">only </w:t>
      </w:r>
      <w:r w:rsidR="00382DC5">
        <w:t>l</w:t>
      </w:r>
      <w:r>
        <w:t xml:space="preserve">ower </w:t>
      </w:r>
      <w:r w:rsidR="00382DC5">
        <w:t>r</w:t>
      </w:r>
      <w:r>
        <w:t>eliability.</w:t>
      </w:r>
      <w:bookmarkEnd w:id="246"/>
      <w:bookmarkEnd w:id="247"/>
    </w:p>
    <w:tbl>
      <w:tblPr>
        <w:tblStyle w:val="FETableStyle"/>
        <w:tblW w:w="5000" w:type="pct"/>
        <w:tblLayout w:type="fixed"/>
        <w:tblLook w:val="0420" w:firstRow="1" w:lastRow="0" w:firstColumn="0" w:lastColumn="0" w:noHBand="0" w:noVBand="1"/>
      </w:tblPr>
      <w:tblGrid>
        <w:gridCol w:w="2552"/>
        <w:gridCol w:w="1629"/>
        <w:gridCol w:w="1489"/>
        <w:gridCol w:w="1770"/>
        <w:gridCol w:w="1630"/>
      </w:tblGrid>
      <w:tr w:rsidR="00A2153D" w14:paraId="1DBAB00C" w14:textId="77777777" w:rsidTr="00A2153D">
        <w:trPr>
          <w:cnfStyle w:val="100000000000" w:firstRow="1" w:lastRow="0" w:firstColumn="0" w:lastColumn="0" w:oddVBand="0" w:evenVBand="0" w:oddHBand="0" w:evenHBand="0" w:firstRowFirstColumn="0" w:firstRowLastColumn="0" w:lastRowFirstColumn="0" w:lastRowLastColumn="0"/>
          <w:trHeight w:val="248"/>
        </w:trPr>
        <w:tc>
          <w:tcPr>
            <w:tcW w:w="2552" w:type="dxa"/>
            <w:tcBorders>
              <w:top w:val="nil"/>
              <w:left w:val="nil"/>
              <w:bottom w:val="nil"/>
              <w:right w:val="nil"/>
            </w:tcBorders>
            <w:noWrap/>
            <w:hideMark/>
          </w:tcPr>
          <w:p w14:paraId="030510BE" w14:textId="77777777" w:rsidR="00A2153D" w:rsidRDefault="00A2153D"/>
        </w:tc>
        <w:tc>
          <w:tcPr>
            <w:tcW w:w="3118" w:type="dxa"/>
            <w:gridSpan w:val="2"/>
            <w:tcBorders>
              <w:top w:val="nil"/>
              <w:left w:val="nil"/>
              <w:bottom w:val="nil"/>
              <w:right w:val="nil"/>
            </w:tcBorders>
            <w:noWrap/>
            <w:hideMark/>
          </w:tcPr>
          <w:p w14:paraId="745FF321" w14:textId="77777777" w:rsidR="00A2153D" w:rsidRDefault="00A2153D">
            <w:pPr>
              <w:pStyle w:val="TableHeading"/>
              <w:spacing w:after="0"/>
              <w:jc w:val="center"/>
              <w:rPr>
                <w:b/>
                <w:u w:val="single"/>
              </w:rPr>
            </w:pPr>
            <w:r>
              <w:rPr>
                <w:b/>
                <w:u w:val="single"/>
              </w:rPr>
              <w:t>450GL of High Reliability only</w:t>
            </w:r>
          </w:p>
        </w:tc>
        <w:tc>
          <w:tcPr>
            <w:tcW w:w="3400" w:type="dxa"/>
            <w:gridSpan w:val="2"/>
            <w:tcBorders>
              <w:top w:val="nil"/>
              <w:left w:val="nil"/>
              <w:bottom w:val="nil"/>
              <w:right w:val="nil"/>
            </w:tcBorders>
            <w:noWrap/>
            <w:hideMark/>
          </w:tcPr>
          <w:p w14:paraId="1FFF3C58" w14:textId="77777777" w:rsidR="00A2153D" w:rsidRDefault="00A2153D">
            <w:pPr>
              <w:pStyle w:val="TableHeading"/>
              <w:spacing w:after="0"/>
              <w:jc w:val="center"/>
              <w:rPr>
                <w:b/>
                <w:u w:val="single"/>
              </w:rPr>
            </w:pPr>
            <w:r>
              <w:rPr>
                <w:b/>
                <w:u w:val="single"/>
              </w:rPr>
              <w:t>450GL of Lower Reliability only</w:t>
            </w:r>
          </w:p>
        </w:tc>
      </w:tr>
      <w:tr w:rsidR="00A2153D" w14:paraId="187ACB9E" w14:textId="77777777" w:rsidTr="00A2153D">
        <w:trPr>
          <w:cnfStyle w:val="000000100000" w:firstRow="0" w:lastRow="0" w:firstColumn="0" w:lastColumn="0" w:oddVBand="0" w:evenVBand="0" w:oddHBand="1" w:evenHBand="0" w:firstRowFirstColumn="0" w:firstRowLastColumn="0" w:lastRowFirstColumn="0" w:lastRowLastColumn="0"/>
          <w:trHeight w:val="247"/>
        </w:trPr>
        <w:tc>
          <w:tcPr>
            <w:tcW w:w="2552" w:type="dxa"/>
            <w:shd w:val="clear" w:color="auto" w:fill="207BA1" w:themeFill="accent2"/>
            <w:noWrap/>
            <w:hideMark/>
          </w:tcPr>
          <w:p w14:paraId="1E00790E" w14:textId="77777777" w:rsidR="00A2153D" w:rsidRDefault="00A2153D">
            <w:pPr>
              <w:pStyle w:val="TableHeading"/>
              <w:spacing w:before="0"/>
              <w:rPr>
                <w:b/>
              </w:rPr>
            </w:pPr>
            <w:r>
              <w:rPr>
                <w:b/>
              </w:rPr>
              <w:t>Entitlement type</w:t>
            </w:r>
          </w:p>
        </w:tc>
        <w:tc>
          <w:tcPr>
            <w:tcW w:w="1629" w:type="dxa"/>
            <w:shd w:val="clear" w:color="auto" w:fill="207BA1" w:themeFill="accent2"/>
            <w:noWrap/>
            <w:hideMark/>
          </w:tcPr>
          <w:p w14:paraId="1330C683" w14:textId="77777777" w:rsidR="00A2153D" w:rsidRDefault="00A2153D">
            <w:pPr>
              <w:pStyle w:val="TableHeading"/>
              <w:spacing w:before="0"/>
              <w:jc w:val="center"/>
              <w:rPr>
                <w:b/>
              </w:rPr>
            </w:pPr>
            <w:r>
              <w:rPr>
                <w:b/>
              </w:rPr>
              <w:t>LTAAY GL</w:t>
            </w:r>
          </w:p>
        </w:tc>
        <w:tc>
          <w:tcPr>
            <w:tcW w:w="1489" w:type="dxa"/>
            <w:shd w:val="clear" w:color="auto" w:fill="207BA1" w:themeFill="accent2"/>
            <w:noWrap/>
            <w:hideMark/>
          </w:tcPr>
          <w:p w14:paraId="513C3A73" w14:textId="77777777" w:rsidR="00A2153D" w:rsidRDefault="00A2153D">
            <w:pPr>
              <w:pStyle w:val="TableHeading"/>
              <w:spacing w:before="0"/>
              <w:jc w:val="center"/>
              <w:rPr>
                <w:b/>
              </w:rPr>
            </w:pPr>
            <w:r>
              <w:rPr>
                <w:b/>
              </w:rPr>
              <w:t>Nominal GL</w:t>
            </w:r>
          </w:p>
        </w:tc>
        <w:tc>
          <w:tcPr>
            <w:tcW w:w="1770" w:type="dxa"/>
            <w:shd w:val="clear" w:color="auto" w:fill="207BA1" w:themeFill="accent2"/>
            <w:noWrap/>
            <w:hideMark/>
          </w:tcPr>
          <w:p w14:paraId="0E9B23B9" w14:textId="77777777" w:rsidR="00A2153D" w:rsidRDefault="00A2153D">
            <w:pPr>
              <w:pStyle w:val="TableHeading"/>
              <w:spacing w:before="0"/>
              <w:jc w:val="center"/>
              <w:rPr>
                <w:b/>
              </w:rPr>
            </w:pPr>
            <w:r>
              <w:rPr>
                <w:b/>
              </w:rPr>
              <w:t>LTAAY GL</w:t>
            </w:r>
          </w:p>
        </w:tc>
        <w:tc>
          <w:tcPr>
            <w:tcW w:w="1630" w:type="dxa"/>
            <w:shd w:val="clear" w:color="auto" w:fill="207BA1" w:themeFill="accent2"/>
            <w:noWrap/>
            <w:hideMark/>
          </w:tcPr>
          <w:p w14:paraId="70B630CB" w14:textId="77777777" w:rsidR="00A2153D" w:rsidRDefault="00A2153D">
            <w:pPr>
              <w:pStyle w:val="TableHeading"/>
              <w:spacing w:before="0"/>
              <w:jc w:val="center"/>
              <w:rPr>
                <w:b/>
              </w:rPr>
            </w:pPr>
            <w:r>
              <w:rPr>
                <w:b/>
              </w:rPr>
              <w:t>Nominal GL</w:t>
            </w:r>
          </w:p>
        </w:tc>
      </w:tr>
      <w:tr w:rsidR="00A2153D" w14:paraId="44819436" w14:textId="77777777" w:rsidTr="00A2153D">
        <w:trPr>
          <w:cnfStyle w:val="000000010000" w:firstRow="0" w:lastRow="0" w:firstColumn="0" w:lastColumn="0" w:oddVBand="0" w:evenVBand="0" w:oddHBand="0" w:evenHBand="1" w:firstRowFirstColumn="0" w:firstRowLastColumn="0" w:lastRowFirstColumn="0" w:lastRowLastColumn="0"/>
        </w:trPr>
        <w:tc>
          <w:tcPr>
            <w:tcW w:w="2552" w:type="dxa"/>
            <w:tcBorders>
              <w:top w:val="nil"/>
              <w:left w:val="nil"/>
              <w:right w:val="nil"/>
            </w:tcBorders>
            <w:noWrap/>
            <w:vAlign w:val="top"/>
            <w:hideMark/>
          </w:tcPr>
          <w:p w14:paraId="39E22738" w14:textId="77777777" w:rsidR="00A2153D" w:rsidRDefault="00A2153D">
            <w:pPr>
              <w:pStyle w:val="TableText"/>
            </w:pPr>
            <w:r>
              <w:t>SA Murray (High)</w:t>
            </w:r>
          </w:p>
        </w:tc>
        <w:tc>
          <w:tcPr>
            <w:tcW w:w="1629" w:type="dxa"/>
            <w:tcBorders>
              <w:top w:val="nil"/>
              <w:left w:val="nil"/>
              <w:right w:val="nil"/>
            </w:tcBorders>
            <w:noWrap/>
            <w:hideMark/>
          </w:tcPr>
          <w:p w14:paraId="34075960" w14:textId="77777777" w:rsidR="00A2153D" w:rsidRDefault="00A2153D">
            <w:pPr>
              <w:pStyle w:val="TableText"/>
              <w:ind w:right="394"/>
              <w:jc w:val="right"/>
            </w:pPr>
            <w:r>
              <w:t>71.3</w:t>
            </w:r>
          </w:p>
        </w:tc>
        <w:tc>
          <w:tcPr>
            <w:tcW w:w="1489" w:type="dxa"/>
            <w:tcBorders>
              <w:top w:val="nil"/>
              <w:left w:val="nil"/>
              <w:right w:val="nil"/>
            </w:tcBorders>
            <w:noWrap/>
            <w:hideMark/>
          </w:tcPr>
          <w:p w14:paraId="18FC7D09" w14:textId="77777777" w:rsidR="00A2153D" w:rsidRDefault="00A2153D">
            <w:pPr>
              <w:pStyle w:val="TableText"/>
              <w:ind w:right="394"/>
              <w:jc w:val="right"/>
            </w:pPr>
            <w:r>
              <w:t>80.4</w:t>
            </w:r>
          </w:p>
        </w:tc>
        <w:tc>
          <w:tcPr>
            <w:tcW w:w="1770" w:type="dxa"/>
            <w:tcBorders>
              <w:top w:val="nil"/>
              <w:left w:val="nil"/>
              <w:right w:val="nil"/>
            </w:tcBorders>
            <w:noWrap/>
            <w:hideMark/>
          </w:tcPr>
          <w:p w14:paraId="29558ED9" w14:textId="77777777" w:rsidR="00A2153D" w:rsidRDefault="00A2153D">
            <w:pPr>
              <w:pStyle w:val="TableText"/>
              <w:ind w:right="394"/>
              <w:jc w:val="right"/>
            </w:pPr>
            <w:r>
              <w:t>-</w:t>
            </w:r>
          </w:p>
        </w:tc>
        <w:tc>
          <w:tcPr>
            <w:tcW w:w="1630" w:type="dxa"/>
            <w:tcBorders>
              <w:top w:val="nil"/>
              <w:left w:val="nil"/>
              <w:right w:val="nil"/>
            </w:tcBorders>
            <w:noWrap/>
            <w:hideMark/>
          </w:tcPr>
          <w:p w14:paraId="5255E6BC" w14:textId="77777777" w:rsidR="00A2153D" w:rsidRDefault="00A2153D">
            <w:pPr>
              <w:pStyle w:val="TableText"/>
              <w:ind w:right="394"/>
              <w:jc w:val="right"/>
            </w:pPr>
            <w:r>
              <w:t>-</w:t>
            </w:r>
          </w:p>
        </w:tc>
      </w:tr>
      <w:tr w:rsidR="00A2153D" w14:paraId="686119B5" w14:textId="77777777" w:rsidTr="00A2153D">
        <w:trPr>
          <w:cnfStyle w:val="000000100000" w:firstRow="0" w:lastRow="0" w:firstColumn="0" w:lastColumn="0" w:oddVBand="0" w:evenVBand="0" w:oddHBand="1" w:evenHBand="0" w:firstRowFirstColumn="0" w:firstRowLastColumn="0" w:lastRowFirstColumn="0" w:lastRowLastColumn="0"/>
        </w:trPr>
        <w:tc>
          <w:tcPr>
            <w:tcW w:w="2552" w:type="dxa"/>
            <w:noWrap/>
            <w:vAlign w:val="top"/>
            <w:hideMark/>
          </w:tcPr>
          <w:p w14:paraId="3A1FB442" w14:textId="77777777" w:rsidR="00A2153D" w:rsidRDefault="00A2153D">
            <w:pPr>
              <w:pStyle w:val="TableText"/>
            </w:pPr>
            <w:r>
              <w:t>NSW Murray HS</w:t>
            </w:r>
          </w:p>
        </w:tc>
        <w:tc>
          <w:tcPr>
            <w:tcW w:w="1629" w:type="dxa"/>
            <w:noWrap/>
            <w:hideMark/>
          </w:tcPr>
          <w:p w14:paraId="6D531D3E" w14:textId="77777777" w:rsidR="00A2153D" w:rsidRDefault="00A2153D">
            <w:pPr>
              <w:pStyle w:val="TableText"/>
              <w:ind w:right="394"/>
              <w:jc w:val="right"/>
            </w:pPr>
            <w:r>
              <w:t>7.7</w:t>
            </w:r>
          </w:p>
        </w:tc>
        <w:tc>
          <w:tcPr>
            <w:tcW w:w="1489" w:type="dxa"/>
            <w:noWrap/>
            <w:hideMark/>
          </w:tcPr>
          <w:p w14:paraId="2895C87D" w14:textId="77777777" w:rsidR="00A2153D" w:rsidRDefault="00A2153D">
            <w:pPr>
              <w:pStyle w:val="TableText"/>
              <w:ind w:right="394"/>
              <w:jc w:val="right"/>
            </w:pPr>
            <w:r>
              <w:t>8.8</w:t>
            </w:r>
          </w:p>
        </w:tc>
        <w:tc>
          <w:tcPr>
            <w:tcW w:w="1770" w:type="dxa"/>
            <w:noWrap/>
            <w:hideMark/>
          </w:tcPr>
          <w:p w14:paraId="15392BB8" w14:textId="77777777" w:rsidR="00A2153D" w:rsidRDefault="00A2153D">
            <w:pPr>
              <w:pStyle w:val="TableText"/>
              <w:ind w:right="394"/>
              <w:jc w:val="right"/>
            </w:pPr>
            <w:r>
              <w:t>-</w:t>
            </w:r>
          </w:p>
        </w:tc>
        <w:tc>
          <w:tcPr>
            <w:tcW w:w="1630" w:type="dxa"/>
            <w:noWrap/>
            <w:hideMark/>
          </w:tcPr>
          <w:p w14:paraId="4D4EF02F" w14:textId="77777777" w:rsidR="00A2153D" w:rsidRDefault="00A2153D">
            <w:pPr>
              <w:pStyle w:val="TableText"/>
              <w:ind w:right="394"/>
              <w:jc w:val="right"/>
            </w:pPr>
            <w:r>
              <w:t>-</w:t>
            </w:r>
          </w:p>
        </w:tc>
      </w:tr>
      <w:tr w:rsidR="00A2153D" w14:paraId="5C5A8D2F" w14:textId="77777777" w:rsidTr="00A2153D">
        <w:trPr>
          <w:cnfStyle w:val="000000010000" w:firstRow="0" w:lastRow="0" w:firstColumn="0" w:lastColumn="0" w:oddVBand="0" w:evenVBand="0" w:oddHBand="0" w:evenHBand="1" w:firstRowFirstColumn="0" w:firstRowLastColumn="0" w:lastRowFirstColumn="0" w:lastRowLastColumn="0"/>
        </w:trPr>
        <w:tc>
          <w:tcPr>
            <w:tcW w:w="2552" w:type="dxa"/>
            <w:tcBorders>
              <w:top w:val="nil"/>
              <w:left w:val="nil"/>
              <w:right w:val="nil"/>
            </w:tcBorders>
            <w:noWrap/>
            <w:vAlign w:val="top"/>
            <w:hideMark/>
          </w:tcPr>
          <w:p w14:paraId="70241E66" w14:textId="77777777" w:rsidR="00A2153D" w:rsidRDefault="00A2153D">
            <w:pPr>
              <w:pStyle w:val="TableText"/>
            </w:pPr>
            <w:r>
              <w:t>NSW Murray GS</w:t>
            </w:r>
          </w:p>
        </w:tc>
        <w:tc>
          <w:tcPr>
            <w:tcW w:w="1629" w:type="dxa"/>
            <w:tcBorders>
              <w:top w:val="nil"/>
              <w:left w:val="nil"/>
              <w:right w:val="nil"/>
            </w:tcBorders>
            <w:noWrap/>
            <w:hideMark/>
          </w:tcPr>
          <w:p w14:paraId="34AF339B" w14:textId="77777777" w:rsidR="00A2153D" w:rsidRDefault="00A2153D">
            <w:pPr>
              <w:pStyle w:val="TableText"/>
              <w:ind w:right="394"/>
              <w:jc w:val="right"/>
            </w:pPr>
            <w:r>
              <w:t>-</w:t>
            </w:r>
          </w:p>
        </w:tc>
        <w:tc>
          <w:tcPr>
            <w:tcW w:w="1489" w:type="dxa"/>
            <w:tcBorders>
              <w:top w:val="nil"/>
              <w:left w:val="nil"/>
              <w:right w:val="nil"/>
            </w:tcBorders>
            <w:noWrap/>
            <w:hideMark/>
          </w:tcPr>
          <w:p w14:paraId="405B8139" w14:textId="77777777" w:rsidR="00A2153D" w:rsidRDefault="00A2153D">
            <w:pPr>
              <w:pStyle w:val="TableText"/>
              <w:ind w:right="394"/>
              <w:jc w:val="right"/>
            </w:pPr>
            <w:r>
              <w:t>-</w:t>
            </w:r>
          </w:p>
        </w:tc>
        <w:tc>
          <w:tcPr>
            <w:tcW w:w="1770" w:type="dxa"/>
            <w:tcBorders>
              <w:top w:val="nil"/>
              <w:left w:val="nil"/>
              <w:right w:val="nil"/>
            </w:tcBorders>
            <w:noWrap/>
            <w:hideMark/>
          </w:tcPr>
          <w:p w14:paraId="11793F3A" w14:textId="77777777" w:rsidR="00A2153D" w:rsidRDefault="00A2153D">
            <w:pPr>
              <w:pStyle w:val="TableText"/>
              <w:ind w:right="394"/>
              <w:jc w:val="right"/>
            </w:pPr>
            <w:r>
              <w:t>168.9</w:t>
            </w:r>
          </w:p>
        </w:tc>
        <w:tc>
          <w:tcPr>
            <w:tcW w:w="1630" w:type="dxa"/>
            <w:tcBorders>
              <w:top w:val="nil"/>
              <w:left w:val="nil"/>
              <w:right w:val="nil"/>
            </w:tcBorders>
            <w:noWrap/>
            <w:hideMark/>
          </w:tcPr>
          <w:p w14:paraId="737B4D8A" w14:textId="77777777" w:rsidR="00A2153D" w:rsidRDefault="00A2153D">
            <w:pPr>
              <w:pStyle w:val="TableText"/>
              <w:ind w:right="394"/>
              <w:jc w:val="right"/>
            </w:pPr>
            <w:r>
              <w:t>241.7</w:t>
            </w:r>
          </w:p>
        </w:tc>
      </w:tr>
      <w:tr w:rsidR="00A2153D" w14:paraId="041A3972" w14:textId="77777777" w:rsidTr="00A2153D">
        <w:trPr>
          <w:cnfStyle w:val="000000100000" w:firstRow="0" w:lastRow="0" w:firstColumn="0" w:lastColumn="0" w:oddVBand="0" w:evenVBand="0" w:oddHBand="1" w:evenHBand="0" w:firstRowFirstColumn="0" w:firstRowLastColumn="0" w:lastRowFirstColumn="0" w:lastRowLastColumn="0"/>
        </w:trPr>
        <w:tc>
          <w:tcPr>
            <w:tcW w:w="2552" w:type="dxa"/>
            <w:noWrap/>
            <w:vAlign w:val="top"/>
            <w:hideMark/>
          </w:tcPr>
          <w:p w14:paraId="18E72D34" w14:textId="77777777" w:rsidR="00A2153D" w:rsidRDefault="00A2153D">
            <w:pPr>
              <w:pStyle w:val="TableText"/>
            </w:pPr>
            <w:r>
              <w:t>NSW Murray Sup</w:t>
            </w:r>
          </w:p>
        </w:tc>
        <w:tc>
          <w:tcPr>
            <w:tcW w:w="1629" w:type="dxa"/>
            <w:noWrap/>
            <w:hideMark/>
          </w:tcPr>
          <w:p w14:paraId="77BDD14B" w14:textId="77777777" w:rsidR="00A2153D" w:rsidRDefault="00A2153D">
            <w:pPr>
              <w:pStyle w:val="TableText"/>
              <w:ind w:right="394"/>
              <w:jc w:val="right"/>
            </w:pPr>
            <w:r>
              <w:t>--</w:t>
            </w:r>
          </w:p>
        </w:tc>
        <w:tc>
          <w:tcPr>
            <w:tcW w:w="1489" w:type="dxa"/>
            <w:noWrap/>
            <w:hideMark/>
          </w:tcPr>
          <w:p w14:paraId="48132D4C" w14:textId="77777777" w:rsidR="00A2153D" w:rsidRDefault="00A2153D">
            <w:pPr>
              <w:pStyle w:val="TableText"/>
              <w:ind w:right="394"/>
              <w:jc w:val="right"/>
            </w:pPr>
            <w:r>
              <w:t>-</w:t>
            </w:r>
          </w:p>
        </w:tc>
        <w:tc>
          <w:tcPr>
            <w:tcW w:w="1770" w:type="dxa"/>
            <w:noWrap/>
            <w:hideMark/>
          </w:tcPr>
          <w:p w14:paraId="22BD8A9D" w14:textId="77777777" w:rsidR="00A2153D" w:rsidRDefault="00A2153D">
            <w:pPr>
              <w:pStyle w:val="TableText"/>
              <w:ind w:right="394"/>
              <w:jc w:val="right"/>
            </w:pPr>
            <w:r>
              <w:t>0.1</w:t>
            </w:r>
          </w:p>
        </w:tc>
        <w:tc>
          <w:tcPr>
            <w:tcW w:w="1630" w:type="dxa"/>
            <w:noWrap/>
            <w:hideMark/>
          </w:tcPr>
          <w:p w14:paraId="5C7B5FE2" w14:textId="77777777" w:rsidR="00A2153D" w:rsidRDefault="00A2153D">
            <w:pPr>
              <w:pStyle w:val="TableText"/>
              <w:ind w:right="394"/>
              <w:jc w:val="right"/>
            </w:pPr>
            <w:r>
              <w:t>0.1</w:t>
            </w:r>
          </w:p>
        </w:tc>
      </w:tr>
      <w:tr w:rsidR="00A2153D" w14:paraId="616F50C9" w14:textId="77777777" w:rsidTr="00A2153D">
        <w:trPr>
          <w:cnfStyle w:val="000000010000" w:firstRow="0" w:lastRow="0" w:firstColumn="0" w:lastColumn="0" w:oddVBand="0" w:evenVBand="0" w:oddHBand="0" w:evenHBand="1" w:firstRowFirstColumn="0" w:firstRowLastColumn="0" w:lastRowFirstColumn="0" w:lastRowLastColumn="0"/>
        </w:trPr>
        <w:tc>
          <w:tcPr>
            <w:tcW w:w="2552" w:type="dxa"/>
            <w:tcBorders>
              <w:top w:val="nil"/>
              <w:left w:val="nil"/>
              <w:right w:val="nil"/>
            </w:tcBorders>
            <w:noWrap/>
            <w:vAlign w:val="top"/>
            <w:hideMark/>
          </w:tcPr>
          <w:p w14:paraId="7D1A83CE" w14:textId="77777777" w:rsidR="00A2153D" w:rsidRDefault="00A2153D">
            <w:pPr>
              <w:pStyle w:val="TableText"/>
            </w:pPr>
            <w:r>
              <w:t>NSW Murray conveyance</w:t>
            </w:r>
          </w:p>
        </w:tc>
        <w:tc>
          <w:tcPr>
            <w:tcW w:w="1629" w:type="dxa"/>
            <w:tcBorders>
              <w:top w:val="nil"/>
              <w:left w:val="nil"/>
              <w:right w:val="nil"/>
            </w:tcBorders>
            <w:noWrap/>
            <w:hideMark/>
          </w:tcPr>
          <w:p w14:paraId="7D3F7B48" w14:textId="77777777" w:rsidR="00A2153D" w:rsidRDefault="00A2153D">
            <w:pPr>
              <w:pStyle w:val="TableText"/>
              <w:ind w:right="394"/>
              <w:jc w:val="right"/>
            </w:pPr>
            <w:r>
              <w:t>9.2</w:t>
            </w:r>
          </w:p>
        </w:tc>
        <w:tc>
          <w:tcPr>
            <w:tcW w:w="1489" w:type="dxa"/>
            <w:tcBorders>
              <w:top w:val="nil"/>
              <w:left w:val="nil"/>
              <w:right w:val="nil"/>
            </w:tcBorders>
            <w:noWrap/>
            <w:hideMark/>
          </w:tcPr>
          <w:p w14:paraId="07696655" w14:textId="77777777" w:rsidR="00A2153D" w:rsidRDefault="00A2153D">
            <w:pPr>
              <w:pStyle w:val="TableText"/>
              <w:ind w:right="394"/>
              <w:jc w:val="right"/>
            </w:pPr>
            <w:r>
              <w:t>10.0</w:t>
            </w:r>
          </w:p>
        </w:tc>
        <w:tc>
          <w:tcPr>
            <w:tcW w:w="1770" w:type="dxa"/>
            <w:tcBorders>
              <w:top w:val="nil"/>
              <w:left w:val="nil"/>
              <w:right w:val="nil"/>
            </w:tcBorders>
            <w:noWrap/>
            <w:hideMark/>
          </w:tcPr>
          <w:p w14:paraId="71877104" w14:textId="77777777" w:rsidR="00A2153D" w:rsidRDefault="00A2153D">
            <w:pPr>
              <w:pStyle w:val="TableText"/>
              <w:ind w:right="394"/>
              <w:jc w:val="right"/>
            </w:pPr>
            <w:r>
              <w:t>-</w:t>
            </w:r>
          </w:p>
        </w:tc>
        <w:tc>
          <w:tcPr>
            <w:tcW w:w="1630" w:type="dxa"/>
            <w:tcBorders>
              <w:top w:val="nil"/>
              <w:left w:val="nil"/>
              <w:right w:val="nil"/>
            </w:tcBorders>
            <w:noWrap/>
            <w:hideMark/>
          </w:tcPr>
          <w:p w14:paraId="740791BF" w14:textId="77777777" w:rsidR="00A2153D" w:rsidRDefault="00A2153D">
            <w:pPr>
              <w:pStyle w:val="TableText"/>
              <w:ind w:right="394"/>
              <w:jc w:val="right"/>
            </w:pPr>
            <w:r>
              <w:t>-</w:t>
            </w:r>
          </w:p>
        </w:tc>
      </w:tr>
      <w:tr w:rsidR="00A2153D" w14:paraId="714F7E9F" w14:textId="77777777" w:rsidTr="00A2153D">
        <w:trPr>
          <w:cnfStyle w:val="000000100000" w:firstRow="0" w:lastRow="0" w:firstColumn="0" w:lastColumn="0" w:oddVBand="0" w:evenVBand="0" w:oddHBand="1" w:evenHBand="0" w:firstRowFirstColumn="0" w:firstRowLastColumn="0" w:lastRowFirstColumn="0" w:lastRowLastColumn="0"/>
        </w:trPr>
        <w:tc>
          <w:tcPr>
            <w:tcW w:w="2552" w:type="dxa"/>
            <w:noWrap/>
            <w:vAlign w:val="top"/>
            <w:hideMark/>
          </w:tcPr>
          <w:p w14:paraId="067B075D" w14:textId="77777777" w:rsidR="00A2153D" w:rsidRDefault="00A2153D">
            <w:pPr>
              <w:pStyle w:val="TableText"/>
            </w:pPr>
            <w:r>
              <w:t>NSW Murray other</w:t>
            </w:r>
          </w:p>
        </w:tc>
        <w:tc>
          <w:tcPr>
            <w:tcW w:w="1629" w:type="dxa"/>
            <w:noWrap/>
            <w:hideMark/>
          </w:tcPr>
          <w:p w14:paraId="38D6342E" w14:textId="77777777" w:rsidR="00A2153D" w:rsidRDefault="00A2153D">
            <w:pPr>
              <w:pStyle w:val="TableText"/>
              <w:ind w:right="394"/>
              <w:jc w:val="right"/>
            </w:pPr>
            <w:r>
              <w:t>-</w:t>
            </w:r>
          </w:p>
        </w:tc>
        <w:tc>
          <w:tcPr>
            <w:tcW w:w="1489" w:type="dxa"/>
            <w:noWrap/>
            <w:hideMark/>
          </w:tcPr>
          <w:p w14:paraId="0C9CA7CC" w14:textId="77777777" w:rsidR="00A2153D" w:rsidRDefault="00A2153D">
            <w:pPr>
              <w:pStyle w:val="TableText"/>
              <w:ind w:right="394"/>
              <w:jc w:val="right"/>
            </w:pPr>
            <w:r>
              <w:t>-</w:t>
            </w:r>
          </w:p>
        </w:tc>
        <w:tc>
          <w:tcPr>
            <w:tcW w:w="1770" w:type="dxa"/>
            <w:noWrap/>
            <w:hideMark/>
          </w:tcPr>
          <w:p w14:paraId="70DE03D7" w14:textId="77777777" w:rsidR="00A2153D" w:rsidRDefault="00A2153D">
            <w:pPr>
              <w:pStyle w:val="TableText"/>
              <w:ind w:right="394"/>
              <w:jc w:val="right"/>
            </w:pPr>
            <w:r>
              <w:t>1.1</w:t>
            </w:r>
          </w:p>
        </w:tc>
        <w:tc>
          <w:tcPr>
            <w:tcW w:w="1630" w:type="dxa"/>
            <w:noWrap/>
            <w:hideMark/>
          </w:tcPr>
          <w:p w14:paraId="10463AEE" w14:textId="77777777" w:rsidR="00A2153D" w:rsidRDefault="00A2153D">
            <w:pPr>
              <w:pStyle w:val="TableText"/>
              <w:ind w:right="394"/>
              <w:jc w:val="right"/>
            </w:pPr>
            <w:r>
              <w:t>1.1</w:t>
            </w:r>
          </w:p>
        </w:tc>
      </w:tr>
      <w:tr w:rsidR="00A2153D" w14:paraId="785CC3B1" w14:textId="77777777" w:rsidTr="00A2153D">
        <w:trPr>
          <w:cnfStyle w:val="000000010000" w:firstRow="0" w:lastRow="0" w:firstColumn="0" w:lastColumn="0" w:oddVBand="0" w:evenVBand="0" w:oddHBand="0" w:evenHBand="1" w:firstRowFirstColumn="0" w:firstRowLastColumn="0" w:lastRowFirstColumn="0" w:lastRowLastColumn="0"/>
        </w:trPr>
        <w:tc>
          <w:tcPr>
            <w:tcW w:w="2552" w:type="dxa"/>
            <w:tcBorders>
              <w:top w:val="nil"/>
              <w:left w:val="nil"/>
              <w:right w:val="nil"/>
            </w:tcBorders>
            <w:noWrap/>
            <w:vAlign w:val="top"/>
            <w:hideMark/>
          </w:tcPr>
          <w:p w14:paraId="11B98284" w14:textId="77777777" w:rsidR="00A2153D" w:rsidRDefault="00A2153D">
            <w:pPr>
              <w:pStyle w:val="TableText"/>
            </w:pPr>
            <w:r>
              <w:t>NSW Lower Darling HS</w:t>
            </w:r>
          </w:p>
        </w:tc>
        <w:tc>
          <w:tcPr>
            <w:tcW w:w="1629" w:type="dxa"/>
            <w:tcBorders>
              <w:top w:val="nil"/>
              <w:left w:val="nil"/>
              <w:right w:val="nil"/>
            </w:tcBorders>
            <w:noWrap/>
            <w:hideMark/>
          </w:tcPr>
          <w:p w14:paraId="14D0B309" w14:textId="77777777" w:rsidR="00A2153D" w:rsidRDefault="00A2153D">
            <w:pPr>
              <w:pStyle w:val="TableText"/>
              <w:ind w:right="394"/>
              <w:jc w:val="right"/>
            </w:pPr>
            <w:r>
              <w:t>1.5</w:t>
            </w:r>
          </w:p>
        </w:tc>
        <w:tc>
          <w:tcPr>
            <w:tcW w:w="1489" w:type="dxa"/>
            <w:tcBorders>
              <w:top w:val="nil"/>
              <w:left w:val="nil"/>
              <w:right w:val="nil"/>
            </w:tcBorders>
            <w:noWrap/>
            <w:hideMark/>
          </w:tcPr>
          <w:p w14:paraId="257112C6" w14:textId="77777777" w:rsidR="00A2153D" w:rsidRDefault="00A2153D">
            <w:pPr>
              <w:pStyle w:val="TableText"/>
              <w:ind w:right="394"/>
              <w:jc w:val="right"/>
            </w:pPr>
            <w:r>
              <w:t>2.1</w:t>
            </w:r>
          </w:p>
        </w:tc>
        <w:tc>
          <w:tcPr>
            <w:tcW w:w="1770" w:type="dxa"/>
            <w:tcBorders>
              <w:top w:val="nil"/>
              <w:left w:val="nil"/>
              <w:right w:val="nil"/>
            </w:tcBorders>
            <w:noWrap/>
            <w:hideMark/>
          </w:tcPr>
          <w:p w14:paraId="7DE9F9BD" w14:textId="77777777" w:rsidR="00A2153D" w:rsidRDefault="00A2153D">
            <w:pPr>
              <w:pStyle w:val="TableText"/>
              <w:ind w:right="394"/>
              <w:jc w:val="right"/>
            </w:pPr>
            <w:r>
              <w:t>-</w:t>
            </w:r>
          </w:p>
        </w:tc>
        <w:tc>
          <w:tcPr>
            <w:tcW w:w="1630" w:type="dxa"/>
            <w:tcBorders>
              <w:top w:val="nil"/>
              <w:left w:val="nil"/>
              <w:right w:val="nil"/>
            </w:tcBorders>
            <w:noWrap/>
            <w:hideMark/>
          </w:tcPr>
          <w:p w14:paraId="141EB043" w14:textId="77777777" w:rsidR="00A2153D" w:rsidRDefault="00A2153D">
            <w:pPr>
              <w:pStyle w:val="TableText"/>
              <w:ind w:right="394"/>
              <w:jc w:val="right"/>
            </w:pPr>
            <w:r>
              <w:t>-</w:t>
            </w:r>
          </w:p>
        </w:tc>
      </w:tr>
      <w:tr w:rsidR="00A2153D" w14:paraId="049BAD80" w14:textId="77777777" w:rsidTr="00A2153D">
        <w:trPr>
          <w:cnfStyle w:val="000000100000" w:firstRow="0" w:lastRow="0" w:firstColumn="0" w:lastColumn="0" w:oddVBand="0" w:evenVBand="0" w:oddHBand="1" w:evenHBand="0" w:firstRowFirstColumn="0" w:firstRowLastColumn="0" w:lastRowFirstColumn="0" w:lastRowLastColumn="0"/>
        </w:trPr>
        <w:tc>
          <w:tcPr>
            <w:tcW w:w="2552" w:type="dxa"/>
            <w:noWrap/>
            <w:vAlign w:val="top"/>
            <w:hideMark/>
          </w:tcPr>
          <w:p w14:paraId="19CC56D6" w14:textId="77777777" w:rsidR="00A2153D" w:rsidRDefault="00A2153D">
            <w:pPr>
              <w:pStyle w:val="TableText"/>
            </w:pPr>
            <w:r>
              <w:t>NSW Lower Darling GS</w:t>
            </w:r>
          </w:p>
        </w:tc>
        <w:tc>
          <w:tcPr>
            <w:tcW w:w="1629" w:type="dxa"/>
            <w:noWrap/>
            <w:hideMark/>
          </w:tcPr>
          <w:p w14:paraId="4F2C1B32" w14:textId="77777777" w:rsidR="00A2153D" w:rsidRDefault="00A2153D">
            <w:pPr>
              <w:pStyle w:val="TableText"/>
              <w:ind w:right="394"/>
              <w:jc w:val="right"/>
            </w:pPr>
            <w:r>
              <w:t>-</w:t>
            </w:r>
          </w:p>
        </w:tc>
        <w:tc>
          <w:tcPr>
            <w:tcW w:w="1489" w:type="dxa"/>
            <w:noWrap/>
            <w:hideMark/>
          </w:tcPr>
          <w:p w14:paraId="6A1C23A1" w14:textId="77777777" w:rsidR="00A2153D" w:rsidRDefault="00A2153D">
            <w:pPr>
              <w:pStyle w:val="TableText"/>
              <w:ind w:right="394"/>
              <w:jc w:val="right"/>
            </w:pPr>
            <w:r>
              <w:t>-</w:t>
            </w:r>
          </w:p>
        </w:tc>
        <w:tc>
          <w:tcPr>
            <w:tcW w:w="1770" w:type="dxa"/>
            <w:noWrap/>
            <w:hideMark/>
          </w:tcPr>
          <w:p w14:paraId="548FC8DB" w14:textId="77777777" w:rsidR="00A2153D" w:rsidRDefault="00A2153D">
            <w:pPr>
              <w:pStyle w:val="TableText"/>
              <w:ind w:right="394"/>
              <w:jc w:val="right"/>
            </w:pPr>
            <w:r>
              <w:t>13.1</w:t>
            </w:r>
          </w:p>
        </w:tc>
        <w:tc>
          <w:tcPr>
            <w:tcW w:w="1630" w:type="dxa"/>
            <w:noWrap/>
            <w:hideMark/>
          </w:tcPr>
          <w:p w14:paraId="2B194C95" w14:textId="77777777" w:rsidR="00A2153D" w:rsidRDefault="00A2153D">
            <w:pPr>
              <w:pStyle w:val="TableText"/>
              <w:ind w:right="394"/>
              <w:jc w:val="right"/>
            </w:pPr>
            <w:r>
              <w:t>14.1</w:t>
            </w:r>
          </w:p>
        </w:tc>
      </w:tr>
      <w:tr w:rsidR="00A2153D" w14:paraId="0E2E06C6" w14:textId="77777777" w:rsidTr="00A2153D">
        <w:trPr>
          <w:cnfStyle w:val="000000010000" w:firstRow="0" w:lastRow="0" w:firstColumn="0" w:lastColumn="0" w:oddVBand="0" w:evenVBand="0" w:oddHBand="0" w:evenHBand="1" w:firstRowFirstColumn="0" w:firstRowLastColumn="0" w:lastRowFirstColumn="0" w:lastRowLastColumn="0"/>
        </w:trPr>
        <w:tc>
          <w:tcPr>
            <w:tcW w:w="2552" w:type="dxa"/>
            <w:tcBorders>
              <w:top w:val="nil"/>
              <w:left w:val="nil"/>
              <w:right w:val="nil"/>
            </w:tcBorders>
            <w:noWrap/>
            <w:vAlign w:val="top"/>
            <w:hideMark/>
          </w:tcPr>
          <w:p w14:paraId="635BB1E8" w14:textId="77777777" w:rsidR="00A2153D" w:rsidRDefault="00A2153D">
            <w:pPr>
              <w:pStyle w:val="TableText"/>
            </w:pPr>
            <w:r>
              <w:t>NSW Murrumbidgee HS</w:t>
            </w:r>
          </w:p>
        </w:tc>
        <w:tc>
          <w:tcPr>
            <w:tcW w:w="1629" w:type="dxa"/>
            <w:tcBorders>
              <w:top w:val="nil"/>
              <w:left w:val="nil"/>
              <w:right w:val="nil"/>
            </w:tcBorders>
            <w:noWrap/>
            <w:hideMark/>
          </w:tcPr>
          <w:p w14:paraId="4FC50A24" w14:textId="77777777" w:rsidR="00A2153D" w:rsidRDefault="00A2153D">
            <w:pPr>
              <w:pStyle w:val="TableText"/>
              <w:ind w:right="394"/>
              <w:jc w:val="right"/>
            </w:pPr>
            <w:r>
              <w:t>6.9</w:t>
            </w:r>
          </w:p>
        </w:tc>
        <w:tc>
          <w:tcPr>
            <w:tcW w:w="1489" w:type="dxa"/>
            <w:tcBorders>
              <w:top w:val="nil"/>
              <w:left w:val="nil"/>
              <w:right w:val="nil"/>
            </w:tcBorders>
            <w:noWrap/>
            <w:hideMark/>
          </w:tcPr>
          <w:p w14:paraId="5522E064" w14:textId="77777777" w:rsidR="00A2153D" w:rsidRDefault="00A2153D">
            <w:pPr>
              <w:pStyle w:val="TableText"/>
              <w:ind w:right="394"/>
              <w:jc w:val="right"/>
            </w:pPr>
            <w:r>
              <w:t>7.0</w:t>
            </w:r>
          </w:p>
        </w:tc>
        <w:tc>
          <w:tcPr>
            <w:tcW w:w="1770" w:type="dxa"/>
            <w:tcBorders>
              <w:top w:val="nil"/>
              <w:left w:val="nil"/>
              <w:right w:val="nil"/>
            </w:tcBorders>
            <w:noWrap/>
            <w:hideMark/>
          </w:tcPr>
          <w:p w14:paraId="360749F3" w14:textId="77777777" w:rsidR="00A2153D" w:rsidRDefault="00A2153D">
            <w:pPr>
              <w:pStyle w:val="TableText"/>
              <w:ind w:right="394"/>
              <w:jc w:val="right"/>
            </w:pPr>
            <w:r>
              <w:t>-</w:t>
            </w:r>
          </w:p>
        </w:tc>
        <w:tc>
          <w:tcPr>
            <w:tcW w:w="1630" w:type="dxa"/>
            <w:tcBorders>
              <w:top w:val="nil"/>
              <w:left w:val="nil"/>
              <w:right w:val="nil"/>
            </w:tcBorders>
            <w:noWrap/>
            <w:hideMark/>
          </w:tcPr>
          <w:p w14:paraId="50ACBF26" w14:textId="77777777" w:rsidR="00A2153D" w:rsidRDefault="00A2153D">
            <w:pPr>
              <w:pStyle w:val="TableText"/>
              <w:ind w:right="394"/>
              <w:jc w:val="right"/>
            </w:pPr>
            <w:r>
              <w:t>-</w:t>
            </w:r>
          </w:p>
        </w:tc>
      </w:tr>
      <w:tr w:rsidR="00A2153D" w14:paraId="28081819" w14:textId="77777777" w:rsidTr="00A2153D">
        <w:trPr>
          <w:cnfStyle w:val="000000100000" w:firstRow="0" w:lastRow="0" w:firstColumn="0" w:lastColumn="0" w:oddVBand="0" w:evenVBand="0" w:oddHBand="1" w:evenHBand="0" w:firstRowFirstColumn="0" w:firstRowLastColumn="0" w:lastRowFirstColumn="0" w:lastRowLastColumn="0"/>
        </w:trPr>
        <w:tc>
          <w:tcPr>
            <w:tcW w:w="2552" w:type="dxa"/>
            <w:noWrap/>
            <w:vAlign w:val="top"/>
            <w:hideMark/>
          </w:tcPr>
          <w:p w14:paraId="16C697F9" w14:textId="77777777" w:rsidR="00A2153D" w:rsidRDefault="00A2153D">
            <w:pPr>
              <w:pStyle w:val="TableText"/>
            </w:pPr>
            <w:r>
              <w:t>NSW Murrumbidgee GS</w:t>
            </w:r>
          </w:p>
        </w:tc>
        <w:tc>
          <w:tcPr>
            <w:tcW w:w="1629" w:type="dxa"/>
            <w:noWrap/>
            <w:hideMark/>
          </w:tcPr>
          <w:p w14:paraId="5BC0EE37" w14:textId="77777777" w:rsidR="00A2153D" w:rsidRDefault="00A2153D">
            <w:pPr>
              <w:pStyle w:val="TableText"/>
              <w:ind w:right="394"/>
              <w:jc w:val="right"/>
            </w:pPr>
            <w:r>
              <w:t>-</w:t>
            </w:r>
          </w:p>
        </w:tc>
        <w:tc>
          <w:tcPr>
            <w:tcW w:w="1489" w:type="dxa"/>
            <w:noWrap/>
            <w:hideMark/>
          </w:tcPr>
          <w:p w14:paraId="137FAE1E" w14:textId="77777777" w:rsidR="00A2153D" w:rsidRDefault="00A2153D">
            <w:pPr>
              <w:pStyle w:val="TableText"/>
              <w:ind w:right="394"/>
              <w:jc w:val="right"/>
            </w:pPr>
            <w:r>
              <w:t>-</w:t>
            </w:r>
          </w:p>
        </w:tc>
        <w:tc>
          <w:tcPr>
            <w:tcW w:w="1770" w:type="dxa"/>
            <w:noWrap/>
            <w:hideMark/>
          </w:tcPr>
          <w:p w14:paraId="24476B39" w14:textId="77777777" w:rsidR="00A2153D" w:rsidRDefault="00A2153D">
            <w:pPr>
              <w:pStyle w:val="TableText"/>
              <w:ind w:right="394"/>
              <w:jc w:val="right"/>
            </w:pPr>
            <w:r>
              <w:t>110.7</w:t>
            </w:r>
          </w:p>
        </w:tc>
        <w:tc>
          <w:tcPr>
            <w:tcW w:w="1630" w:type="dxa"/>
            <w:noWrap/>
            <w:hideMark/>
          </w:tcPr>
          <w:p w14:paraId="62E937A1" w14:textId="77777777" w:rsidR="00A2153D" w:rsidRDefault="00A2153D">
            <w:pPr>
              <w:pStyle w:val="TableText"/>
              <w:ind w:right="394"/>
              <w:jc w:val="right"/>
            </w:pPr>
            <w:r>
              <w:t>187.3</w:t>
            </w:r>
          </w:p>
        </w:tc>
      </w:tr>
      <w:tr w:rsidR="00A2153D" w14:paraId="063164FE" w14:textId="77777777" w:rsidTr="00A2153D">
        <w:trPr>
          <w:cnfStyle w:val="000000010000" w:firstRow="0" w:lastRow="0" w:firstColumn="0" w:lastColumn="0" w:oddVBand="0" w:evenVBand="0" w:oddHBand="0" w:evenHBand="1" w:firstRowFirstColumn="0" w:firstRowLastColumn="0" w:lastRowFirstColumn="0" w:lastRowLastColumn="0"/>
        </w:trPr>
        <w:tc>
          <w:tcPr>
            <w:tcW w:w="2552" w:type="dxa"/>
            <w:tcBorders>
              <w:top w:val="nil"/>
              <w:left w:val="nil"/>
              <w:right w:val="nil"/>
            </w:tcBorders>
            <w:noWrap/>
            <w:vAlign w:val="top"/>
            <w:hideMark/>
          </w:tcPr>
          <w:p w14:paraId="59912D2E" w14:textId="77777777" w:rsidR="00A2153D" w:rsidRDefault="00A2153D">
            <w:pPr>
              <w:pStyle w:val="TableText"/>
            </w:pPr>
            <w:r>
              <w:t>NSW Murrumbidgee Sup</w:t>
            </w:r>
          </w:p>
        </w:tc>
        <w:tc>
          <w:tcPr>
            <w:tcW w:w="1629" w:type="dxa"/>
            <w:tcBorders>
              <w:top w:val="nil"/>
              <w:left w:val="nil"/>
              <w:right w:val="nil"/>
            </w:tcBorders>
            <w:noWrap/>
            <w:hideMark/>
          </w:tcPr>
          <w:p w14:paraId="317F1D19" w14:textId="77777777" w:rsidR="00A2153D" w:rsidRDefault="00A2153D">
            <w:pPr>
              <w:pStyle w:val="TableText"/>
              <w:ind w:right="394"/>
              <w:jc w:val="right"/>
            </w:pPr>
            <w:r>
              <w:t>-</w:t>
            </w:r>
          </w:p>
        </w:tc>
        <w:tc>
          <w:tcPr>
            <w:tcW w:w="1489" w:type="dxa"/>
            <w:tcBorders>
              <w:top w:val="nil"/>
              <w:left w:val="nil"/>
              <w:right w:val="nil"/>
            </w:tcBorders>
            <w:noWrap/>
            <w:hideMark/>
          </w:tcPr>
          <w:p w14:paraId="748C0452" w14:textId="77777777" w:rsidR="00A2153D" w:rsidRDefault="00A2153D">
            <w:pPr>
              <w:pStyle w:val="TableText"/>
              <w:ind w:right="394"/>
              <w:jc w:val="right"/>
            </w:pPr>
            <w:r>
              <w:t>-</w:t>
            </w:r>
          </w:p>
        </w:tc>
        <w:tc>
          <w:tcPr>
            <w:tcW w:w="1770" w:type="dxa"/>
            <w:tcBorders>
              <w:top w:val="nil"/>
              <w:left w:val="nil"/>
              <w:right w:val="nil"/>
            </w:tcBorders>
            <w:noWrap/>
            <w:hideMark/>
          </w:tcPr>
          <w:p w14:paraId="3A8EBF7E" w14:textId="77777777" w:rsidR="00A2153D" w:rsidRDefault="00A2153D">
            <w:pPr>
              <w:pStyle w:val="TableText"/>
              <w:ind w:right="394"/>
              <w:jc w:val="right"/>
            </w:pPr>
            <w:r>
              <w:t>123.7</w:t>
            </w:r>
          </w:p>
        </w:tc>
        <w:tc>
          <w:tcPr>
            <w:tcW w:w="1630" w:type="dxa"/>
            <w:tcBorders>
              <w:top w:val="nil"/>
              <w:left w:val="nil"/>
              <w:right w:val="nil"/>
            </w:tcBorders>
            <w:noWrap/>
            <w:hideMark/>
          </w:tcPr>
          <w:p w14:paraId="11550870" w14:textId="77777777" w:rsidR="00A2153D" w:rsidRDefault="00A2153D">
            <w:pPr>
              <w:pStyle w:val="TableText"/>
              <w:ind w:right="394"/>
              <w:jc w:val="right"/>
            </w:pPr>
            <w:r>
              <w:t>280.2</w:t>
            </w:r>
          </w:p>
        </w:tc>
      </w:tr>
      <w:tr w:rsidR="00A2153D" w14:paraId="22049BF0" w14:textId="77777777" w:rsidTr="00A2153D">
        <w:trPr>
          <w:cnfStyle w:val="000000100000" w:firstRow="0" w:lastRow="0" w:firstColumn="0" w:lastColumn="0" w:oddVBand="0" w:evenVBand="0" w:oddHBand="1" w:evenHBand="0" w:firstRowFirstColumn="0" w:firstRowLastColumn="0" w:lastRowFirstColumn="0" w:lastRowLastColumn="0"/>
        </w:trPr>
        <w:tc>
          <w:tcPr>
            <w:tcW w:w="2552" w:type="dxa"/>
            <w:noWrap/>
            <w:vAlign w:val="top"/>
            <w:hideMark/>
          </w:tcPr>
          <w:p w14:paraId="2FFC0F82" w14:textId="77777777" w:rsidR="00A2153D" w:rsidRDefault="00A2153D">
            <w:pPr>
              <w:pStyle w:val="TableText"/>
            </w:pPr>
            <w:r>
              <w:t>NSW Murrumbidgee conveyance</w:t>
            </w:r>
          </w:p>
        </w:tc>
        <w:tc>
          <w:tcPr>
            <w:tcW w:w="1629" w:type="dxa"/>
            <w:noWrap/>
            <w:hideMark/>
          </w:tcPr>
          <w:p w14:paraId="73EBC0A5" w14:textId="77777777" w:rsidR="00A2153D" w:rsidRDefault="00A2153D">
            <w:pPr>
              <w:pStyle w:val="TableText"/>
              <w:ind w:right="394"/>
              <w:jc w:val="right"/>
            </w:pPr>
            <w:r>
              <w:t>21.7</w:t>
            </w:r>
          </w:p>
        </w:tc>
        <w:tc>
          <w:tcPr>
            <w:tcW w:w="1489" w:type="dxa"/>
            <w:noWrap/>
            <w:hideMark/>
          </w:tcPr>
          <w:p w14:paraId="364A72A7" w14:textId="77777777" w:rsidR="00A2153D" w:rsidRDefault="00A2153D">
            <w:pPr>
              <w:pStyle w:val="TableText"/>
              <w:ind w:right="394"/>
              <w:jc w:val="right"/>
            </w:pPr>
            <w:r>
              <w:t>24.9</w:t>
            </w:r>
          </w:p>
        </w:tc>
        <w:tc>
          <w:tcPr>
            <w:tcW w:w="1770" w:type="dxa"/>
            <w:noWrap/>
            <w:hideMark/>
          </w:tcPr>
          <w:p w14:paraId="611D3C1E" w14:textId="77777777" w:rsidR="00A2153D" w:rsidRDefault="00A2153D">
            <w:pPr>
              <w:pStyle w:val="TableText"/>
              <w:ind w:right="394"/>
              <w:jc w:val="right"/>
            </w:pPr>
            <w:r>
              <w:t>-</w:t>
            </w:r>
          </w:p>
        </w:tc>
        <w:tc>
          <w:tcPr>
            <w:tcW w:w="1630" w:type="dxa"/>
            <w:noWrap/>
            <w:hideMark/>
          </w:tcPr>
          <w:p w14:paraId="399847BB" w14:textId="77777777" w:rsidR="00A2153D" w:rsidRDefault="00A2153D">
            <w:pPr>
              <w:pStyle w:val="TableText"/>
              <w:ind w:right="394"/>
              <w:jc w:val="right"/>
            </w:pPr>
            <w:r>
              <w:t>-</w:t>
            </w:r>
          </w:p>
        </w:tc>
      </w:tr>
      <w:tr w:rsidR="00A2153D" w14:paraId="7466CAED" w14:textId="77777777" w:rsidTr="00A2153D">
        <w:trPr>
          <w:cnfStyle w:val="000000010000" w:firstRow="0" w:lastRow="0" w:firstColumn="0" w:lastColumn="0" w:oddVBand="0" w:evenVBand="0" w:oddHBand="0" w:evenHBand="1" w:firstRowFirstColumn="0" w:firstRowLastColumn="0" w:lastRowFirstColumn="0" w:lastRowLastColumn="0"/>
        </w:trPr>
        <w:tc>
          <w:tcPr>
            <w:tcW w:w="2552" w:type="dxa"/>
            <w:tcBorders>
              <w:top w:val="nil"/>
              <w:left w:val="nil"/>
              <w:right w:val="nil"/>
            </w:tcBorders>
            <w:noWrap/>
            <w:vAlign w:val="top"/>
            <w:hideMark/>
          </w:tcPr>
          <w:p w14:paraId="25DF1936" w14:textId="77777777" w:rsidR="00A2153D" w:rsidRDefault="00A2153D">
            <w:pPr>
              <w:pStyle w:val="TableText"/>
            </w:pPr>
            <w:r>
              <w:t>NSW Murrumbidgee other</w:t>
            </w:r>
          </w:p>
        </w:tc>
        <w:tc>
          <w:tcPr>
            <w:tcW w:w="1629" w:type="dxa"/>
            <w:tcBorders>
              <w:top w:val="nil"/>
              <w:left w:val="nil"/>
              <w:right w:val="nil"/>
            </w:tcBorders>
            <w:noWrap/>
            <w:hideMark/>
          </w:tcPr>
          <w:p w14:paraId="7AD6E9FB" w14:textId="77777777" w:rsidR="00A2153D" w:rsidRDefault="00A2153D">
            <w:pPr>
              <w:pStyle w:val="TableText"/>
              <w:ind w:right="394"/>
              <w:jc w:val="right"/>
            </w:pPr>
            <w:r>
              <w:t>-</w:t>
            </w:r>
          </w:p>
        </w:tc>
        <w:tc>
          <w:tcPr>
            <w:tcW w:w="1489" w:type="dxa"/>
            <w:tcBorders>
              <w:top w:val="nil"/>
              <w:left w:val="nil"/>
              <w:right w:val="nil"/>
            </w:tcBorders>
            <w:noWrap/>
            <w:hideMark/>
          </w:tcPr>
          <w:p w14:paraId="21DB3952" w14:textId="77777777" w:rsidR="00A2153D" w:rsidRDefault="00A2153D">
            <w:pPr>
              <w:pStyle w:val="TableText"/>
              <w:ind w:right="394"/>
              <w:jc w:val="right"/>
            </w:pPr>
            <w:r>
              <w:t>-</w:t>
            </w:r>
          </w:p>
        </w:tc>
        <w:tc>
          <w:tcPr>
            <w:tcW w:w="1770" w:type="dxa"/>
            <w:tcBorders>
              <w:top w:val="nil"/>
              <w:left w:val="nil"/>
              <w:right w:val="nil"/>
            </w:tcBorders>
            <w:noWrap/>
            <w:hideMark/>
          </w:tcPr>
          <w:p w14:paraId="7232D16F" w14:textId="77777777" w:rsidR="00A2153D" w:rsidRDefault="00A2153D">
            <w:pPr>
              <w:pStyle w:val="TableText"/>
              <w:ind w:right="394"/>
              <w:jc w:val="right"/>
            </w:pPr>
            <w:r>
              <w:t>3.4</w:t>
            </w:r>
          </w:p>
        </w:tc>
        <w:tc>
          <w:tcPr>
            <w:tcW w:w="1630" w:type="dxa"/>
            <w:tcBorders>
              <w:top w:val="nil"/>
              <w:left w:val="nil"/>
              <w:right w:val="nil"/>
            </w:tcBorders>
            <w:noWrap/>
            <w:hideMark/>
          </w:tcPr>
          <w:p w14:paraId="22997694" w14:textId="77777777" w:rsidR="00A2153D" w:rsidRDefault="00A2153D">
            <w:pPr>
              <w:pStyle w:val="TableText"/>
              <w:ind w:right="394"/>
              <w:jc w:val="right"/>
            </w:pPr>
            <w:r>
              <w:t>3.4</w:t>
            </w:r>
          </w:p>
        </w:tc>
      </w:tr>
      <w:tr w:rsidR="00A2153D" w14:paraId="565DBC01" w14:textId="77777777" w:rsidTr="00A2153D">
        <w:trPr>
          <w:cnfStyle w:val="000000100000" w:firstRow="0" w:lastRow="0" w:firstColumn="0" w:lastColumn="0" w:oddVBand="0" w:evenVBand="0" w:oddHBand="1" w:evenHBand="0" w:firstRowFirstColumn="0" w:firstRowLastColumn="0" w:lastRowFirstColumn="0" w:lastRowLastColumn="0"/>
        </w:trPr>
        <w:tc>
          <w:tcPr>
            <w:tcW w:w="2552" w:type="dxa"/>
            <w:noWrap/>
            <w:vAlign w:val="top"/>
            <w:hideMark/>
          </w:tcPr>
          <w:p w14:paraId="2683EB06" w14:textId="77777777" w:rsidR="00A2153D" w:rsidRDefault="00A2153D">
            <w:pPr>
              <w:pStyle w:val="TableText"/>
            </w:pPr>
            <w:r>
              <w:t>VIC Murray HRWS</w:t>
            </w:r>
          </w:p>
        </w:tc>
        <w:tc>
          <w:tcPr>
            <w:tcW w:w="1629" w:type="dxa"/>
            <w:noWrap/>
            <w:hideMark/>
          </w:tcPr>
          <w:p w14:paraId="2DDC01A6" w14:textId="77777777" w:rsidR="00A2153D" w:rsidRDefault="00A2153D">
            <w:pPr>
              <w:pStyle w:val="TableText"/>
              <w:ind w:right="394"/>
              <w:jc w:val="right"/>
            </w:pPr>
            <w:r>
              <w:t>174.8</w:t>
            </w:r>
          </w:p>
        </w:tc>
        <w:tc>
          <w:tcPr>
            <w:tcW w:w="1489" w:type="dxa"/>
            <w:noWrap/>
            <w:hideMark/>
          </w:tcPr>
          <w:p w14:paraId="6C38072E" w14:textId="77777777" w:rsidR="00A2153D" w:rsidRDefault="00A2153D">
            <w:pPr>
              <w:pStyle w:val="TableText"/>
              <w:ind w:right="394"/>
              <w:jc w:val="right"/>
            </w:pPr>
            <w:r>
              <w:t>179.5</w:t>
            </w:r>
          </w:p>
        </w:tc>
        <w:tc>
          <w:tcPr>
            <w:tcW w:w="1770" w:type="dxa"/>
            <w:noWrap/>
            <w:hideMark/>
          </w:tcPr>
          <w:p w14:paraId="3C7873A9" w14:textId="77777777" w:rsidR="00A2153D" w:rsidRDefault="00A2153D">
            <w:pPr>
              <w:pStyle w:val="TableText"/>
              <w:ind w:right="394"/>
              <w:jc w:val="right"/>
            </w:pPr>
            <w:r>
              <w:t>-</w:t>
            </w:r>
          </w:p>
        </w:tc>
        <w:tc>
          <w:tcPr>
            <w:tcW w:w="1630" w:type="dxa"/>
            <w:noWrap/>
            <w:hideMark/>
          </w:tcPr>
          <w:p w14:paraId="73F9EF49" w14:textId="77777777" w:rsidR="00A2153D" w:rsidRDefault="00A2153D">
            <w:pPr>
              <w:pStyle w:val="TableText"/>
              <w:ind w:right="394"/>
              <w:jc w:val="right"/>
            </w:pPr>
            <w:r>
              <w:t>-</w:t>
            </w:r>
          </w:p>
        </w:tc>
      </w:tr>
      <w:tr w:rsidR="00A2153D" w14:paraId="5FC52567" w14:textId="77777777" w:rsidTr="00A2153D">
        <w:trPr>
          <w:cnfStyle w:val="000000010000" w:firstRow="0" w:lastRow="0" w:firstColumn="0" w:lastColumn="0" w:oddVBand="0" w:evenVBand="0" w:oddHBand="0" w:evenHBand="1" w:firstRowFirstColumn="0" w:firstRowLastColumn="0" w:lastRowFirstColumn="0" w:lastRowLastColumn="0"/>
        </w:trPr>
        <w:tc>
          <w:tcPr>
            <w:tcW w:w="2552" w:type="dxa"/>
            <w:tcBorders>
              <w:top w:val="nil"/>
              <w:left w:val="nil"/>
              <w:right w:val="nil"/>
            </w:tcBorders>
            <w:noWrap/>
            <w:vAlign w:val="top"/>
            <w:hideMark/>
          </w:tcPr>
          <w:p w14:paraId="65024F33" w14:textId="77777777" w:rsidR="00A2153D" w:rsidRDefault="00A2153D">
            <w:pPr>
              <w:pStyle w:val="TableText"/>
            </w:pPr>
            <w:r>
              <w:t>VIC Murray LRWS</w:t>
            </w:r>
          </w:p>
        </w:tc>
        <w:tc>
          <w:tcPr>
            <w:tcW w:w="1629" w:type="dxa"/>
            <w:tcBorders>
              <w:top w:val="nil"/>
              <w:left w:val="nil"/>
              <w:right w:val="nil"/>
            </w:tcBorders>
            <w:noWrap/>
            <w:hideMark/>
          </w:tcPr>
          <w:p w14:paraId="24A53364" w14:textId="77777777" w:rsidR="00A2153D" w:rsidRDefault="00A2153D">
            <w:pPr>
              <w:pStyle w:val="TableText"/>
              <w:ind w:right="394"/>
              <w:jc w:val="right"/>
            </w:pPr>
            <w:r>
              <w:t>-</w:t>
            </w:r>
          </w:p>
        </w:tc>
        <w:tc>
          <w:tcPr>
            <w:tcW w:w="1489" w:type="dxa"/>
            <w:tcBorders>
              <w:top w:val="nil"/>
              <w:left w:val="nil"/>
              <w:right w:val="nil"/>
            </w:tcBorders>
            <w:noWrap/>
            <w:hideMark/>
          </w:tcPr>
          <w:p w14:paraId="70B15153" w14:textId="77777777" w:rsidR="00A2153D" w:rsidRDefault="00A2153D">
            <w:pPr>
              <w:pStyle w:val="TableText"/>
              <w:ind w:right="394"/>
              <w:jc w:val="right"/>
            </w:pPr>
            <w:r>
              <w:t>-</w:t>
            </w:r>
          </w:p>
        </w:tc>
        <w:tc>
          <w:tcPr>
            <w:tcW w:w="1770" w:type="dxa"/>
            <w:tcBorders>
              <w:top w:val="nil"/>
              <w:left w:val="nil"/>
              <w:right w:val="nil"/>
            </w:tcBorders>
            <w:noWrap/>
            <w:hideMark/>
          </w:tcPr>
          <w:p w14:paraId="5D89E0BA" w14:textId="77777777" w:rsidR="00A2153D" w:rsidRDefault="00A2153D">
            <w:pPr>
              <w:pStyle w:val="TableText"/>
              <w:ind w:right="394"/>
              <w:jc w:val="right"/>
            </w:pPr>
            <w:r>
              <w:t>12.6</w:t>
            </w:r>
          </w:p>
        </w:tc>
        <w:tc>
          <w:tcPr>
            <w:tcW w:w="1630" w:type="dxa"/>
            <w:tcBorders>
              <w:top w:val="nil"/>
              <w:left w:val="nil"/>
              <w:right w:val="nil"/>
            </w:tcBorders>
            <w:noWrap/>
            <w:hideMark/>
          </w:tcPr>
          <w:p w14:paraId="0D7F17EA" w14:textId="77777777" w:rsidR="00A2153D" w:rsidRDefault="00A2153D">
            <w:pPr>
              <w:pStyle w:val="TableText"/>
              <w:ind w:right="394"/>
              <w:jc w:val="right"/>
            </w:pPr>
            <w:r>
              <w:t>23.2</w:t>
            </w:r>
          </w:p>
        </w:tc>
      </w:tr>
      <w:tr w:rsidR="00A2153D" w14:paraId="5835D3B7" w14:textId="77777777" w:rsidTr="00A2153D">
        <w:trPr>
          <w:cnfStyle w:val="000000100000" w:firstRow="0" w:lastRow="0" w:firstColumn="0" w:lastColumn="0" w:oddVBand="0" w:evenVBand="0" w:oddHBand="1" w:evenHBand="0" w:firstRowFirstColumn="0" w:firstRowLastColumn="0" w:lastRowFirstColumn="0" w:lastRowLastColumn="0"/>
        </w:trPr>
        <w:tc>
          <w:tcPr>
            <w:tcW w:w="2552" w:type="dxa"/>
            <w:noWrap/>
            <w:vAlign w:val="top"/>
            <w:hideMark/>
          </w:tcPr>
          <w:p w14:paraId="2938BF81" w14:textId="77777777" w:rsidR="00A2153D" w:rsidRDefault="00A2153D">
            <w:pPr>
              <w:pStyle w:val="TableText"/>
            </w:pPr>
            <w:r>
              <w:t>VIC Goulburn HRWS</w:t>
            </w:r>
          </w:p>
        </w:tc>
        <w:tc>
          <w:tcPr>
            <w:tcW w:w="1629" w:type="dxa"/>
            <w:noWrap/>
            <w:hideMark/>
          </w:tcPr>
          <w:p w14:paraId="01177E9A" w14:textId="77777777" w:rsidR="00A2153D" w:rsidRDefault="00A2153D">
            <w:pPr>
              <w:pStyle w:val="TableText"/>
              <w:ind w:right="394"/>
              <w:jc w:val="right"/>
            </w:pPr>
            <w:r>
              <w:t>152.6</w:t>
            </w:r>
          </w:p>
        </w:tc>
        <w:tc>
          <w:tcPr>
            <w:tcW w:w="1489" w:type="dxa"/>
            <w:noWrap/>
            <w:hideMark/>
          </w:tcPr>
          <w:p w14:paraId="7D60790A" w14:textId="77777777" w:rsidR="00A2153D" w:rsidRDefault="00A2153D">
            <w:pPr>
              <w:pStyle w:val="TableText"/>
              <w:ind w:right="394"/>
              <w:jc w:val="right"/>
            </w:pPr>
            <w:r>
              <w:t>157.8</w:t>
            </w:r>
          </w:p>
        </w:tc>
        <w:tc>
          <w:tcPr>
            <w:tcW w:w="1770" w:type="dxa"/>
            <w:noWrap/>
            <w:hideMark/>
          </w:tcPr>
          <w:p w14:paraId="79105D15" w14:textId="77777777" w:rsidR="00A2153D" w:rsidRDefault="00A2153D">
            <w:pPr>
              <w:pStyle w:val="TableText"/>
              <w:ind w:right="394"/>
              <w:jc w:val="right"/>
            </w:pPr>
            <w:r>
              <w:t>-</w:t>
            </w:r>
          </w:p>
        </w:tc>
        <w:tc>
          <w:tcPr>
            <w:tcW w:w="1630" w:type="dxa"/>
            <w:noWrap/>
            <w:hideMark/>
          </w:tcPr>
          <w:p w14:paraId="03CFDBF4" w14:textId="77777777" w:rsidR="00A2153D" w:rsidRDefault="00A2153D">
            <w:pPr>
              <w:pStyle w:val="TableText"/>
              <w:ind w:right="394"/>
              <w:jc w:val="right"/>
            </w:pPr>
            <w:r>
              <w:t>-</w:t>
            </w:r>
          </w:p>
        </w:tc>
      </w:tr>
      <w:tr w:rsidR="00A2153D" w14:paraId="73D90768" w14:textId="77777777" w:rsidTr="00A2153D">
        <w:trPr>
          <w:cnfStyle w:val="000000010000" w:firstRow="0" w:lastRow="0" w:firstColumn="0" w:lastColumn="0" w:oddVBand="0" w:evenVBand="0" w:oddHBand="0" w:evenHBand="1" w:firstRowFirstColumn="0" w:firstRowLastColumn="0" w:lastRowFirstColumn="0" w:lastRowLastColumn="0"/>
        </w:trPr>
        <w:tc>
          <w:tcPr>
            <w:tcW w:w="2552" w:type="dxa"/>
            <w:tcBorders>
              <w:top w:val="nil"/>
              <w:left w:val="nil"/>
              <w:right w:val="nil"/>
            </w:tcBorders>
            <w:noWrap/>
            <w:vAlign w:val="top"/>
            <w:hideMark/>
          </w:tcPr>
          <w:p w14:paraId="2407F68A" w14:textId="77777777" w:rsidR="00A2153D" w:rsidRDefault="00A2153D">
            <w:pPr>
              <w:pStyle w:val="TableText"/>
            </w:pPr>
            <w:r>
              <w:t>VIC Goulburn LRWS</w:t>
            </w:r>
          </w:p>
        </w:tc>
        <w:tc>
          <w:tcPr>
            <w:tcW w:w="1629" w:type="dxa"/>
            <w:tcBorders>
              <w:top w:val="nil"/>
              <w:left w:val="nil"/>
              <w:right w:val="nil"/>
            </w:tcBorders>
            <w:noWrap/>
            <w:hideMark/>
          </w:tcPr>
          <w:p w14:paraId="6089C48D" w14:textId="77777777" w:rsidR="00A2153D" w:rsidRDefault="00A2153D">
            <w:pPr>
              <w:pStyle w:val="TableText"/>
              <w:ind w:right="394"/>
              <w:jc w:val="right"/>
            </w:pPr>
            <w:r>
              <w:t>-</w:t>
            </w:r>
          </w:p>
        </w:tc>
        <w:tc>
          <w:tcPr>
            <w:tcW w:w="1489" w:type="dxa"/>
            <w:tcBorders>
              <w:top w:val="nil"/>
              <w:left w:val="nil"/>
              <w:right w:val="nil"/>
            </w:tcBorders>
            <w:noWrap/>
            <w:hideMark/>
          </w:tcPr>
          <w:p w14:paraId="20464CCF" w14:textId="77777777" w:rsidR="00A2153D" w:rsidRDefault="00A2153D">
            <w:pPr>
              <w:pStyle w:val="TableText"/>
              <w:ind w:right="394"/>
              <w:jc w:val="right"/>
            </w:pPr>
            <w:r>
              <w:t>-</w:t>
            </w:r>
          </w:p>
        </w:tc>
        <w:tc>
          <w:tcPr>
            <w:tcW w:w="1770" w:type="dxa"/>
            <w:tcBorders>
              <w:top w:val="nil"/>
              <w:left w:val="nil"/>
              <w:right w:val="nil"/>
            </w:tcBorders>
            <w:noWrap/>
            <w:hideMark/>
          </w:tcPr>
          <w:p w14:paraId="43FD7724" w14:textId="77777777" w:rsidR="00A2153D" w:rsidRDefault="00A2153D">
            <w:pPr>
              <w:pStyle w:val="TableText"/>
              <w:ind w:right="394"/>
              <w:jc w:val="right"/>
            </w:pPr>
            <w:r>
              <w:t>16.2</w:t>
            </w:r>
          </w:p>
        </w:tc>
        <w:tc>
          <w:tcPr>
            <w:tcW w:w="1630" w:type="dxa"/>
            <w:tcBorders>
              <w:top w:val="nil"/>
              <w:left w:val="nil"/>
              <w:right w:val="nil"/>
            </w:tcBorders>
            <w:noWrap/>
            <w:hideMark/>
          </w:tcPr>
          <w:p w14:paraId="6DD08707" w14:textId="77777777" w:rsidR="00A2153D" w:rsidRDefault="00A2153D">
            <w:pPr>
              <w:pStyle w:val="TableText"/>
              <w:ind w:right="394"/>
              <w:jc w:val="right"/>
            </w:pPr>
            <w:r>
              <w:t>27.8</w:t>
            </w:r>
          </w:p>
        </w:tc>
      </w:tr>
      <w:tr w:rsidR="00A2153D" w14:paraId="68E80280" w14:textId="77777777" w:rsidTr="00A2153D">
        <w:trPr>
          <w:cnfStyle w:val="000000100000" w:firstRow="0" w:lastRow="0" w:firstColumn="0" w:lastColumn="0" w:oddVBand="0" w:evenVBand="0" w:oddHBand="1" w:evenHBand="0" w:firstRowFirstColumn="0" w:firstRowLastColumn="0" w:lastRowFirstColumn="0" w:lastRowLastColumn="0"/>
        </w:trPr>
        <w:tc>
          <w:tcPr>
            <w:tcW w:w="2552" w:type="dxa"/>
            <w:noWrap/>
            <w:vAlign w:val="top"/>
            <w:hideMark/>
          </w:tcPr>
          <w:p w14:paraId="67FE2853" w14:textId="77777777" w:rsidR="00A2153D" w:rsidRDefault="00A2153D">
            <w:pPr>
              <w:pStyle w:val="TableText"/>
            </w:pPr>
            <w:r>
              <w:t>VIC Other HRWS</w:t>
            </w:r>
          </w:p>
        </w:tc>
        <w:tc>
          <w:tcPr>
            <w:tcW w:w="1629" w:type="dxa"/>
            <w:noWrap/>
            <w:hideMark/>
          </w:tcPr>
          <w:p w14:paraId="1C5DE89F" w14:textId="77777777" w:rsidR="00A2153D" w:rsidRDefault="00A2153D">
            <w:pPr>
              <w:pStyle w:val="TableText"/>
              <w:ind w:right="394"/>
              <w:jc w:val="right"/>
            </w:pPr>
            <w:r>
              <w:t>4.3</w:t>
            </w:r>
          </w:p>
        </w:tc>
        <w:tc>
          <w:tcPr>
            <w:tcW w:w="1489" w:type="dxa"/>
            <w:noWrap/>
            <w:hideMark/>
          </w:tcPr>
          <w:p w14:paraId="59B1E7E3" w14:textId="77777777" w:rsidR="00A2153D" w:rsidRDefault="00A2153D">
            <w:pPr>
              <w:pStyle w:val="TableText"/>
              <w:ind w:right="394"/>
              <w:jc w:val="right"/>
            </w:pPr>
            <w:r>
              <w:t>5.3</w:t>
            </w:r>
          </w:p>
        </w:tc>
        <w:tc>
          <w:tcPr>
            <w:tcW w:w="1770" w:type="dxa"/>
            <w:noWrap/>
            <w:hideMark/>
          </w:tcPr>
          <w:p w14:paraId="1919DE49" w14:textId="77777777" w:rsidR="00A2153D" w:rsidRDefault="00A2153D">
            <w:pPr>
              <w:pStyle w:val="TableText"/>
              <w:ind w:right="394"/>
              <w:jc w:val="right"/>
            </w:pPr>
            <w:r>
              <w:t>-</w:t>
            </w:r>
          </w:p>
        </w:tc>
        <w:tc>
          <w:tcPr>
            <w:tcW w:w="1630" w:type="dxa"/>
            <w:noWrap/>
            <w:hideMark/>
          </w:tcPr>
          <w:p w14:paraId="107162CD" w14:textId="77777777" w:rsidR="00A2153D" w:rsidRDefault="00A2153D">
            <w:pPr>
              <w:pStyle w:val="TableText"/>
              <w:ind w:right="394"/>
              <w:jc w:val="right"/>
            </w:pPr>
            <w:r>
              <w:t>-</w:t>
            </w:r>
          </w:p>
        </w:tc>
      </w:tr>
      <w:tr w:rsidR="00A2153D" w14:paraId="0CD585E0" w14:textId="77777777" w:rsidTr="00A2153D">
        <w:trPr>
          <w:cnfStyle w:val="000000010000" w:firstRow="0" w:lastRow="0" w:firstColumn="0" w:lastColumn="0" w:oddVBand="0" w:evenVBand="0" w:oddHBand="0" w:evenHBand="1" w:firstRowFirstColumn="0" w:firstRowLastColumn="0" w:lastRowFirstColumn="0" w:lastRowLastColumn="0"/>
        </w:trPr>
        <w:tc>
          <w:tcPr>
            <w:tcW w:w="2552" w:type="dxa"/>
            <w:tcBorders>
              <w:top w:val="nil"/>
              <w:left w:val="nil"/>
              <w:right w:val="nil"/>
            </w:tcBorders>
            <w:noWrap/>
            <w:vAlign w:val="top"/>
            <w:hideMark/>
          </w:tcPr>
          <w:p w14:paraId="27B4D2E6" w14:textId="77777777" w:rsidR="00A2153D" w:rsidRDefault="00A2153D">
            <w:pPr>
              <w:pStyle w:val="TableText"/>
            </w:pPr>
            <w:r>
              <w:t>VIC Other LRWS</w:t>
            </w:r>
          </w:p>
        </w:tc>
        <w:tc>
          <w:tcPr>
            <w:tcW w:w="1629" w:type="dxa"/>
            <w:tcBorders>
              <w:top w:val="nil"/>
              <w:left w:val="nil"/>
              <w:right w:val="nil"/>
            </w:tcBorders>
            <w:noWrap/>
            <w:hideMark/>
          </w:tcPr>
          <w:p w14:paraId="5F0B98B2" w14:textId="77777777" w:rsidR="00A2153D" w:rsidRDefault="00A2153D">
            <w:pPr>
              <w:pStyle w:val="TableText"/>
              <w:ind w:right="394"/>
              <w:jc w:val="right"/>
            </w:pPr>
            <w:r>
              <w:t>-</w:t>
            </w:r>
          </w:p>
        </w:tc>
        <w:tc>
          <w:tcPr>
            <w:tcW w:w="1489" w:type="dxa"/>
            <w:tcBorders>
              <w:top w:val="nil"/>
              <w:left w:val="nil"/>
              <w:right w:val="nil"/>
            </w:tcBorders>
            <w:noWrap/>
            <w:hideMark/>
          </w:tcPr>
          <w:p w14:paraId="5AEDC805" w14:textId="77777777" w:rsidR="00A2153D" w:rsidRDefault="00A2153D">
            <w:pPr>
              <w:pStyle w:val="TableText"/>
              <w:ind w:right="394"/>
              <w:jc w:val="right"/>
            </w:pPr>
            <w:r>
              <w:t>-</w:t>
            </w:r>
          </w:p>
        </w:tc>
        <w:tc>
          <w:tcPr>
            <w:tcW w:w="1770" w:type="dxa"/>
            <w:tcBorders>
              <w:top w:val="nil"/>
              <w:left w:val="nil"/>
              <w:right w:val="nil"/>
            </w:tcBorders>
            <w:noWrap/>
            <w:hideMark/>
          </w:tcPr>
          <w:p w14:paraId="6F1F3C1C" w14:textId="77777777" w:rsidR="00A2153D" w:rsidRDefault="00A2153D">
            <w:pPr>
              <w:pStyle w:val="TableText"/>
              <w:ind w:right="394"/>
              <w:jc w:val="right"/>
            </w:pPr>
            <w:r>
              <w:t>0.2</w:t>
            </w:r>
          </w:p>
        </w:tc>
        <w:tc>
          <w:tcPr>
            <w:tcW w:w="1630" w:type="dxa"/>
            <w:tcBorders>
              <w:top w:val="nil"/>
              <w:left w:val="nil"/>
              <w:right w:val="nil"/>
            </w:tcBorders>
            <w:noWrap/>
            <w:hideMark/>
          </w:tcPr>
          <w:p w14:paraId="1C51E547" w14:textId="77777777" w:rsidR="00A2153D" w:rsidRDefault="00A2153D">
            <w:pPr>
              <w:pStyle w:val="TableText"/>
              <w:ind w:right="394"/>
              <w:jc w:val="right"/>
            </w:pPr>
            <w:r>
              <w:t>0.6</w:t>
            </w:r>
          </w:p>
        </w:tc>
      </w:tr>
    </w:tbl>
    <w:p w14:paraId="767D94E0" w14:textId="77777777" w:rsidR="00A2153D" w:rsidRDefault="00A2153D" w:rsidP="00A2153D">
      <w:pPr>
        <w:spacing w:after="320"/>
        <w:rPr>
          <w:color w:val="9BA1A5"/>
        </w:rPr>
      </w:pPr>
      <w:r>
        <w:rPr>
          <w:i/>
          <w:color w:val="9BA1A5"/>
          <w:sz w:val="16"/>
          <w:szCs w:val="16"/>
        </w:rPr>
        <w:t>Source: Frontier Economics</w:t>
      </w:r>
    </w:p>
    <w:p w14:paraId="4AC53F8C" w14:textId="6F9DAFB5" w:rsidR="00A2153D" w:rsidRDefault="00A2153D" w:rsidP="00A2153D">
      <w:pPr>
        <w:pStyle w:val="BodyText"/>
      </w:pPr>
      <w:r>
        <w:t>Given these bookend portfolios, there are also alternative way</w:t>
      </w:r>
      <w:r w:rsidR="00440B1A">
        <w:t>s</w:t>
      </w:r>
      <w:r>
        <w:t xml:space="preserve"> to consider the potential impact of </w:t>
      </w:r>
      <w:r w:rsidR="00440B1A">
        <w:t xml:space="preserve">an </w:t>
      </w:r>
      <w:r>
        <w:t xml:space="preserve">average annual 450GL </w:t>
      </w:r>
      <w:r w:rsidR="00440B1A">
        <w:t xml:space="preserve">water recovery </w:t>
      </w:r>
      <w:r>
        <w:t>on the consumptive pool under various seasonal conditions, namely:</w:t>
      </w:r>
    </w:p>
    <w:p w14:paraId="0C23C68A" w14:textId="77777777" w:rsidR="00A2153D" w:rsidRDefault="00A2153D" w:rsidP="00597401">
      <w:pPr>
        <w:pStyle w:val="ParaBullet1"/>
        <w:numPr>
          <w:ilvl w:val="0"/>
          <w:numId w:val="14"/>
        </w:numPr>
      </w:pPr>
      <w:r>
        <w:t>The announced allocations to the 450GL portfolio</w:t>
      </w:r>
    </w:p>
    <w:p w14:paraId="53844617" w14:textId="77777777" w:rsidR="00A2153D" w:rsidRDefault="00A2153D" w:rsidP="00597401">
      <w:pPr>
        <w:pStyle w:val="ParaBullet1"/>
        <w:numPr>
          <w:ilvl w:val="0"/>
          <w:numId w:val="14"/>
        </w:numPr>
      </w:pPr>
      <w:r>
        <w:lastRenderedPageBreak/>
        <w:t>The allocations to the 450GL portfolio, given the currently observed carryover behaviour of the CEWH (which means allocations received are sometimes lower than announced amounts due to carryover rules).</w:t>
      </w:r>
    </w:p>
    <w:p w14:paraId="1481D5C5" w14:textId="0E37DBBF" w:rsidR="00A2153D" w:rsidRDefault="00A2153D" w:rsidP="00A2153D">
      <w:pPr>
        <w:pStyle w:val="BodyText"/>
      </w:pPr>
      <w:r>
        <w:t xml:space="preserve">The impact of these 450GL buyback approaches (the two bookend portfolios and the original 450GL buyback across all entitlement types considered in section </w:t>
      </w:r>
      <w:r>
        <w:fldChar w:fldCharType="begin"/>
      </w:r>
      <w:r>
        <w:instrText xml:space="preserve"> REF _Ref109944986 \r \h </w:instrText>
      </w:r>
      <w:r>
        <w:fldChar w:fldCharType="separate"/>
      </w:r>
      <w:r w:rsidR="00D4298A">
        <w:t>12.1.1</w:t>
      </w:r>
      <w:r>
        <w:fldChar w:fldCharType="end"/>
      </w:r>
      <w:r>
        <w:t>) is starkly different. The analysis below explores these impacts using the conditions experienced in 2017-18 to 2021-22 as an example of seasonal variability.</w:t>
      </w:r>
    </w:p>
    <w:p w14:paraId="53F2B23E" w14:textId="68C78DC4" w:rsidR="00A2153D" w:rsidRDefault="00A2153D" w:rsidP="00A2153D">
      <w:pPr>
        <w:pStyle w:val="BodyText"/>
      </w:pPr>
      <w:r>
        <w:fldChar w:fldCharType="begin"/>
      </w:r>
      <w:r>
        <w:instrText xml:space="preserve"> REF _Ref109945125 \h </w:instrText>
      </w:r>
      <w:r>
        <w:fldChar w:fldCharType="separate"/>
      </w:r>
      <w:r w:rsidR="00D4298A">
        <w:rPr>
          <w:rStyle w:val="Bold"/>
        </w:rPr>
        <w:t xml:space="preserve">Figure </w:t>
      </w:r>
      <w:r w:rsidR="00D4298A">
        <w:rPr>
          <w:rStyle w:val="Bold"/>
          <w:noProof/>
        </w:rPr>
        <w:t>22</w:t>
      </w:r>
      <w:r>
        <w:fldChar w:fldCharType="end"/>
      </w:r>
      <w:r>
        <w:t xml:space="preserve"> shows this difference, calculated using announced allocations. This shows that if the 450GL buyback is undertaken to focus on high reliability entitlements, then the water secured for the environment and no longer available for irrigation and other types of water use is relatively constant over the range of recently experienced conditions — remaining between 365–480GL each year. Such a large impact on the consumptive pool in a dry year such as 2018-19 or 2019-20 would have large impacts on crops with fixed water demands and the market price of water allocations. In contrast, a 450GL buyback focusing on lower reliability entitlements would have a much more variable impact on the consumptive pool — ranging from 17–37GL in drier years such as 2018-19 or 2019-20, to 708GL in wetter years like 2021-22. This lower reliability approach to a 450GL buyback would have only a limited impact on the consumptive pool in dry years, while volumetrically reducing water availability by a larger amount in wetter years when water is relatively abundant.</w:t>
      </w:r>
    </w:p>
    <w:p w14:paraId="20ACDFE6" w14:textId="7BD2D906" w:rsidR="00A2153D" w:rsidRDefault="00A2153D" w:rsidP="00A2153D">
      <w:pPr>
        <w:pStyle w:val="Caption"/>
      </w:pPr>
      <w:bookmarkStart w:id="248" w:name="_Ref109945125"/>
      <w:bookmarkStart w:id="249" w:name="_Toc110262454"/>
      <w:bookmarkStart w:id="250" w:name="_Toc113621734"/>
      <w:r>
        <w:rPr>
          <w:rStyle w:val="Bold"/>
        </w:rPr>
        <w:t xml:space="preserve">Figure </w:t>
      </w:r>
      <w:r>
        <w:fldChar w:fldCharType="begin"/>
      </w:r>
      <w:r>
        <w:rPr>
          <w:rStyle w:val="Bold"/>
        </w:rPr>
        <w:instrText xml:space="preserve"> SEQ Figure \* ARABIC </w:instrText>
      </w:r>
      <w:r>
        <w:fldChar w:fldCharType="separate"/>
      </w:r>
      <w:r w:rsidR="00D4298A">
        <w:rPr>
          <w:rStyle w:val="Bold"/>
          <w:noProof/>
        </w:rPr>
        <w:t>22</w:t>
      </w:r>
      <w:r>
        <w:fldChar w:fldCharType="end"/>
      </w:r>
      <w:bookmarkEnd w:id="248"/>
      <w:r>
        <w:t>: Impact of 450GL buyback approaches, based on announced allocations</w:t>
      </w:r>
      <w:bookmarkEnd w:id="249"/>
      <w:bookmarkEnd w:id="250"/>
    </w:p>
    <w:p w14:paraId="23163932" w14:textId="55390D9D" w:rsidR="00A2153D" w:rsidRDefault="00A2153D" w:rsidP="00A2153D">
      <w:pPr>
        <w:pStyle w:val="Image-Page1fullwidth"/>
        <w:keepNext/>
        <w:framePr w:w="0" w:hSpace="0" w:wrap="auto" w:vAnchor="margin" w:yAlign="inline"/>
        <w:spacing w:after="0" w:line="240" w:lineRule="auto"/>
      </w:pPr>
      <w:r>
        <w:drawing>
          <wp:inline distT="0" distB="0" distL="0" distR="0" wp14:anchorId="0209BCE4" wp14:editId="7F575A88">
            <wp:extent cx="5695950" cy="3505200"/>
            <wp:effectExtent l="0" t="0" r="0" b="0"/>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95950" cy="3505200"/>
                    </a:xfrm>
                    <a:prstGeom prst="rect">
                      <a:avLst/>
                    </a:prstGeom>
                    <a:noFill/>
                    <a:ln>
                      <a:noFill/>
                    </a:ln>
                  </pic:spPr>
                </pic:pic>
              </a:graphicData>
            </a:graphic>
          </wp:inline>
        </w:drawing>
      </w:r>
    </w:p>
    <w:p w14:paraId="269D074F" w14:textId="77777777" w:rsidR="00A2153D" w:rsidRDefault="00A2153D" w:rsidP="00A2153D">
      <w:pPr>
        <w:pStyle w:val="Source"/>
        <w:rPr>
          <w:color w:val="9BA1A5"/>
        </w:rPr>
      </w:pPr>
      <w:r>
        <w:rPr>
          <w:color w:val="9BA1A5"/>
        </w:rPr>
        <w:t>Source: Frontier Economics</w:t>
      </w:r>
    </w:p>
    <w:p w14:paraId="712E3ADC" w14:textId="77777777" w:rsidR="00A2153D" w:rsidRDefault="00A2153D" w:rsidP="00A2153D">
      <w:pPr>
        <w:pStyle w:val="BodyText"/>
      </w:pPr>
      <w:r>
        <w:t xml:space="preserve">These results are similarly found if the allocations experienced by the CEWH are used to consider the buyback approaches. The volumes in drier years are the same as the announced allocations above, however in wetter years the allocations received are lower than announced amounts due </w:t>
      </w:r>
      <w:r>
        <w:lastRenderedPageBreak/>
        <w:t>to the observed CEWH carryover decisions and the carryover rules</w:t>
      </w:r>
      <w:r>
        <w:rPr>
          <w:rStyle w:val="FootnoteReference"/>
        </w:rPr>
        <w:footnoteReference w:id="42"/>
      </w:r>
      <w:r>
        <w:t>. Under conditions such as 2021-22 the impact on the consumptive pool is 561GL as compared to the 708GL calculated based on allocation announcements.</w:t>
      </w:r>
    </w:p>
    <w:p w14:paraId="15950FF9" w14:textId="736C7CF7" w:rsidR="00A2153D" w:rsidRDefault="00A2153D" w:rsidP="00A2153D">
      <w:pPr>
        <w:pStyle w:val="Caption"/>
      </w:pPr>
      <w:bookmarkStart w:id="251" w:name="_Toc110262455"/>
      <w:bookmarkStart w:id="252" w:name="_Toc113621735"/>
      <w:r>
        <w:rPr>
          <w:rStyle w:val="Bold"/>
        </w:rPr>
        <w:t xml:space="preserve">Figure </w:t>
      </w:r>
      <w:r>
        <w:fldChar w:fldCharType="begin"/>
      </w:r>
      <w:r>
        <w:rPr>
          <w:rStyle w:val="Bold"/>
        </w:rPr>
        <w:instrText xml:space="preserve"> SEQ Figure \* ARABIC </w:instrText>
      </w:r>
      <w:r>
        <w:fldChar w:fldCharType="separate"/>
      </w:r>
      <w:r w:rsidR="00D4298A">
        <w:rPr>
          <w:rStyle w:val="Bold"/>
          <w:noProof/>
        </w:rPr>
        <w:t>23</w:t>
      </w:r>
      <w:r>
        <w:fldChar w:fldCharType="end"/>
      </w:r>
      <w:r>
        <w:t>: Impact of 450GL buyback approaches, based on allocations experienced by CEWH</w:t>
      </w:r>
      <w:bookmarkEnd w:id="251"/>
      <w:bookmarkEnd w:id="252"/>
    </w:p>
    <w:p w14:paraId="1292754A" w14:textId="208B281D" w:rsidR="00A2153D" w:rsidRDefault="00A2153D" w:rsidP="00A2153D">
      <w:pPr>
        <w:pStyle w:val="Image-Page1fullwidth"/>
        <w:keepNext/>
        <w:framePr w:w="0" w:hSpace="0" w:wrap="auto" w:vAnchor="margin" w:yAlign="inline"/>
        <w:spacing w:after="0" w:line="240" w:lineRule="auto"/>
      </w:pPr>
      <w:r>
        <w:drawing>
          <wp:inline distT="0" distB="0" distL="0" distR="0" wp14:anchorId="4AA039D0" wp14:editId="6AF6FE6A">
            <wp:extent cx="5676900" cy="3543300"/>
            <wp:effectExtent l="0" t="0" r="0" b="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6900" cy="3543300"/>
                    </a:xfrm>
                    <a:prstGeom prst="rect">
                      <a:avLst/>
                    </a:prstGeom>
                    <a:noFill/>
                    <a:ln>
                      <a:noFill/>
                    </a:ln>
                  </pic:spPr>
                </pic:pic>
              </a:graphicData>
            </a:graphic>
          </wp:inline>
        </w:drawing>
      </w:r>
    </w:p>
    <w:p w14:paraId="17AA4358" w14:textId="77777777" w:rsidR="00A2153D" w:rsidRDefault="00A2153D" w:rsidP="00A2153D">
      <w:pPr>
        <w:pStyle w:val="Source"/>
        <w:rPr>
          <w:color w:val="9BA1A5"/>
        </w:rPr>
      </w:pPr>
      <w:r>
        <w:rPr>
          <w:color w:val="9BA1A5"/>
        </w:rPr>
        <w:t>Source: Frontier Economics</w:t>
      </w:r>
    </w:p>
    <w:p w14:paraId="79E647EE" w14:textId="77777777" w:rsidR="00A2153D" w:rsidRDefault="00A2153D" w:rsidP="00A2153D">
      <w:pPr>
        <w:pStyle w:val="BodyText"/>
      </w:pPr>
    </w:p>
    <w:p w14:paraId="126261CF" w14:textId="77777777" w:rsidR="00A2153D" w:rsidRDefault="00A2153D" w:rsidP="00597401">
      <w:pPr>
        <w:pStyle w:val="Heading2numbered"/>
        <w:numPr>
          <w:ilvl w:val="1"/>
          <w:numId w:val="12"/>
        </w:numPr>
        <w:tabs>
          <w:tab w:val="clear" w:pos="851"/>
        </w:tabs>
        <w:ind w:left="0" w:firstLine="0"/>
      </w:pPr>
      <w:bookmarkStart w:id="253" w:name="_Toc110262408"/>
      <w:bookmarkStart w:id="254" w:name="_Toc113621677"/>
      <w:r>
        <w:t>The impacts of the Basin Plan for possible future SDL scenarios</w:t>
      </w:r>
      <w:bookmarkEnd w:id="253"/>
      <w:bookmarkEnd w:id="254"/>
    </w:p>
    <w:p w14:paraId="634F0ED9" w14:textId="77777777" w:rsidR="00A2153D" w:rsidRDefault="00A2153D" w:rsidP="00A2153D">
      <w:pPr>
        <w:pStyle w:val="BodyText"/>
      </w:pPr>
      <w:r>
        <w:t>This section considers the impacts of the Basin Plan for four future SDL scenarios.</w:t>
      </w:r>
    </w:p>
    <w:p w14:paraId="6AF99410" w14:textId="77777777" w:rsidR="00A2153D" w:rsidRDefault="00A2153D" w:rsidP="00A2153D">
      <w:pPr>
        <w:pStyle w:val="BodyText"/>
      </w:pPr>
      <w:r>
        <w:t>Given water recovery has broadly achieved the revised ‘Bridging the Gap’ commitment of 2,075GL, the two main drivers of potential future water recovery to implement the Basin Plan are policies around the:</w:t>
      </w:r>
    </w:p>
    <w:p w14:paraId="03B225F9" w14:textId="77777777" w:rsidR="00A2153D" w:rsidRDefault="00A2153D" w:rsidP="00597401">
      <w:pPr>
        <w:pStyle w:val="ParaBullet1"/>
        <w:numPr>
          <w:ilvl w:val="0"/>
          <w:numId w:val="14"/>
        </w:numPr>
      </w:pPr>
      <w:r>
        <w:t>achievement of the 605GL from SDLAM projects by 30 June 2024 — noting that the review by Indec found some projects were a high risk not delivering by 30 June 2024</w:t>
      </w:r>
    </w:p>
    <w:p w14:paraId="6467742E" w14:textId="0F6AAD7D" w:rsidR="00A2153D" w:rsidRDefault="00A2153D" w:rsidP="00597401">
      <w:pPr>
        <w:pStyle w:val="ParaBullet1"/>
        <w:numPr>
          <w:ilvl w:val="0"/>
          <w:numId w:val="14"/>
        </w:numPr>
      </w:pPr>
      <w:r>
        <w:t xml:space="preserve">achievement of the 450GL of ‘upwater’ for enhanced environmental outcomes, and for which projects are subject to socio-economic neutrality requirements — noting that 62 GL of efficiency </w:t>
      </w:r>
      <w:r w:rsidR="008A5D3E">
        <w:t xml:space="preserve">measures </w:t>
      </w:r>
      <w:r>
        <w:t>are necessary to satisfy the 5% limit on changing the SDL to fully benefit from the potential 605GL SDL offsets from SDLAM projects.</w:t>
      </w:r>
    </w:p>
    <w:p w14:paraId="6FE107C9" w14:textId="189ECD6F" w:rsidR="00A2153D" w:rsidRDefault="00A2153D" w:rsidP="00A2153D">
      <w:pPr>
        <w:pStyle w:val="BodyText"/>
      </w:pPr>
      <w:r>
        <w:lastRenderedPageBreak/>
        <w:t xml:space="preserve">These scenarios (set out in </w:t>
      </w:r>
      <w:r>
        <w:fldChar w:fldCharType="begin"/>
      </w:r>
      <w:r>
        <w:instrText xml:space="preserve"> REF _Ref110257023 \h </w:instrText>
      </w:r>
      <w:r>
        <w:fldChar w:fldCharType="separate"/>
      </w:r>
      <w:r w:rsidR="00D4298A">
        <w:rPr>
          <w:rStyle w:val="Bold"/>
        </w:rPr>
        <w:t xml:space="preserve">Table </w:t>
      </w:r>
      <w:r w:rsidR="00D4298A">
        <w:rPr>
          <w:rStyle w:val="Bold"/>
          <w:noProof/>
        </w:rPr>
        <w:t>20</w:t>
      </w:r>
      <w:r>
        <w:fldChar w:fldCharType="end"/>
      </w:r>
      <w:r>
        <w:t xml:space="preserve">) are ordered in terms of increasing water recovery being required through buybacks. The volumes associated with these scenarios are comparatively set out in more detail in </w:t>
      </w:r>
      <w:r>
        <w:fldChar w:fldCharType="begin"/>
      </w:r>
      <w:r>
        <w:instrText xml:space="preserve"> REF _Ref109950633 \h </w:instrText>
      </w:r>
      <w:r>
        <w:fldChar w:fldCharType="separate"/>
      </w:r>
      <w:r w:rsidR="00D4298A">
        <w:rPr>
          <w:rStyle w:val="Bold"/>
        </w:rPr>
        <w:t xml:space="preserve">Table </w:t>
      </w:r>
      <w:r w:rsidR="00D4298A">
        <w:rPr>
          <w:rStyle w:val="Bold"/>
          <w:noProof/>
        </w:rPr>
        <w:t>21</w:t>
      </w:r>
      <w:r>
        <w:fldChar w:fldCharType="end"/>
      </w:r>
      <w:r>
        <w:t>, and explained in the scenario discussions below.</w:t>
      </w:r>
    </w:p>
    <w:p w14:paraId="26F4AC9F" w14:textId="16C1B612" w:rsidR="00A2153D" w:rsidRDefault="00A2153D" w:rsidP="00A2153D">
      <w:pPr>
        <w:pStyle w:val="Caption"/>
      </w:pPr>
      <w:bookmarkStart w:id="255" w:name="_Ref110257023"/>
      <w:bookmarkStart w:id="256" w:name="_Toc110262424"/>
      <w:bookmarkStart w:id="257" w:name="_Toc113621707"/>
      <w:r>
        <w:rPr>
          <w:rStyle w:val="Bold"/>
        </w:rPr>
        <w:t xml:space="preserve">Table </w:t>
      </w:r>
      <w:r>
        <w:fldChar w:fldCharType="begin"/>
      </w:r>
      <w:r>
        <w:rPr>
          <w:rStyle w:val="Bold"/>
        </w:rPr>
        <w:instrText xml:space="preserve"> SEQ Table \* ARABIC </w:instrText>
      </w:r>
      <w:r>
        <w:fldChar w:fldCharType="separate"/>
      </w:r>
      <w:r w:rsidR="00D4298A">
        <w:rPr>
          <w:rStyle w:val="Bold"/>
          <w:noProof/>
        </w:rPr>
        <w:t>20</w:t>
      </w:r>
      <w:r>
        <w:fldChar w:fldCharType="end"/>
      </w:r>
      <w:bookmarkEnd w:id="255"/>
      <w:r>
        <w:rPr>
          <w:rStyle w:val="Bold"/>
        </w:rPr>
        <w:t>:</w:t>
      </w:r>
      <w:r>
        <w:t xml:space="preserve"> Four future SDL scenarios</w:t>
      </w:r>
      <w:bookmarkEnd w:id="256"/>
      <w:bookmarkEnd w:id="257"/>
    </w:p>
    <w:tbl>
      <w:tblPr>
        <w:tblStyle w:val="FETableStyle"/>
        <w:tblW w:w="9070" w:type="dxa"/>
        <w:tblLook w:val="0420" w:firstRow="1" w:lastRow="0" w:firstColumn="0" w:lastColumn="0" w:noHBand="0" w:noVBand="1"/>
      </w:tblPr>
      <w:tblGrid>
        <w:gridCol w:w="1155"/>
        <w:gridCol w:w="2956"/>
        <w:gridCol w:w="3649"/>
        <w:gridCol w:w="1310"/>
      </w:tblGrid>
      <w:tr w:rsidR="00A2153D" w14:paraId="5A097C05" w14:textId="77777777" w:rsidTr="00A2153D">
        <w:trPr>
          <w:cnfStyle w:val="100000000000" w:firstRow="1" w:lastRow="0" w:firstColumn="0" w:lastColumn="0" w:oddVBand="0" w:evenVBand="0" w:oddHBand="0" w:evenHBand="0" w:firstRowFirstColumn="0" w:firstRowLastColumn="0" w:lastRowFirstColumn="0" w:lastRowLastColumn="0"/>
        </w:trPr>
        <w:tc>
          <w:tcPr>
            <w:tcW w:w="1155" w:type="dxa"/>
            <w:tcBorders>
              <w:top w:val="nil"/>
              <w:left w:val="nil"/>
              <w:bottom w:val="nil"/>
              <w:right w:val="nil"/>
            </w:tcBorders>
            <w:hideMark/>
          </w:tcPr>
          <w:p w14:paraId="138F1A52" w14:textId="77777777" w:rsidR="00A2153D" w:rsidRDefault="00A2153D">
            <w:pPr>
              <w:pStyle w:val="TableHeading"/>
              <w:rPr>
                <w:b/>
              </w:rPr>
            </w:pPr>
            <w:r>
              <w:rPr>
                <w:b/>
              </w:rPr>
              <w:t>Scenario</w:t>
            </w:r>
          </w:p>
        </w:tc>
        <w:tc>
          <w:tcPr>
            <w:tcW w:w="2956" w:type="dxa"/>
            <w:tcBorders>
              <w:top w:val="nil"/>
              <w:left w:val="nil"/>
              <w:bottom w:val="nil"/>
              <w:right w:val="nil"/>
            </w:tcBorders>
            <w:hideMark/>
          </w:tcPr>
          <w:p w14:paraId="73F164FF" w14:textId="77777777" w:rsidR="00A2153D" w:rsidRDefault="00A2153D">
            <w:pPr>
              <w:pStyle w:val="TableHeading"/>
              <w:rPr>
                <w:b/>
              </w:rPr>
            </w:pPr>
            <w:r>
              <w:rPr>
                <w:b/>
              </w:rPr>
              <w:t>605 GL recovered through SDLAM projects</w:t>
            </w:r>
          </w:p>
        </w:tc>
        <w:tc>
          <w:tcPr>
            <w:tcW w:w="3649" w:type="dxa"/>
            <w:tcBorders>
              <w:top w:val="nil"/>
              <w:left w:val="nil"/>
              <w:bottom w:val="nil"/>
              <w:right w:val="nil"/>
            </w:tcBorders>
            <w:hideMark/>
          </w:tcPr>
          <w:p w14:paraId="0EBC8719" w14:textId="77777777" w:rsidR="00A2153D" w:rsidRDefault="00A2153D">
            <w:pPr>
              <w:pStyle w:val="TableHeading"/>
              <w:rPr>
                <w:b/>
              </w:rPr>
            </w:pPr>
            <w:r>
              <w:rPr>
                <w:b/>
              </w:rPr>
              <w:t>450 GL recovered through projects with neutral or positive socio-economic impacts.</w:t>
            </w:r>
          </w:p>
        </w:tc>
        <w:tc>
          <w:tcPr>
            <w:tcW w:w="1310" w:type="dxa"/>
            <w:tcBorders>
              <w:top w:val="nil"/>
              <w:left w:val="nil"/>
              <w:bottom w:val="nil"/>
              <w:right w:val="nil"/>
            </w:tcBorders>
            <w:hideMark/>
          </w:tcPr>
          <w:p w14:paraId="71977251" w14:textId="77777777" w:rsidR="00A2153D" w:rsidRDefault="00A2153D">
            <w:pPr>
              <w:pStyle w:val="TableHeading"/>
              <w:rPr>
                <w:b/>
              </w:rPr>
            </w:pPr>
            <w:r>
              <w:rPr>
                <w:b/>
              </w:rPr>
              <w:t>Water recovered</w:t>
            </w:r>
          </w:p>
        </w:tc>
      </w:tr>
      <w:tr w:rsidR="00A2153D" w14:paraId="6AC4E40A" w14:textId="77777777" w:rsidTr="00A2153D">
        <w:trPr>
          <w:cnfStyle w:val="000000100000" w:firstRow="0" w:lastRow="0" w:firstColumn="0" w:lastColumn="0" w:oddVBand="0" w:evenVBand="0" w:oddHBand="1" w:evenHBand="0" w:firstRowFirstColumn="0" w:firstRowLastColumn="0" w:lastRowFirstColumn="0" w:lastRowLastColumn="0"/>
        </w:trPr>
        <w:tc>
          <w:tcPr>
            <w:tcW w:w="1155" w:type="dxa"/>
            <w:hideMark/>
          </w:tcPr>
          <w:p w14:paraId="38E7A98D" w14:textId="77777777" w:rsidR="00A2153D" w:rsidRDefault="00A2153D">
            <w:pPr>
              <w:pStyle w:val="TableText"/>
            </w:pPr>
            <w:r>
              <w:t>#1</w:t>
            </w:r>
          </w:p>
        </w:tc>
        <w:tc>
          <w:tcPr>
            <w:tcW w:w="2956" w:type="dxa"/>
            <w:hideMark/>
          </w:tcPr>
          <w:p w14:paraId="2A6068FB" w14:textId="77777777" w:rsidR="00A2153D" w:rsidRDefault="00A2153D">
            <w:pPr>
              <w:pStyle w:val="TableText"/>
            </w:pPr>
            <w:r>
              <w:t>Completed by 30 June 2024</w:t>
            </w:r>
          </w:p>
        </w:tc>
        <w:tc>
          <w:tcPr>
            <w:tcW w:w="3649" w:type="dxa"/>
            <w:hideMark/>
          </w:tcPr>
          <w:p w14:paraId="4FA82818" w14:textId="77777777" w:rsidR="00A2153D" w:rsidRDefault="00A2153D">
            <w:pPr>
              <w:pStyle w:val="TableText"/>
            </w:pPr>
            <w:r>
              <w:t>Completed by 30 June 2024</w:t>
            </w:r>
          </w:p>
        </w:tc>
        <w:tc>
          <w:tcPr>
            <w:tcW w:w="1310" w:type="dxa"/>
            <w:hideMark/>
          </w:tcPr>
          <w:p w14:paraId="0117026E" w14:textId="77777777" w:rsidR="00A2153D" w:rsidRDefault="00A2153D">
            <w:pPr>
              <w:pStyle w:val="TableText"/>
            </w:pPr>
            <w:r>
              <w:t>2075 GL</w:t>
            </w:r>
            <w:r>
              <w:br/>
              <w:t>+605 GL</w:t>
            </w:r>
            <w:r>
              <w:br/>
              <w:t>+450 GL</w:t>
            </w:r>
          </w:p>
        </w:tc>
      </w:tr>
      <w:tr w:rsidR="00A2153D" w14:paraId="6782EA9C" w14:textId="77777777" w:rsidTr="00A2153D">
        <w:trPr>
          <w:cnfStyle w:val="000000010000" w:firstRow="0" w:lastRow="0" w:firstColumn="0" w:lastColumn="0" w:oddVBand="0" w:evenVBand="0" w:oddHBand="0" w:evenHBand="1" w:firstRowFirstColumn="0" w:firstRowLastColumn="0" w:lastRowFirstColumn="0" w:lastRowLastColumn="0"/>
        </w:trPr>
        <w:tc>
          <w:tcPr>
            <w:tcW w:w="1155" w:type="dxa"/>
            <w:tcBorders>
              <w:top w:val="nil"/>
              <w:left w:val="nil"/>
              <w:right w:val="nil"/>
            </w:tcBorders>
            <w:hideMark/>
          </w:tcPr>
          <w:p w14:paraId="1E6D48AD" w14:textId="77777777" w:rsidR="00A2153D" w:rsidRDefault="00A2153D">
            <w:pPr>
              <w:pStyle w:val="TableText"/>
            </w:pPr>
            <w:r>
              <w:t>#2</w:t>
            </w:r>
          </w:p>
        </w:tc>
        <w:tc>
          <w:tcPr>
            <w:tcW w:w="2956" w:type="dxa"/>
            <w:tcBorders>
              <w:top w:val="nil"/>
              <w:left w:val="nil"/>
              <w:right w:val="nil"/>
            </w:tcBorders>
            <w:hideMark/>
          </w:tcPr>
          <w:p w14:paraId="6189C939" w14:textId="18BE4BA4" w:rsidR="00A2153D" w:rsidRDefault="00C86114">
            <w:pPr>
              <w:pStyle w:val="TableText"/>
            </w:pPr>
            <w:r>
              <w:t>279–</w:t>
            </w:r>
            <w:r w:rsidR="00A2153D">
              <w:t>445GL by 30 June 2024</w:t>
            </w:r>
          </w:p>
          <w:p w14:paraId="7DF96845" w14:textId="77777777" w:rsidR="00A2153D" w:rsidRDefault="00A2153D">
            <w:pPr>
              <w:pStyle w:val="TableText"/>
            </w:pPr>
            <w:r>
              <w:t>Timeline extended</w:t>
            </w:r>
          </w:p>
        </w:tc>
        <w:tc>
          <w:tcPr>
            <w:tcW w:w="3649" w:type="dxa"/>
            <w:tcBorders>
              <w:top w:val="nil"/>
              <w:left w:val="nil"/>
              <w:right w:val="nil"/>
            </w:tcBorders>
            <w:hideMark/>
          </w:tcPr>
          <w:p w14:paraId="642213BA" w14:textId="77777777" w:rsidR="00A2153D" w:rsidRDefault="00A2153D">
            <w:pPr>
              <w:pStyle w:val="TableText"/>
            </w:pPr>
            <w:r>
              <w:t>26GL by 30 June 2024</w:t>
            </w:r>
          </w:p>
          <w:p w14:paraId="0A5BBFBC" w14:textId="77777777" w:rsidR="00A2153D" w:rsidRDefault="00A2153D">
            <w:pPr>
              <w:pStyle w:val="TableText"/>
            </w:pPr>
            <w:r>
              <w:t>62 GL pursued to benefit from SDLAM project offsets</w:t>
            </w:r>
          </w:p>
        </w:tc>
        <w:tc>
          <w:tcPr>
            <w:tcW w:w="1310" w:type="dxa"/>
            <w:tcBorders>
              <w:top w:val="nil"/>
              <w:left w:val="nil"/>
              <w:right w:val="nil"/>
            </w:tcBorders>
            <w:hideMark/>
          </w:tcPr>
          <w:p w14:paraId="7CD737C1" w14:textId="77777777" w:rsidR="00A2153D" w:rsidRDefault="00A2153D">
            <w:pPr>
              <w:pStyle w:val="TableText"/>
            </w:pPr>
            <w:r>
              <w:t>2075 GL</w:t>
            </w:r>
            <w:r>
              <w:br/>
              <w:t>+605 GL</w:t>
            </w:r>
            <w:r>
              <w:br/>
              <w:t>+62 GL</w:t>
            </w:r>
          </w:p>
        </w:tc>
      </w:tr>
      <w:tr w:rsidR="00A2153D" w14:paraId="4C99B8DC" w14:textId="77777777" w:rsidTr="00A2153D">
        <w:trPr>
          <w:cnfStyle w:val="000000100000" w:firstRow="0" w:lastRow="0" w:firstColumn="0" w:lastColumn="0" w:oddVBand="0" w:evenVBand="0" w:oddHBand="1" w:evenHBand="0" w:firstRowFirstColumn="0" w:firstRowLastColumn="0" w:lastRowFirstColumn="0" w:lastRowLastColumn="0"/>
        </w:trPr>
        <w:tc>
          <w:tcPr>
            <w:tcW w:w="1155" w:type="dxa"/>
            <w:hideMark/>
          </w:tcPr>
          <w:p w14:paraId="246F5A7C" w14:textId="77777777" w:rsidR="00A2153D" w:rsidRDefault="00A2153D">
            <w:pPr>
              <w:pStyle w:val="TableText"/>
            </w:pPr>
            <w:r>
              <w:t>#3</w:t>
            </w:r>
          </w:p>
        </w:tc>
        <w:tc>
          <w:tcPr>
            <w:tcW w:w="2956" w:type="dxa"/>
            <w:hideMark/>
          </w:tcPr>
          <w:p w14:paraId="5EEF0B88" w14:textId="39487FD1" w:rsidR="00A2153D" w:rsidRDefault="00C86114">
            <w:pPr>
              <w:pStyle w:val="TableText"/>
            </w:pPr>
            <w:r>
              <w:t>279–</w:t>
            </w:r>
            <w:r w:rsidR="00A2153D">
              <w:t>445GL by 30 June 2024</w:t>
            </w:r>
          </w:p>
          <w:p w14:paraId="139A3AFF" w14:textId="77777777" w:rsidR="00A2153D" w:rsidRDefault="00A2153D">
            <w:pPr>
              <w:pStyle w:val="TableText"/>
            </w:pPr>
            <w:r>
              <w:t>Buyback used to make up the shortfall</w:t>
            </w:r>
          </w:p>
        </w:tc>
        <w:tc>
          <w:tcPr>
            <w:tcW w:w="3649" w:type="dxa"/>
            <w:hideMark/>
          </w:tcPr>
          <w:p w14:paraId="1ED61345" w14:textId="77777777" w:rsidR="00A2153D" w:rsidRDefault="00A2153D">
            <w:pPr>
              <w:pStyle w:val="TableText"/>
            </w:pPr>
            <w:r>
              <w:t>26GL by 30 June 2024</w:t>
            </w:r>
          </w:p>
        </w:tc>
        <w:tc>
          <w:tcPr>
            <w:tcW w:w="1310" w:type="dxa"/>
            <w:hideMark/>
          </w:tcPr>
          <w:p w14:paraId="15ADEE40" w14:textId="77777777" w:rsidR="00A2153D" w:rsidRDefault="00A2153D">
            <w:pPr>
              <w:pStyle w:val="TableText"/>
            </w:pPr>
            <w:r>
              <w:t>2075 GL</w:t>
            </w:r>
            <w:r>
              <w:br/>
              <w:t>+605 GL</w:t>
            </w:r>
            <w:r>
              <w:br/>
              <w:t>+26 GL</w:t>
            </w:r>
          </w:p>
        </w:tc>
      </w:tr>
      <w:tr w:rsidR="00A2153D" w14:paraId="729875BC" w14:textId="77777777" w:rsidTr="00A2153D">
        <w:trPr>
          <w:cnfStyle w:val="000000010000" w:firstRow="0" w:lastRow="0" w:firstColumn="0" w:lastColumn="0" w:oddVBand="0" w:evenVBand="0" w:oddHBand="0" w:evenHBand="1" w:firstRowFirstColumn="0" w:firstRowLastColumn="0" w:lastRowFirstColumn="0" w:lastRowLastColumn="0"/>
        </w:trPr>
        <w:tc>
          <w:tcPr>
            <w:tcW w:w="1155" w:type="dxa"/>
            <w:tcBorders>
              <w:top w:val="nil"/>
              <w:left w:val="nil"/>
              <w:right w:val="nil"/>
            </w:tcBorders>
            <w:hideMark/>
          </w:tcPr>
          <w:p w14:paraId="40559ED2" w14:textId="77777777" w:rsidR="00A2153D" w:rsidRDefault="00A2153D">
            <w:pPr>
              <w:pStyle w:val="TableText"/>
            </w:pPr>
            <w:r>
              <w:t>#4</w:t>
            </w:r>
          </w:p>
        </w:tc>
        <w:tc>
          <w:tcPr>
            <w:tcW w:w="2956" w:type="dxa"/>
            <w:tcBorders>
              <w:top w:val="nil"/>
              <w:left w:val="nil"/>
              <w:right w:val="nil"/>
            </w:tcBorders>
            <w:hideMark/>
          </w:tcPr>
          <w:p w14:paraId="2FBAC265" w14:textId="2D5C476C" w:rsidR="00A2153D" w:rsidRDefault="00C86114">
            <w:pPr>
              <w:pStyle w:val="TableText"/>
            </w:pPr>
            <w:r>
              <w:t>279–</w:t>
            </w:r>
            <w:r w:rsidR="00A2153D">
              <w:t>445GL by 30 June 2024</w:t>
            </w:r>
          </w:p>
          <w:p w14:paraId="2AC069F2" w14:textId="77777777" w:rsidR="00A2153D" w:rsidRDefault="00A2153D">
            <w:pPr>
              <w:pStyle w:val="TableText"/>
            </w:pPr>
            <w:r>
              <w:t>Buyback used to make up the shortfall</w:t>
            </w:r>
          </w:p>
        </w:tc>
        <w:tc>
          <w:tcPr>
            <w:tcW w:w="3649" w:type="dxa"/>
            <w:tcBorders>
              <w:top w:val="nil"/>
              <w:left w:val="nil"/>
              <w:right w:val="nil"/>
            </w:tcBorders>
            <w:hideMark/>
          </w:tcPr>
          <w:p w14:paraId="32AD26CE" w14:textId="77777777" w:rsidR="00A2153D" w:rsidRDefault="00A2153D">
            <w:pPr>
              <w:pStyle w:val="TableText"/>
            </w:pPr>
            <w:r>
              <w:t>26GL by 30 June 2024</w:t>
            </w:r>
          </w:p>
          <w:p w14:paraId="37B68806" w14:textId="77777777" w:rsidR="00A2153D" w:rsidRDefault="00A2153D">
            <w:pPr>
              <w:pStyle w:val="TableText"/>
            </w:pPr>
            <w:r>
              <w:t>Buyback used to make up to 450GL</w:t>
            </w:r>
          </w:p>
        </w:tc>
        <w:tc>
          <w:tcPr>
            <w:tcW w:w="1310" w:type="dxa"/>
            <w:tcBorders>
              <w:top w:val="nil"/>
              <w:left w:val="nil"/>
              <w:right w:val="nil"/>
            </w:tcBorders>
            <w:hideMark/>
          </w:tcPr>
          <w:p w14:paraId="708D2A30" w14:textId="77777777" w:rsidR="00A2153D" w:rsidRDefault="00A2153D">
            <w:pPr>
              <w:pStyle w:val="TableText"/>
            </w:pPr>
            <w:r>
              <w:t>2075 GL</w:t>
            </w:r>
            <w:r>
              <w:br/>
              <w:t>+605 GL</w:t>
            </w:r>
            <w:r>
              <w:br/>
              <w:t>+450 GL</w:t>
            </w:r>
          </w:p>
        </w:tc>
      </w:tr>
    </w:tbl>
    <w:p w14:paraId="5DE9A8B4" w14:textId="77777777" w:rsidR="00A2153D" w:rsidRDefault="00A2153D" w:rsidP="00A2153D">
      <w:pPr>
        <w:spacing w:after="320"/>
        <w:rPr>
          <w:i/>
          <w:color w:val="9BA1A5"/>
          <w:sz w:val="16"/>
          <w:szCs w:val="16"/>
        </w:rPr>
      </w:pPr>
      <w:r>
        <w:rPr>
          <w:i/>
          <w:color w:val="9BA1A5"/>
          <w:sz w:val="16"/>
          <w:szCs w:val="16"/>
        </w:rPr>
        <w:t>Source: Frontier Economics</w:t>
      </w:r>
    </w:p>
    <w:p w14:paraId="67F9E186" w14:textId="77777777" w:rsidR="00A2153D" w:rsidRDefault="00A2153D" w:rsidP="00A2153D">
      <w:pPr>
        <w:pStyle w:val="BodyText"/>
      </w:pPr>
    </w:p>
    <w:p w14:paraId="784DAD3D" w14:textId="56949E67" w:rsidR="00A2153D" w:rsidRDefault="00A2153D" w:rsidP="00A2153D">
      <w:pPr>
        <w:pStyle w:val="Caption"/>
      </w:pPr>
      <w:bookmarkStart w:id="258" w:name="_Ref109950633"/>
      <w:bookmarkStart w:id="259" w:name="_Toc110262425"/>
      <w:bookmarkStart w:id="260" w:name="_Toc113621708"/>
      <w:r>
        <w:rPr>
          <w:rStyle w:val="Bold"/>
        </w:rPr>
        <w:lastRenderedPageBreak/>
        <w:t xml:space="preserve">Table </w:t>
      </w:r>
      <w:r>
        <w:fldChar w:fldCharType="begin"/>
      </w:r>
      <w:r>
        <w:rPr>
          <w:rStyle w:val="Bold"/>
        </w:rPr>
        <w:instrText xml:space="preserve"> SEQ Table \* ARABIC </w:instrText>
      </w:r>
      <w:r>
        <w:fldChar w:fldCharType="separate"/>
      </w:r>
      <w:r w:rsidR="00D4298A">
        <w:rPr>
          <w:rStyle w:val="Bold"/>
          <w:noProof/>
        </w:rPr>
        <w:t>21</w:t>
      </w:r>
      <w:r>
        <w:fldChar w:fldCharType="end"/>
      </w:r>
      <w:bookmarkEnd w:id="258"/>
      <w:r>
        <w:rPr>
          <w:rStyle w:val="Bold"/>
        </w:rPr>
        <w:t>:</w:t>
      </w:r>
      <w:r>
        <w:t xml:space="preserve"> Scenario volumes (towards Bridging the gap’ and the 450GL) (GL)</w:t>
      </w:r>
      <w:bookmarkEnd w:id="259"/>
      <w:bookmarkEnd w:id="260"/>
    </w:p>
    <w:tbl>
      <w:tblPr>
        <w:tblStyle w:val="FETableStyle"/>
        <w:tblW w:w="5000" w:type="pct"/>
        <w:tblLayout w:type="fixed"/>
        <w:tblLook w:val="0420" w:firstRow="1" w:lastRow="0" w:firstColumn="0" w:lastColumn="0" w:noHBand="0" w:noVBand="1"/>
      </w:tblPr>
      <w:tblGrid>
        <w:gridCol w:w="3828"/>
        <w:gridCol w:w="1310"/>
        <w:gridCol w:w="1311"/>
        <w:gridCol w:w="1310"/>
        <w:gridCol w:w="1311"/>
      </w:tblGrid>
      <w:tr w:rsidR="00A2153D" w14:paraId="345BF328" w14:textId="77777777" w:rsidTr="005D5830">
        <w:trPr>
          <w:cnfStyle w:val="100000000000" w:firstRow="1" w:lastRow="0" w:firstColumn="0" w:lastColumn="0" w:oddVBand="0" w:evenVBand="0" w:oddHBand="0" w:evenHBand="0" w:firstRowFirstColumn="0" w:firstRowLastColumn="0" w:lastRowFirstColumn="0" w:lastRowLastColumn="0"/>
        </w:trPr>
        <w:tc>
          <w:tcPr>
            <w:tcW w:w="3828" w:type="dxa"/>
            <w:tcBorders>
              <w:top w:val="nil"/>
              <w:left w:val="nil"/>
              <w:bottom w:val="nil"/>
              <w:right w:val="nil"/>
            </w:tcBorders>
            <w:noWrap/>
            <w:hideMark/>
          </w:tcPr>
          <w:p w14:paraId="56FBFC03" w14:textId="77777777" w:rsidR="00A2153D" w:rsidRDefault="00A2153D"/>
        </w:tc>
        <w:tc>
          <w:tcPr>
            <w:tcW w:w="1310" w:type="dxa"/>
            <w:tcBorders>
              <w:top w:val="nil"/>
              <w:left w:val="nil"/>
              <w:bottom w:val="nil"/>
              <w:right w:val="nil"/>
            </w:tcBorders>
            <w:noWrap/>
            <w:hideMark/>
          </w:tcPr>
          <w:p w14:paraId="1BFFECDD" w14:textId="77777777" w:rsidR="00A2153D" w:rsidRDefault="00A2153D">
            <w:pPr>
              <w:pStyle w:val="TableHeading"/>
              <w:ind w:right="-10"/>
              <w:jc w:val="right"/>
              <w:rPr>
                <w:b/>
              </w:rPr>
            </w:pPr>
            <w:r>
              <w:rPr>
                <w:b/>
              </w:rPr>
              <w:t>#1</w:t>
            </w:r>
          </w:p>
        </w:tc>
        <w:tc>
          <w:tcPr>
            <w:tcW w:w="1311" w:type="dxa"/>
            <w:tcBorders>
              <w:top w:val="nil"/>
              <w:left w:val="nil"/>
              <w:bottom w:val="nil"/>
              <w:right w:val="nil"/>
            </w:tcBorders>
            <w:noWrap/>
            <w:hideMark/>
          </w:tcPr>
          <w:p w14:paraId="442E91BB" w14:textId="77777777" w:rsidR="00A2153D" w:rsidRDefault="00A2153D">
            <w:pPr>
              <w:pStyle w:val="TableHeading"/>
              <w:ind w:right="-10"/>
              <w:jc w:val="right"/>
              <w:rPr>
                <w:b/>
              </w:rPr>
            </w:pPr>
            <w:r>
              <w:rPr>
                <w:b/>
              </w:rPr>
              <w:t>#2</w:t>
            </w:r>
          </w:p>
        </w:tc>
        <w:tc>
          <w:tcPr>
            <w:tcW w:w="1310" w:type="dxa"/>
            <w:tcBorders>
              <w:top w:val="nil"/>
              <w:left w:val="nil"/>
              <w:bottom w:val="nil"/>
              <w:right w:val="nil"/>
            </w:tcBorders>
            <w:noWrap/>
            <w:hideMark/>
          </w:tcPr>
          <w:p w14:paraId="49999CA8" w14:textId="77777777" w:rsidR="00A2153D" w:rsidRDefault="00A2153D">
            <w:pPr>
              <w:pStyle w:val="TableHeading"/>
              <w:ind w:right="-10"/>
              <w:jc w:val="right"/>
              <w:rPr>
                <w:b/>
              </w:rPr>
            </w:pPr>
            <w:r>
              <w:rPr>
                <w:b/>
              </w:rPr>
              <w:t>#3</w:t>
            </w:r>
          </w:p>
        </w:tc>
        <w:tc>
          <w:tcPr>
            <w:tcW w:w="1311" w:type="dxa"/>
            <w:tcBorders>
              <w:top w:val="nil"/>
              <w:left w:val="nil"/>
              <w:bottom w:val="nil"/>
              <w:right w:val="nil"/>
            </w:tcBorders>
            <w:noWrap/>
            <w:hideMark/>
          </w:tcPr>
          <w:p w14:paraId="251BBE30" w14:textId="77777777" w:rsidR="00A2153D" w:rsidRDefault="00A2153D">
            <w:pPr>
              <w:pStyle w:val="TableHeading"/>
              <w:ind w:right="-10"/>
              <w:jc w:val="right"/>
              <w:rPr>
                <w:b/>
              </w:rPr>
            </w:pPr>
            <w:r>
              <w:rPr>
                <w:b/>
              </w:rPr>
              <w:t>#4</w:t>
            </w:r>
          </w:p>
        </w:tc>
      </w:tr>
      <w:tr w:rsidR="00A2153D" w14:paraId="5E27AA16" w14:textId="77777777" w:rsidTr="005D5830">
        <w:trPr>
          <w:cnfStyle w:val="000000100000" w:firstRow="0" w:lastRow="0" w:firstColumn="0" w:lastColumn="0" w:oddVBand="0" w:evenVBand="0" w:oddHBand="1" w:evenHBand="0" w:firstRowFirstColumn="0" w:firstRowLastColumn="0" w:lastRowFirstColumn="0" w:lastRowLastColumn="0"/>
        </w:trPr>
        <w:tc>
          <w:tcPr>
            <w:tcW w:w="3828" w:type="dxa"/>
            <w:noWrap/>
            <w:hideMark/>
          </w:tcPr>
          <w:p w14:paraId="468C1674" w14:textId="77777777" w:rsidR="00A2153D" w:rsidRDefault="00A2153D">
            <w:pPr>
              <w:pStyle w:val="TableText"/>
              <w:rPr>
                <w:b/>
                <w:bCs/>
              </w:rPr>
            </w:pPr>
            <w:r>
              <w:rPr>
                <w:b/>
                <w:bCs/>
              </w:rPr>
              <w:t>‘Bridging the Gap’</w:t>
            </w:r>
          </w:p>
        </w:tc>
        <w:tc>
          <w:tcPr>
            <w:tcW w:w="1310" w:type="dxa"/>
            <w:noWrap/>
          </w:tcPr>
          <w:p w14:paraId="07464094" w14:textId="77777777" w:rsidR="00A2153D" w:rsidRDefault="00A2153D">
            <w:pPr>
              <w:pStyle w:val="TableText"/>
              <w:ind w:right="-10"/>
              <w:jc w:val="right"/>
            </w:pPr>
          </w:p>
        </w:tc>
        <w:tc>
          <w:tcPr>
            <w:tcW w:w="1311" w:type="dxa"/>
            <w:noWrap/>
          </w:tcPr>
          <w:p w14:paraId="2D28187A" w14:textId="77777777" w:rsidR="00A2153D" w:rsidRDefault="00A2153D">
            <w:pPr>
              <w:pStyle w:val="TableText"/>
              <w:ind w:right="-10"/>
              <w:jc w:val="right"/>
            </w:pPr>
          </w:p>
        </w:tc>
        <w:tc>
          <w:tcPr>
            <w:tcW w:w="1310" w:type="dxa"/>
            <w:noWrap/>
          </w:tcPr>
          <w:p w14:paraId="763FC853" w14:textId="77777777" w:rsidR="00A2153D" w:rsidRDefault="00A2153D">
            <w:pPr>
              <w:pStyle w:val="TableText"/>
              <w:ind w:right="-10"/>
              <w:jc w:val="right"/>
            </w:pPr>
          </w:p>
        </w:tc>
        <w:tc>
          <w:tcPr>
            <w:tcW w:w="1311" w:type="dxa"/>
            <w:noWrap/>
          </w:tcPr>
          <w:p w14:paraId="07F5075A" w14:textId="77777777" w:rsidR="00A2153D" w:rsidRDefault="00A2153D">
            <w:pPr>
              <w:pStyle w:val="TableText"/>
              <w:ind w:right="-10"/>
              <w:jc w:val="right"/>
            </w:pPr>
          </w:p>
        </w:tc>
      </w:tr>
      <w:tr w:rsidR="00A2153D" w14:paraId="5528EC53" w14:textId="77777777" w:rsidTr="005D5830">
        <w:trPr>
          <w:cnfStyle w:val="000000010000" w:firstRow="0" w:lastRow="0" w:firstColumn="0" w:lastColumn="0" w:oddVBand="0" w:evenVBand="0" w:oddHBand="0" w:evenHBand="1" w:firstRowFirstColumn="0" w:firstRowLastColumn="0" w:lastRowFirstColumn="0" w:lastRowLastColumn="0"/>
        </w:trPr>
        <w:tc>
          <w:tcPr>
            <w:tcW w:w="3828" w:type="dxa"/>
            <w:tcBorders>
              <w:top w:val="nil"/>
              <w:left w:val="nil"/>
              <w:right w:val="nil"/>
            </w:tcBorders>
            <w:noWrap/>
            <w:hideMark/>
          </w:tcPr>
          <w:p w14:paraId="32B4F625" w14:textId="77777777" w:rsidR="00A2153D" w:rsidRDefault="00A2153D">
            <w:pPr>
              <w:pStyle w:val="TableText"/>
              <w:ind w:left="179"/>
              <w:rPr>
                <w:i/>
                <w:iCs/>
              </w:rPr>
            </w:pPr>
            <w:r>
              <w:rPr>
                <w:i/>
                <w:iCs/>
              </w:rPr>
              <w:t>'Bridging the gap' water recovery by 30 June 2024</w:t>
            </w:r>
          </w:p>
        </w:tc>
        <w:tc>
          <w:tcPr>
            <w:tcW w:w="1310" w:type="dxa"/>
            <w:tcBorders>
              <w:top w:val="nil"/>
              <w:left w:val="nil"/>
              <w:right w:val="nil"/>
            </w:tcBorders>
            <w:noWrap/>
            <w:hideMark/>
          </w:tcPr>
          <w:p w14:paraId="6353AF59" w14:textId="77777777" w:rsidR="00A2153D" w:rsidRDefault="00A2153D">
            <w:pPr>
              <w:pStyle w:val="TableText"/>
              <w:ind w:right="-10"/>
              <w:jc w:val="right"/>
            </w:pPr>
            <w:r>
              <w:t>2075</w:t>
            </w:r>
          </w:p>
        </w:tc>
        <w:tc>
          <w:tcPr>
            <w:tcW w:w="1311" w:type="dxa"/>
            <w:tcBorders>
              <w:top w:val="nil"/>
              <w:left w:val="nil"/>
              <w:right w:val="nil"/>
            </w:tcBorders>
            <w:noWrap/>
            <w:hideMark/>
          </w:tcPr>
          <w:p w14:paraId="1C7AD53B" w14:textId="77777777" w:rsidR="00A2153D" w:rsidRDefault="00A2153D">
            <w:pPr>
              <w:pStyle w:val="TableText"/>
              <w:ind w:right="-10"/>
              <w:jc w:val="right"/>
            </w:pPr>
            <w:r>
              <w:t>2075</w:t>
            </w:r>
          </w:p>
        </w:tc>
        <w:tc>
          <w:tcPr>
            <w:tcW w:w="1310" w:type="dxa"/>
            <w:tcBorders>
              <w:top w:val="nil"/>
              <w:left w:val="nil"/>
              <w:right w:val="nil"/>
            </w:tcBorders>
            <w:noWrap/>
            <w:hideMark/>
          </w:tcPr>
          <w:p w14:paraId="2F53017D" w14:textId="77777777" w:rsidR="00A2153D" w:rsidRDefault="00A2153D">
            <w:pPr>
              <w:pStyle w:val="TableText"/>
              <w:ind w:right="-10"/>
              <w:jc w:val="right"/>
            </w:pPr>
            <w:r>
              <w:t>2075</w:t>
            </w:r>
          </w:p>
        </w:tc>
        <w:tc>
          <w:tcPr>
            <w:tcW w:w="1311" w:type="dxa"/>
            <w:tcBorders>
              <w:top w:val="nil"/>
              <w:left w:val="nil"/>
              <w:right w:val="nil"/>
            </w:tcBorders>
            <w:noWrap/>
            <w:hideMark/>
          </w:tcPr>
          <w:p w14:paraId="1E6CF613" w14:textId="77777777" w:rsidR="00A2153D" w:rsidRDefault="00A2153D">
            <w:pPr>
              <w:pStyle w:val="TableText"/>
              <w:ind w:right="-10"/>
              <w:jc w:val="right"/>
            </w:pPr>
            <w:r>
              <w:t>2075</w:t>
            </w:r>
          </w:p>
        </w:tc>
      </w:tr>
      <w:tr w:rsidR="00A2153D" w14:paraId="4BC13FBC" w14:textId="77777777" w:rsidTr="005D5830">
        <w:trPr>
          <w:cnfStyle w:val="000000100000" w:firstRow="0" w:lastRow="0" w:firstColumn="0" w:lastColumn="0" w:oddVBand="0" w:evenVBand="0" w:oddHBand="1" w:evenHBand="0" w:firstRowFirstColumn="0" w:firstRowLastColumn="0" w:lastRowFirstColumn="0" w:lastRowLastColumn="0"/>
        </w:trPr>
        <w:tc>
          <w:tcPr>
            <w:tcW w:w="3828" w:type="dxa"/>
            <w:noWrap/>
            <w:hideMark/>
          </w:tcPr>
          <w:p w14:paraId="1DFF198D" w14:textId="77777777" w:rsidR="00A2153D" w:rsidRDefault="00A2153D">
            <w:pPr>
              <w:pStyle w:val="TableText"/>
              <w:ind w:left="179"/>
              <w:rPr>
                <w:i/>
                <w:iCs/>
              </w:rPr>
            </w:pPr>
            <w:r>
              <w:rPr>
                <w:i/>
                <w:iCs/>
              </w:rPr>
              <w:t>SDLAM offsets by 30 June 2024</w:t>
            </w:r>
          </w:p>
        </w:tc>
        <w:tc>
          <w:tcPr>
            <w:tcW w:w="1310" w:type="dxa"/>
            <w:noWrap/>
            <w:hideMark/>
          </w:tcPr>
          <w:p w14:paraId="5E83F131" w14:textId="77777777" w:rsidR="00A2153D" w:rsidRDefault="00A2153D">
            <w:pPr>
              <w:pStyle w:val="TableText"/>
              <w:ind w:right="-10"/>
              <w:jc w:val="right"/>
            </w:pPr>
            <w:r>
              <w:t>605</w:t>
            </w:r>
          </w:p>
        </w:tc>
        <w:tc>
          <w:tcPr>
            <w:tcW w:w="1311" w:type="dxa"/>
            <w:noWrap/>
            <w:hideMark/>
          </w:tcPr>
          <w:p w14:paraId="06C8BCC5" w14:textId="50D2EB1E" w:rsidR="00A2153D" w:rsidRDefault="005D5830">
            <w:pPr>
              <w:pStyle w:val="TableText"/>
              <w:ind w:right="-10"/>
              <w:jc w:val="right"/>
            </w:pPr>
            <w:r>
              <w:t>2</w:t>
            </w:r>
            <w:r w:rsidR="00C064FE">
              <w:t>79</w:t>
            </w:r>
            <w:r>
              <w:t>–</w:t>
            </w:r>
            <w:r w:rsidR="00A2153D">
              <w:t>445</w:t>
            </w:r>
          </w:p>
        </w:tc>
        <w:tc>
          <w:tcPr>
            <w:tcW w:w="1310" w:type="dxa"/>
            <w:noWrap/>
            <w:hideMark/>
          </w:tcPr>
          <w:p w14:paraId="5DFE8E7B" w14:textId="0E85C573" w:rsidR="00A2153D" w:rsidRDefault="005D5830">
            <w:pPr>
              <w:pStyle w:val="TableText"/>
              <w:ind w:right="-10"/>
              <w:jc w:val="right"/>
            </w:pPr>
            <w:r>
              <w:t>2</w:t>
            </w:r>
            <w:r w:rsidR="00C064FE">
              <w:t>79</w:t>
            </w:r>
            <w:r>
              <w:t>–</w:t>
            </w:r>
            <w:r w:rsidR="00A2153D">
              <w:t>445</w:t>
            </w:r>
          </w:p>
        </w:tc>
        <w:tc>
          <w:tcPr>
            <w:tcW w:w="1311" w:type="dxa"/>
            <w:noWrap/>
            <w:hideMark/>
          </w:tcPr>
          <w:p w14:paraId="09ACF860" w14:textId="6AB174BA" w:rsidR="00A2153D" w:rsidRDefault="005D5830">
            <w:pPr>
              <w:pStyle w:val="TableText"/>
              <w:ind w:right="-10"/>
              <w:jc w:val="right"/>
            </w:pPr>
            <w:r>
              <w:t>2</w:t>
            </w:r>
            <w:r w:rsidR="00C064FE">
              <w:t>79</w:t>
            </w:r>
            <w:r>
              <w:t>–</w:t>
            </w:r>
            <w:r w:rsidR="00A2153D">
              <w:t>445</w:t>
            </w:r>
          </w:p>
        </w:tc>
      </w:tr>
      <w:tr w:rsidR="00A2153D" w14:paraId="5EE9D2DE" w14:textId="77777777" w:rsidTr="005D5830">
        <w:trPr>
          <w:cnfStyle w:val="000000010000" w:firstRow="0" w:lastRow="0" w:firstColumn="0" w:lastColumn="0" w:oddVBand="0" w:evenVBand="0" w:oddHBand="0" w:evenHBand="1" w:firstRowFirstColumn="0" w:firstRowLastColumn="0" w:lastRowFirstColumn="0" w:lastRowLastColumn="0"/>
        </w:trPr>
        <w:tc>
          <w:tcPr>
            <w:tcW w:w="3828" w:type="dxa"/>
            <w:tcBorders>
              <w:top w:val="nil"/>
              <w:left w:val="nil"/>
              <w:right w:val="nil"/>
            </w:tcBorders>
            <w:noWrap/>
            <w:hideMark/>
          </w:tcPr>
          <w:p w14:paraId="4FB6E65D" w14:textId="77777777" w:rsidR="00A2153D" w:rsidRDefault="00A2153D">
            <w:pPr>
              <w:pStyle w:val="TableText"/>
              <w:ind w:left="179"/>
              <w:rPr>
                <w:i/>
                <w:iCs/>
              </w:rPr>
            </w:pPr>
            <w:r>
              <w:rPr>
                <w:i/>
                <w:iCs/>
              </w:rPr>
              <w:t>Shortfall in 'Bridging the gap' at 30 June 2024</w:t>
            </w:r>
          </w:p>
        </w:tc>
        <w:tc>
          <w:tcPr>
            <w:tcW w:w="1310" w:type="dxa"/>
            <w:tcBorders>
              <w:top w:val="nil"/>
              <w:left w:val="nil"/>
              <w:right w:val="nil"/>
            </w:tcBorders>
            <w:noWrap/>
            <w:hideMark/>
          </w:tcPr>
          <w:p w14:paraId="36B05A2C" w14:textId="77777777" w:rsidR="00A2153D" w:rsidRDefault="00A2153D">
            <w:pPr>
              <w:pStyle w:val="TableText"/>
              <w:ind w:right="-10"/>
              <w:jc w:val="right"/>
            </w:pPr>
            <w:r>
              <w:t>0</w:t>
            </w:r>
          </w:p>
        </w:tc>
        <w:tc>
          <w:tcPr>
            <w:tcW w:w="1311" w:type="dxa"/>
            <w:tcBorders>
              <w:top w:val="nil"/>
              <w:left w:val="nil"/>
              <w:right w:val="nil"/>
            </w:tcBorders>
            <w:noWrap/>
            <w:hideMark/>
          </w:tcPr>
          <w:p w14:paraId="26802267" w14:textId="4CEC76A5" w:rsidR="00A2153D" w:rsidRDefault="00A2153D">
            <w:pPr>
              <w:pStyle w:val="TableText"/>
              <w:ind w:right="-10"/>
              <w:jc w:val="right"/>
            </w:pPr>
            <w:r>
              <w:t>160</w:t>
            </w:r>
            <w:r w:rsidR="005D5830">
              <w:t>–3</w:t>
            </w:r>
            <w:r w:rsidR="002A7A92">
              <w:t>26</w:t>
            </w:r>
          </w:p>
        </w:tc>
        <w:tc>
          <w:tcPr>
            <w:tcW w:w="1310" w:type="dxa"/>
            <w:tcBorders>
              <w:top w:val="nil"/>
              <w:left w:val="nil"/>
              <w:right w:val="nil"/>
            </w:tcBorders>
            <w:noWrap/>
            <w:hideMark/>
          </w:tcPr>
          <w:p w14:paraId="1CB489C9" w14:textId="322AB721" w:rsidR="00A2153D" w:rsidRDefault="00A2153D">
            <w:pPr>
              <w:pStyle w:val="TableText"/>
              <w:ind w:right="-10"/>
              <w:jc w:val="right"/>
            </w:pPr>
            <w:r>
              <w:t>160</w:t>
            </w:r>
            <w:r w:rsidR="002A7A92">
              <w:t>–326</w:t>
            </w:r>
          </w:p>
        </w:tc>
        <w:tc>
          <w:tcPr>
            <w:tcW w:w="1311" w:type="dxa"/>
            <w:tcBorders>
              <w:top w:val="nil"/>
              <w:left w:val="nil"/>
              <w:right w:val="nil"/>
            </w:tcBorders>
            <w:noWrap/>
            <w:hideMark/>
          </w:tcPr>
          <w:p w14:paraId="5516989E" w14:textId="39CC0DB0" w:rsidR="00A2153D" w:rsidRDefault="00A2153D">
            <w:pPr>
              <w:pStyle w:val="TableText"/>
              <w:ind w:right="-10"/>
              <w:jc w:val="right"/>
            </w:pPr>
            <w:r>
              <w:t>160</w:t>
            </w:r>
            <w:r w:rsidR="002A7A92">
              <w:t>–326</w:t>
            </w:r>
          </w:p>
        </w:tc>
      </w:tr>
      <w:tr w:rsidR="00A2153D" w14:paraId="49F5EDAC" w14:textId="77777777" w:rsidTr="005D5830">
        <w:trPr>
          <w:cnfStyle w:val="000000100000" w:firstRow="0" w:lastRow="0" w:firstColumn="0" w:lastColumn="0" w:oddVBand="0" w:evenVBand="0" w:oddHBand="1" w:evenHBand="0" w:firstRowFirstColumn="0" w:firstRowLastColumn="0" w:lastRowFirstColumn="0" w:lastRowLastColumn="0"/>
        </w:trPr>
        <w:tc>
          <w:tcPr>
            <w:tcW w:w="3828" w:type="dxa"/>
            <w:noWrap/>
            <w:hideMark/>
          </w:tcPr>
          <w:p w14:paraId="4B4B76F3" w14:textId="77777777" w:rsidR="00A2153D" w:rsidRDefault="00A2153D">
            <w:pPr>
              <w:pStyle w:val="TableText"/>
              <w:ind w:left="179"/>
              <w:rPr>
                <w:i/>
                <w:iCs/>
              </w:rPr>
            </w:pPr>
            <w:r>
              <w:rPr>
                <w:i/>
                <w:iCs/>
              </w:rPr>
              <w:t>Buyback to 'Bridge the gap'</w:t>
            </w:r>
          </w:p>
        </w:tc>
        <w:tc>
          <w:tcPr>
            <w:tcW w:w="1310" w:type="dxa"/>
            <w:noWrap/>
            <w:hideMark/>
          </w:tcPr>
          <w:p w14:paraId="291F1C20" w14:textId="2E55A6F6" w:rsidR="00A2153D" w:rsidRPr="002A7A92" w:rsidRDefault="002A7A92" w:rsidP="002A7A92">
            <w:pPr>
              <w:pStyle w:val="TableText"/>
              <w:ind w:right="-10"/>
              <w:jc w:val="right"/>
            </w:pPr>
            <w:r>
              <w:t>-</w:t>
            </w:r>
          </w:p>
        </w:tc>
        <w:tc>
          <w:tcPr>
            <w:tcW w:w="1311" w:type="dxa"/>
            <w:noWrap/>
            <w:hideMark/>
          </w:tcPr>
          <w:p w14:paraId="2986B4EB" w14:textId="26F2F613" w:rsidR="00A2153D" w:rsidRPr="002A7A92" w:rsidRDefault="002A7A92" w:rsidP="002A7A92">
            <w:pPr>
              <w:pStyle w:val="TableText"/>
              <w:ind w:right="-10"/>
              <w:jc w:val="right"/>
            </w:pPr>
            <w:r>
              <w:t>-</w:t>
            </w:r>
          </w:p>
        </w:tc>
        <w:tc>
          <w:tcPr>
            <w:tcW w:w="1310" w:type="dxa"/>
            <w:noWrap/>
            <w:hideMark/>
          </w:tcPr>
          <w:p w14:paraId="2FD7652D" w14:textId="0339DEC8" w:rsidR="00A2153D" w:rsidRDefault="00A2153D">
            <w:pPr>
              <w:pStyle w:val="TableText"/>
              <w:ind w:right="-10"/>
              <w:jc w:val="right"/>
            </w:pPr>
            <w:r>
              <w:t>160</w:t>
            </w:r>
            <w:r w:rsidR="002A7A92">
              <w:t>–326</w:t>
            </w:r>
          </w:p>
        </w:tc>
        <w:tc>
          <w:tcPr>
            <w:tcW w:w="1311" w:type="dxa"/>
            <w:noWrap/>
            <w:hideMark/>
          </w:tcPr>
          <w:p w14:paraId="755145F6" w14:textId="0B5E59B3" w:rsidR="00A2153D" w:rsidRDefault="00A2153D">
            <w:pPr>
              <w:pStyle w:val="TableText"/>
              <w:ind w:right="-10"/>
              <w:jc w:val="right"/>
            </w:pPr>
            <w:r>
              <w:t>160</w:t>
            </w:r>
            <w:r w:rsidR="002A7A92">
              <w:t>–326</w:t>
            </w:r>
          </w:p>
        </w:tc>
      </w:tr>
      <w:tr w:rsidR="00A2153D" w14:paraId="0A8DD60A" w14:textId="77777777" w:rsidTr="005D5830">
        <w:trPr>
          <w:cnfStyle w:val="000000010000" w:firstRow="0" w:lastRow="0" w:firstColumn="0" w:lastColumn="0" w:oddVBand="0" w:evenVBand="0" w:oddHBand="0" w:evenHBand="1" w:firstRowFirstColumn="0" w:firstRowLastColumn="0" w:lastRowFirstColumn="0" w:lastRowLastColumn="0"/>
        </w:trPr>
        <w:tc>
          <w:tcPr>
            <w:tcW w:w="3828" w:type="dxa"/>
            <w:tcBorders>
              <w:top w:val="nil"/>
              <w:left w:val="nil"/>
              <w:right w:val="nil"/>
            </w:tcBorders>
            <w:noWrap/>
            <w:hideMark/>
          </w:tcPr>
          <w:p w14:paraId="7AABAA56" w14:textId="77777777" w:rsidR="00A2153D" w:rsidRDefault="00A2153D">
            <w:pPr>
              <w:pStyle w:val="TableText"/>
              <w:ind w:left="179"/>
              <w:rPr>
                <w:i/>
                <w:iCs/>
              </w:rPr>
            </w:pPr>
            <w:r>
              <w:rPr>
                <w:i/>
                <w:iCs/>
              </w:rPr>
              <w:t>SDLAM offsets by extended deadline</w:t>
            </w:r>
          </w:p>
        </w:tc>
        <w:tc>
          <w:tcPr>
            <w:tcW w:w="1310" w:type="dxa"/>
            <w:tcBorders>
              <w:top w:val="nil"/>
              <w:left w:val="nil"/>
              <w:right w:val="nil"/>
            </w:tcBorders>
            <w:noWrap/>
            <w:hideMark/>
          </w:tcPr>
          <w:p w14:paraId="26B290B1" w14:textId="77777777" w:rsidR="00A2153D" w:rsidRDefault="00A2153D">
            <w:pPr>
              <w:pStyle w:val="TableText"/>
              <w:ind w:right="-10"/>
              <w:jc w:val="right"/>
            </w:pPr>
            <w:r>
              <w:t>605</w:t>
            </w:r>
          </w:p>
        </w:tc>
        <w:tc>
          <w:tcPr>
            <w:tcW w:w="1311" w:type="dxa"/>
            <w:tcBorders>
              <w:top w:val="nil"/>
              <w:left w:val="nil"/>
              <w:right w:val="nil"/>
            </w:tcBorders>
            <w:noWrap/>
            <w:hideMark/>
          </w:tcPr>
          <w:p w14:paraId="2B659C10" w14:textId="77777777" w:rsidR="00A2153D" w:rsidRDefault="00A2153D">
            <w:pPr>
              <w:pStyle w:val="TableText"/>
              <w:ind w:right="-10"/>
              <w:jc w:val="right"/>
            </w:pPr>
            <w:r>
              <w:t>605</w:t>
            </w:r>
          </w:p>
        </w:tc>
        <w:tc>
          <w:tcPr>
            <w:tcW w:w="1310" w:type="dxa"/>
            <w:tcBorders>
              <w:top w:val="nil"/>
              <w:left w:val="nil"/>
              <w:right w:val="nil"/>
            </w:tcBorders>
            <w:noWrap/>
            <w:hideMark/>
          </w:tcPr>
          <w:p w14:paraId="7420C968" w14:textId="43ECB887" w:rsidR="00A2153D" w:rsidRDefault="002A7A92">
            <w:pPr>
              <w:pStyle w:val="TableText"/>
              <w:ind w:right="-10"/>
              <w:jc w:val="right"/>
            </w:pPr>
            <w:r>
              <w:t>-</w:t>
            </w:r>
          </w:p>
        </w:tc>
        <w:tc>
          <w:tcPr>
            <w:tcW w:w="1311" w:type="dxa"/>
            <w:tcBorders>
              <w:top w:val="nil"/>
              <w:left w:val="nil"/>
              <w:right w:val="nil"/>
            </w:tcBorders>
            <w:noWrap/>
            <w:hideMark/>
          </w:tcPr>
          <w:p w14:paraId="28DB9272" w14:textId="3E0800FC" w:rsidR="00A2153D" w:rsidRDefault="002A7A92">
            <w:pPr>
              <w:pStyle w:val="TableText"/>
              <w:ind w:right="-10"/>
              <w:jc w:val="right"/>
            </w:pPr>
            <w:r>
              <w:t>-</w:t>
            </w:r>
          </w:p>
        </w:tc>
      </w:tr>
      <w:tr w:rsidR="00A2153D" w14:paraId="642DB733" w14:textId="77777777" w:rsidTr="005D5830">
        <w:trPr>
          <w:cnfStyle w:val="000000100000" w:firstRow="0" w:lastRow="0" w:firstColumn="0" w:lastColumn="0" w:oddVBand="0" w:evenVBand="0" w:oddHBand="1" w:evenHBand="0" w:firstRowFirstColumn="0" w:firstRowLastColumn="0" w:lastRowFirstColumn="0" w:lastRowLastColumn="0"/>
        </w:trPr>
        <w:tc>
          <w:tcPr>
            <w:tcW w:w="3828" w:type="dxa"/>
            <w:noWrap/>
            <w:hideMark/>
          </w:tcPr>
          <w:p w14:paraId="7E590111" w14:textId="77777777" w:rsidR="00A2153D" w:rsidRDefault="00A2153D">
            <w:pPr>
              <w:pStyle w:val="TableText"/>
              <w:ind w:left="179"/>
              <w:rPr>
                <w:i/>
                <w:iCs/>
              </w:rPr>
            </w:pPr>
            <w:r>
              <w:rPr>
                <w:i/>
                <w:iCs/>
              </w:rPr>
              <w:t>Shortfall in 'Bridging the gap' at extended deadline</w:t>
            </w:r>
          </w:p>
        </w:tc>
        <w:tc>
          <w:tcPr>
            <w:tcW w:w="1310" w:type="dxa"/>
            <w:noWrap/>
            <w:hideMark/>
          </w:tcPr>
          <w:p w14:paraId="378AD54C" w14:textId="77777777" w:rsidR="00A2153D" w:rsidRDefault="00A2153D">
            <w:pPr>
              <w:pStyle w:val="TableText"/>
              <w:ind w:right="-10"/>
              <w:jc w:val="right"/>
            </w:pPr>
            <w:r>
              <w:t>0</w:t>
            </w:r>
          </w:p>
        </w:tc>
        <w:tc>
          <w:tcPr>
            <w:tcW w:w="1311" w:type="dxa"/>
            <w:noWrap/>
            <w:hideMark/>
          </w:tcPr>
          <w:p w14:paraId="6425A2A4" w14:textId="77777777" w:rsidR="00A2153D" w:rsidRDefault="00A2153D">
            <w:pPr>
              <w:pStyle w:val="TableText"/>
              <w:ind w:right="-10"/>
              <w:jc w:val="right"/>
            </w:pPr>
            <w:r>
              <w:t>0</w:t>
            </w:r>
          </w:p>
        </w:tc>
        <w:tc>
          <w:tcPr>
            <w:tcW w:w="1310" w:type="dxa"/>
            <w:noWrap/>
            <w:hideMark/>
          </w:tcPr>
          <w:p w14:paraId="12DD6C36" w14:textId="0EA1FDFC" w:rsidR="00A2153D" w:rsidRDefault="002A7A92">
            <w:pPr>
              <w:pStyle w:val="TableText"/>
              <w:ind w:right="-10"/>
              <w:jc w:val="right"/>
            </w:pPr>
            <w:r>
              <w:t>-</w:t>
            </w:r>
          </w:p>
        </w:tc>
        <w:tc>
          <w:tcPr>
            <w:tcW w:w="1311" w:type="dxa"/>
            <w:noWrap/>
            <w:hideMark/>
          </w:tcPr>
          <w:p w14:paraId="538D060B" w14:textId="51FA185E" w:rsidR="00A2153D" w:rsidRDefault="002A7A92">
            <w:pPr>
              <w:pStyle w:val="TableText"/>
              <w:ind w:right="-10"/>
              <w:jc w:val="right"/>
            </w:pPr>
            <w:r>
              <w:t>-</w:t>
            </w:r>
          </w:p>
        </w:tc>
      </w:tr>
      <w:tr w:rsidR="00A2153D" w14:paraId="711D1F57" w14:textId="77777777" w:rsidTr="005D5830">
        <w:trPr>
          <w:cnfStyle w:val="000000010000" w:firstRow="0" w:lastRow="0" w:firstColumn="0" w:lastColumn="0" w:oddVBand="0" w:evenVBand="0" w:oddHBand="0" w:evenHBand="1" w:firstRowFirstColumn="0" w:firstRowLastColumn="0" w:lastRowFirstColumn="0" w:lastRowLastColumn="0"/>
        </w:trPr>
        <w:tc>
          <w:tcPr>
            <w:tcW w:w="3828" w:type="dxa"/>
            <w:tcBorders>
              <w:top w:val="nil"/>
              <w:left w:val="nil"/>
              <w:right w:val="nil"/>
            </w:tcBorders>
            <w:noWrap/>
            <w:hideMark/>
          </w:tcPr>
          <w:p w14:paraId="48DA0C40" w14:textId="77777777" w:rsidR="00A2153D" w:rsidRDefault="00A2153D">
            <w:pPr>
              <w:pStyle w:val="TableText"/>
            </w:pPr>
            <w:r>
              <w:rPr>
                <w:b/>
                <w:bCs/>
              </w:rPr>
              <w:t>450GL for enhanced environmental outcomes</w:t>
            </w:r>
          </w:p>
        </w:tc>
        <w:tc>
          <w:tcPr>
            <w:tcW w:w="1310" w:type="dxa"/>
            <w:tcBorders>
              <w:top w:val="nil"/>
              <w:left w:val="nil"/>
              <w:right w:val="nil"/>
            </w:tcBorders>
            <w:noWrap/>
            <w:hideMark/>
          </w:tcPr>
          <w:p w14:paraId="7014BC3A" w14:textId="77777777" w:rsidR="00A2153D" w:rsidRDefault="00A2153D" w:rsidP="002A7A92">
            <w:pPr>
              <w:jc w:val="right"/>
            </w:pPr>
          </w:p>
        </w:tc>
        <w:tc>
          <w:tcPr>
            <w:tcW w:w="1311" w:type="dxa"/>
            <w:tcBorders>
              <w:top w:val="nil"/>
              <w:left w:val="nil"/>
              <w:right w:val="nil"/>
            </w:tcBorders>
            <w:noWrap/>
            <w:hideMark/>
          </w:tcPr>
          <w:p w14:paraId="6685FA20" w14:textId="77777777" w:rsidR="00A2153D" w:rsidRDefault="00A2153D" w:rsidP="002A7A92">
            <w:pPr>
              <w:spacing w:before="0" w:after="0" w:line="240" w:lineRule="auto"/>
              <w:jc w:val="right"/>
              <w:rPr>
                <w:rFonts w:ascii="AR ESSENCE" w:hAnsi="AR ESSENCE"/>
                <w:color w:val="auto"/>
                <w:lang w:eastAsia="en-AU"/>
              </w:rPr>
            </w:pPr>
          </w:p>
        </w:tc>
        <w:tc>
          <w:tcPr>
            <w:tcW w:w="1310" w:type="dxa"/>
            <w:tcBorders>
              <w:top w:val="nil"/>
              <w:left w:val="nil"/>
              <w:right w:val="nil"/>
            </w:tcBorders>
            <w:noWrap/>
            <w:hideMark/>
          </w:tcPr>
          <w:p w14:paraId="3CD97D9C" w14:textId="77777777" w:rsidR="00A2153D" w:rsidRDefault="00A2153D" w:rsidP="002A7A92">
            <w:pPr>
              <w:spacing w:before="0" w:after="0" w:line="240" w:lineRule="auto"/>
              <w:jc w:val="right"/>
              <w:rPr>
                <w:rFonts w:ascii="AR ESSENCE" w:hAnsi="AR ESSENCE"/>
                <w:color w:val="auto"/>
                <w:lang w:eastAsia="en-AU"/>
              </w:rPr>
            </w:pPr>
          </w:p>
        </w:tc>
        <w:tc>
          <w:tcPr>
            <w:tcW w:w="1311" w:type="dxa"/>
            <w:tcBorders>
              <w:top w:val="nil"/>
              <w:left w:val="nil"/>
              <w:right w:val="nil"/>
            </w:tcBorders>
            <w:noWrap/>
            <w:hideMark/>
          </w:tcPr>
          <w:p w14:paraId="7EB4974B" w14:textId="77777777" w:rsidR="00A2153D" w:rsidRDefault="00A2153D" w:rsidP="002A7A92">
            <w:pPr>
              <w:spacing w:before="0" w:after="0" w:line="240" w:lineRule="auto"/>
              <w:jc w:val="right"/>
              <w:rPr>
                <w:rFonts w:ascii="AR ESSENCE" w:hAnsi="AR ESSENCE"/>
                <w:color w:val="auto"/>
                <w:lang w:eastAsia="en-AU"/>
              </w:rPr>
            </w:pPr>
          </w:p>
        </w:tc>
      </w:tr>
      <w:tr w:rsidR="00A2153D" w14:paraId="3DC5E3D5" w14:textId="77777777" w:rsidTr="005D5830">
        <w:trPr>
          <w:cnfStyle w:val="000000100000" w:firstRow="0" w:lastRow="0" w:firstColumn="0" w:lastColumn="0" w:oddVBand="0" w:evenVBand="0" w:oddHBand="1" w:evenHBand="0" w:firstRowFirstColumn="0" w:firstRowLastColumn="0" w:lastRowFirstColumn="0" w:lastRowLastColumn="0"/>
        </w:trPr>
        <w:tc>
          <w:tcPr>
            <w:tcW w:w="3828" w:type="dxa"/>
            <w:noWrap/>
            <w:hideMark/>
          </w:tcPr>
          <w:p w14:paraId="054839A1" w14:textId="77777777" w:rsidR="00A2153D" w:rsidRDefault="00A2153D">
            <w:pPr>
              <w:pStyle w:val="TableText"/>
              <w:ind w:left="179"/>
              <w:rPr>
                <w:i/>
                <w:iCs/>
              </w:rPr>
            </w:pPr>
            <w:r>
              <w:rPr>
                <w:i/>
                <w:iCs/>
              </w:rPr>
              <w:t>Progress to 450GL by 30 June 2024</w:t>
            </w:r>
          </w:p>
        </w:tc>
        <w:tc>
          <w:tcPr>
            <w:tcW w:w="1310" w:type="dxa"/>
            <w:noWrap/>
            <w:hideMark/>
          </w:tcPr>
          <w:p w14:paraId="3ED7940E" w14:textId="77777777" w:rsidR="00A2153D" w:rsidRDefault="00A2153D" w:rsidP="002A7A92">
            <w:pPr>
              <w:pStyle w:val="TableText"/>
              <w:ind w:right="-10"/>
              <w:jc w:val="right"/>
            </w:pPr>
            <w:r>
              <w:t>450</w:t>
            </w:r>
          </w:p>
        </w:tc>
        <w:tc>
          <w:tcPr>
            <w:tcW w:w="1311" w:type="dxa"/>
            <w:noWrap/>
            <w:hideMark/>
          </w:tcPr>
          <w:p w14:paraId="6F57AA42" w14:textId="3EC4DFA5" w:rsidR="00A2153D" w:rsidRDefault="00A2153D" w:rsidP="002A7A92">
            <w:pPr>
              <w:pStyle w:val="TableText"/>
              <w:ind w:right="-10"/>
              <w:jc w:val="right"/>
            </w:pPr>
            <w:r>
              <w:t>26</w:t>
            </w:r>
          </w:p>
        </w:tc>
        <w:tc>
          <w:tcPr>
            <w:tcW w:w="1310" w:type="dxa"/>
            <w:noWrap/>
            <w:hideMark/>
          </w:tcPr>
          <w:p w14:paraId="112BA9A1" w14:textId="3B354F3C" w:rsidR="00A2153D" w:rsidRDefault="00A2153D" w:rsidP="002A7A92">
            <w:pPr>
              <w:pStyle w:val="TableText"/>
              <w:ind w:right="-10"/>
              <w:jc w:val="right"/>
            </w:pPr>
            <w:r>
              <w:t>26</w:t>
            </w:r>
          </w:p>
        </w:tc>
        <w:tc>
          <w:tcPr>
            <w:tcW w:w="1311" w:type="dxa"/>
            <w:noWrap/>
            <w:hideMark/>
          </w:tcPr>
          <w:p w14:paraId="53173E82" w14:textId="3C24A6EB" w:rsidR="00A2153D" w:rsidRDefault="00A2153D" w:rsidP="002A7A92">
            <w:pPr>
              <w:pStyle w:val="TableText"/>
              <w:ind w:right="-10"/>
              <w:jc w:val="right"/>
            </w:pPr>
            <w:r>
              <w:t>26</w:t>
            </w:r>
          </w:p>
        </w:tc>
      </w:tr>
      <w:tr w:rsidR="00A2153D" w14:paraId="19126F20" w14:textId="77777777" w:rsidTr="005D5830">
        <w:trPr>
          <w:cnfStyle w:val="000000010000" w:firstRow="0" w:lastRow="0" w:firstColumn="0" w:lastColumn="0" w:oddVBand="0" w:evenVBand="0" w:oddHBand="0" w:evenHBand="1" w:firstRowFirstColumn="0" w:firstRowLastColumn="0" w:lastRowFirstColumn="0" w:lastRowLastColumn="0"/>
        </w:trPr>
        <w:tc>
          <w:tcPr>
            <w:tcW w:w="3828" w:type="dxa"/>
            <w:tcBorders>
              <w:top w:val="nil"/>
              <w:left w:val="nil"/>
              <w:right w:val="nil"/>
            </w:tcBorders>
            <w:noWrap/>
            <w:hideMark/>
          </w:tcPr>
          <w:p w14:paraId="6BC23DB7" w14:textId="77777777" w:rsidR="00A2153D" w:rsidRDefault="00A2153D">
            <w:pPr>
              <w:pStyle w:val="TableText"/>
              <w:ind w:left="179"/>
              <w:rPr>
                <w:i/>
                <w:iCs/>
              </w:rPr>
            </w:pPr>
            <w:r>
              <w:rPr>
                <w:i/>
                <w:iCs/>
              </w:rPr>
              <w:t>Buyback to reach 450GL</w:t>
            </w:r>
          </w:p>
        </w:tc>
        <w:tc>
          <w:tcPr>
            <w:tcW w:w="1310" w:type="dxa"/>
            <w:tcBorders>
              <w:top w:val="nil"/>
              <w:left w:val="nil"/>
              <w:right w:val="nil"/>
            </w:tcBorders>
            <w:noWrap/>
            <w:hideMark/>
          </w:tcPr>
          <w:p w14:paraId="15C67F6F" w14:textId="77777777" w:rsidR="00A2153D" w:rsidRDefault="00A2153D" w:rsidP="002A7A92">
            <w:pPr>
              <w:jc w:val="right"/>
              <w:rPr>
                <w:i/>
                <w:iCs/>
              </w:rPr>
            </w:pPr>
          </w:p>
        </w:tc>
        <w:tc>
          <w:tcPr>
            <w:tcW w:w="1311" w:type="dxa"/>
            <w:tcBorders>
              <w:top w:val="nil"/>
              <w:left w:val="nil"/>
              <w:right w:val="nil"/>
            </w:tcBorders>
            <w:noWrap/>
            <w:hideMark/>
          </w:tcPr>
          <w:p w14:paraId="7B1372CD" w14:textId="77777777" w:rsidR="00A2153D" w:rsidRDefault="00A2153D" w:rsidP="002A7A92">
            <w:pPr>
              <w:spacing w:before="0" w:after="0" w:line="240" w:lineRule="auto"/>
              <w:jc w:val="right"/>
              <w:rPr>
                <w:rFonts w:ascii="AR ESSENCE" w:hAnsi="AR ESSENCE"/>
                <w:color w:val="auto"/>
                <w:lang w:eastAsia="en-AU"/>
              </w:rPr>
            </w:pPr>
          </w:p>
        </w:tc>
        <w:tc>
          <w:tcPr>
            <w:tcW w:w="1310" w:type="dxa"/>
            <w:tcBorders>
              <w:top w:val="nil"/>
              <w:left w:val="nil"/>
              <w:right w:val="nil"/>
            </w:tcBorders>
            <w:noWrap/>
            <w:hideMark/>
          </w:tcPr>
          <w:p w14:paraId="34282C7E" w14:textId="77777777" w:rsidR="00A2153D" w:rsidRDefault="00A2153D" w:rsidP="002A7A92">
            <w:pPr>
              <w:spacing w:before="0" w:after="0" w:line="240" w:lineRule="auto"/>
              <w:jc w:val="right"/>
              <w:rPr>
                <w:rFonts w:ascii="AR ESSENCE" w:hAnsi="AR ESSENCE"/>
                <w:color w:val="auto"/>
                <w:lang w:eastAsia="en-AU"/>
              </w:rPr>
            </w:pPr>
          </w:p>
        </w:tc>
        <w:tc>
          <w:tcPr>
            <w:tcW w:w="1311" w:type="dxa"/>
            <w:tcBorders>
              <w:top w:val="nil"/>
              <w:left w:val="nil"/>
              <w:right w:val="nil"/>
            </w:tcBorders>
            <w:noWrap/>
            <w:hideMark/>
          </w:tcPr>
          <w:p w14:paraId="043FA7BB" w14:textId="77777777" w:rsidR="00A2153D" w:rsidRDefault="00A2153D" w:rsidP="002A7A92">
            <w:pPr>
              <w:pStyle w:val="TableText"/>
              <w:ind w:right="-10"/>
              <w:jc w:val="right"/>
            </w:pPr>
            <w:r>
              <w:t>424</w:t>
            </w:r>
          </w:p>
        </w:tc>
      </w:tr>
      <w:tr w:rsidR="00A2153D" w14:paraId="27587C97" w14:textId="77777777" w:rsidTr="005D5830">
        <w:trPr>
          <w:cnfStyle w:val="000000100000" w:firstRow="0" w:lastRow="0" w:firstColumn="0" w:lastColumn="0" w:oddVBand="0" w:evenVBand="0" w:oddHBand="1" w:evenHBand="0" w:firstRowFirstColumn="0" w:firstRowLastColumn="0" w:lastRowFirstColumn="0" w:lastRowLastColumn="0"/>
        </w:trPr>
        <w:tc>
          <w:tcPr>
            <w:tcW w:w="3828" w:type="dxa"/>
            <w:noWrap/>
            <w:hideMark/>
          </w:tcPr>
          <w:p w14:paraId="733DEF52" w14:textId="77777777" w:rsidR="00A2153D" w:rsidRDefault="00A2153D">
            <w:pPr>
              <w:pStyle w:val="TableText"/>
              <w:ind w:left="179"/>
              <w:rPr>
                <w:i/>
                <w:iCs/>
              </w:rPr>
            </w:pPr>
            <w:r>
              <w:rPr>
                <w:i/>
                <w:iCs/>
              </w:rPr>
              <w:t>Progress to 450GL by SE neutral projects at extended deadline for 'Bridging the gap'</w:t>
            </w:r>
          </w:p>
        </w:tc>
        <w:tc>
          <w:tcPr>
            <w:tcW w:w="1310" w:type="dxa"/>
            <w:noWrap/>
            <w:hideMark/>
          </w:tcPr>
          <w:p w14:paraId="2A130EAF" w14:textId="77777777" w:rsidR="00A2153D" w:rsidRDefault="00A2153D" w:rsidP="002A7A92">
            <w:pPr>
              <w:pStyle w:val="TableText"/>
              <w:ind w:right="-10"/>
              <w:jc w:val="right"/>
            </w:pPr>
            <w:r>
              <w:t>450</w:t>
            </w:r>
          </w:p>
        </w:tc>
        <w:tc>
          <w:tcPr>
            <w:tcW w:w="1311" w:type="dxa"/>
            <w:noWrap/>
            <w:hideMark/>
          </w:tcPr>
          <w:p w14:paraId="382706A6" w14:textId="77777777" w:rsidR="00A2153D" w:rsidRDefault="00A2153D" w:rsidP="002A7A92">
            <w:pPr>
              <w:pStyle w:val="TableText"/>
              <w:ind w:right="-10"/>
              <w:jc w:val="right"/>
            </w:pPr>
            <w:r>
              <w:t>62</w:t>
            </w:r>
          </w:p>
        </w:tc>
        <w:tc>
          <w:tcPr>
            <w:tcW w:w="1310" w:type="dxa"/>
            <w:noWrap/>
            <w:hideMark/>
          </w:tcPr>
          <w:p w14:paraId="4C36D530" w14:textId="77777777" w:rsidR="00A2153D" w:rsidRDefault="00A2153D" w:rsidP="002A7A92">
            <w:pPr>
              <w:pStyle w:val="TableText"/>
              <w:ind w:right="-10"/>
              <w:jc w:val="right"/>
            </w:pPr>
            <w:r>
              <w:t>26</w:t>
            </w:r>
          </w:p>
        </w:tc>
        <w:tc>
          <w:tcPr>
            <w:tcW w:w="1311" w:type="dxa"/>
            <w:noWrap/>
            <w:hideMark/>
          </w:tcPr>
          <w:p w14:paraId="6E9D65D5" w14:textId="77777777" w:rsidR="00A2153D" w:rsidRDefault="00A2153D" w:rsidP="002A7A92">
            <w:pPr>
              <w:pStyle w:val="TableText"/>
              <w:ind w:right="-10"/>
              <w:jc w:val="right"/>
            </w:pPr>
            <w:r>
              <w:t>26</w:t>
            </w:r>
          </w:p>
        </w:tc>
      </w:tr>
      <w:tr w:rsidR="00A2153D" w14:paraId="3AC64ABC" w14:textId="77777777" w:rsidTr="005D5830">
        <w:trPr>
          <w:cnfStyle w:val="000000010000" w:firstRow="0" w:lastRow="0" w:firstColumn="0" w:lastColumn="0" w:oddVBand="0" w:evenVBand="0" w:oddHBand="0" w:evenHBand="1" w:firstRowFirstColumn="0" w:firstRowLastColumn="0" w:lastRowFirstColumn="0" w:lastRowLastColumn="0"/>
        </w:trPr>
        <w:tc>
          <w:tcPr>
            <w:tcW w:w="3828" w:type="dxa"/>
            <w:tcBorders>
              <w:top w:val="nil"/>
              <w:left w:val="nil"/>
              <w:right w:val="nil"/>
            </w:tcBorders>
            <w:noWrap/>
            <w:hideMark/>
          </w:tcPr>
          <w:p w14:paraId="08B06907" w14:textId="77777777" w:rsidR="00A2153D" w:rsidRDefault="00A2153D">
            <w:pPr>
              <w:pStyle w:val="TableText"/>
              <w:rPr>
                <w:b/>
                <w:bCs/>
              </w:rPr>
            </w:pPr>
            <w:r>
              <w:rPr>
                <w:b/>
                <w:bCs/>
              </w:rPr>
              <w:t>Buyback</w:t>
            </w:r>
          </w:p>
        </w:tc>
        <w:tc>
          <w:tcPr>
            <w:tcW w:w="1310" w:type="dxa"/>
            <w:tcBorders>
              <w:top w:val="nil"/>
              <w:left w:val="nil"/>
              <w:right w:val="nil"/>
            </w:tcBorders>
            <w:noWrap/>
            <w:hideMark/>
          </w:tcPr>
          <w:p w14:paraId="72B9DF8C" w14:textId="77777777" w:rsidR="00A2153D" w:rsidRDefault="00A2153D" w:rsidP="002A7A92">
            <w:pPr>
              <w:jc w:val="right"/>
              <w:rPr>
                <w:b/>
                <w:bCs/>
              </w:rPr>
            </w:pPr>
          </w:p>
        </w:tc>
        <w:tc>
          <w:tcPr>
            <w:tcW w:w="1311" w:type="dxa"/>
            <w:tcBorders>
              <w:top w:val="nil"/>
              <w:left w:val="nil"/>
              <w:right w:val="nil"/>
            </w:tcBorders>
            <w:noWrap/>
            <w:hideMark/>
          </w:tcPr>
          <w:p w14:paraId="5FC1EBED" w14:textId="77777777" w:rsidR="00A2153D" w:rsidRDefault="00A2153D" w:rsidP="002A7A92">
            <w:pPr>
              <w:spacing w:before="0" w:after="0" w:line="240" w:lineRule="auto"/>
              <w:jc w:val="right"/>
              <w:rPr>
                <w:rFonts w:ascii="AR ESSENCE" w:hAnsi="AR ESSENCE"/>
                <w:color w:val="auto"/>
                <w:lang w:eastAsia="en-AU"/>
              </w:rPr>
            </w:pPr>
          </w:p>
        </w:tc>
        <w:tc>
          <w:tcPr>
            <w:tcW w:w="1310" w:type="dxa"/>
            <w:tcBorders>
              <w:top w:val="nil"/>
              <w:left w:val="nil"/>
              <w:right w:val="nil"/>
            </w:tcBorders>
            <w:noWrap/>
            <w:hideMark/>
          </w:tcPr>
          <w:p w14:paraId="2D84DCDC" w14:textId="77777777" w:rsidR="00A2153D" w:rsidRDefault="00A2153D" w:rsidP="002A7A92">
            <w:pPr>
              <w:spacing w:before="0" w:after="0" w:line="240" w:lineRule="auto"/>
              <w:jc w:val="right"/>
              <w:rPr>
                <w:rFonts w:ascii="AR ESSENCE" w:hAnsi="AR ESSENCE"/>
                <w:color w:val="auto"/>
                <w:lang w:eastAsia="en-AU"/>
              </w:rPr>
            </w:pPr>
          </w:p>
        </w:tc>
        <w:tc>
          <w:tcPr>
            <w:tcW w:w="1311" w:type="dxa"/>
            <w:tcBorders>
              <w:top w:val="nil"/>
              <w:left w:val="nil"/>
              <w:right w:val="nil"/>
            </w:tcBorders>
            <w:noWrap/>
            <w:hideMark/>
          </w:tcPr>
          <w:p w14:paraId="5D199DC4" w14:textId="77777777" w:rsidR="00A2153D" w:rsidRDefault="00A2153D" w:rsidP="002A7A92">
            <w:pPr>
              <w:spacing w:before="0" w:after="0" w:line="240" w:lineRule="auto"/>
              <w:jc w:val="right"/>
              <w:rPr>
                <w:rFonts w:ascii="AR ESSENCE" w:hAnsi="AR ESSENCE"/>
                <w:color w:val="auto"/>
                <w:lang w:eastAsia="en-AU"/>
              </w:rPr>
            </w:pPr>
          </w:p>
        </w:tc>
      </w:tr>
      <w:tr w:rsidR="00A2153D" w14:paraId="57F67D3C" w14:textId="77777777" w:rsidTr="005D5830">
        <w:trPr>
          <w:cnfStyle w:val="000000100000" w:firstRow="0" w:lastRow="0" w:firstColumn="0" w:lastColumn="0" w:oddVBand="0" w:evenVBand="0" w:oddHBand="1" w:evenHBand="0" w:firstRowFirstColumn="0" w:firstRowLastColumn="0" w:lastRowFirstColumn="0" w:lastRowLastColumn="0"/>
        </w:trPr>
        <w:tc>
          <w:tcPr>
            <w:tcW w:w="3828" w:type="dxa"/>
            <w:noWrap/>
            <w:hideMark/>
          </w:tcPr>
          <w:p w14:paraId="642DE2AA" w14:textId="77777777" w:rsidR="00A2153D" w:rsidRDefault="00A2153D">
            <w:pPr>
              <w:pStyle w:val="TableText"/>
              <w:ind w:left="179"/>
            </w:pPr>
            <w:r>
              <w:rPr>
                <w:i/>
                <w:iCs/>
              </w:rPr>
              <w:t>Total buyback</w:t>
            </w:r>
          </w:p>
        </w:tc>
        <w:tc>
          <w:tcPr>
            <w:tcW w:w="1310" w:type="dxa"/>
            <w:noWrap/>
            <w:hideMark/>
          </w:tcPr>
          <w:p w14:paraId="4F5D81D4" w14:textId="77777777" w:rsidR="00A2153D" w:rsidRDefault="00A2153D" w:rsidP="002A7A92">
            <w:pPr>
              <w:pStyle w:val="TableText"/>
              <w:ind w:right="-10"/>
              <w:jc w:val="right"/>
            </w:pPr>
            <w:r>
              <w:t>0</w:t>
            </w:r>
          </w:p>
        </w:tc>
        <w:tc>
          <w:tcPr>
            <w:tcW w:w="1311" w:type="dxa"/>
            <w:noWrap/>
            <w:hideMark/>
          </w:tcPr>
          <w:p w14:paraId="514A7556" w14:textId="77777777" w:rsidR="00A2153D" w:rsidRDefault="00A2153D" w:rsidP="002A7A92">
            <w:pPr>
              <w:pStyle w:val="TableText"/>
              <w:ind w:right="-10"/>
              <w:jc w:val="right"/>
            </w:pPr>
            <w:r>
              <w:t>0</w:t>
            </w:r>
          </w:p>
        </w:tc>
        <w:tc>
          <w:tcPr>
            <w:tcW w:w="1310" w:type="dxa"/>
            <w:noWrap/>
            <w:hideMark/>
          </w:tcPr>
          <w:p w14:paraId="30843D7C" w14:textId="683A3C92" w:rsidR="00A2153D" w:rsidRDefault="00A2153D" w:rsidP="002A7A92">
            <w:pPr>
              <w:pStyle w:val="TableText"/>
              <w:ind w:right="-10"/>
              <w:jc w:val="right"/>
            </w:pPr>
            <w:r>
              <w:t>160</w:t>
            </w:r>
            <w:r w:rsidR="002A7A92">
              <w:t>–326</w:t>
            </w:r>
          </w:p>
        </w:tc>
        <w:tc>
          <w:tcPr>
            <w:tcW w:w="1311" w:type="dxa"/>
            <w:noWrap/>
            <w:hideMark/>
          </w:tcPr>
          <w:p w14:paraId="5C377E55" w14:textId="19853C38" w:rsidR="00A2153D" w:rsidRDefault="00A2153D" w:rsidP="002A7A92">
            <w:pPr>
              <w:pStyle w:val="TableText"/>
              <w:ind w:right="-10"/>
              <w:jc w:val="right"/>
            </w:pPr>
            <w:r>
              <w:t>584</w:t>
            </w:r>
            <w:r w:rsidR="002A7A92">
              <w:t>–750</w:t>
            </w:r>
          </w:p>
        </w:tc>
      </w:tr>
    </w:tbl>
    <w:p w14:paraId="262F5864" w14:textId="77777777" w:rsidR="00A2153D" w:rsidRDefault="00A2153D" w:rsidP="00A2153D">
      <w:pPr>
        <w:spacing w:after="320"/>
        <w:rPr>
          <w:color w:val="9BA1A5"/>
        </w:rPr>
      </w:pPr>
      <w:r>
        <w:rPr>
          <w:i/>
          <w:color w:val="9BA1A5"/>
          <w:sz w:val="16"/>
          <w:szCs w:val="16"/>
        </w:rPr>
        <w:t>Source: Frontier Economics</w:t>
      </w:r>
    </w:p>
    <w:p w14:paraId="015EB5E5" w14:textId="77777777" w:rsidR="00A2153D" w:rsidRDefault="00A2153D" w:rsidP="00A2153D">
      <w:pPr>
        <w:pStyle w:val="BodyText"/>
      </w:pPr>
      <w:r>
        <w:t>The key differences between the scenarios are:</w:t>
      </w:r>
    </w:p>
    <w:p w14:paraId="2974C332" w14:textId="77777777" w:rsidR="00A2153D" w:rsidRDefault="00A2153D" w:rsidP="00597401">
      <w:pPr>
        <w:pStyle w:val="ParaBullet1"/>
        <w:numPr>
          <w:ilvl w:val="0"/>
          <w:numId w:val="14"/>
        </w:numPr>
      </w:pPr>
      <w:r>
        <w:t>the shortfall in 'Bridging the gap' at 30 June 2024, and how this is addressed (either through extending the timeline for SDLAM projects, or via buyback)</w:t>
      </w:r>
    </w:p>
    <w:p w14:paraId="7F71270F" w14:textId="77777777" w:rsidR="00A2153D" w:rsidRDefault="00A2153D" w:rsidP="00597401">
      <w:pPr>
        <w:pStyle w:val="ParaBullet1"/>
        <w:numPr>
          <w:ilvl w:val="0"/>
          <w:numId w:val="14"/>
        </w:numPr>
      </w:pPr>
      <w:r>
        <w:t>the progress to 450GL by 30 June 2024, and whether buyback is used to fully realise the 450GL.</w:t>
      </w:r>
    </w:p>
    <w:p w14:paraId="32F4643F" w14:textId="77777777" w:rsidR="00A2153D" w:rsidRDefault="00A2153D" w:rsidP="00597401">
      <w:pPr>
        <w:pStyle w:val="ParaBullet1"/>
        <w:numPr>
          <w:ilvl w:val="0"/>
          <w:numId w:val="14"/>
        </w:numPr>
      </w:pPr>
      <w:r>
        <w:t>the cumulative reliance on buybacks, giving the overall total volume of buyback in the scenario.</w:t>
      </w:r>
    </w:p>
    <w:p w14:paraId="64B6956F" w14:textId="77777777" w:rsidR="00A2153D" w:rsidRDefault="00A2153D" w:rsidP="00A2153D">
      <w:pPr>
        <w:pStyle w:val="BodyText"/>
      </w:pPr>
    </w:p>
    <w:p w14:paraId="4B8FA747" w14:textId="77777777" w:rsidR="00A2153D" w:rsidRDefault="00A2153D" w:rsidP="00597401">
      <w:pPr>
        <w:pStyle w:val="Heading2numbered"/>
        <w:numPr>
          <w:ilvl w:val="1"/>
          <w:numId w:val="12"/>
        </w:numPr>
        <w:tabs>
          <w:tab w:val="clear" w:pos="851"/>
        </w:tabs>
        <w:ind w:left="0" w:firstLine="0"/>
      </w:pPr>
      <w:bookmarkStart w:id="261" w:name="_Toc110262409"/>
      <w:bookmarkStart w:id="262" w:name="_Toc113621678"/>
      <w:r>
        <w:lastRenderedPageBreak/>
        <w:t>Scenario 1: Completion by June 2024</w:t>
      </w:r>
      <w:bookmarkEnd w:id="261"/>
      <w:bookmarkEnd w:id="262"/>
    </w:p>
    <w:p w14:paraId="409FE27B" w14:textId="3E71F9C2" w:rsidR="00EA7121" w:rsidRDefault="00A2153D" w:rsidP="00A2153D">
      <w:pPr>
        <w:pStyle w:val="BodyText"/>
      </w:pPr>
      <w:bookmarkStart w:id="263" w:name="_Toc110262426"/>
      <w:bookmarkStart w:id="264" w:name="_Toc113621709"/>
      <w:r>
        <w:rPr>
          <w:rStyle w:val="Bold"/>
        </w:rPr>
        <w:t xml:space="preserve">Table </w:t>
      </w:r>
      <w:r>
        <w:fldChar w:fldCharType="begin"/>
      </w:r>
      <w:r>
        <w:rPr>
          <w:rStyle w:val="Bold"/>
        </w:rPr>
        <w:instrText xml:space="preserve"> SEQ Table \* ARABIC </w:instrText>
      </w:r>
      <w:r>
        <w:fldChar w:fldCharType="separate"/>
      </w:r>
      <w:r w:rsidR="00D4298A">
        <w:rPr>
          <w:rStyle w:val="Bold"/>
          <w:noProof/>
        </w:rPr>
        <w:t>22</w:t>
      </w:r>
      <w:r>
        <w:fldChar w:fldCharType="end"/>
      </w:r>
      <w:r>
        <w:rPr>
          <w:rStyle w:val="Bold"/>
        </w:rPr>
        <w:t>:</w:t>
      </w:r>
      <w:r>
        <w:t xml:space="preserve"> Scenario 1 summary</w:t>
      </w:r>
      <w:bookmarkEnd w:id="263"/>
      <w:bookmarkEnd w:id="264"/>
    </w:p>
    <w:tbl>
      <w:tblPr>
        <w:tblStyle w:val="FETableStyle"/>
        <w:tblW w:w="5000" w:type="pct"/>
        <w:tblLook w:val="0420" w:firstRow="1" w:lastRow="0" w:firstColumn="0" w:lastColumn="0" w:noHBand="0" w:noVBand="1"/>
      </w:tblPr>
      <w:tblGrid>
        <w:gridCol w:w="3544"/>
        <w:gridCol w:w="5526"/>
      </w:tblGrid>
      <w:tr w:rsidR="00EA7121" w14:paraId="20E0E389" w14:textId="77777777" w:rsidTr="001F1C69">
        <w:trPr>
          <w:cnfStyle w:val="100000000000" w:firstRow="1" w:lastRow="0" w:firstColumn="0" w:lastColumn="0" w:oddVBand="0" w:evenVBand="0" w:oddHBand="0" w:evenHBand="0" w:firstRowFirstColumn="0" w:firstRowLastColumn="0" w:lastRowFirstColumn="0" w:lastRowLastColumn="0"/>
        </w:trPr>
        <w:tc>
          <w:tcPr>
            <w:tcW w:w="3544" w:type="dxa"/>
            <w:tcBorders>
              <w:top w:val="nil"/>
              <w:left w:val="nil"/>
              <w:bottom w:val="nil"/>
              <w:right w:val="nil"/>
            </w:tcBorders>
            <w:hideMark/>
          </w:tcPr>
          <w:p w14:paraId="30A37E12" w14:textId="77777777" w:rsidR="00EA7121" w:rsidRDefault="00EA7121" w:rsidP="001F1C69">
            <w:pPr>
              <w:pStyle w:val="TableHeading"/>
              <w:rPr>
                <w:b/>
              </w:rPr>
            </w:pPr>
            <w:r>
              <w:rPr>
                <w:b/>
              </w:rPr>
              <w:t>Element / Outcome</w:t>
            </w:r>
          </w:p>
        </w:tc>
        <w:tc>
          <w:tcPr>
            <w:tcW w:w="5526" w:type="dxa"/>
            <w:tcBorders>
              <w:top w:val="nil"/>
              <w:left w:val="nil"/>
              <w:bottom w:val="nil"/>
              <w:right w:val="nil"/>
            </w:tcBorders>
            <w:hideMark/>
          </w:tcPr>
          <w:p w14:paraId="0B28375F" w14:textId="54B6D9B7" w:rsidR="00EA7121" w:rsidRDefault="00EA7121" w:rsidP="001F1C69">
            <w:pPr>
              <w:pStyle w:val="TableHeading"/>
              <w:rPr>
                <w:b/>
              </w:rPr>
            </w:pPr>
            <w:r>
              <w:rPr>
                <w:b/>
              </w:rPr>
              <w:t>Scenario 1</w:t>
            </w:r>
          </w:p>
        </w:tc>
      </w:tr>
      <w:tr w:rsidR="00EA7121" w14:paraId="34854E68" w14:textId="77777777" w:rsidTr="001F1C69">
        <w:trPr>
          <w:cnfStyle w:val="000000100000" w:firstRow="0" w:lastRow="0" w:firstColumn="0" w:lastColumn="0" w:oddVBand="0" w:evenVBand="0" w:oddHBand="1" w:evenHBand="0" w:firstRowFirstColumn="0" w:firstRowLastColumn="0" w:lastRowFirstColumn="0" w:lastRowLastColumn="0"/>
        </w:trPr>
        <w:tc>
          <w:tcPr>
            <w:tcW w:w="3544" w:type="dxa"/>
            <w:hideMark/>
          </w:tcPr>
          <w:p w14:paraId="6E85BA73" w14:textId="77777777" w:rsidR="00EA7121" w:rsidRDefault="00EA7121" w:rsidP="001F1C69">
            <w:pPr>
              <w:pStyle w:val="TableText"/>
            </w:pPr>
            <w:r>
              <w:t>Progress towards 2075GL of water recovery for ‘Bridging the Gap’</w:t>
            </w:r>
          </w:p>
        </w:tc>
        <w:tc>
          <w:tcPr>
            <w:tcW w:w="5526" w:type="dxa"/>
            <w:hideMark/>
          </w:tcPr>
          <w:p w14:paraId="1B4EAE66" w14:textId="10D23556" w:rsidR="00EA7121" w:rsidRDefault="00EA7121" w:rsidP="001F1C69">
            <w:pPr>
              <w:pStyle w:val="TableText"/>
            </w:pPr>
            <w:r>
              <w:t>Full achievement of 2075GL by 30 June 2024</w:t>
            </w:r>
          </w:p>
        </w:tc>
      </w:tr>
      <w:tr w:rsidR="00EA7121" w14:paraId="0F231CDF" w14:textId="77777777" w:rsidTr="001F1C69">
        <w:trPr>
          <w:cnfStyle w:val="000000010000" w:firstRow="0" w:lastRow="0" w:firstColumn="0" w:lastColumn="0" w:oddVBand="0" w:evenVBand="0" w:oddHBand="0" w:evenHBand="1" w:firstRowFirstColumn="0" w:firstRowLastColumn="0" w:lastRowFirstColumn="0" w:lastRowLastColumn="0"/>
        </w:trPr>
        <w:tc>
          <w:tcPr>
            <w:tcW w:w="3544" w:type="dxa"/>
            <w:tcBorders>
              <w:top w:val="nil"/>
              <w:left w:val="nil"/>
              <w:right w:val="nil"/>
            </w:tcBorders>
            <w:hideMark/>
          </w:tcPr>
          <w:p w14:paraId="791DACF7" w14:textId="77777777" w:rsidR="00EA7121" w:rsidRDefault="00EA7121" w:rsidP="001F1C69">
            <w:pPr>
              <w:pStyle w:val="TableText"/>
            </w:pPr>
            <w:r>
              <w:t>Progress towards 605GL of SDL offsets for ‘Bridging the Gap’</w:t>
            </w:r>
          </w:p>
        </w:tc>
        <w:tc>
          <w:tcPr>
            <w:tcW w:w="5526" w:type="dxa"/>
            <w:tcBorders>
              <w:top w:val="nil"/>
              <w:left w:val="nil"/>
              <w:right w:val="nil"/>
            </w:tcBorders>
            <w:hideMark/>
          </w:tcPr>
          <w:p w14:paraId="3D3E03C3" w14:textId="64BB066E" w:rsidR="00EA7121" w:rsidRDefault="00EA7121" w:rsidP="001F1C69">
            <w:pPr>
              <w:pStyle w:val="TableText"/>
            </w:pPr>
            <w:r>
              <w:t>Full achievement of 605GL by 30 June 2024</w:t>
            </w:r>
          </w:p>
        </w:tc>
      </w:tr>
      <w:tr w:rsidR="00EA7121" w14:paraId="05A2A9E8" w14:textId="77777777" w:rsidTr="001F1C69">
        <w:trPr>
          <w:cnfStyle w:val="000000100000" w:firstRow="0" w:lastRow="0" w:firstColumn="0" w:lastColumn="0" w:oddVBand="0" w:evenVBand="0" w:oddHBand="1" w:evenHBand="0" w:firstRowFirstColumn="0" w:firstRowLastColumn="0" w:lastRowFirstColumn="0" w:lastRowLastColumn="0"/>
        </w:trPr>
        <w:tc>
          <w:tcPr>
            <w:tcW w:w="3544" w:type="dxa"/>
            <w:hideMark/>
          </w:tcPr>
          <w:p w14:paraId="51175700" w14:textId="77777777" w:rsidR="00EA7121" w:rsidRDefault="00EA7121" w:rsidP="001F1C69">
            <w:pPr>
              <w:pStyle w:val="TableText"/>
            </w:pPr>
            <w:r>
              <w:t>Progress towards 450GL water recovery for enhance environmental outcomes</w:t>
            </w:r>
          </w:p>
        </w:tc>
        <w:tc>
          <w:tcPr>
            <w:tcW w:w="5526" w:type="dxa"/>
            <w:hideMark/>
          </w:tcPr>
          <w:p w14:paraId="274E65C3" w14:textId="28EA7A09" w:rsidR="00EA7121" w:rsidRDefault="00EA7121" w:rsidP="001F1C69">
            <w:pPr>
              <w:pStyle w:val="TableText"/>
            </w:pPr>
            <w:r>
              <w:t>Full achievement of 450GL by 30 June 2024</w:t>
            </w:r>
          </w:p>
        </w:tc>
      </w:tr>
      <w:tr w:rsidR="00EA7121" w14:paraId="4A3FBC31" w14:textId="77777777" w:rsidTr="001F1C69">
        <w:trPr>
          <w:cnfStyle w:val="000000010000" w:firstRow="0" w:lastRow="0" w:firstColumn="0" w:lastColumn="0" w:oddVBand="0" w:evenVBand="0" w:oddHBand="0" w:evenHBand="1" w:firstRowFirstColumn="0" w:firstRowLastColumn="0" w:lastRowFirstColumn="0" w:lastRowLastColumn="0"/>
        </w:trPr>
        <w:tc>
          <w:tcPr>
            <w:tcW w:w="3544" w:type="dxa"/>
          </w:tcPr>
          <w:p w14:paraId="2A1D9327" w14:textId="52F806C8" w:rsidR="00EA7121" w:rsidRDefault="00EA7121" w:rsidP="001F1C69">
            <w:pPr>
              <w:pStyle w:val="TableText"/>
            </w:pPr>
            <w:r>
              <w:t>Socio-economic impact of buyback</w:t>
            </w:r>
            <w:r w:rsidR="00AF57C9">
              <w:t>s</w:t>
            </w:r>
          </w:p>
        </w:tc>
        <w:tc>
          <w:tcPr>
            <w:tcW w:w="5526" w:type="dxa"/>
            <w:noWrap/>
          </w:tcPr>
          <w:p w14:paraId="4BA313E9" w14:textId="397F32BB" w:rsidR="00EA7121" w:rsidRDefault="00AF57C9" w:rsidP="001F1C69">
            <w:pPr>
              <w:pStyle w:val="TableText"/>
            </w:pPr>
            <w:r>
              <w:t>N</w:t>
            </w:r>
            <w:r w:rsidR="00EA7121" w:rsidRPr="00EA7121">
              <w:t xml:space="preserve">egligible </w:t>
            </w:r>
            <w:r>
              <w:t xml:space="preserve">— </w:t>
            </w:r>
            <w:r w:rsidR="00665FFF">
              <w:t>no further</w:t>
            </w:r>
            <w:r>
              <w:t xml:space="preserve"> buyback</w:t>
            </w:r>
          </w:p>
        </w:tc>
      </w:tr>
    </w:tbl>
    <w:p w14:paraId="019E88B0" w14:textId="77777777" w:rsidR="00EA7121" w:rsidRDefault="00EA7121" w:rsidP="00A2153D">
      <w:pPr>
        <w:pStyle w:val="BodyText"/>
      </w:pPr>
    </w:p>
    <w:p w14:paraId="4F35205F" w14:textId="779B80BD" w:rsidR="00EA7121" w:rsidRDefault="00A2153D" w:rsidP="00A2153D">
      <w:pPr>
        <w:pStyle w:val="BodyText"/>
      </w:pPr>
      <w:r>
        <w:t>Scenario 1 could be considered, almost by definition, to have negligible social and economic impacts from the water recovery (assuming acceptable assessment of socio-economic neutrality</w:t>
      </w:r>
      <w:r w:rsidR="00665FFF">
        <w:t>)</w:t>
      </w:r>
      <w:r>
        <w:t xml:space="preserve">. </w:t>
      </w:r>
    </w:p>
    <w:p w14:paraId="389C3157" w14:textId="12767DF7" w:rsidR="00A2153D" w:rsidRDefault="00801249" w:rsidP="00A2153D">
      <w:pPr>
        <w:pStyle w:val="BodyText"/>
      </w:pPr>
      <w:r>
        <w:t>It is not</w:t>
      </w:r>
      <w:r w:rsidR="00A2153D">
        <w:t xml:space="preserve"> realistic that the full set of SDLAM projects and 450GL of projects to satisfy the socio-economic neutrality requirements can be achieved by 30 June 2024. We consider that Scenario 1 is un</w:t>
      </w:r>
      <w:r w:rsidR="003D23F2">
        <w:t>realistic</w:t>
      </w:r>
      <w:r w:rsidR="00A2153D">
        <w:t xml:space="preserve"> on two counts:</w:t>
      </w:r>
    </w:p>
    <w:p w14:paraId="5B1DA5CE" w14:textId="66CB175D" w:rsidR="00A2153D" w:rsidRDefault="00A2153D" w:rsidP="005D5830">
      <w:pPr>
        <w:pStyle w:val="ListParagraph"/>
      </w:pPr>
      <w:r>
        <w:t>I</w:t>
      </w:r>
      <w:r w:rsidR="003D23F2">
        <w:t>ndec</w:t>
      </w:r>
      <w:r w:rsidR="00BC1026">
        <w:t xml:space="preserve"> (2021)</w:t>
      </w:r>
      <w:r>
        <w:t xml:space="preserve"> </w:t>
      </w:r>
      <w:r w:rsidR="005D5830">
        <w:t>found that up to</w:t>
      </w:r>
      <w:r>
        <w:t xml:space="preserve"> 444.7 GL of the 605GL from SDLAM projects </w:t>
      </w:r>
      <w:r w:rsidR="005D5830">
        <w:t>may</w:t>
      </w:r>
      <w:r>
        <w:t xml:space="preserve"> meet the 30 June 2024 date.</w:t>
      </w:r>
      <w:r w:rsidR="005D5830">
        <w:t xml:space="preserve"> </w:t>
      </w:r>
      <w:r w:rsidR="005D5830" w:rsidRPr="005D5830">
        <w:t>Only 278.7GL of SDLAM projects are in operation</w:t>
      </w:r>
      <w:r w:rsidR="005D5830">
        <w:t>.</w:t>
      </w:r>
    </w:p>
    <w:p w14:paraId="7E7572F7" w14:textId="11415170" w:rsidR="00CD7568" w:rsidRDefault="00A2153D" w:rsidP="005D5830">
      <w:pPr>
        <w:pStyle w:val="ListParagraph"/>
      </w:pPr>
      <w:r w:rsidRPr="00CA43CD">
        <w:t xml:space="preserve">As at </w:t>
      </w:r>
      <w:r w:rsidR="00CA43CD" w:rsidRPr="00CA43CD">
        <w:t xml:space="preserve">August </w:t>
      </w:r>
      <w:r w:rsidRPr="00CA43CD">
        <w:t>2022, there has been 2GL recovered and 24 GL committed</w:t>
      </w:r>
      <w:r w:rsidR="00CA43CD" w:rsidRPr="00CA43CD">
        <w:t xml:space="preserve"> towards</w:t>
      </w:r>
      <w:r w:rsidR="00CA43CD">
        <w:t xml:space="preserve"> the 450 GL</w:t>
      </w:r>
      <w:r>
        <w:t xml:space="preserve">. </w:t>
      </w:r>
      <w:r w:rsidR="00CD7568">
        <w:t>The second WESA review</w:t>
      </w:r>
      <w:r w:rsidR="00131789">
        <w:t xml:space="preserve"> (Australian Government 2021)</w:t>
      </w:r>
      <w:r w:rsidR="00CD7568">
        <w:t xml:space="preserve"> expressed confidence that </w:t>
      </w:r>
      <w:r w:rsidR="00CD7568" w:rsidRPr="00CD7568">
        <w:t>6</w:t>
      </w:r>
      <w:r w:rsidR="00CA43CD">
        <w:t>2</w:t>
      </w:r>
      <w:r w:rsidR="00CD7568">
        <w:t xml:space="preserve"> </w:t>
      </w:r>
      <w:r w:rsidR="00CD7568" w:rsidRPr="00CD7568">
        <w:t>GL</w:t>
      </w:r>
      <w:r w:rsidR="00CD7568">
        <w:t xml:space="preserve"> </w:t>
      </w:r>
      <w:r w:rsidR="00CD7568" w:rsidRPr="00CD7568">
        <w:t>could</w:t>
      </w:r>
      <w:r w:rsidR="00CD7568">
        <w:t xml:space="preserve"> </w:t>
      </w:r>
      <w:r w:rsidR="00CD7568" w:rsidRPr="00CD7568">
        <w:t>be</w:t>
      </w:r>
      <w:r w:rsidR="00CD7568">
        <w:t xml:space="preserve"> </w:t>
      </w:r>
      <w:r w:rsidR="00CD7568" w:rsidRPr="00CD7568">
        <w:t>recovered</w:t>
      </w:r>
      <w:r w:rsidR="00CD7568">
        <w:t xml:space="preserve"> </w:t>
      </w:r>
      <w:r w:rsidR="00CD7568" w:rsidRPr="00CD7568">
        <w:t>by</w:t>
      </w:r>
      <w:r w:rsidR="00CD7568">
        <w:t xml:space="preserve"> </w:t>
      </w:r>
      <w:r w:rsidR="00CD7568" w:rsidRPr="00CD7568">
        <w:t>30</w:t>
      </w:r>
      <w:r w:rsidR="00CD7568">
        <w:t xml:space="preserve"> </w:t>
      </w:r>
      <w:r w:rsidR="00CD7568" w:rsidRPr="00CD7568">
        <w:t>June</w:t>
      </w:r>
      <w:r w:rsidR="00CD7568">
        <w:t xml:space="preserve"> </w:t>
      </w:r>
      <w:r w:rsidR="00CD7568" w:rsidRPr="00CD7568">
        <w:t>2024</w:t>
      </w:r>
      <w:r w:rsidR="00CD7568">
        <w:t>, but that the technical maximum (even without time and budget constraints) was 330GL.</w:t>
      </w:r>
    </w:p>
    <w:p w14:paraId="7F6783E7" w14:textId="377415A9" w:rsidR="00A2153D" w:rsidRDefault="00A2153D" w:rsidP="00A2153D">
      <w:pPr>
        <w:pStyle w:val="BodyText"/>
      </w:pPr>
      <w:r>
        <w:t xml:space="preserve">In this context, it does not make sense to look at any further options incorporating completion of SDLAM projects </w:t>
      </w:r>
      <w:r w:rsidR="00323726" w:rsidRPr="00323726">
        <w:t xml:space="preserve">and full achievement of 450GL through efficiency </w:t>
      </w:r>
      <w:r w:rsidR="00782466">
        <w:t>measure</w:t>
      </w:r>
      <w:r w:rsidR="00323726" w:rsidRPr="00323726">
        <w:t>s that satisfy the socio</w:t>
      </w:r>
      <w:r w:rsidR="00782466">
        <w:t>-</w:t>
      </w:r>
      <w:r w:rsidR="00323726" w:rsidRPr="00323726">
        <w:t xml:space="preserve">economic criteria </w:t>
      </w:r>
      <w:r>
        <w:t>by 30 June 2024.</w:t>
      </w:r>
    </w:p>
    <w:p w14:paraId="413C4109" w14:textId="77777777" w:rsidR="00A2153D" w:rsidRDefault="00A2153D" w:rsidP="00597401">
      <w:pPr>
        <w:pStyle w:val="Heading2numbered"/>
        <w:numPr>
          <w:ilvl w:val="1"/>
          <w:numId w:val="12"/>
        </w:numPr>
        <w:tabs>
          <w:tab w:val="clear" w:pos="851"/>
        </w:tabs>
        <w:ind w:left="0" w:firstLine="0"/>
      </w:pPr>
      <w:bookmarkStart w:id="265" w:name="_Toc110262410"/>
      <w:bookmarkStart w:id="266" w:name="_Toc113621679"/>
      <w:r>
        <w:lastRenderedPageBreak/>
        <w:t>Scenario 2: Timeline extension</w:t>
      </w:r>
      <w:bookmarkEnd w:id="265"/>
      <w:bookmarkEnd w:id="266"/>
    </w:p>
    <w:p w14:paraId="3F97C385" w14:textId="27355EB9" w:rsidR="00A2153D" w:rsidRDefault="00A2153D" w:rsidP="00A2153D">
      <w:pPr>
        <w:pStyle w:val="Caption"/>
      </w:pPr>
      <w:bookmarkStart w:id="267" w:name="_Toc110262427"/>
      <w:bookmarkStart w:id="268" w:name="_Toc113621710"/>
      <w:r>
        <w:rPr>
          <w:rStyle w:val="Bold"/>
        </w:rPr>
        <w:t xml:space="preserve">Table </w:t>
      </w:r>
      <w:r>
        <w:fldChar w:fldCharType="begin"/>
      </w:r>
      <w:r>
        <w:rPr>
          <w:rStyle w:val="Bold"/>
        </w:rPr>
        <w:instrText xml:space="preserve"> SEQ Table \* ARABIC </w:instrText>
      </w:r>
      <w:r>
        <w:fldChar w:fldCharType="separate"/>
      </w:r>
      <w:r w:rsidR="00D4298A">
        <w:rPr>
          <w:rStyle w:val="Bold"/>
          <w:noProof/>
        </w:rPr>
        <w:t>23</w:t>
      </w:r>
      <w:r>
        <w:fldChar w:fldCharType="end"/>
      </w:r>
      <w:r>
        <w:rPr>
          <w:rStyle w:val="Bold"/>
        </w:rPr>
        <w:t>:</w:t>
      </w:r>
      <w:r>
        <w:t xml:space="preserve"> Scenario 2 summary</w:t>
      </w:r>
      <w:bookmarkEnd w:id="267"/>
      <w:bookmarkEnd w:id="268"/>
    </w:p>
    <w:tbl>
      <w:tblPr>
        <w:tblStyle w:val="FETableStyle"/>
        <w:tblW w:w="5000" w:type="pct"/>
        <w:tblLook w:val="0420" w:firstRow="1" w:lastRow="0" w:firstColumn="0" w:lastColumn="0" w:noHBand="0" w:noVBand="1"/>
      </w:tblPr>
      <w:tblGrid>
        <w:gridCol w:w="3544"/>
        <w:gridCol w:w="5526"/>
      </w:tblGrid>
      <w:tr w:rsidR="00A2153D" w14:paraId="5BB98A15" w14:textId="77777777" w:rsidTr="00C064FE">
        <w:trPr>
          <w:cnfStyle w:val="100000000000" w:firstRow="1" w:lastRow="0" w:firstColumn="0" w:lastColumn="0" w:oddVBand="0" w:evenVBand="0" w:oddHBand="0" w:evenHBand="0" w:firstRowFirstColumn="0" w:firstRowLastColumn="0" w:lastRowFirstColumn="0" w:lastRowLastColumn="0"/>
        </w:trPr>
        <w:tc>
          <w:tcPr>
            <w:tcW w:w="3544" w:type="dxa"/>
            <w:tcBorders>
              <w:top w:val="nil"/>
              <w:left w:val="nil"/>
              <w:bottom w:val="nil"/>
              <w:right w:val="nil"/>
            </w:tcBorders>
            <w:hideMark/>
          </w:tcPr>
          <w:p w14:paraId="3C34A992" w14:textId="77777777" w:rsidR="00A2153D" w:rsidRDefault="00A2153D">
            <w:pPr>
              <w:pStyle w:val="TableHeading"/>
              <w:rPr>
                <w:b/>
              </w:rPr>
            </w:pPr>
            <w:r>
              <w:rPr>
                <w:b/>
              </w:rPr>
              <w:t>Element / Outcome</w:t>
            </w:r>
          </w:p>
        </w:tc>
        <w:tc>
          <w:tcPr>
            <w:tcW w:w="5526" w:type="dxa"/>
            <w:tcBorders>
              <w:top w:val="nil"/>
              <w:left w:val="nil"/>
              <w:bottom w:val="nil"/>
              <w:right w:val="nil"/>
            </w:tcBorders>
            <w:hideMark/>
          </w:tcPr>
          <w:p w14:paraId="4B5A213A" w14:textId="77777777" w:rsidR="00A2153D" w:rsidRDefault="00A2153D">
            <w:pPr>
              <w:pStyle w:val="TableHeading"/>
              <w:rPr>
                <w:b/>
              </w:rPr>
            </w:pPr>
            <w:r>
              <w:rPr>
                <w:b/>
              </w:rPr>
              <w:t>Scenario 2</w:t>
            </w:r>
          </w:p>
        </w:tc>
      </w:tr>
      <w:tr w:rsidR="00A2153D" w14:paraId="63AB012E" w14:textId="77777777" w:rsidTr="00C064FE">
        <w:trPr>
          <w:cnfStyle w:val="000000100000" w:firstRow="0" w:lastRow="0" w:firstColumn="0" w:lastColumn="0" w:oddVBand="0" w:evenVBand="0" w:oddHBand="1" w:evenHBand="0" w:firstRowFirstColumn="0" w:firstRowLastColumn="0" w:lastRowFirstColumn="0" w:lastRowLastColumn="0"/>
        </w:trPr>
        <w:tc>
          <w:tcPr>
            <w:tcW w:w="3544" w:type="dxa"/>
            <w:hideMark/>
          </w:tcPr>
          <w:p w14:paraId="77F32390" w14:textId="77777777" w:rsidR="00A2153D" w:rsidRDefault="00A2153D">
            <w:pPr>
              <w:pStyle w:val="TableText"/>
            </w:pPr>
            <w:r>
              <w:t>Progress towards 2075GL of water recovery for ‘Bridging the Gap’</w:t>
            </w:r>
          </w:p>
        </w:tc>
        <w:tc>
          <w:tcPr>
            <w:tcW w:w="5526" w:type="dxa"/>
            <w:hideMark/>
          </w:tcPr>
          <w:p w14:paraId="45A846A5" w14:textId="77777777" w:rsidR="00A2153D" w:rsidRDefault="00A2153D">
            <w:pPr>
              <w:pStyle w:val="TableText"/>
            </w:pPr>
            <w:r>
              <w:t>Full achievement of 2075GL by 30 June 2024</w:t>
            </w:r>
          </w:p>
        </w:tc>
      </w:tr>
      <w:tr w:rsidR="00A2153D" w14:paraId="74A18006" w14:textId="77777777" w:rsidTr="00C064FE">
        <w:trPr>
          <w:cnfStyle w:val="000000010000" w:firstRow="0" w:lastRow="0" w:firstColumn="0" w:lastColumn="0" w:oddVBand="0" w:evenVBand="0" w:oddHBand="0" w:evenHBand="1" w:firstRowFirstColumn="0" w:firstRowLastColumn="0" w:lastRowFirstColumn="0" w:lastRowLastColumn="0"/>
        </w:trPr>
        <w:tc>
          <w:tcPr>
            <w:tcW w:w="3544" w:type="dxa"/>
            <w:tcBorders>
              <w:top w:val="nil"/>
              <w:left w:val="nil"/>
              <w:right w:val="nil"/>
            </w:tcBorders>
            <w:hideMark/>
          </w:tcPr>
          <w:p w14:paraId="3259285D" w14:textId="77777777" w:rsidR="00A2153D" w:rsidRDefault="00A2153D">
            <w:pPr>
              <w:pStyle w:val="TableText"/>
            </w:pPr>
            <w:r>
              <w:t>Progress towards 605GL of SDL offsets for ‘Bridging the Gap’</w:t>
            </w:r>
          </w:p>
        </w:tc>
        <w:tc>
          <w:tcPr>
            <w:tcW w:w="5526" w:type="dxa"/>
            <w:tcBorders>
              <w:top w:val="nil"/>
              <w:left w:val="nil"/>
              <w:right w:val="nil"/>
            </w:tcBorders>
            <w:hideMark/>
          </w:tcPr>
          <w:p w14:paraId="216E4BC8" w14:textId="3B11B31E" w:rsidR="00A2153D" w:rsidRDefault="00A2153D">
            <w:pPr>
              <w:pStyle w:val="TableText"/>
            </w:pPr>
            <w:r>
              <w:t xml:space="preserve">Achievement of at least </w:t>
            </w:r>
            <w:r w:rsidR="005D5830">
              <w:t>2</w:t>
            </w:r>
            <w:r w:rsidR="00C064FE">
              <w:t>79</w:t>
            </w:r>
            <w:r w:rsidR="005D5830">
              <w:t>–</w:t>
            </w:r>
            <w:r>
              <w:t xml:space="preserve">445GL by 30 June 2024. </w:t>
            </w:r>
          </w:p>
          <w:p w14:paraId="1F5E02E3" w14:textId="77777777" w:rsidR="00A2153D" w:rsidRDefault="00A2153D">
            <w:pPr>
              <w:pStyle w:val="TableText"/>
            </w:pPr>
            <w:r>
              <w:t>Timeline extended to allow for full achievement of 605GL by existing or new SDLAM projects in a timely manner</w:t>
            </w:r>
          </w:p>
        </w:tc>
      </w:tr>
      <w:tr w:rsidR="00A2153D" w14:paraId="56482879" w14:textId="77777777" w:rsidTr="00C064FE">
        <w:trPr>
          <w:cnfStyle w:val="000000100000" w:firstRow="0" w:lastRow="0" w:firstColumn="0" w:lastColumn="0" w:oddVBand="0" w:evenVBand="0" w:oddHBand="1" w:evenHBand="0" w:firstRowFirstColumn="0" w:firstRowLastColumn="0" w:lastRowFirstColumn="0" w:lastRowLastColumn="0"/>
        </w:trPr>
        <w:tc>
          <w:tcPr>
            <w:tcW w:w="3544" w:type="dxa"/>
            <w:hideMark/>
          </w:tcPr>
          <w:p w14:paraId="72B963E8" w14:textId="77777777" w:rsidR="00A2153D" w:rsidRDefault="00A2153D">
            <w:pPr>
              <w:pStyle w:val="TableText"/>
            </w:pPr>
            <w:r>
              <w:t>Progress towards 450GL water recovery for enhance environmental outcomes</w:t>
            </w:r>
          </w:p>
        </w:tc>
        <w:tc>
          <w:tcPr>
            <w:tcW w:w="5526" w:type="dxa"/>
            <w:hideMark/>
          </w:tcPr>
          <w:p w14:paraId="4D3AB3B1" w14:textId="77777777" w:rsidR="00A2153D" w:rsidRDefault="00A2153D">
            <w:pPr>
              <w:pStyle w:val="TableText"/>
            </w:pPr>
            <w:r>
              <w:t xml:space="preserve">Achievement of at least 26GL by 30 June 2024. </w:t>
            </w:r>
          </w:p>
          <w:p w14:paraId="600C633E" w14:textId="77777777" w:rsidR="00A2153D" w:rsidRDefault="00A2153D">
            <w:pPr>
              <w:pStyle w:val="TableText"/>
            </w:pPr>
            <w:r>
              <w:t>Achievement of 62GL in timely manner.</w:t>
            </w:r>
          </w:p>
        </w:tc>
      </w:tr>
      <w:tr w:rsidR="00A2153D" w14:paraId="05C83FE8" w14:textId="77777777" w:rsidTr="00C064FE">
        <w:trPr>
          <w:cnfStyle w:val="000000010000" w:firstRow="0" w:lastRow="0" w:firstColumn="0" w:lastColumn="0" w:oddVBand="0" w:evenVBand="0" w:oddHBand="0" w:evenHBand="1" w:firstRowFirstColumn="0" w:firstRowLastColumn="0" w:lastRowFirstColumn="0" w:lastRowLastColumn="0"/>
        </w:trPr>
        <w:tc>
          <w:tcPr>
            <w:tcW w:w="3544" w:type="dxa"/>
            <w:tcBorders>
              <w:top w:val="nil"/>
              <w:left w:val="nil"/>
              <w:right w:val="nil"/>
            </w:tcBorders>
            <w:hideMark/>
          </w:tcPr>
          <w:p w14:paraId="294599D4" w14:textId="77777777" w:rsidR="00A2153D" w:rsidRDefault="00A2153D">
            <w:pPr>
              <w:pStyle w:val="TableText"/>
            </w:pPr>
            <w:r>
              <w:t>Outcome at 30 June 2024</w:t>
            </w:r>
          </w:p>
        </w:tc>
        <w:tc>
          <w:tcPr>
            <w:tcW w:w="5526" w:type="dxa"/>
            <w:tcBorders>
              <w:top w:val="nil"/>
              <w:left w:val="nil"/>
              <w:right w:val="nil"/>
            </w:tcBorders>
            <w:noWrap/>
            <w:hideMark/>
          </w:tcPr>
          <w:p w14:paraId="6E2B14C2" w14:textId="1B541F62" w:rsidR="00A2153D" w:rsidRDefault="00A2153D">
            <w:pPr>
              <w:pStyle w:val="TableText"/>
            </w:pPr>
            <w:r>
              <w:t>160</w:t>
            </w:r>
            <w:r w:rsidR="00C064FE">
              <w:t>–326</w:t>
            </w:r>
            <w:r>
              <w:t>GL shortfall in 'Bridging the gap' at 30 June 2024</w:t>
            </w:r>
          </w:p>
        </w:tc>
      </w:tr>
      <w:tr w:rsidR="00A2153D" w14:paraId="14D56486" w14:textId="77777777" w:rsidTr="00C064FE">
        <w:trPr>
          <w:cnfStyle w:val="000000100000" w:firstRow="0" w:lastRow="0" w:firstColumn="0" w:lastColumn="0" w:oddVBand="0" w:evenVBand="0" w:oddHBand="1" w:evenHBand="0" w:firstRowFirstColumn="0" w:firstRowLastColumn="0" w:lastRowFirstColumn="0" w:lastRowLastColumn="0"/>
        </w:trPr>
        <w:tc>
          <w:tcPr>
            <w:tcW w:w="3544" w:type="dxa"/>
            <w:hideMark/>
          </w:tcPr>
          <w:p w14:paraId="6E484A45" w14:textId="77777777" w:rsidR="00A2153D" w:rsidRDefault="00A2153D">
            <w:pPr>
              <w:pStyle w:val="TableText"/>
            </w:pPr>
            <w:r>
              <w:t>Outcomes at end of timeline (if extended)</w:t>
            </w:r>
          </w:p>
        </w:tc>
        <w:tc>
          <w:tcPr>
            <w:tcW w:w="5526" w:type="dxa"/>
            <w:noWrap/>
            <w:hideMark/>
          </w:tcPr>
          <w:p w14:paraId="66563299" w14:textId="77777777" w:rsidR="00A2153D" w:rsidRDefault="00A2153D">
            <w:pPr>
              <w:pStyle w:val="TableText"/>
            </w:pPr>
            <w:r>
              <w:t>No shortfall in 'Bridging the gap' if timeline extended to allow timely achievement of 605GL from SDLAM projects and 62GL of Water Efficiency projects.</w:t>
            </w:r>
          </w:p>
          <w:p w14:paraId="13E00967" w14:textId="77777777" w:rsidR="00A2153D" w:rsidRDefault="00A2153D">
            <w:pPr>
              <w:pStyle w:val="TableText"/>
            </w:pPr>
            <w:r>
              <w:t>At least 62GL secured (towards 450GL) for enhanced environmental outcomes</w:t>
            </w:r>
          </w:p>
        </w:tc>
      </w:tr>
      <w:tr w:rsidR="00AF57C9" w14:paraId="01FA3038" w14:textId="77777777" w:rsidTr="00C064FE">
        <w:trPr>
          <w:cnfStyle w:val="000000010000" w:firstRow="0" w:lastRow="0" w:firstColumn="0" w:lastColumn="0" w:oddVBand="0" w:evenVBand="0" w:oddHBand="0" w:evenHBand="1" w:firstRowFirstColumn="0" w:firstRowLastColumn="0" w:lastRowFirstColumn="0" w:lastRowLastColumn="0"/>
        </w:trPr>
        <w:tc>
          <w:tcPr>
            <w:tcW w:w="3544" w:type="dxa"/>
          </w:tcPr>
          <w:p w14:paraId="73EE26DD" w14:textId="46FC2A85" w:rsidR="00AF57C9" w:rsidRDefault="00AF57C9" w:rsidP="00AF57C9">
            <w:pPr>
              <w:pStyle w:val="TableText"/>
            </w:pPr>
            <w:r>
              <w:t>Socio-economic impact of buybacks</w:t>
            </w:r>
          </w:p>
        </w:tc>
        <w:tc>
          <w:tcPr>
            <w:tcW w:w="5526" w:type="dxa"/>
            <w:noWrap/>
          </w:tcPr>
          <w:p w14:paraId="1255D5DD" w14:textId="4E67E2E6" w:rsidR="00AF57C9" w:rsidRDefault="00AF57C9" w:rsidP="00AF57C9">
            <w:pPr>
              <w:pStyle w:val="TableText"/>
            </w:pPr>
            <w:r>
              <w:t>N</w:t>
            </w:r>
            <w:r w:rsidRPr="00EA7121">
              <w:t xml:space="preserve">egligible </w:t>
            </w:r>
            <w:r>
              <w:t xml:space="preserve">— </w:t>
            </w:r>
            <w:r w:rsidR="00665FFF">
              <w:t>no further</w:t>
            </w:r>
            <w:r>
              <w:t xml:space="preserve"> buyback</w:t>
            </w:r>
          </w:p>
        </w:tc>
      </w:tr>
    </w:tbl>
    <w:p w14:paraId="597E33AF" w14:textId="77777777" w:rsidR="00A2153D" w:rsidRDefault="00A2153D" w:rsidP="00A2153D">
      <w:pPr>
        <w:spacing w:after="320"/>
        <w:rPr>
          <w:color w:val="9BA1A5"/>
        </w:rPr>
      </w:pPr>
      <w:r>
        <w:rPr>
          <w:i/>
          <w:color w:val="9BA1A5"/>
          <w:sz w:val="16"/>
          <w:szCs w:val="16"/>
        </w:rPr>
        <w:t>Source: Frontier Economics</w:t>
      </w:r>
    </w:p>
    <w:p w14:paraId="59919398" w14:textId="77777777" w:rsidR="00A2153D" w:rsidRDefault="00A2153D" w:rsidP="00A2153D">
      <w:pPr>
        <w:pStyle w:val="BodyText"/>
      </w:pPr>
      <w:r>
        <w:t>Scenario 2 considers that the SDLAM projects represent a valuable contribution to the implementation of the Basin Plan by reducing the need for water recovery, and that current or alternative SDLAM projects would be able to offset the full 605GL in a timely manner (rather than a 30 June 2024 deadline).</w:t>
      </w:r>
    </w:p>
    <w:p w14:paraId="40D811F3" w14:textId="77777777" w:rsidR="00A2153D" w:rsidRDefault="00A2153D" w:rsidP="00A2153D">
      <w:pPr>
        <w:pStyle w:val="BodyText"/>
      </w:pPr>
      <w:r>
        <w:t>We consider this a sensible and plausible scenario for Basin Plan implementation, given the relative cost effectiveness of SDLAM projects. For example, the initial package of SDLAM projects was under $2,500/ML and the VMFRP projects are in the order of $4,110–5,660/ML, compared to SA WEP on-farm infrastructure projects in the order of $12,000-14,000/ML.</w:t>
      </w:r>
    </w:p>
    <w:p w14:paraId="3C35680D" w14:textId="77777777" w:rsidR="00A2153D" w:rsidRDefault="00A2153D" w:rsidP="00A2153D">
      <w:pPr>
        <w:pStyle w:val="BodyText"/>
      </w:pPr>
      <w:r>
        <w:t>In order to make use of the full 605GL offset, this scenario also would require 62GL of efficiency measures with neutral or positive socio-economic outcomes to have been completed or at least contracted to be completed in a timely manner (rather than a 30 June 2024 deadline). Based on current recovery (of approximately 26 GL) the remaining would be in the order of 36GL.</w:t>
      </w:r>
    </w:p>
    <w:p w14:paraId="67E58D37" w14:textId="184C3230" w:rsidR="00A2153D" w:rsidRDefault="00A2153D" w:rsidP="00A2153D">
      <w:pPr>
        <w:pStyle w:val="BodyText"/>
      </w:pPr>
      <w:r>
        <w:t xml:space="preserve">Notably, water recovery towards the 450GL of enhanced environmental outcomes (beyond the 62GL) would not be expected to be achieved within the socio-economic neutrality requirements. To our knowledge, it is unlikely that many additional water recovery projects would have positive or neutral socio-economic impacts </w:t>
      </w:r>
      <w:r w:rsidR="009E7B30">
        <w:t xml:space="preserve">as </w:t>
      </w:r>
      <w:r w:rsidR="00A21F17">
        <w:t>assess</w:t>
      </w:r>
      <w:r w:rsidR="009E7B30">
        <w:t xml:space="preserve">ed </w:t>
      </w:r>
      <w:r w:rsidR="00A21F17">
        <w:t>under</w:t>
      </w:r>
      <w:r w:rsidR="009E7B30">
        <w:t xml:space="preserve"> the</w:t>
      </w:r>
      <w:r>
        <w:t xml:space="preserve"> criteria.</w:t>
      </w:r>
    </w:p>
    <w:p w14:paraId="6C6776A8" w14:textId="77777777" w:rsidR="00A2153D" w:rsidRDefault="00A2153D" w:rsidP="00A2153D">
      <w:pPr>
        <w:pStyle w:val="BodyText"/>
      </w:pPr>
      <w:r>
        <w:lastRenderedPageBreak/>
        <w:t>The future outcomes of this scenario are expected to include minimum further social and economic impacts from water recovery. This is because the water recovery (i.e. off-farm projects with neutral or positive socio-economic outcomes) and offset approaches are designed to avoid such impacts.</w:t>
      </w:r>
    </w:p>
    <w:p w14:paraId="583FF8A6" w14:textId="28AD1F40" w:rsidR="00A2153D" w:rsidRDefault="00A2153D" w:rsidP="00597401">
      <w:pPr>
        <w:pStyle w:val="Heading2numbered"/>
        <w:numPr>
          <w:ilvl w:val="1"/>
          <w:numId w:val="12"/>
        </w:numPr>
        <w:tabs>
          <w:tab w:val="clear" w:pos="851"/>
        </w:tabs>
        <w:ind w:left="0" w:firstLine="0"/>
      </w:pPr>
      <w:bookmarkStart w:id="269" w:name="_Toc110262411"/>
      <w:bookmarkStart w:id="270" w:name="_Toc113621680"/>
      <w:r>
        <w:t xml:space="preserve">Scenario 3: Buyback used </w:t>
      </w:r>
      <w:r w:rsidR="00096070">
        <w:t xml:space="preserve">to </w:t>
      </w:r>
      <w:r>
        <w:t>bridge the gap in 2024</w:t>
      </w:r>
      <w:bookmarkEnd w:id="269"/>
      <w:bookmarkEnd w:id="270"/>
    </w:p>
    <w:p w14:paraId="2932EE9E" w14:textId="103C0E29" w:rsidR="00A2153D" w:rsidRDefault="00A2153D" w:rsidP="00A2153D">
      <w:pPr>
        <w:pStyle w:val="Caption"/>
      </w:pPr>
      <w:bookmarkStart w:id="271" w:name="_Toc110262428"/>
      <w:bookmarkStart w:id="272" w:name="_Toc113621711"/>
      <w:r>
        <w:rPr>
          <w:rStyle w:val="Bold"/>
        </w:rPr>
        <w:t xml:space="preserve">Table </w:t>
      </w:r>
      <w:r>
        <w:fldChar w:fldCharType="begin"/>
      </w:r>
      <w:r>
        <w:rPr>
          <w:rStyle w:val="Bold"/>
        </w:rPr>
        <w:instrText xml:space="preserve"> SEQ Table \* ARABIC </w:instrText>
      </w:r>
      <w:r>
        <w:fldChar w:fldCharType="separate"/>
      </w:r>
      <w:r w:rsidR="00D4298A">
        <w:rPr>
          <w:rStyle w:val="Bold"/>
          <w:noProof/>
        </w:rPr>
        <w:t>24</w:t>
      </w:r>
      <w:r>
        <w:fldChar w:fldCharType="end"/>
      </w:r>
      <w:r>
        <w:rPr>
          <w:rStyle w:val="Bold"/>
        </w:rPr>
        <w:t>:</w:t>
      </w:r>
      <w:r>
        <w:t xml:space="preserve"> Scenario 3 summary</w:t>
      </w:r>
      <w:bookmarkEnd w:id="271"/>
      <w:bookmarkEnd w:id="272"/>
    </w:p>
    <w:tbl>
      <w:tblPr>
        <w:tblStyle w:val="FETableStyle"/>
        <w:tblW w:w="5000" w:type="pct"/>
        <w:tblLook w:val="0420" w:firstRow="1" w:lastRow="0" w:firstColumn="0" w:lastColumn="0" w:noHBand="0" w:noVBand="1"/>
      </w:tblPr>
      <w:tblGrid>
        <w:gridCol w:w="3686"/>
        <w:gridCol w:w="5384"/>
      </w:tblGrid>
      <w:tr w:rsidR="00A2153D" w14:paraId="2E1E4B60" w14:textId="77777777" w:rsidTr="00A2153D">
        <w:trPr>
          <w:cnfStyle w:val="100000000000" w:firstRow="1" w:lastRow="0" w:firstColumn="0" w:lastColumn="0" w:oddVBand="0" w:evenVBand="0" w:oddHBand="0" w:evenHBand="0" w:firstRowFirstColumn="0" w:firstRowLastColumn="0" w:lastRowFirstColumn="0" w:lastRowLastColumn="0"/>
        </w:trPr>
        <w:tc>
          <w:tcPr>
            <w:tcW w:w="3686" w:type="dxa"/>
            <w:tcBorders>
              <w:top w:val="nil"/>
              <w:left w:val="nil"/>
              <w:bottom w:val="nil"/>
              <w:right w:val="nil"/>
            </w:tcBorders>
            <w:hideMark/>
          </w:tcPr>
          <w:p w14:paraId="21F8F5F9" w14:textId="77777777" w:rsidR="00A2153D" w:rsidRDefault="00A2153D">
            <w:pPr>
              <w:pStyle w:val="TableHeading"/>
              <w:rPr>
                <w:b/>
              </w:rPr>
            </w:pPr>
            <w:r>
              <w:rPr>
                <w:b/>
              </w:rPr>
              <w:t>Element / Outcome</w:t>
            </w:r>
          </w:p>
        </w:tc>
        <w:tc>
          <w:tcPr>
            <w:tcW w:w="5384" w:type="dxa"/>
            <w:tcBorders>
              <w:top w:val="nil"/>
              <w:left w:val="nil"/>
              <w:bottom w:val="nil"/>
              <w:right w:val="nil"/>
            </w:tcBorders>
            <w:hideMark/>
          </w:tcPr>
          <w:p w14:paraId="67010B60" w14:textId="77777777" w:rsidR="00A2153D" w:rsidRDefault="00A2153D">
            <w:pPr>
              <w:pStyle w:val="TableHeading"/>
              <w:rPr>
                <w:b/>
              </w:rPr>
            </w:pPr>
            <w:r>
              <w:rPr>
                <w:b/>
              </w:rPr>
              <w:t>Scenario 3</w:t>
            </w:r>
          </w:p>
        </w:tc>
      </w:tr>
      <w:tr w:rsidR="00A2153D" w14:paraId="588DD88D" w14:textId="77777777" w:rsidTr="00A2153D">
        <w:trPr>
          <w:cnfStyle w:val="000000100000" w:firstRow="0" w:lastRow="0" w:firstColumn="0" w:lastColumn="0" w:oddVBand="0" w:evenVBand="0" w:oddHBand="1" w:evenHBand="0" w:firstRowFirstColumn="0" w:firstRowLastColumn="0" w:lastRowFirstColumn="0" w:lastRowLastColumn="0"/>
        </w:trPr>
        <w:tc>
          <w:tcPr>
            <w:tcW w:w="3686" w:type="dxa"/>
            <w:hideMark/>
          </w:tcPr>
          <w:p w14:paraId="5B3E721F" w14:textId="77777777" w:rsidR="00A2153D" w:rsidRDefault="00A2153D">
            <w:pPr>
              <w:pStyle w:val="TableText"/>
            </w:pPr>
            <w:r>
              <w:t>Progress towards 2075GL of water recovery for ‘Bridging the Gap’</w:t>
            </w:r>
          </w:p>
        </w:tc>
        <w:tc>
          <w:tcPr>
            <w:tcW w:w="5384" w:type="dxa"/>
            <w:hideMark/>
          </w:tcPr>
          <w:p w14:paraId="05ACFDB6" w14:textId="77777777" w:rsidR="00A2153D" w:rsidRDefault="00A2153D">
            <w:pPr>
              <w:pStyle w:val="TableText"/>
            </w:pPr>
            <w:r>
              <w:t>Full achievement of 2075GL by 30 June 2024</w:t>
            </w:r>
          </w:p>
        </w:tc>
      </w:tr>
      <w:tr w:rsidR="00A2153D" w14:paraId="6924B97E" w14:textId="77777777" w:rsidTr="00A2153D">
        <w:trPr>
          <w:cnfStyle w:val="000000010000" w:firstRow="0" w:lastRow="0" w:firstColumn="0" w:lastColumn="0" w:oddVBand="0" w:evenVBand="0" w:oddHBand="0" w:evenHBand="1" w:firstRowFirstColumn="0" w:firstRowLastColumn="0" w:lastRowFirstColumn="0" w:lastRowLastColumn="0"/>
        </w:trPr>
        <w:tc>
          <w:tcPr>
            <w:tcW w:w="3686" w:type="dxa"/>
            <w:tcBorders>
              <w:top w:val="nil"/>
              <w:left w:val="nil"/>
              <w:right w:val="nil"/>
            </w:tcBorders>
            <w:hideMark/>
          </w:tcPr>
          <w:p w14:paraId="54B98438" w14:textId="77777777" w:rsidR="00A2153D" w:rsidRDefault="00A2153D">
            <w:pPr>
              <w:pStyle w:val="TableText"/>
            </w:pPr>
            <w:r>
              <w:t>Progress towards 605GL of SDL offsets for ‘Bridging the Gap’</w:t>
            </w:r>
          </w:p>
        </w:tc>
        <w:tc>
          <w:tcPr>
            <w:tcW w:w="5384" w:type="dxa"/>
            <w:tcBorders>
              <w:top w:val="nil"/>
              <w:left w:val="nil"/>
              <w:right w:val="nil"/>
            </w:tcBorders>
            <w:hideMark/>
          </w:tcPr>
          <w:p w14:paraId="6C1240DE" w14:textId="60886770" w:rsidR="00A2153D" w:rsidRDefault="00A2153D">
            <w:pPr>
              <w:pStyle w:val="TableText"/>
            </w:pPr>
            <w:r>
              <w:t xml:space="preserve">Achievement of </w:t>
            </w:r>
            <w:r w:rsidR="00C86114">
              <w:t>279–</w:t>
            </w:r>
            <w:r>
              <w:t xml:space="preserve">445GL by 30 June 2024. </w:t>
            </w:r>
          </w:p>
          <w:p w14:paraId="134F6D67" w14:textId="34785BE8" w:rsidR="00A2153D" w:rsidRDefault="00A2153D">
            <w:pPr>
              <w:pStyle w:val="TableText"/>
            </w:pPr>
            <w:r>
              <w:t>Buyback of 160</w:t>
            </w:r>
            <w:r w:rsidR="00C86114">
              <w:t>–326</w:t>
            </w:r>
            <w:r>
              <w:t>GL to 'Bridge the gap'</w:t>
            </w:r>
          </w:p>
        </w:tc>
      </w:tr>
      <w:tr w:rsidR="00A2153D" w14:paraId="46E4C896" w14:textId="77777777" w:rsidTr="00A2153D">
        <w:trPr>
          <w:cnfStyle w:val="000000100000" w:firstRow="0" w:lastRow="0" w:firstColumn="0" w:lastColumn="0" w:oddVBand="0" w:evenVBand="0" w:oddHBand="1" w:evenHBand="0" w:firstRowFirstColumn="0" w:firstRowLastColumn="0" w:lastRowFirstColumn="0" w:lastRowLastColumn="0"/>
        </w:trPr>
        <w:tc>
          <w:tcPr>
            <w:tcW w:w="3686" w:type="dxa"/>
            <w:hideMark/>
          </w:tcPr>
          <w:p w14:paraId="40ED1600" w14:textId="77777777" w:rsidR="00A2153D" w:rsidRDefault="00A2153D">
            <w:pPr>
              <w:pStyle w:val="TableText"/>
            </w:pPr>
            <w:r>
              <w:t>Progress towards 450GL water recovery for enhance environmental outcomes</w:t>
            </w:r>
          </w:p>
        </w:tc>
        <w:tc>
          <w:tcPr>
            <w:tcW w:w="5384" w:type="dxa"/>
            <w:hideMark/>
          </w:tcPr>
          <w:p w14:paraId="6271E82C" w14:textId="77777777" w:rsidR="00A2153D" w:rsidRDefault="00A2153D">
            <w:pPr>
              <w:pStyle w:val="TableText"/>
            </w:pPr>
            <w:r>
              <w:t xml:space="preserve">Achievement of at least 26GL by 30 June 2024. </w:t>
            </w:r>
          </w:p>
        </w:tc>
      </w:tr>
      <w:tr w:rsidR="00A2153D" w14:paraId="00746CAC" w14:textId="77777777" w:rsidTr="00A2153D">
        <w:trPr>
          <w:cnfStyle w:val="000000010000" w:firstRow="0" w:lastRow="0" w:firstColumn="0" w:lastColumn="0" w:oddVBand="0" w:evenVBand="0" w:oddHBand="0" w:evenHBand="1" w:firstRowFirstColumn="0" w:firstRowLastColumn="0" w:lastRowFirstColumn="0" w:lastRowLastColumn="0"/>
        </w:trPr>
        <w:tc>
          <w:tcPr>
            <w:tcW w:w="3686" w:type="dxa"/>
            <w:tcBorders>
              <w:top w:val="nil"/>
              <w:left w:val="nil"/>
              <w:right w:val="nil"/>
            </w:tcBorders>
            <w:hideMark/>
          </w:tcPr>
          <w:p w14:paraId="51EFEBD9" w14:textId="77777777" w:rsidR="00A2153D" w:rsidRDefault="00A2153D">
            <w:pPr>
              <w:pStyle w:val="TableText"/>
            </w:pPr>
            <w:r>
              <w:t>Outcome at 30 June 2024</w:t>
            </w:r>
          </w:p>
        </w:tc>
        <w:tc>
          <w:tcPr>
            <w:tcW w:w="5384" w:type="dxa"/>
            <w:tcBorders>
              <w:top w:val="nil"/>
              <w:left w:val="nil"/>
              <w:right w:val="nil"/>
            </w:tcBorders>
            <w:noWrap/>
            <w:hideMark/>
          </w:tcPr>
          <w:p w14:paraId="7C37B700" w14:textId="36FDBE91" w:rsidR="00A2153D" w:rsidRDefault="00A2153D">
            <w:pPr>
              <w:pStyle w:val="TableText"/>
            </w:pPr>
            <w:r>
              <w:t>160</w:t>
            </w:r>
            <w:r w:rsidR="00C86114">
              <w:t>–326</w:t>
            </w:r>
            <w:r>
              <w:t>GL shortfall in 'Bridging the gap' at 30 June 2024, which is addressed via 160</w:t>
            </w:r>
            <w:r w:rsidR="00C86114">
              <w:t>–326</w:t>
            </w:r>
            <w:r>
              <w:t>GL buyback.</w:t>
            </w:r>
          </w:p>
        </w:tc>
      </w:tr>
      <w:tr w:rsidR="00A2153D" w14:paraId="3CA126EB" w14:textId="77777777" w:rsidTr="00A2153D">
        <w:trPr>
          <w:cnfStyle w:val="000000100000" w:firstRow="0" w:lastRow="0" w:firstColumn="0" w:lastColumn="0" w:oddVBand="0" w:evenVBand="0" w:oddHBand="1" w:evenHBand="0" w:firstRowFirstColumn="0" w:firstRowLastColumn="0" w:lastRowFirstColumn="0" w:lastRowLastColumn="0"/>
        </w:trPr>
        <w:tc>
          <w:tcPr>
            <w:tcW w:w="3686" w:type="dxa"/>
            <w:hideMark/>
          </w:tcPr>
          <w:p w14:paraId="0D79A4BB" w14:textId="77777777" w:rsidR="00A2153D" w:rsidRDefault="00A2153D">
            <w:pPr>
              <w:pStyle w:val="TableText"/>
            </w:pPr>
            <w:r>
              <w:t>Outcomes at end of timeline (if extended)</w:t>
            </w:r>
          </w:p>
        </w:tc>
        <w:tc>
          <w:tcPr>
            <w:tcW w:w="5384" w:type="dxa"/>
            <w:noWrap/>
            <w:hideMark/>
          </w:tcPr>
          <w:p w14:paraId="0EB14DCA" w14:textId="77777777" w:rsidR="00A2153D" w:rsidRDefault="00A2153D">
            <w:pPr>
              <w:pStyle w:val="TableText"/>
            </w:pPr>
            <w:r>
              <w:t>No shortfall in 'Bridging the gap'.</w:t>
            </w:r>
          </w:p>
          <w:p w14:paraId="4301F1AC" w14:textId="77777777" w:rsidR="00A2153D" w:rsidRDefault="00A2153D">
            <w:pPr>
              <w:pStyle w:val="TableText"/>
            </w:pPr>
            <w:r>
              <w:t>At least 26GL secured (towards 450GL) for enhanced environmental outcomes</w:t>
            </w:r>
          </w:p>
        </w:tc>
      </w:tr>
      <w:tr w:rsidR="00AF57C9" w14:paraId="29A8F93F" w14:textId="77777777" w:rsidTr="00A2153D">
        <w:trPr>
          <w:cnfStyle w:val="000000010000" w:firstRow="0" w:lastRow="0" w:firstColumn="0" w:lastColumn="0" w:oddVBand="0" w:evenVBand="0" w:oddHBand="0" w:evenHBand="1" w:firstRowFirstColumn="0" w:firstRowLastColumn="0" w:lastRowFirstColumn="0" w:lastRowLastColumn="0"/>
        </w:trPr>
        <w:tc>
          <w:tcPr>
            <w:tcW w:w="3686" w:type="dxa"/>
          </w:tcPr>
          <w:p w14:paraId="67829541" w14:textId="5CFB9ADF" w:rsidR="00AF57C9" w:rsidRDefault="00AF57C9" w:rsidP="00AF57C9">
            <w:pPr>
              <w:pStyle w:val="TableText"/>
            </w:pPr>
            <w:r>
              <w:t>Socio-economic impact of buybacks*</w:t>
            </w:r>
          </w:p>
        </w:tc>
        <w:tc>
          <w:tcPr>
            <w:tcW w:w="5384" w:type="dxa"/>
            <w:noWrap/>
          </w:tcPr>
          <w:p w14:paraId="17A4D5C1" w14:textId="0A3ED2FB" w:rsidR="00AF57C9" w:rsidRDefault="00AF57C9" w:rsidP="00AF57C9">
            <w:pPr>
              <w:pStyle w:val="TableText"/>
            </w:pPr>
            <w:r>
              <w:t>160–326GL buyback</w:t>
            </w:r>
            <w:r>
              <w:br/>
              <w:t>$182–372m</w:t>
            </w:r>
            <w:r w:rsidR="00A371E9">
              <w:t>/yr</w:t>
            </w:r>
            <w:r>
              <w:t xml:space="preserve"> reduced GVIAP in southern MDB</w:t>
            </w:r>
            <w:r>
              <w:br/>
            </w:r>
            <w:r w:rsidRPr="00AF57C9">
              <w:t>$</w:t>
            </w:r>
            <w:r>
              <w:t>96</w:t>
            </w:r>
            <w:r w:rsidRPr="00AF57C9">
              <w:t>–</w:t>
            </w:r>
            <w:r>
              <w:t>196</w:t>
            </w:r>
            <w:r w:rsidRPr="00AF57C9">
              <w:t>m</w:t>
            </w:r>
            <w:r w:rsidR="00A371E9">
              <w:t>/yr</w:t>
            </w:r>
            <w:r w:rsidRPr="00AF57C9">
              <w:t xml:space="preserve"> reduced GVAP in</w:t>
            </w:r>
            <w:r>
              <w:t xml:space="preserve"> northern Victoria</w:t>
            </w:r>
            <w:r>
              <w:br/>
              <w:t>320–652</w:t>
            </w:r>
            <w:r w:rsidR="00A371E9">
              <w:t xml:space="preserve"> fewer agricultural jobs</w:t>
            </w:r>
            <w:r w:rsidR="00A371E9" w:rsidRPr="00AF57C9">
              <w:t xml:space="preserve"> in</w:t>
            </w:r>
            <w:r w:rsidR="00A371E9">
              <w:t xml:space="preserve"> northern Victoria.</w:t>
            </w:r>
          </w:p>
        </w:tc>
      </w:tr>
    </w:tbl>
    <w:p w14:paraId="0D5ED5D9" w14:textId="1BE4BAFD" w:rsidR="00A2153D" w:rsidRDefault="00AF57C9" w:rsidP="00A2153D">
      <w:pPr>
        <w:spacing w:after="320"/>
        <w:rPr>
          <w:color w:val="9BA1A5"/>
        </w:rPr>
      </w:pPr>
      <w:r>
        <w:rPr>
          <w:i/>
          <w:color w:val="9BA1A5"/>
          <w:sz w:val="16"/>
          <w:szCs w:val="16"/>
        </w:rPr>
        <w:t xml:space="preserve">Notes: * Pro-rata based on impacts of 450GL buyback outlined in section </w:t>
      </w:r>
      <w:r>
        <w:rPr>
          <w:i/>
          <w:color w:val="9BA1A5"/>
          <w:sz w:val="16"/>
          <w:szCs w:val="16"/>
        </w:rPr>
        <w:fldChar w:fldCharType="begin"/>
      </w:r>
      <w:r>
        <w:rPr>
          <w:i/>
          <w:color w:val="9BA1A5"/>
          <w:sz w:val="16"/>
          <w:szCs w:val="16"/>
        </w:rPr>
        <w:instrText xml:space="preserve"> REF _Ref110258698 \r \h </w:instrText>
      </w:r>
      <w:r>
        <w:rPr>
          <w:i/>
          <w:color w:val="9BA1A5"/>
          <w:sz w:val="16"/>
          <w:szCs w:val="16"/>
        </w:rPr>
      </w:r>
      <w:r>
        <w:rPr>
          <w:i/>
          <w:color w:val="9BA1A5"/>
          <w:sz w:val="16"/>
          <w:szCs w:val="16"/>
        </w:rPr>
        <w:fldChar w:fldCharType="separate"/>
      </w:r>
      <w:r w:rsidR="00D4298A">
        <w:rPr>
          <w:i/>
          <w:color w:val="9BA1A5"/>
          <w:sz w:val="16"/>
          <w:szCs w:val="16"/>
        </w:rPr>
        <w:t>12.1</w:t>
      </w:r>
      <w:r>
        <w:rPr>
          <w:i/>
          <w:color w:val="9BA1A5"/>
          <w:sz w:val="16"/>
          <w:szCs w:val="16"/>
        </w:rPr>
        <w:fldChar w:fldCharType="end"/>
      </w:r>
      <w:r>
        <w:rPr>
          <w:i/>
          <w:color w:val="9BA1A5"/>
          <w:sz w:val="16"/>
          <w:szCs w:val="16"/>
        </w:rPr>
        <w:t>.</w:t>
      </w:r>
      <w:r>
        <w:rPr>
          <w:i/>
          <w:color w:val="9BA1A5"/>
          <w:sz w:val="16"/>
          <w:szCs w:val="16"/>
        </w:rPr>
        <w:tab/>
      </w:r>
      <w:r>
        <w:rPr>
          <w:i/>
          <w:color w:val="9BA1A5"/>
          <w:sz w:val="16"/>
          <w:szCs w:val="16"/>
        </w:rPr>
        <w:br/>
      </w:r>
      <w:r w:rsidR="00A2153D">
        <w:rPr>
          <w:i/>
          <w:color w:val="9BA1A5"/>
          <w:sz w:val="16"/>
          <w:szCs w:val="16"/>
        </w:rPr>
        <w:t>Source: Frontier Economics</w:t>
      </w:r>
    </w:p>
    <w:p w14:paraId="0A3E9C75" w14:textId="5354B53F" w:rsidR="00A2153D" w:rsidRDefault="00A2153D" w:rsidP="00A2153D">
      <w:pPr>
        <w:pStyle w:val="BodyText"/>
      </w:pPr>
      <w:r>
        <w:t xml:space="preserve">Scenario 3 considers if additional volumes of water recovery are deemed necessary in order to address SDLAM shortfalls to 30 June 2024. As outlined above, Indec found that only </w:t>
      </w:r>
      <w:r w:rsidR="00C86114">
        <w:t>278.7–</w:t>
      </w:r>
      <w:r>
        <w:t xml:space="preserve">444.7 GL of the 605GL </w:t>
      </w:r>
      <w:r w:rsidR="00C86114">
        <w:t>may arise</w:t>
      </w:r>
      <w:r>
        <w:t xml:space="preserve"> from SDLAM projects to meet the 30 June 2024 date — leaving a shortfall of </w:t>
      </w:r>
      <w:r w:rsidR="00C86114">
        <w:t>160–326GL</w:t>
      </w:r>
      <w:r>
        <w:t>.</w:t>
      </w:r>
    </w:p>
    <w:p w14:paraId="1F04F7F1" w14:textId="2EA3C2A1" w:rsidR="00A2153D" w:rsidRDefault="00A2153D" w:rsidP="00A2153D">
      <w:pPr>
        <w:pStyle w:val="BodyText"/>
      </w:pPr>
      <w:r>
        <w:t xml:space="preserve">Relying on buyback to secure </w:t>
      </w:r>
      <w:r w:rsidR="00F70124">
        <w:t xml:space="preserve">the lower end of the range of </w:t>
      </w:r>
      <w:r>
        <w:t>160GL (long term annual average) by 30 June 2024 represents a significant challenge. In the southern Basin this is equivalent to:</w:t>
      </w:r>
    </w:p>
    <w:p w14:paraId="1CA89E50" w14:textId="31F39984" w:rsidR="00A2153D" w:rsidRDefault="00A2153D" w:rsidP="00597401">
      <w:pPr>
        <w:pStyle w:val="ParaBullet1"/>
        <w:numPr>
          <w:ilvl w:val="0"/>
          <w:numId w:val="14"/>
        </w:numPr>
      </w:pPr>
      <w:r>
        <w:t>A 10% expansion in the current CEWH portfolio, such as a further 16GL of SA high; 6</w:t>
      </w:r>
      <w:r w:rsidR="00F70124">
        <w:t>8</w:t>
      </w:r>
      <w:r>
        <w:t>GL of NSW GS, 4</w:t>
      </w:r>
      <w:r w:rsidR="00F70124">
        <w:t>3</w:t>
      </w:r>
      <w:r>
        <w:t>GL of NSW Supplementary; and 6</w:t>
      </w:r>
      <w:r w:rsidR="00F70124">
        <w:t>9</w:t>
      </w:r>
      <w:r>
        <w:t>GL of Victorian HRWS.</w:t>
      </w:r>
    </w:p>
    <w:p w14:paraId="0BCE1AAA" w14:textId="77777777" w:rsidR="00A2153D" w:rsidRDefault="00A2153D" w:rsidP="00597401">
      <w:pPr>
        <w:pStyle w:val="ParaBullet1"/>
        <w:numPr>
          <w:ilvl w:val="0"/>
          <w:numId w:val="14"/>
        </w:numPr>
      </w:pPr>
      <w:r>
        <w:t>Removal of the required 89GL of high entitlements from the consumptive pool would, in a repeat of the Millennium Drought, result in an extra 3,700 hectares of perennial horticulture being dried off.</w:t>
      </w:r>
    </w:p>
    <w:p w14:paraId="7CE196B0" w14:textId="77777777" w:rsidR="00A2153D" w:rsidRDefault="00A2153D" w:rsidP="00597401">
      <w:pPr>
        <w:pStyle w:val="ParaBullet1"/>
        <w:numPr>
          <w:ilvl w:val="0"/>
          <w:numId w:val="14"/>
        </w:numPr>
      </w:pPr>
      <w:r>
        <w:lastRenderedPageBreak/>
        <w:t>180GL of SA Murray entitlement, which represents 45% of SA irrigation entitlement</w:t>
      </w:r>
    </w:p>
    <w:p w14:paraId="755EE135" w14:textId="4E04F1CD" w:rsidR="00A2153D" w:rsidRDefault="00A2153D" w:rsidP="00597401">
      <w:pPr>
        <w:pStyle w:val="ParaBullet1"/>
        <w:numPr>
          <w:ilvl w:val="0"/>
          <w:numId w:val="14"/>
        </w:numPr>
      </w:pPr>
      <w:r>
        <w:t>Water use equal to 36% of Victorian Lower Murray diverter water use in 2021-22</w:t>
      </w:r>
      <w:r w:rsidR="00E80A54">
        <w:t>.</w:t>
      </w:r>
    </w:p>
    <w:p w14:paraId="39EE3665" w14:textId="7B364304" w:rsidR="00E80A54" w:rsidRDefault="00E80A54" w:rsidP="00A2153D">
      <w:pPr>
        <w:pStyle w:val="BodyText"/>
      </w:pPr>
      <w:r>
        <w:t xml:space="preserve">Relying on buyback to secure </w:t>
      </w:r>
      <w:r w:rsidR="00F70124">
        <w:t xml:space="preserve">higher possible volume of </w:t>
      </w:r>
      <w:r>
        <w:t>326GL would have an even greater impact and in the southern Basin this is equivalent to:</w:t>
      </w:r>
    </w:p>
    <w:p w14:paraId="2EBD1A25" w14:textId="2D420785" w:rsidR="00E80A54" w:rsidRDefault="00E80A54" w:rsidP="00597401">
      <w:pPr>
        <w:pStyle w:val="ParaBullet1"/>
        <w:numPr>
          <w:ilvl w:val="0"/>
          <w:numId w:val="14"/>
        </w:numPr>
      </w:pPr>
      <w:r>
        <w:t>A 20% expansion in the current CEWH portfolio, such as a further 33GL of SA high; 138GL of NSW GS, 88GL of NSW Supplementary; and 141GL of Victorian HRWS.</w:t>
      </w:r>
    </w:p>
    <w:p w14:paraId="27A0BAA9" w14:textId="61A15622" w:rsidR="00E80A54" w:rsidRDefault="00E80A54" w:rsidP="00597401">
      <w:pPr>
        <w:pStyle w:val="ParaBullet1"/>
        <w:numPr>
          <w:ilvl w:val="0"/>
          <w:numId w:val="14"/>
        </w:numPr>
      </w:pPr>
      <w:r>
        <w:t>Removal of the required 182GL of high entitlements from the consumptive pool would, in a repeat of the Millennium Drought, result in an extra 7,500 hectares of perennial horticulture being dried off.</w:t>
      </w:r>
    </w:p>
    <w:p w14:paraId="5C25A83B" w14:textId="6343863D" w:rsidR="00E80A54" w:rsidRDefault="00E80A54" w:rsidP="00597401">
      <w:pPr>
        <w:pStyle w:val="ParaBullet1"/>
        <w:numPr>
          <w:ilvl w:val="0"/>
          <w:numId w:val="14"/>
        </w:numPr>
      </w:pPr>
      <w:r>
        <w:t>368GL of SA Murray entitlement, which represents 91% of SA irrigation entitlement</w:t>
      </w:r>
    </w:p>
    <w:p w14:paraId="3E8549CA" w14:textId="7D5EF6AD" w:rsidR="00E80A54" w:rsidRDefault="00E80A54" w:rsidP="00597401">
      <w:pPr>
        <w:pStyle w:val="ParaBullet1"/>
        <w:numPr>
          <w:ilvl w:val="0"/>
          <w:numId w:val="14"/>
        </w:numPr>
      </w:pPr>
      <w:r>
        <w:t xml:space="preserve">Water use equal to </w:t>
      </w:r>
      <w:r w:rsidR="00F70124">
        <w:t>74</w:t>
      </w:r>
      <w:r>
        <w:t>% of Victorian Lower Murray diverter water use in 2021-22.</w:t>
      </w:r>
    </w:p>
    <w:p w14:paraId="53F2B772" w14:textId="3DD54614" w:rsidR="00A2153D" w:rsidRDefault="00A2153D" w:rsidP="00A2153D">
      <w:pPr>
        <w:pStyle w:val="BodyText"/>
      </w:pPr>
      <w:r>
        <w:t>In this scenario, it is expected that there is only 26GL towards the 450GL for enhanced environmental outcomes. This is because there is no co-benefit for water efficiency projects in terms of fully utilising the SDLAM volumes — therefore States may not be as incentivised to identify opportunities.</w:t>
      </w:r>
    </w:p>
    <w:p w14:paraId="217480BC" w14:textId="0A869133" w:rsidR="00A2153D" w:rsidRDefault="00A2153D" w:rsidP="00A2153D">
      <w:pPr>
        <w:pStyle w:val="BodyText"/>
      </w:pPr>
      <w:r>
        <w:t xml:space="preserve">As well as a significant portion of the socio-economic impacts identified from a 450GL buyback (discussed in section </w:t>
      </w:r>
      <w:r>
        <w:fldChar w:fldCharType="begin"/>
      </w:r>
      <w:r>
        <w:instrText xml:space="preserve"> REF _Ref110258698 \r \h </w:instrText>
      </w:r>
      <w:r>
        <w:fldChar w:fldCharType="separate"/>
      </w:r>
      <w:r w:rsidR="00D4298A">
        <w:t>12.1</w:t>
      </w:r>
      <w:r>
        <w:fldChar w:fldCharType="end"/>
      </w:r>
      <w:r>
        <w:t>), the approach in Scenario 3 also forgoes the opportunities presented by SDLAM supply and constraints projects. These water recovery offsets approaches have been identified as being highly cost effective compared to remaining water recovery opportunities and prevailing water market entitlement prices. In addition, the constraints projects that form a significant portion of the yet-to-be-delivered SDLAM projects are important to manage the delivery of additional environmental volumes. It is unclear whether large additional volumes can be effectively used for environmental watering given the constraints in water delivery that currently exist in the system.</w:t>
      </w:r>
    </w:p>
    <w:p w14:paraId="3784E90C" w14:textId="1427E444" w:rsidR="00A371E9" w:rsidRDefault="00A371E9" w:rsidP="00A2153D">
      <w:pPr>
        <w:pStyle w:val="BodyText"/>
      </w:pPr>
      <w:r>
        <w:t xml:space="preserve">If this scenario was to also address the current 46GL remaining recovery task for ‘Bridging the Gap’ (recall </w:t>
      </w:r>
      <w:r>
        <w:fldChar w:fldCharType="begin"/>
      </w:r>
      <w:r>
        <w:instrText xml:space="preserve"> REF _Ref110780714 \h </w:instrText>
      </w:r>
      <w:r>
        <w:fldChar w:fldCharType="separate"/>
      </w:r>
      <w:r w:rsidR="00D4298A" w:rsidRPr="00603BC1">
        <w:rPr>
          <w:rStyle w:val="Bold"/>
        </w:rPr>
        <w:t xml:space="preserve">Table </w:t>
      </w:r>
      <w:r w:rsidR="00D4298A">
        <w:rPr>
          <w:rStyle w:val="Bold"/>
          <w:noProof/>
        </w:rPr>
        <w:t>7</w:t>
      </w:r>
      <w:r>
        <w:fldChar w:fldCharType="end"/>
      </w:r>
      <w:r>
        <w:t xml:space="preserve">) the total buyback could be as large 372.3GL — corresponding to a </w:t>
      </w:r>
      <w:r w:rsidRPr="00A371E9">
        <w:t>reduc</w:t>
      </w:r>
      <w:r>
        <w:t xml:space="preserve">tion in </w:t>
      </w:r>
      <w:r w:rsidRPr="00A371E9">
        <w:t xml:space="preserve">GVIAP in </w:t>
      </w:r>
      <w:r>
        <w:t xml:space="preserve">the </w:t>
      </w:r>
      <w:r w:rsidRPr="00A371E9">
        <w:t>southern MDB</w:t>
      </w:r>
      <w:r>
        <w:t xml:space="preserve"> of greater than $400m annually.</w:t>
      </w:r>
      <w:r w:rsidR="00E05814">
        <w:t xml:space="preserve"> </w:t>
      </w:r>
      <w:r w:rsidR="00080924">
        <w:t>F</w:t>
      </w:r>
      <w:r w:rsidR="00AF4428">
        <w:t xml:space="preserve">low-on effects in up- and down-stream </w:t>
      </w:r>
      <w:r w:rsidR="00080924">
        <w:t xml:space="preserve">industries, and in irrigation communities would be in additional to </w:t>
      </w:r>
      <w:r w:rsidR="005F7082">
        <w:t>this value of reduced irrigated production.</w:t>
      </w:r>
    </w:p>
    <w:p w14:paraId="52B10E1B" w14:textId="32CD6434" w:rsidR="00A2153D" w:rsidRDefault="00A2153D" w:rsidP="00597401">
      <w:pPr>
        <w:pStyle w:val="Heading2numbered"/>
        <w:numPr>
          <w:ilvl w:val="1"/>
          <w:numId w:val="12"/>
        </w:numPr>
        <w:tabs>
          <w:tab w:val="clear" w:pos="851"/>
        </w:tabs>
        <w:ind w:left="0" w:firstLine="0"/>
      </w:pPr>
      <w:bookmarkStart w:id="273" w:name="_Toc110262412"/>
      <w:bookmarkStart w:id="274" w:name="_Toc113621681"/>
      <w:r>
        <w:lastRenderedPageBreak/>
        <w:t xml:space="preserve">Scenario 4: Buyback used </w:t>
      </w:r>
      <w:r w:rsidR="00096070">
        <w:t xml:space="preserve">to </w:t>
      </w:r>
      <w:r>
        <w:t>bridge the gap and 450GL</w:t>
      </w:r>
      <w:bookmarkEnd w:id="273"/>
      <w:bookmarkEnd w:id="274"/>
    </w:p>
    <w:p w14:paraId="6D7713B2" w14:textId="0614EC43" w:rsidR="00A2153D" w:rsidRDefault="00A2153D" w:rsidP="00A2153D">
      <w:pPr>
        <w:pStyle w:val="Caption"/>
      </w:pPr>
      <w:bookmarkStart w:id="275" w:name="_Toc110262429"/>
      <w:bookmarkStart w:id="276" w:name="_Toc113621712"/>
      <w:r>
        <w:rPr>
          <w:rStyle w:val="Bold"/>
        </w:rPr>
        <w:t xml:space="preserve">Table </w:t>
      </w:r>
      <w:r>
        <w:fldChar w:fldCharType="begin"/>
      </w:r>
      <w:r>
        <w:rPr>
          <w:rStyle w:val="Bold"/>
        </w:rPr>
        <w:instrText xml:space="preserve"> SEQ Table \* ARABIC </w:instrText>
      </w:r>
      <w:r>
        <w:fldChar w:fldCharType="separate"/>
      </w:r>
      <w:r w:rsidR="00D4298A">
        <w:rPr>
          <w:rStyle w:val="Bold"/>
          <w:noProof/>
        </w:rPr>
        <w:t>25</w:t>
      </w:r>
      <w:r>
        <w:fldChar w:fldCharType="end"/>
      </w:r>
      <w:r>
        <w:rPr>
          <w:rStyle w:val="Bold"/>
        </w:rPr>
        <w:t>:</w:t>
      </w:r>
      <w:r>
        <w:t xml:space="preserve"> Scenario 4 summary</w:t>
      </w:r>
      <w:bookmarkEnd w:id="275"/>
      <w:bookmarkEnd w:id="276"/>
    </w:p>
    <w:tbl>
      <w:tblPr>
        <w:tblStyle w:val="FETableStyle"/>
        <w:tblW w:w="5000" w:type="pct"/>
        <w:tblLook w:val="0420" w:firstRow="1" w:lastRow="0" w:firstColumn="0" w:lastColumn="0" w:noHBand="0" w:noVBand="1"/>
      </w:tblPr>
      <w:tblGrid>
        <w:gridCol w:w="3686"/>
        <w:gridCol w:w="5384"/>
      </w:tblGrid>
      <w:tr w:rsidR="00A2153D" w14:paraId="429F46CD" w14:textId="77777777" w:rsidTr="00A2153D">
        <w:trPr>
          <w:cnfStyle w:val="100000000000" w:firstRow="1" w:lastRow="0" w:firstColumn="0" w:lastColumn="0" w:oddVBand="0" w:evenVBand="0" w:oddHBand="0" w:evenHBand="0" w:firstRowFirstColumn="0" w:firstRowLastColumn="0" w:lastRowFirstColumn="0" w:lastRowLastColumn="0"/>
        </w:trPr>
        <w:tc>
          <w:tcPr>
            <w:tcW w:w="3686" w:type="dxa"/>
            <w:tcBorders>
              <w:top w:val="nil"/>
              <w:left w:val="nil"/>
              <w:bottom w:val="nil"/>
              <w:right w:val="nil"/>
            </w:tcBorders>
            <w:hideMark/>
          </w:tcPr>
          <w:p w14:paraId="0C3B9777" w14:textId="77777777" w:rsidR="00A2153D" w:rsidRDefault="00A2153D">
            <w:pPr>
              <w:pStyle w:val="TableHeading"/>
              <w:rPr>
                <w:b/>
              </w:rPr>
            </w:pPr>
            <w:r>
              <w:rPr>
                <w:b/>
              </w:rPr>
              <w:t>Element / Outcome</w:t>
            </w:r>
          </w:p>
        </w:tc>
        <w:tc>
          <w:tcPr>
            <w:tcW w:w="5384" w:type="dxa"/>
            <w:tcBorders>
              <w:top w:val="nil"/>
              <w:left w:val="nil"/>
              <w:bottom w:val="nil"/>
              <w:right w:val="nil"/>
            </w:tcBorders>
            <w:hideMark/>
          </w:tcPr>
          <w:p w14:paraId="652E7730" w14:textId="77777777" w:rsidR="00A2153D" w:rsidRDefault="00A2153D">
            <w:pPr>
              <w:pStyle w:val="TableHeading"/>
              <w:rPr>
                <w:b/>
              </w:rPr>
            </w:pPr>
            <w:r>
              <w:rPr>
                <w:b/>
              </w:rPr>
              <w:t>Scenario 4</w:t>
            </w:r>
          </w:p>
        </w:tc>
      </w:tr>
      <w:tr w:rsidR="00A2153D" w14:paraId="69CC4467" w14:textId="77777777" w:rsidTr="00A2153D">
        <w:trPr>
          <w:cnfStyle w:val="000000100000" w:firstRow="0" w:lastRow="0" w:firstColumn="0" w:lastColumn="0" w:oddVBand="0" w:evenVBand="0" w:oddHBand="1" w:evenHBand="0" w:firstRowFirstColumn="0" w:firstRowLastColumn="0" w:lastRowFirstColumn="0" w:lastRowLastColumn="0"/>
        </w:trPr>
        <w:tc>
          <w:tcPr>
            <w:tcW w:w="3686" w:type="dxa"/>
            <w:hideMark/>
          </w:tcPr>
          <w:p w14:paraId="736C028F" w14:textId="77777777" w:rsidR="00A2153D" w:rsidRDefault="00A2153D">
            <w:pPr>
              <w:pStyle w:val="TableText"/>
            </w:pPr>
            <w:r>
              <w:t>Progress towards 2075GL of water recovery for ‘Bridging the Gap’</w:t>
            </w:r>
          </w:p>
        </w:tc>
        <w:tc>
          <w:tcPr>
            <w:tcW w:w="5384" w:type="dxa"/>
            <w:hideMark/>
          </w:tcPr>
          <w:p w14:paraId="11AB0ADC" w14:textId="77777777" w:rsidR="00A2153D" w:rsidRDefault="00A2153D">
            <w:pPr>
              <w:pStyle w:val="TableText"/>
            </w:pPr>
            <w:r>
              <w:t>Full achievement of 2075GL by 30 June 2024</w:t>
            </w:r>
          </w:p>
        </w:tc>
      </w:tr>
      <w:tr w:rsidR="00A2153D" w14:paraId="079E94B2" w14:textId="77777777" w:rsidTr="00A2153D">
        <w:trPr>
          <w:cnfStyle w:val="000000010000" w:firstRow="0" w:lastRow="0" w:firstColumn="0" w:lastColumn="0" w:oddVBand="0" w:evenVBand="0" w:oddHBand="0" w:evenHBand="1" w:firstRowFirstColumn="0" w:firstRowLastColumn="0" w:lastRowFirstColumn="0" w:lastRowLastColumn="0"/>
        </w:trPr>
        <w:tc>
          <w:tcPr>
            <w:tcW w:w="3686" w:type="dxa"/>
            <w:tcBorders>
              <w:top w:val="nil"/>
              <w:left w:val="nil"/>
              <w:right w:val="nil"/>
            </w:tcBorders>
            <w:hideMark/>
          </w:tcPr>
          <w:p w14:paraId="5C69233F" w14:textId="77777777" w:rsidR="00A2153D" w:rsidRDefault="00A2153D">
            <w:pPr>
              <w:pStyle w:val="TableText"/>
            </w:pPr>
            <w:r>
              <w:t>Progress towards 605GL of SDL offsets for ‘Bridging the Gap’</w:t>
            </w:r>
          </w:p>
        </w:tc>
        <w:tc>
          <w:tcPr>
            <w:tcW w:w="5384" w:type="dxa"/>
            <w:tcBorders>
              <w:top w:val="nil"/>
              <w:left w:val="nil"/>
              <w:right w:val="nil"/>
            </w:tcBorders>
            <w:hideMark/>
          </w:tcPr>
          <w:p w14:paraId="4879FD14" w14:textId="1F3A8BE4" w:rsidR="00A2153D" w:rsidRDefault="00A2153D">
            <w:pPr>
              <w:pStyle w:val="TableText"/>
            </w:pPr>
            <w:r>
              <w:t xml:space="preserve">Achievement of </w:t>
            </w:r>
            <w:r w:rsidR="00F70124">
              <w:t>279–</w:t>
            </w:r>
            <w:r>
              <w:t xml:space="preserve">445GL by 30 June 2024. </w:t>
            </w:r>
          </w:p>
          <w:p w14:paraId="0AEED644" w14:textId="77777777" w:rsidR="00A2153D" w:rsidRDefault="00A2153D">
            <w:pPr>
              <w:pStyle w:val="TableText"/>
            </w:pPr>
            <w:r>
              <w:t>Buyback of 160GL to 'Bridge the gap'</w:t>
            </w:r>
          </w:p>
        </w:tc>
      </w:tr>
      <w:tr w:rsidR="00A2153D" w14:paraId="2FBFC9D6" w14:textId="77777777" w:rsidTr="00A2153D">
        <w:trPr>
          <w:cnfStyle w:val="000000100000" w:firstRow="0" w:lastRow="0" w:firstColumn="0" w:lastColumn="0" w:oddVBand="0" w:evenVBand="0" w:oddHBand="1" w:evenHBand="0" w:firstRowFirstColumn="0" w:firstRowLastColumn="0" w:lastRowFirstColumn="0" w:lastRowLastColumn="0"/>
        </w:trPr>
        <w:tc>
          <w:tcPr>
            <w:tcW w:w="3686" w:type="dxa"/>
            <w:hideMark/>
          </w:tcPr>
          <w:p w14:paraId="69BB27A9" w14:textId="77777777" w:rsidR="00A2153D" w:rsidRDefault="00A2153D">
            <w:pPr>
              <w:pStyle w:val="TableText"/>
            </w:pPr>
            <w:r>
              <w:t>Progress towards 450GL water recovery for enhance environmental outcomes</w:t>
            </w:r>
          </w:p>
        </w:tc>
        <w:tc>
          <w:tcPr>
            <w:tcW w:w="5384" w:type="dxa"/>
            <w:hideMark/>
          </w:tcPr>
          <w:p w14:paraId="4BED64AC" w14:textId="2FB55118" w:rsidR="00A2153D" w:rsidRDefault="00A2153D">
            <w:pPr>
              <w:pStyle w:val="TableText"/>
            </w:pPr>
            <w:r>
              <w:t xml:space="preserve">Achievement of 26GL by 30 June 2024. </w:t>
            </w:r>
          </w:p>
          <w:p w14:paraId="6D3BF200" w14:textId="77777777" w:rsidR="00A2153D" w:rsidRDefault="00A2153D">
            <w:pPr>
              <w:pStyle w:val="TableText"/>
            </w:pPr>
            <w:r>
              <w:t>Buyback of 424GL to reach 450GL</w:t>
            </w:r>
          </w:p>
        </w:tc>
      </w:tr>
      <w:tr w:rsidR="00A2153D" w14:paraId="0A408111" w14:textId="77777777" w:rsidTr="00A2153D">
        <w:trPr>
          <w:cnfStyle w:val="000000010000" w:firstRow="0" w:lastRow="0" w:firstColumn="0" w:lastColumn="0" w:oddVBand="0" w:evenVBand="0" w:oddHBand="0" w:evenHBand="1" w:firstRowFirstColumn="0" w:firstRowLastColumn="0" w:lastRowFirstColumn="0" w:lastRowLastColumn="0"/>
        </w:trPr>
        <w:tc>
          <w:tcPr>
            <w:tcW w:w="3686" w:type="dxa"/>
            <w:tcBorders>
              <w:top w:val="nil"/>
              <w:left w:val="nil"/>
              <w:right w:val="nil"/>
            </w:tcBorders>
            <w:hideMark/>
          </w:tcPr>
          <w:p w14:paraId="6BAED681" w14:textId="77777777" w:rsidR="00A2153D" w:rsidRDefault="00A2153D">
            <w:pPr>
              <w:pStyle w:val="TableText"/>
            </w:pPr>
            <w:r>
              <w:t>Outcome at 30 June 2024</w:t>
            </w:r>
          </w:p>
        </w:tc>
        <w:tc>
          <w:tcPr>
            <w:tcW w:w="5384" w:type="dxa"/>
            <w:tcBorders>
              <w:top w:val="nil"/>
              <w:left w:val="nil"/>
              <w:right w:val="nil"/>
            </w:tcBorders>
            <w:noWrap/>
            <w:hideMark/>
          </w:tcPr>
          <w:p w14:paraId="2D6802CF" w14:textId="0261DD06" w:rsidR="00A2153D" w:rsidRDefault="00A2153D">
            <w:pPr>
              <w:pStyle w:val="TableText"/>
            </w:pPr>
            <w:r>
              <w:t>160</w:t>
            </w:r>
            <w:r w:rsidR="00F70124">
              <w:t>–326</w:t>
            </w:r>
            <w:r>
              <w:t>GL shortfall in 'Bridging the gap' at 30 June 2024, which is addressed via 160</w:t>
            </w:r>
            <w:r w:rsidR="00F70124">
              <w:t>–326</w:t>
            </w:r>
            <w:r>
              <w:t>GL buyback.</w:t>
            </w:r>
          </w:p>
        </w:tc>
      </w:tr>
      <w:tr w:rsidR="00A2153D" w14:paraId="5A855946" w14:textId="77777777" w:rsidTr="00A2153D">
        <w:trPr>
          <w:cnfStyle w:val="000000100000" w:firstRow="0" w:lastRow="0" w:firstColumn="0" w:lastColumn="0" w:oddVBand="0" w:evenVBand="0" w:oddHBand="1" w:evenHBand="0" w:firstRowFirstColumn="0" w:firstRowLastColumn="0" w:lastRowFirstColumn="0" w:lastRowLastColumn="0"/>
        </w:trPr>
        <w:tc>
          <w:tcPr>
            <w:tcW w:w="3686" w:type="dxa"/>
            <w:hideMark/>
          </w:tcPr>
          <w:p w14:paraId="67A40FB0" w14:textId="77777777" w:rsidR="00A2153D" w:rsidRDefault="00A2153D">
            <w:pPr>
              <w:pStyle w:val="TableText"/>
            </w:pPr>
            <w:r>
              <w:t>Outcomes at end of timeline (if extended)</w:t>
            </w:r>
          </w:p>
        </w:tc>
        <w:tc>
          <w:tcPr>
            <w:tcW w:w="5384" w:type="dxa"/>
            <w:noWrap/>
            <w:hideMark/>
          </w:tcPr>
          <w:p w14:paraId="1BFABAB7" w14:textId="77777777" w:rsidR="00A2153D" w:rsidRDefault="00A2153D">
            <w:pPr>
              <w:pStyle w:val="TableText"/>
            </w:pPr>
            <w:r>
              <w:t>No shortfall in 'Bridging the gap'.</w:t>
            </w:r>
          </w:p>
          <w:p w14:paraId="7CD9C7E8" w14:textId="77777777" w:rsidR="00A2153D" w:rsidRDefault="00A2153D">
            <w:pPr>
              <w:pStyle w:val="TableText"/>
            </w:pPr>
            <w:r>
              <w:t>450GL secured for enhanced environmental outcomes.</w:t>
            </w:r>
          </w:p>
          <w:p w14:paraId="49D70FC8" w14:textId="685CE804" w:rsidR="00A2153D" w:rsidRDefault="00A2153D">
            <w:pPr>
              <w:pStyle w:val="TableText"/>
            </w:pPr>
            <w:r>
              <w:t>Total of 584</w:t>
            </w:r>
            <w:r w:rsidR="00F70124">
              <w:t>–750</w:t>
            </w:r>
            <w:r>
              <w:t>GL buyback required.</w:t>
            </w:r>
          </w:p>
        </w:tc>
      </w:tr>
      <w:tr w:rsidR="00A371E9" w14:paraId="4872FB6F" w14:textId="77777777" w:rsidTr="00A2153D">
        <w:trPr>
          <w:cnfStyle w:val="000000010000" w:firstRow="0" w:lastRow="0" w:firstColumn="0" w:lastColumn="0" w:oddVBand="0" w:evenVBand="0" w:oddHBand="0" w:evenHBand="1" w:firstRowFirstColumn="0" w:firstRowLastColumn="0" w:lastRowFirstColumn="0" w:lastRowLastColumn="0"/>
        </w:trPr>
        <w:tc>
          <w:tcPr>
            <w:tcW w:w="3686" w:type="dxa"/>
          </w:tcPr>
          <w:p w14:paraId="11B7CC1D" w14:textId="137E0F26" w:rsidR="00A371E9" w:rsidRDefault="00A371E9" w:rsidP="00A371E9">
            <w:pPr>
              <w:pStyle w:val="TableText"/>
            </w:pPr>
            <w:r>
              <w:t>Socio-economic impact of buybacks*</w:t>
            </w:r>
          </w:p>
        </w:tc>
        <w:tc>
          <w:tcPr>
            <w:tcW w:w="5384" w:type="dxa"/>
            <w:noWrap/>
          </w:tcPr>
          <w:p w14:paraId="531E320D" w14:textId="25BA3756" w:rsidR="00A371E9" w:rsidRDefault="00B438F3" w:rsidP="00B438F3">
            <w:pPr>
              <w:pStyle w:val="TableText"/>
            </w:pPr>
            <w:r>
              <w:t xml:space="preserve">584–750GL </w:t>
            </w:r>
            <w:r w:rsidR="00A371E9">
              <w:t>buyback</w:t>
            </w:r>
            <w:r w:rsidR="00A371E9">
              <w:br/>
              <w:t>$</w:t>
            </w:r>
            <w:r>
              <w:t>666–855</w:t>
            </w:r>
            <w:r w:rsidR="00A371E9">
              <w:t>m/yr reduced GVIAP in southern MDB</w:t>
            </w:r>
            <w:r w:rsidR="00A371E9">
              <w:br/>
            </w:r>
            <w:r w:rsidR="00A371E9" w:rsidRPr="00AF57C9">
              <w:t>$</w:t>
            </w:r>
            <w:r>
              <w:t>350–450</w:t>
            </w:r>
            <w:r w:rsidR="00A371E9" w:rsidRPr="00AF57C9">
              <w:t>m</w:t>
            </w:r>
            <w:r w:rsidR="00A371E9">
              <w:t>/yr</w:t>
            </w:r>
            <w:r w:rsidR="00A371E9" w:rsidRPr="00AF57C9">
              <w:t xml:space="preserve"> reduced GVAP in</w:t>
            </w:r>
            <w:r w:rsidR="00A371E9">
              <w:t xml:space="preserve"> northern Victoria</w:t>
            </w:r>
            <w:r w:rsidR="00A371E9">
              <w:br/>
            </w:r>
            <w:r>
              <w:t xml:space="preserve">1168–1500 </w:t>
            </w:r>
            <w:r w:rsidR="00A371E9">
              <w:t>fewer agricultural jobs</w:t>
            </w:r>
            <w:r w:rsidR="00A371E9" w:rsidRPr="00AF57C9">
              <w:t xml:space="preserve"> in</w:t>
            </w:r>
            <w:r w:rsidR="00A371E9">
              <w:t xml:space="preserve"> northern Victoria.</w:t>
            </w:r>
          </w:p>
        </w:tc>
      </w:tr>
    </w:tbl>
    <w:p w14:paraId="48BEC8AB" w14:textId="4789E907" w:rsidR="00A2153D" w:rsidRDefault="00B438F3" w:rsidP="00A2153D">
      <w:pPr>
        <w:spacing w:after="320"/>
        <w:rPr>
          <w:color w:val="9BA1A5"/>
        </w:rPr>
      </w:pPr>
      <w:r>
        <w:rPr>
          <w:i/>
          <w:color w:val="9BA1A5"/>
          <w:sz w:val="16"/>
          <w:szCs w:val="16"/>
        </w:rPr>
        <w:t xml:space="preserve">Notes: * Pro-rata based on impacts of 450GL buyback outlined in section </w:t>
      </w:r>
      <w:r>
        <w:rPr>
          <w:i/>
          <w:color w:val="9BA1A5"/>
          <w:sz w:val="16"/>
          <w:szCs w:val="16"/>
        </w:rPr>
        <w:fldChar w:fldCharType="begin"/>
      </w:r>
      <w:r>
        <w:rPr>
          <w:i/>
          <w:color w:val="9BA1A5"/>
          <w:sz w:val="16"/>
          <w:szCs w:val="16"/>
        </w:rPr>
        <w:instrText xml:space="preserve"> REF _Ref110258698 \r \h </w:instrText>
      </w:r>
      <w:r>
        <w:rPr>
          <w:i/>
          <w:color w:val="9BA1A5"/>
          <w:sz w:val="16"/>
          <w:szCs w:val="16"/>
        </w:rPr>
      </w:r>
      <w:r>
        <w:rPr>
          <w:i/>
          <w:color w:val="9BA1A5"/>
          <w:sz w:val="16"/>
          <w:szCs w:val="16"/>
        </w:rPr>
        <w:fldChar w:fldCharType="separate"/>
      </w:r>
      <w:r w:rsidR="00D4298A">
        <w:rPr>
          <w:i/>
          <w:color w:val="9BA1A5"/>
          <w:sz w:val="16"/>
          <w:szCs w:val="16"/>
        </w:rPr>
        <w:t>12.1</w:t>
      </w:r>
      <w:r>
        <w:rPr>
          <w:i/>
          <w:color w:val="9BA1A5"/>
          <w:sz w:val="16"/>
          <w:szCs w:val="16"/>
        </w:rPr>
        <w:fldChar w:fldCharType="end"/>
      </w:r>
      <w:r>
        <w:rPr>
          <w:i/>
          <w:color w:val="9BA1A5"/>
          <w:sz w:val="16"/>
          <w:szCs w:val="16"/>
        </w:rPr>
        <w:t>.</w:t>
      </w:r>
      <w:r>
        <w:rPr>
          <w:i/>
          <w:color w:val="9BA1A5"/>
          <w:sz w:val="16"/>
          <w:szCs w:val="16"/>
        </w:rPr>
        <w:tab/>
      </w:r>
      <w:r>
        <w:rPr>
          <w:i/>
          <w:color w:val="9BA1A5"/>
          <w:sz w:val="16"/>
          <w:szCs w:val="16"/>
        </w:rPr>
        <w:br/>
      </w:r>
      <w:r w:rsidR="00A2153D">
        <w:rPr>
          <w:i/>
          <w:color w:val="9BA1A5"/>
          <w:sz w:val="16"/>
          <w:szCs w:val="16"/>
        </w:rPr>
        <w:t>Source: Frontier Economics</w:t>
      </w:r>
    </w:p>
    <w:p w14:paraId="5A2513B9" w14:textId="77777777" w:rsidR="00A2153D" w:rsidRDefault="00A2153D" w:rsidP="00A2153D">
      <w:pPr>
        <w:pStyle w:val="BodyText"/>
      </w:pPr>
      <w:r>
        <w:t>Scenario 4 considers if larger volumes of water recovery are deemed necessary (to address both the SDLAM shortfalls to 30 June 2024 and to fully achieve the additional 450GL for enhanced environmental outcomes).</w:t>
      </w:r>
    </w:p>
    <w:p w14:paraId="5B72849C" w14:textId="4691A72C" w:rsidR="00A2153D" w:rsidRDefault="00A2153D" w:rsidP="00A2153D">
      <w:pPr>
        <w:pStyle w:val="BodyText"/>
      </w:pPr>
      <w:r>
        <w:t xml:space="preserve">Relying on buyback to secure </w:t>
      </w:r>
      <w:r w:rsidR="00F70124">
        <w:t xml:space="preserve">(low end) </w:t>
      </w:r>
      <w:r>
        <w:t>584GL by 30 June 2024 represents a significant challenge and there would be significant concerns as to the impact that such a process would have on the water entitlement market. In the southern Basin this volume is equivalent to:</w:t>
      </w:r>
    </w:p>
    <w:p w14:paraId="53563DCC" w14:textId="77777777" w:rsidR="00A2153D" w:rsidRDefault="00A2153D" w:rsidP="00597401">
      <w:pPr>
        <w:pStyle w:val="ParaBullet1"/>
        <w:numPr>
          <w:ilvl w:val="0"/>
          <w:numId w:val="14"/>
        </w:numPr>
      </w:pPr>
      <w:r>
        <w:t>A 37% expansion in the current CEWH portfolio, such as a further 59GL of SA high; 248GL of NSW GS, 157GL of NSW Supplementary; and 253GL of Victorian HRWS.</w:t>
      </w:r>
    </w:p>
    <w:p w14:paraId="2E8D8EE1" w14:textId="77777777" w:rsidR="00A2153D" w:rsidRDefault="00A2153D" w:rsidP="00597401">
      <w:pPr>
        <w:pStyle w:val="ParaBullet1"/>
        <w:numPr>
          <w:ilvl w:val="0"/>
          <w:numId w:val="14"/>
        </w:numPr>
      </w:pPr>
      <w:r>
        <w:t>Removal of the required 326GL of high entitlements from the consumptive pool would, in a repeat of the Millennium Drought, result in an extra 13,500 hectares of perennial horticulture being dried off.</w:t>
      </w:r>
    </w:p>
    <w:p w14:paraId="07AF2A6E" w14:textId="54B8C212" w:rsidR="00A2153D" w:rsidRDefault="00A2153D" w:rsidP="00597401">
      <w:pPr>
        <w:pStyle w:val="ParaBullet1"/>
        <w:numPr>
          <w:ilvl w:val="0"/>
          <w:numId w:val="14"/>
        </w:numPr>
      </w:pPr>
      <w:r>
        <w:t xml:space="preserve">658GL of SA Murray entitlement, which </w:t>
      </w:r>
      <w:r w:rsidR="00FC478A">
        <w:t>represents</w:t>
      </w:r>
      <w:r w:rsidR="00DC177A">
        <w:t xml:space="preserve"> </w:t>
      </w:r>
      <w:r>
        <w:t>163% of SA irrigation entitlement</w:t>
      </w:r>
    </w:p>
    <w:p w14:paraId="65FB6585" w14:textId="5C6D6C34" w:rsidR="00A2153D" w:rsidRDefault="00A2153D" w:rsidP="00597401">
      <w:pPr>
        <w:pStyle w:val="ParaBullet1"/>
        <w:numPr>
          <w:ilvl w:val="0"/>
          <w:numId w:val="14"/>
        </w:numPr>
      </w:pPr>
      <w:r>
        <w:t>Water use equal to 132% of Victorian Lower Murray diverter water use in 2021-22</w:t>
      </w:r>
      <w:r w:rsidR="00F70124">
        <w:t>.</w:t>
      </w:r>
    </w:p>
    <w:p w14:paraId="2B724947" w14:textId="34B9141A" w:rsidR="00F70124" w:rsidRDefault="00F70124" w:rsidP="00F70124">
      <w:pPr>
        <w:pStyle w:val="BodyText"/>
      </w:pPr>
      <w:r>
        <w:lastRenderedPageBreak/>
        <w:t>Relying on buyback to secure (high end) 750GL would be even more devastating — in the southern Basin this volume is equivalent to:</w:t>
      </w:r>
    </w:p>
    <w:p w14:paraId="5A71EB67" w14:textId="4336F0DB" w:rsidR="00F70124" w:rsidRDefault="00F70124" w:rsidP="00597401">
      <w:pPr>
        <w:pStyle w:val="ParaBullet1"/>
        <w:numPr>
          <w:ilvl w:val="0"/>
          <w:numId w:val="14"/>
        </w:numPr>
      </w:pPr>
      <w:r>
        <w:t xml:space="preserve">A </w:t>
      </w:r>
      <w:r w:rsidR="00E515AA">
        <w:t>4</w:t>
      </w:r>
      <w:r>
        <w:t xml:space="preserve">7% expansion in the current CEWH portfolio, such as a further </w:t>
      </w:r>
      <w:r w:rsidR="00E515AA">
        <w:t>76</w:t>
      </w:r>
      <w:r>
        <w:t xml:space="preserve">GL of SA high; </w:t>
      </w:r>
      <w:r w:rsidR="00E515AA">
        <w:t>31</w:t>
      </w:r>
      <w:r>
        <w:t xml:space="preserve">8GL of NSW GS, </w:t>
      </w:r>
      <w:r w:rsidR="00E515AA">
        <w:t>201</w:t>
      </w:r>
      <w:r>
        <w:t xml:space="preserve">GL of NSW Supplementary; and </w:t>
      </w:r>
      <w:r w:rsidR="00E515AA">
        <w:t>325</w:t>
      </w:r>
      <w:r>
        <w:t>GL of Victorian HRWS.</w:t>
      </w:r>
    </w:p>
    <w:p w14:paraId="5F60BA9D" w14:textId="4CCC68E0" w:rsidR="00F70124" w:rsidRDefault="00F70124" w:rsidP="00597401">
      <w:pPr>
        <w:pStyle w:val="ParaBullet1"/>
        <w:numPr>
          <w:ilvl w:val="0"/>
          <w:numId w:val="14"/>
        </w:numPr>
      </w:pPr>
      <w:r>
        <w:t xml:space="preserve">Removal of the required </w:t>
      </w:r>
      <w:r w:rsidR="00E515AA">
        <w:t>418</w:t>
      </w:r>
      <w:r>
        <w:t>GL of high entitlements from the consumptive pool would, in a repeat of the Millennium Drought, result in an extra 1</w:t>
      </w:r>
      <w:r w:rsidR="00E515AA">
        <w:t>7</w:t>
      </w:r>
      <w:r>
        <w:t>,</w:t>
      </w:r>
      <w:r w:rsidR="00E515AA">
        <w:t>4</w:t>
      </w:r>
      <w:r>
        <w:t>00 hectares of perennial horticulture being dried off.</w:t>
      </w:r>
    </w:p>
    <w:p w14:paraId="1CE3FDF7" w14:textId="0DF76AEE" w:rsidR="00F70124" w:rsidRDefault="00E515AA" w:rsidP="00597401">
      <w:pPr>
        <w:pStyle w:val="ParaBullet1"/>
        <w:numPr>
          <w:ilvl w:val="0"/>
          <w:numId w:val="14"/>
        </w:numPr>
      </w:pPr>
      <w:r>
        <w:t>846</w:t>
      </w:r>
      <w:r w:rsidR="00F70124">
        <w:t xml:space="preserve">GL of SA Murray entitlement, which </w:t>
      </w:r>
      <w:r w:rsidR="00DC177A">
        <w:t xml:space="preserve">represents </w:t>
      </w:r>
      <w:r>
        <w:t>210</w:t>
      </w:r>
      <w:r w:rsidR="00F70124">
        <w:t>% of SA irrigation entitlement</w:t>
      </w:r>
    </w:p>
    <w:p w14:paraId="7192B9E7" w14:textId="21368722" w:rsidR="00F70124" w:rsidRDefault="00F70124" w:rsidP="00597401">
      <w:pPr>
        <w:pStyle w:val="ParaBullet1"/>
        <w:numPr>
          <w:ilvl w:val="0"/>
          <w:numId w:val="14"/>
        </w:numPr>
      </w:pPr>
      <w:r>
        <w:t>Water use equal to 1</w:t>
      </w:r>
      <w:r w:rsidR="00E515AA">
        <w:t>70</w:t>
      </w:r>
      <w:r>
        <w:t>% of Victorian Lower Murray diverter water use in 2021-22.</w:t>
      </w:r>
    </w:p>
    <w:p w14:paraId="78729BEB" w14:textId="51850CB0" w:rsidR="00A2153D" w:rsidRDefault="00A2153D" w:rsidP="00B438F3">
      <w:pPr>
        <w:pStyle w:val="BodyText"/>
      </w:pPr>
      <w:r>
        <w:t xml:space="preserve">The larger the water recovery, the larger the impact given that recovery costs have been identified as increasingly costly. </w:t>
      </w:r>
      <w:r w:rsidR="00E515AA">
        <w:t>Both ends of the Scenario 4 buyback range</w:t>
      </w:r>
      <w:r>
        <w:t xml:space="preserve"> would </w:t>
      </w:r>
      <w:r w:rsidR="00E515AA">
        <w:t>have</w:t>
      </w:r>
      <w:r>
        <w:t xml:space="preserve"> significantly higher socio-economic impacts </w:t>
      </w:r>
      <w:r w:rsidR="00E515AA">
        <w:t xml:space="preserve">than </w:t>
      </w:r>
      <w:r>
        <w:t xml:space="preserve">identified from a 450GL buyback (discussed in section </w:t>
      </w:r>
      <w:r>
        <w:fldChar w:fldCharType="begin"/>
      </w:r>
      <w:r>
        <w:instrText xml:space="preserve"> REF _Ref110258698 \r \h </w:instrText>
      </w:r>
      <w:r>
        <w:fldChar w:fldCharType="separate"/>
      </w:r>
      <w:r w:rsidR="00D4298A">
        <w:t>12.1</w:t>
      </w:r>
      <w:r>
        <w:fldChar w:fldCharType="end"/>
      </w:r>
      <w:r>
        <w:t>)</w:t>
      </w:r>
      <w:r w:rsidR="00B438F3">
        <w:t xml:space="preserve"> — $666–855m/yr reduced GVIAP in southern MDB; $350–450m/yr reduced GVAP in northern Victoria; and, 1168–1500 fewer agricultural jobs in northern Victoria.</w:t>
      </w:r>
    </w:p>
    <w:p w14:paraId="5FD48932" w14:textId="77777777" w:rsidR="00A2153D" w:rsidRDefault="00A2153D" w:rsidP="00A2153D">
      <w:pPr>
        <w:pStyle w:val="BodyText"/>
      </w:pPr>
      <w:r>
        <w:t>Recovery through buyback also increases the likelihood of reaching threshold points of significant impact as the consumptive pool is reduced and water users and industries compete in response to the range of seasonal conditions.</w:t>
      </w:r>
    </w:p>
    <w:p w14:paraId="77A022B2" w14:textId="77777777" w:rsidR="00A2153D" w:rsidRDefault="00A2153D" w:rsidP="00A2153D">
      <w:pPr>
        <w:pStyle w:val="BodyText"/>
      </w:pPr>
      <w:r>
        <w:t>As reiterated above, an approach such as Scenario 4 forgoes the opportunity to address constraints in water delivery that currently exist in the system — as such, it is unclear whether the very large additional volumes would be able to be effectively used for environmental watering.</w:t>
      </w:r>
    </w:p>
    <w:p w14:paraId="555FF735" w14:textId="09540113" w:rsidR="00A2153D" w:rsidRDefault="00B142DF" w:rsidP="00597401">
      <w:pPr>
        <w:pStyle w:val="Heading1numbered"/>
        <w:numPr>
          <w:ilvl w:val="0"/>
          <w:numId w:val="12"/>
        </w:numPr>
      </w:pPr>
      <w:bookmarkStart w:id="277" w:name="_Toc107997250"/>
      <w:bookmarkStart w:id="278" w:name="_Toc110262413"/>
      <w:bookmarkStart w:id="279" w:name="_Toc113621682"/>
      <w:r>
        <w:lastRenderedPageBreak/>
        <w:t>Findings and c</w:t>
      </w:r>
      <w:r w:rsidR="00A2153D">
        <w:t>onclu</w:t>
      </w:r>
      <w:r>
        <w:t>ding comments</w:t>
      </w:r>
      <w:bookmarkEnd w:id="277"/>
      <w:bookmarkEnd w:id="278"/>
      <w:bookmarkEnd w:id="279"/>
    </w:p>
    <w:p w14:paraId="605D33AB" w14:textId="3B6B322B" w:rsidR="00F73045" w:rsidRDefault="00F73045" w:rsidP="00F73045">
      <w:pPr>
        <w:pStyle w:val="Heading2numbered"/>
      </w:pPr>
      <w:bookmarkStart w:id="280" w:name="_Toc113621683"/>
      <w:r>
        <w:t>Findings</w:t>
      </w:r>
      <w:bookmarkEnd w:id="280"/>
    </w:p>
    <w:p w14:paraId="21C7C096" w14:textId="77777777" w:rsidR="0051720A" w:rsidRPr="0051720A" w:rsidRDefault="0051720A" w:rsidP="0051720A">
      <w:pPr>
        <w:pStyle w:val="BodyText"/>
      </w:pPr>
      <w:r>
        <w:t>In providing t</w:t>
      </w:r>
      <w:r w:rsidRPr="00245AFC">
        <w:t xml:space="preserve">his 2022 report </w:t>
      </w:r>
      <w:r>
        <w:t>to u</w:t>
      </w:r>
      <w:r w:rsidRPr="00245AFC">
        <w:t xml:space="preserve">pdate the </w:t>
      </w:r>
      <w:r>
        <w:t xml:space="preserve">socio-economic </w:t>
      </w:r>
      <w:r w:rsidRPr="00245AFC">
        <w:t>analysis undertaken in 2017</w:t>
      </w:r>
      <w:r>
        <w:t>, our findings are:</w:t>
      </w:r>
    </w:p>
    <w:p w14:paraId="07340B7E" w14:textId="77777777" w:rsidR="0051720A" w:rsidRPr="0051720A" w:rsidRDefault="0051720A" w:rsidP="0051720A">
      <w:pPr>
        <w:pStyle w:val="ListNumber1"/>
        <w:numPr>
          <w:ilvl w:val="0"/>
          <w:numId w:val="25"/>
        </w:numPr>
        <w:rPr>
          <w:b w:val="0"/>
          <w:bCs w:val="0"/>
        </w:rPr>
      </w:pPr>
      <w:r w:rsidRPr="0051720A">
        <w:rPr>
          <w:b w:val="0"/>
          <w:bCs w:val="0"/>
        </w:rPr>
        <w:t xml:space="preserve">The Murray-Darling Basin Plan sets out two distinct and important components of water recovery for the environment: </w:t>
      </w:r>
    </w:p>
    <w:p w14:paraId="72A9A1CF" w14:textId="77777777" w:rsidR="0051720A" w:rsidRPr="0051720A" w:rsidRDefault="0051720A" w:rsidP="0051720A">
      <w:pPr>
        <w:pStyle w:val="ListNumber2"/>
        <w:tabs>
          <w:tab w:val="clear" w:pos="568"/>
          <w:tab w:val="num" w:pos="709"/>
        </w:tabs>
        <w:ind w:left="709" w:hanging="283"/>
        <w:rPr>
          <w:b w:val="0"/>
          <w:bCs w:val="0"/>
        </w:rPr>
      </w:pPr>
      <w:r w:rsidRPr="0051720A">
        <w:rPr>
          <w:b w:val="0"/>
          <w:bCs w:val="0"/>
        </w:rPr>
        <w:t xml:space="preserve">water that </w:t>
      </w:r>
      <w:r w:rsidRPr="0051720A">
        <w:rPr>
          <w:b w:val="0"/>
          <w:bCs w:val="0"/>
          <w:i/>
          <w:iCs/>
        </w:rPr>
        <w:t>must</w:t>
      </w:r>
      <w:r w:rsidRPr="0051720A">
        <w:rPr>
          <w:b w:val="0"/>
          <w:bCs w:val="0"/>
        </w:rPr>
        <w:t xml:space="preserve"> be recovered to meet the requirements for ‘Bridging the Gap’ — that is, recovering the equivalent of the 2,750 GL of water for the environment necessary to move from the original Baseline Diversion Limits (BDLs) to the Sustainable Diversion Limits (SDLs) designated in the Basin Plan.</w:t>
      </w:r>
    </w:p>
    <w:p w14:paraId="70B17583" w14:textId="77777777" w:rsidR="0051720A" w:rsidRPr="0051720A" w:rsidRDefault="0051720A" w:rsidP="0051720A">
      <w:pPr>
        <w:pStyle w:val="ListNumber2"/>
        <w:tabs>
          <w:tab w:val="clear" w:pos="568"/>
          <w:tab w:val="num" w:pos="709"/>
        </w:tabs>
        <w:ind w:left="709" w:hanging="283"/>
        <w:rPr>
          <w:b w:val="0"/>
          <w:bCs w:val="0"/>
        </w:rPr>
      </w:pPr>
      <w:r w:rsidRPr="0051720A">
        <w:rPr>
          <w:b w:val="0"/>
          <w:bCs w:val="0"/>
        </w:rPr>
        <w:t xml:space="preserve">additional water, up to 450 GL, that </w:t>
      </w:r>
      <w:r w:rsidRPr="0051720A">
        <w:rPr>
          <w:b w:val="0"/>
          <w:bCs w:val="0"/>
          <w:i/>
          <w:iCs/>
        </w:rPr>
        <w:t>may</w:t>
      </w:r>
      <w:r w:rsidRPr="0051720A">
        <w:rPr>
          <w:b w:val="0"/>
          <w:bCs w:val="0"/>
        </w:rPr>
        <w:t xml:space="preserve"> be recovered for enhanced environmental outcomes.</w:t>
      </w:r>
    </w:p>
    <w:p w14:paraId="62F61168" w14:textId="77777777" w:rsidR="0051720A" w:rsidRPr="0051720A" w:rsidRDefault="0051720A" w:rsidP="0051720A">
      <w:pPr>
        <w:pStyle w:val="ListNumber1"/>
        <w:numPr>
          <w:ilvl w:val="0"/>
          <w:numId w:val="18"/>
        </w:numPr>
        <w:tabs>
          <w:tab w:val="clear" w:pos="284"/>
          <w:tab w:val="num" w:pos="426"/>
        </w:tabs>
        <w:ind w:left="426" w:hanging="426"/>
        <w:rPr>
          <w:b w:val="0"/>
          <w:bCs w:val="0"/>
        </w:rPr>
      </w:pPr>
      <w:r w:rsidRPr="0051720A">
        <w:rPr>
          <w:b w:val="0"/>
          <w:bCs w:val="0"/>
        </w:rPr>
        <w:t>There are reasons to be optimistic about meeting most of the ‘Bridging the Gap’ requirements of the Basin Plan by 30 June 2024 — at best, on current estimates, up to 94% of the 2,750 GL requirement could be achieved (leaving a shortfall of 160.3GL).</w:t>
      </w:r>
    </w:p>
    <w:p w14:paraId="1506B580" w14:textId="3832C506" w:rsidR="0051720A" w:rsidRPr="0051720A" w:rsidRDefault="0051720A" w:rsidP="0051720A">
      <w:pPr>
        <w:pStyle w:val="ListNumber1"/>
        <w:numPr>
          <w:ilvl w:val="0"/>
          <w:numId w:val="18"/>
        </w:numPr>
        <w:tabs>
          <w:tab w:val="clear" w:pos="284"/>
          <w:tab w:val="num" w:pos="426"/>
        </w:tabs>
        <w:ind w:left="426" w:hanging="426"/>
        <w:rPr>
          <w:b w:val="0"/>
          <w:bCs w:val="0"/>
        </w:rPr>
      </w:pPr>
      <w:r w:rsidRPr="0051720A">
        <w:rPr>
          <w:b w:val="0"/>
          <w:bCs w:val="0"/>
        </w:rPr>
        <w:t>If various identified risks cannot be managed, the shortfall in the 2,750 GL requirement at 30 June 2024 may b</w:t>
      </w:r>
      <w:r w:rsidR="005B62BC">
        <w:rPr>
          <w:b w:val="0"/>
          <w:bCs w:val="0"/>
        </w:rPr>
        <w:t>e</w:t>
      </w:r>
      <w:r w:rsidRPr="0051720A">
        <w:rPr>
          <w:b w:val="0"/>
          <w:bCs w:val="0"/>
        </w:rPr>
        <w:t xml:space="preserve"> significantly larger — up to 372.3GL.</w:t>
      </w:r>
    </w:p>
    <w:p w14:paraId="3D6DA67F" w14:textId="77777777" w:rsidR="0051720A" w:rsidRPr="0051720A" w:rsidRDefault="0051720A" w:rsidP="0051720A">
      <w:pPr>
        <w:pStyle w:val="ListNumber1"/>
        <w:numPr>
          <w:ilvl w:val="0"/>
          <w:numId w:val="18"/>
        </w:numPr>
        <w:tabs>
          <w:tab w:val="clear" w:pos="284"/>
          <w:tab w:val="num" w:pos="426"/>
        </w:tabs>
        <w:ind w:left="426" w:hanging="426"/>
        <w:rPr>
          <w:b w:val="0"/>
          <w:bCs w:val="0"/>
        </w:rPr>
      </w:pPr>
      <w:r w:rsidRPr="0051720A">
        <w:rPr>
          <w:b w:val="0"/>
          <w:bCs w:val="0"/>
        </w:rPr>
        <w:t xml:space="preserve">‘Constraints projects’ constitute most of the projects at risk of missing the deadline for the 2,750 GL requirement. Removing or easing these constraints (such as channel capacity limitations) will allow environmental watering on higher parts of the floodplain than is currently possible — enabling optimal use of the CEWH’s existing water portfolio. Consequently, extending the ‘Bridging the Gap’ deadline beyond 30 June 2024 would achieve better environmental outcomes than making up the shortfall through further buybacks. </w:t>
      </w:r>
    </w:p>
    <w:p w14:paraId="32993C6A" w14:textId="77777777" w:rsidR="0051720A" w:rsidRPr="0051720A" w:rsidRDefault="0051720A" w:rsidP="0051720A">
      <w:pPr>
        <w:pStyle w:val="ListNumber1"/>
        <w:numPr>
          <w:ilvl w:val="0"/>
          <w:numId w:val="18"/>
        </w:numPr>
        <w:tabs>
          <w:tab w:val="clear" w:pos="284"/>
          <w:tab w:val="num" w:pos="426"/>
        </w:tabs>
        <w:ind w:left="426" w:hanging="426"/>
        <w:rPr>
          <w:b w:val="0"/>
          <w:bCs w:val="0"/>
        </w:rPr>
      </w:pPr>
      <w:r w:rsidRPr="0051720A">
        <w:rPr>
          <w:b w:val="0"/>
          <w:bCs w:val="0"/>
        </w:rPr>
        <w:t>Buying back an additional 372.3 GL of water entitlements, instead of extending the deadline, would involve significant socio-economic impacts. Assuming a portfolio mix similar to what the CEWH currently holds, the average annual costs in lost production would be greater than $400 million per year in the southern MDB. These costs would close to double if buyback targeted higher reliability entitlements and approximately halve if low/general security entitlements were targeted.</w:t>
      </w:r>
    </w:p>
    <w:p w14:paraId="3BAF8606" w14:textId="77777777" w:rsidR="0051720A" w:rsidRPr="0051720A" w:rsidRDefault="0051720A" w:rsidP="0051720A">
      <w:pPr>
        <w:pStyle w:val="ListNumber1"/>
        <w:numPr>
          <w:ilvl w:val="0"/>
          <w:numId w:val="18"/>
        </w:numPr>
        <w:tabs>
          <w:tab w:val="clear" w:pos="284"/>
          <w:tab w:val="num" w:pos="426"/>
        </w:tabs>
        <w:ind w:left="426" w:hanging="426"/>
        <w:rPr>
          <w:b w:val="0"/>
          <w:bCs w:val="0"/>
        </w:rPr>
      </w:pPr>
      <w:r w:rsidRPr="0051720A">
        <w:rPr>
          <w:b w:val="0"/>
          <w:bCs w:val="0"/>
        </w:rPr>
        <w:t>Buying back an additional 372.3 GL to meet the 2,750 GL requirement would, based on the CEWH’s existing portfolio, necessitate reducing the consumptive pool of higher reliability entitlements by 209 GL. In a repeat of the Millennium Drought, that would necessitate an additional 8,700 hectares of high-value horticulture being dried off.</w:t>
      </w:r>
    </w:p>
    <w:p w14:paraId="57B57403" w14:textId="77777777" w:rsidR="0051720A" w:rsidRPr="0051720A" w:rsidRDefault="0051720A" w:rsidP="0051720A">
      <w:pPr>
        <w:pStyle w:val="ListNumber1"/>
        <w:numPr>
          <w:ilvl w:val="0"/>
          <w:numId w:val="18"/>
        </w:numPr>
        <w:tabs>
          <w:tab w:val="clear" w:pos="284"/>
          <w:tab w:val="num" w:pos="426"/>
        </w:tabs>
        <w:ind w:left="426" w:hanging="426"/>
        <w:rPr>
          <w:b w:val="0"/>
          <w:bCs w:val="0"/>
        </w:rPr>
      </w:pPr>
      <w:r w:rsidRPr="0051720A">
        <w:rPr>
          <w:b w:val="0"/>
          <w:bCs w:val="0"/>
        </w:rPr>
        <w:t>The completed Sustainable Diversion Limit Adjustment Mechanism (SDLAM) projects have somewhat offset the need for water recovery and have therefore reduced the Basin Plan’s socio-economic impacts. The Basin Plan outlines that up to 450 GL of additional water recovery could be achieved for enhanced environmental outcomes via efficiency measures on the condition that there are neutral or positive socio-economic impacts from recovering this water.</w:t>
      </w:r>
    </w:p>
    <w:p w14:paraId="67307D24" w14:textId="77777777" w:rsidR="0051720A" w:rsidRPr="0051720A" w:rsidRDefault="0051720A" w:rsidP="0051720A">
      <w:pPr>
        <w:pStyle w:val="ListNumber1"/>
        <w:numPr>
          <w:ilvl w:val="0"/>
          <w:numId w:val="18"/>
        </w:numPr>
        <w:tabs>
          <w:tab w:val="clear" w:pos="284"/>
          <w:tab w:val="num" w:pos="426"/>
        </w:tabs>
        <w:ind w:left="426" w:hanging="426"/>
        <w:rPr>
          <w:b w:val="0"/>
          <w:bCs w:val="0"/>
        </w:rPr>
      </w:pPr>
      <w:r w:rsidRPr="0051720A">
        <w:rPr>
          <w:b w:val="0"/>
          <w:bCs w:val="0"/>
        </w:rPr>
        <w:t xml:space="preserve">Off-farm efficiency projects have proven to have neutral or positive socio-economic impacts in many circumstances, but they are increasingly hard to find. Several studies have shown </w:t>
      </w:r>
      <w:r w:rsidRPr="0051720A">
        <w:rPr>
          <w:b w:val="0"/>
          <w:bCs w:val="0"/>
        </w:rPr>
        <w:lastRenderedPageBreak/>
        <w:t>that on-farm efficiency projects have adverse effects on other water users and irrigation communities. These negative impacts can be higher than direct buybacks, because improved productivity increases on-farm water use for the proponents and can result in a net increase in the demand for buying and using water. This negative socio-economic impact has been recognised, resulting in revisions to water recovery funding.</w:t>
      </w:r>
    </w:p>
    <w:p w14:paraId="4A3DB70D" w14:textId="77777777" w:rsidR="0051720A" w:rsidRPr="0051720A" w:rsidRDefault="0051720A" w:rsidP="0051720A">
      <w:pPr>
        <w:pStyle w:val="ListNumber1"/>
        <w:numPr>
          <w:ilvl w:val="0"/>
          <w:numId w:val="18"/>
        </w:numPr>
        <w:tabs>
          <w:tab w:val="clear" w:pos="284"/>
          <w:tab w:val="num" w:pos="426"/>
        </w:tabs>
        <w:ind w:left="426" w:hanging="426"/>
        <w:rPr>
          <w:b w:val="0"/>
          <w:bCs w:val="0"/>
        </w:rPr>
      </w:pPr>
      <w:r w:rsidRPr="0051720A">
        <w:rPr>
          <w:b w:val="0"/>
          <w:bCs w:val="0"/>
        </w:rPr>
        <w:t>If all SDLAM projects are completed, at least 62 GL must be recovered through efficiency projects in order to keep the total SDL adjustment within 5% of the SDL. If the remaining 388 GL of the 450 GL were to be recovered through either buyback or on-farm efficiency projects, the impacts would broadly be the same as recovering 372.3 GL to make up the estimated shortfall in the 2,750 GL requirement at 30 June 2024, which would result in lost irrigated production of greater than $400 million per year in the southern MDB.</w:t>
      </w:r>
    </w:p>
    <w:p w14:paraId="3CA459EB" w14:textId="77777777" w:rsidR="0051720A" w:rsidRPr="0051720A" w:rsidRDefault="0051720A" w:rsidP="0051720A">
      <w:pPr>
        <w:pStyle w:val="ListNumber1"/>
        <w:numPr>
          <w:ilvl w:val="0"/>
          <w:numId w:val="18"/>
        </w:numPr>
        <w:tabs>
          <w:tab w:val="clear" w:pos="284"/>
          <w:tab w:val="num" w:pos="426"/>
        </w:tabs>
        <w:ind w:left="426" w:hanging="426"/>
        <w:rPr>
          <w:b w:val="0"/>
          <w:bCs w:val="0"/>
        </w:rPr>
      </w:pPr>
      <w:r w:rsidRPr="0051720A">
        <w:rPr>
          <w:b w:val="0"/>
          <w:bCs w:val="0"/>
        </w:rPr>
        <w:t>If an additional 760 GL in total (372 GL for ‘Bridging the Gap’ plus 388 GL for Efficiency Projects) were to be recovered via buyback, in line with the CEWH’s existing portfolio, the average annual cost in foregone production would be over $850 million per year. It would also result in an extra 17,500 hectares of high-value horticulture being dried off in a repeat of the Millennium Drought. This is equivalent to more than the combined total of 12,640 hectares of irrigated perennial horticultural plantings in the First Mildura, Merbein, Red Cliffs, Robinvale, and Nyah Irrigation Districts in 2021.</w:t>
      </w:r>
    </w:p>
    <w:p w14:paraId="081A714E" w14:textId="77777777" w:rsidR="0051720A" w:rsidRPr="0051720A" w:rsidRDefault="0051720A" w:rsidP="0051720A">
      <w:pPr>
        <w:pStyle w:val="ListNumber1"/>
        <w:numPr>
          <w:ilvl w:val="0"/>
          <w:numId w:val="18"/>
        </w:numPr>
        <w:tabs>
          <w:tab w:val="clear" w:pos="284"/>
          <w:tab w:val="num" w:pos="426"/>
        </w:tabs>
        <w:ind w:left="426" w:hanging="426"/>
        <w:rPr>
          <w:b w:val="0"/>
          <w:bCs w:val="0"/>
        </w:rPr>
      </w:pPr>
      <w:r w:rsidRPr="0051720A">
        <w:rPr>
          <w:b w:val="0"/>
          <w:bCs w:val="0"/>
        </w:rPr>
        <w:t>Water recovery has delivered the Commonwealth Environmental Water Holder (CEWH) a large portfolio of water entitlements. Allocations from its Victorian entitlements have outstripped their anticipated long-term share of the portfolio in all but the wettest years. The CEWH’s use of Victorian entitlements for carryover has consistently exceeded their long-term share of the portfolio.</w:t>
      </w:r>
    </w:p>
    <w:p w14:paraId="79796425" w14:textId="77777777" w:rsidR="0051720A" w:rsidRPr="0051720A" w:rsidRDefault="0051720A" w:rsidP="0051720A">
      <w:pPr>
        <w:pStyle w:val="ListNumber1"/>
        <w:numPr>
          <w:ilvl w:val="0"/>
          <w:numId w:val="18"/>
        </w:numPr>
        <w:tabs>
          <w:tab w:val="clear" w:pos="284"/>
          <w:tab w:val="num" w:pos="426"/>
        </w:tabs>
        <w:ind w:left="426" w:hanging="426"/>
        <w:rPr>
          <w:b w:val="0"/>
          <w:bCs w:val="0"/>
        </w:rPr>
      </w:pPr>
      <w:r w:rsidRPr="0051720A">
        <w:rPr>
          <w:b w:val="0"/>
          <w:bCs w:val="0"/>
        </w:rPr>
        <w:t>As a result of the way in which water was recovered, there is now more volatility in the total volume of allocations available for irrigation from one year to the next.</w:t>
      </w:r>
    </w:p>
    <w:p w14:paraId="4103E317" w14:textId="77777777" w:rsidR="0051720A" w:rsidRPr="0051720A" w:rsidRDefault="0051720A" w:rsidP="0051720A">
      <w:pPr>
        <w:pStyle w:val="ListNumber1"/>
        <w:numPr>
          <w:ilvl w:val="0"/>
          <w:numId w:val="18"/>
        </w:numPr>
        <w:tabs>
          <w:tab w:val="clear" w:pos="284"/>
          <w:tab w:val="num" w:pos="426"/>
        </w:tabs>
        <w:ind w:left="426" w:hanging="426"/>
        <w:rPr>
          <w:b w:val="0"/>
          <w:bCs w:val="0"/>
        </w:rPr>
      </w:pPr>
      <w:r w:rsidRPr="0051720A">
        <w:rPr>
          <w:b w:val="0"/>
          <w:bCs w:val="0"/>
        </w:rPr>
        <w:t>The characteristics of water use in the southern-connected Basin have changed significantly as a result of the Basin Plan:</w:t>
      </w:r>
    </w:p>
    <w:p w14:paraId="4D2BC8BD" w14:textId="77777777" w:rsidR="0051720A" w:rsidRPr="0051720A" w:rsidRDefault="0051720A" w:rsidP="0051720A">
      <w:pPr>
        <w:pStyle w:val="ListNumber2"/>
        <w:tabs>
          <w:tab w:val="clear" w:pos="568"/>
          <w:tab w:val="num" w:pos="709"/>
        </w:tabs>
        <w:ind w:left="709" w:hanging="283"/>
        <w:rPr>
          <w:b w:val="0"/>
          <w:bCs w:val="0"/>
        </w:rPr>
      </w:pPr>
      <w:r w:rsidRPr="0051720A">
        <w:rPr>
          <w:b w:val="0"/>
          <w:bCs w:val="0"/>
        </w:rPr>
        <w:t>Horticulture, with its relatively fixed water demands now accounts for a larger proportion of the smaller consumptive pool</w:t>
      </w:r>
    </w:p>
    <w:p w14:paraId="23C0DD45" w14:textId="77777777" w:rsidR="0051720A" w:rsidRPr="0051720A" w:rsidRDefault="0051720A" w:rsidP="0051720A">
      <w:pPr>
        <w:pStyle w:val="ListNumber2"/>
        <w:tabs>
          <w:tab w:val="clear" w:pos="568"/>
          <w:tab w:val="num" w:pos="709"/>
        </w:tabs>
        <w:ind w:left="709" w:hanging="283"/>
        <w:rPr>
          <w:b w:val="0"/>
          <w:bCs w:val="0"/>
        </w:rPr>
      </w:pPr>
      <w:r w:rsidRPr="0051720A">
        <w:rPr>
          <w:b w:val="0"/>
          <w:bCs w:val="0"/>
        </w:rPr>
        <w:t>Dairy, rice and mixed farmers must now deal with larger variability in water access and many of their farming systems are more flexible than pre-drought.</w:t>
      </w:r>
    </w:p>
    <w:p w14:paraId="38F5550B" w14:textId="77777777" w:rsidR="0051720A" w:rsidRPr="0051720A" w:rsidRDefault="0051720A" w:rsidP="0051720A">
      <w:pPr>
        <w:pStyle w:val="ListNumber1"/>
        <w:numPr>
          <w:ilvl w:val="0"/>
          <w:numId w:val="18"/>
        </w:numPr>
        <w:tabs>
          <w:tab w:val="clear" w:pos="284"/>
          <w:tab w:val="num" w:pos="426"/>
        </w:tabs>
        <w:ind w:left="426" w:hanging="426"/>
        <w:rPr>
          <w:b w:val="0"/>
          <w:bCs w:val="0"/>
        </w:rPr>
      </w:pPr>
      <w:r w:rsidRPr="0051720A">
        <w:rPr>
          <w:b w:val="0"/>
          <w:bCs w:val="0"/>
        </w:rPr>
        <w:t>The socio-economic impacts of the Basin Plan in Victoria are apparent in the Goulburn Murray Irrigation District (GMID) — reducing water use and milk production in the order of 50% in recent years. In a repeat of the Millennium Drought, the socio-economic impacts of the Basin Plan will also affect the horticultural industries of the Victorian Mallee and surrounding areas — requiring an extra 25,000 hectares of high value horticulture to be dried off due to the reduced consumptive pool.</w:t>
      </w:r>
    </w:p>
    <w:p w14:paraId="36CC4A95" w14:textId="77777777" w:rsidR="0051720A" w:rsidRPr="0051720A" w:rsidRDefault="0051720A" w:rsidP="0051720A">
      <w:pPr>
        <w:pStyle w:val="ListNumber1"/>
        <w:numPr>
          <w:ilvl w:val="0"/>
          <w:numId w:val="18"/>
        </w:numPr>
        <w:tabs>
          <w:tab w:val="clear" w:pos="284"/>
          <w:tab w:val="num" w:pos="426"/>
        </w:tabs>
        <w:ind w:left="426" w:hanging="426"/>
        <w:rPr>
          <w:b w:val="0"/>
          <w:bCs w:val="0"/>
        </w:rPr>
      </w:pPr>
      <w:r w:rsidRPr="0051720A">
        <w:rPr>
          <w:b w:val="0"/>
          <w:bCs w:val="0"/>
        </w:rPr>
        <w:t xml:space="preserve">A potential future large-scale buyback of water entitlements would have large socio-economic impacts across the southern Basin — likely focused on northern Victoria. The ultimate impact would depend heavily on the characteristics of the water entitlements that are bought back. Such a buyback would provide additional water to the environment to generate environmental benefits. However, it is unclear whether large additional volumes can be effectively used for environmental watering given the existing constraints to environmental water delivery. </w:t>
      </w:r>
    </w:p>
    <w:p w14:paraId="565609D3" w14:textId="77777777" w:rsidR="0051720A" w:rsidRPr="0051720A" w:rsidRDefault="0051720A" w:rsidP="0051720A">
      <w:pPr>
        <w:pStyle w:val="ListNumber1"/>
        <w:numPr>
          <w:ilvl w:val="0"/>
          <w:numId w:val="18"/>
        </w:numPr>
        <w:tabs>
          <w:tab w:val="clear" w:pos="284"/>
          <w:tab w:val="num" w:pos="426"/>
        </w:tabs>
        <w:ind w:left="426" w:hanging="426"/>
        <w:rPr>
          <w:b w:val="0"/>
          <w:bCs w:val="0"/>
        </w:rPr>
      </w:pPr>
      <w:r w:rsidRPr="0051720A">
        <w:rPr>
          <w:b w:val="0"/>
          <w:bCs w:val="0"/>
        </w:rPr>
        <w:t xml:space="preserve">After considering four scenarios of future implementation of the Basin Plan and the current state of play, we consider a sensible and plausible scenario is for Basin Plan implementation </w:t>
      </w:r>
      <w:r w:rsidRPr="0051720A">
        <w:rPr>
          <w:b w:val="0"/>
          <w:bCs w:val="0"/>
        </w:rPr>
        <w:lastRenderedPageBreak/>
        <w:t>to focus on current or alternative SDLAM projects to offset the full 605GL in a timely manner (rather than by the current 30 June 2024 deadline). This would avoid the negative socio-economic impacts of buyback and allow time for at least 62 GL of efficiency measures to be identified. Further progress towards the 450 GL should consider system constraints.</w:t>
      </w:r>
    </w:p>
    <w:p w14:paraId="54B39D5A" w14:textId="48CC35E5" w:rsidR="00F73045" w:rsidRDefault="00F73045" w:rsidP="00F73045">
      <w:pPr>
        <w:pStyle w:val="Heading2numbered"/>
      </w:pPr>
      <w:bookmarkStart w:id="281" w:name="_Toc113621684"/>
      <w:r>
        <w:t>Concluding comments</w:t>
      </w:r>
      <w:bookmarkEnd w:id="281"/>
    </w:p>
    <w:p w14:paraId="7A53BB92" w14:textId="2A2ECC37" w:rsidR="00A2153D" w:rsidRDefault="00B901CD" w:rsidP="00A2153D">
      <w:pPr>
        <w:pStyle w:val="BodyText"/>
      </w:pPr>
      <w:r>
        <w:t xml:space="preserve">There </w:t>
      </w:r>
      <w:r w:rsidR="00B5770D">
        <w:t>are</w:t>
      </w:r>
      <w:r w:rsidR="00F31F3B">
        <w:t xml:space="preserve"> </w:t>
      </w:r>
      <w:r w:rsidR="00A2153D">
        <w:t>a range of scenarios for ultimately meeting Basin Plan obligations:</w:t>
      </w:r>
    </w:p>
    <w:p w14:paraId="794FCEAA" w14:textId="0BD04CB6" w:rsidR="00A2153D" w:rsidRDefault="0054475F" w:rsidP="00597401">
      <w:pPr>
        <w:pStyle w:val="ParaBullet1"/>
        <w:numPr>
          <w:ilvl w:val="0"/>
          <w:numId w:val="14"/>
        </w:numPr>
      </w:pPr>
      <w:r>
        <w:t>I</w:t>
      </w:r>
      <w:r w:rsidR="00A2153D">
        <w:t>t does not seem realistic that the full set of SDLAM projects and 450GL of projects to satisfy the socio-economic neutrality requirements can be achieved by 30 June 2024. If this was done then, almost by definition, the social and economic impacts from this water recovery would be negligible (assuming acceptable assessment of socio-economic neutrality).</w:t>
      </w:r>
    </w:p>
    <w:p w14:paraId="05B84F11" w14:textId="7EFCCE67" w:rsidR="00A2153D" w:rsidRDefault="00A2153D" w:rsidP="00597401">
      <w:pPr>
        <w:pStyle w:val="ParaBullet1"/>
        <w:numPr>
          <w:ilvl w:val="0"/>
          <w:numId w:val="14"/>
        </w:numPr>
      </w:pPr>
      <w:r>
        <w:t xml:space="preserve">Given the current state of play, we consider a sensible and plausible </w:t>
      </w:r>
      <w:r w:rsidR="00C76310">
        <w:t>approach</w:t>
      </w:r>
      <w:r>
        <w:t xml:space="preserve"> is for Basin Plan implementation is to focus on current or alternative SDLAM projects to offset the full 605GL in a timely manner (rather than a 30 June 2024 deadline). To make use of the full 605GL offset, 62GL of efficiency measures would also be needed</w:t>
      </w:r>
      <w:r w:rsidR="00E515AA">
        <w:t>, and the recent review suggests this may be possible to achieve within the existing WESA budget</w:t>
      </w:r>
      <w:r w:rsidR="000C1ADE" w:rsidRPr="000C1ADE">
        <w:t xml:space="preserve"> and socio-economic neutrality requirements</w:t>
      </w:r>
      <w:r w:rsidR="00C76310">
        <w:t>.</w:t>
      </w:r>
    </w:p>
    <w:p w14:paraId="0ABDE3AB" w14:textId="77777777" w:rsidR="00A2153D" w:rsidRDefault="00A2153D" w:rsidP="00597401">
      <w:pPr>
        <w:pStyle w:val="ParaBullet1"/>
        <w:numPr>
          <w:ilvl w:val="0"/>
          <w:numId w:val="14"/>
        </w:numPr>
      </w:pPr>
      <w:r>
        <w:t>However, if larger volumes of water recovery are deemed necessary (such as to address SDLAM shortfalls to 30 June 2024 and to fully achieve the additional 450GL for enhanced environmental outcomes) then significant social and economic impacts can be expected. The larger the water recovery, the larger the impact given that recovery costs have been identified as increasingly costly. Recovery through buyback also increases the likelihood of reaching threshold points of significant impact as the consumptive pool is reduced and water users and industries compete in response to the range of seasonal conditions.</w:t>
      </w:r>
    </w:p>
    <w:p w14:paraId="51F6BABB" w14:textId="1CAB78CE" w:rsidR="00490E5A" w:rsidRDefault="00CB5427" w:rsidP="00684D6E">
      <w:pPr>
        <w:pStyle w:val="BodyText"/>
      </w:pPr>
      <w:r>
        <w:t>In our view, the finding</w:t>
      </w:r>
      <w:r w:rsidR="00487F8A">
        <w:t>s</w:t>
      </w:r>
      <w:r>
        <w:t xml:space="preserve"> </w:t>
      </w:r>
      <w:r w:rsidR="005E2D8D">
        <w:t>of this u</w:t>
      </w:r>
      <w:r w:rsidR="005E2D8D" w:rsidRPr="00245AFC">
        <w:t xml:space="preserve">pdate </w:t>
      </w:r>
      <w:r w:rsidR="005E2D8D">
        <w:t xml:space="preserve">to </w:t>
      </w:r>
      <w:r w:rsidR="005E2D8D" w:rsidRPr="00245AFC">
        <w:t xml:space="preserve">the </w:t>
      </w:r>
      <w:r w:rsidR="005E2D8D">
        <w:t xml:space="preserve">socio-economic </w:t>
      </w:r>
      <w:r w:rsidR="005E2D8D" w:rsidRPr="00245AFC">
        <w:t>analysis undertaken in 2017</w:t>
      </w:r>
      <w:r w:rsidR="005E2D8D">
        <w:t xml:space="preserve"> </w:t>
      </w:r>
      <w:r w:rsidR="007E5EDD">
        <w:t xml:space="preserve">have significant implications for </w:t>
      </w:r>
      <w:r w:rsidR="00657D4D">
        <w:t xml:space="preserve">discussions </w:t>
      </w:r>
      <w:r w:rsidR="00D81A52">
        <w:t xml:space="preserve">and decisions </w:t>
      </w:r>
      <w:r w:rsidR="00657D4D">
        <w:t>around</w:t>
      </w:r>
      <w:r w:rsidR="007E5EDD">
        <w:t xml:space="preserve"> water recovery </w:t>
      </w:r>
      <w:r w:rsidR="00657D4D">
        <w:t>over the ne</w:t>
      </w:r>
      <w:r w:rsidR="0030021F">
        <w:t>xt two year</w:t>
      </w:r>
      <w:r w:rsidR="005E2D8D">
        <w:t>s</w:t>
      </w:r>
      <w:r w:rsidR="0030021F">
        <w:t xml:space="preserve"> — to </w:t>
      </w:r>
      <w:r w:rsidR="00177FBE">
        <w:t xml:space="preserve">the </w:t>
      </w:r>
      <w:r w:rsidR="0030021F">
        <w:t>30 June 2024</w:t>
      </w:r>
      <w:r w:rsidR="00177FBE">
        <w:t xml:space="preserve"> deadline</w:t>
      </w:r>
      <w:r w:rsidR="00E86E1A">
        <w:t xml:space="preserve"> — and </w:t>
      </w:r>
      <w:r w:rsidR="00E63E9C">
        <w:t xml:space="preserve">beyond. </w:t>
      </w:r>
    </w:p>
    <w:p w14:paraId="27B3A2DD" w14:textId="262DA6F1" w:rsidR="00A2153D" w:rsidRDefault="00DE5B23" w:rsidP="00684D6E">
      <w:pPr>
        <w:pStyle w:val="BodyText"/>
      </w:pPr>
      <w:r>
        <w:t xml:space="preserve">Since the </w:t>
      </w:r>
      <w:r w:rsidR="00490E5A">
        <w:t xml:space="preserve">inception of the </w:t>
      </w:r>
      <w:r>
        <w:t>Basin Plan</w:t>
      </w:r>
      <w:r w:rsidR="00490E5A">
        <w:t xml:space="preserve"> there has been </w:t>
      </w:r>
      <w:r w:rsidR="00B81311">
        <w:t xml:space="preserve">substantial </w:t>
      </w:r>
      <w:r w:rsidR="00490E5A">
        <w:t xml:space="preserve">research into </w:t>
      </w:r>
      <w:r w:rsidR="00513BFF">
        <w:t>its</w:t>
      </w:r>
      <w:r w:rsidR="00B81311">
        <w:t xml:space="preserve"> </w:t>
      </w:r>
      <w:r w:rsidR="00B81311" w:rsidRPr="00B81311">
        <w:t>social and economic implications</w:t>
      </w:r>
      <w:r w:rsidR="00CE7618">
        <w:t xml:space="preserve">. This has included consideration of the social and economic consequences of water recovery, as well as </w:t>
      </w:r>
      <w:r w:rsidR="007250D7" w:rsidRPr="007250D7">
        <w:t>social</w:t>
      </w:r>
      <w:r w:rsidR="00D81A52">
        <w:t>,</w:t>
      </w:r>
      <w:r w:rsidR="007250D7" w:rsidRPr="007250D7">
        <w:t xml:space="preserve"> economic </w:t>
      </w:r>
      <w:r w:rsidR="007250D7">
        <w:t xml:space="preserve">and environmental </w:t>
      </w:r>
      <w:r w:rsidR="007250D7" w:rsidRPr="007250D7">
        <w:t xml:space="preserve">benefits of </w:t>
      </w:r>
      <w:r w:rsidR="007250D7">
        <w:t>the</w:t>
      </w:r>
      <w:r w:rsidR="000F1567">
        <w:t xml:space="preserve"> </w:t>
      </w:r>
      <w:r w:rsidR="007250D7">
        <w:t>P</w:t>
      </w:r>
      <w:r w:rsidR="007250D7" w:rsidRPr="007250D7">
        <w:t>lan</w:t>
      </w:r>
      <w:r w:rsidR="000F1567">
        <w:t>.</w:t>
      </w:r>
    </w:p>
    <w:p w14:paraId="2F6114D0" w14:textId="406A434B" w:rsidR="000F1567" w:rsidRDefault="00B7047D" w:rsidP="00684D6E">
      <w:pPr>
        <w:pStyle w:val="BodyText"/>
      </w:pPr>
      <w:r>
        <w:t xml:space="preserve">The findings in this report show that the socio-economic impacts of </w:t>
      </w:r>
      <w:r w:rsidR="00CE0433">
        <w:t xml:space="preserve">the final steps of water recovery to ‘Bridge the Gap’ may </w:t>
      </w:r>
      <w:r w:rsidR="00934F20">
        <w:t xml:space="preserve">vary significantly depending on the approach taken in terms of </w:t>
      </w:r>
      <w:r w:rsidR="00602216">
        <w:t>haste (to meet the 30 June 2024 deadline</w:t>
      </w:r>
      <w:r w:rsidR="00853C6E">
        <w:t>) and water recovery methods</w:t>
      </w:r>
      <w:r w:rsidR="009E34E3">
        <w:t>. In particular, we suggest that significant uplift has been observed</w:t>
      </w:r>
      <w:r w:rsidR="003E49DC">
        <w:t xml:space="preserve"> </w:t>
      </w:r>
      <w:r w:rsidR="009E34E3">
        <w:t>in water use efficiency</w:t>
      </w:r>
      <w:r w:rsidR="005F0D23">
        <w:t xml:space="preserve"> on-farm and off-farm</w:t>
      </w:r>
      <w:r w:rsidR="003E49DC" w:rsidRPr="003E49DC">
        <w:t xml:space="preserve"> </w:t>
      </w:r>
      <w:r w:rsidR="003E49DC">
        <w:t>along the Basin Plan journey to date</w:t>
      </w:r>
      <w:r w:rsidR="001B163B">
        <w:t xml:space="preserve">, and that SDLAM projects </w:t>
      </w:r>
      <w:r w:rsidR="00C5030D">
        <w:t>(</w:t>
      </w:r>
      <w:r w:rsidR="001B163B">
        <w:t xml:space="preserve">that can provide a similar uplift in efficiency of </w:t>
      </w:r>
      <w:r w:rsidR="002515EF">
        <w:t>water use/</w:t>
      </w:r>
      <w:r w:rsidR="001B163B">
        <w:t xml:space="preserve">delivery to </w:t>
      </w:r>
      <w:r w:rsidR="002515EF">
        <w:t xml:space="preserve">meet environmental </w:t>
      </w:r>
      <w:r w:rsidR="005E2D8D">
        <w:t>objective</w:t>
      </w:r>
      <w:r w:rsidR="002515EF">
        <w:t>s</w:t>
      </w:r>
      <w:r w:rsidR="00835C02">
        <w:t>) may have</w:t>
      </w:r>
      <w:r w:rsidR="003F6D0B">
        <w:t xml:space="preserve"> further to offer. </w:t>
      </w:r>
      <w:r w:rsidR="00075C6C">
        <w:t xml:space="preserve">As such, we urge that strong consideration be given to </w:t>
      </w:r>
      <w:r w:rsidR="0076660D">
        <w:t>allow the requisite time</w:t>
      </w:r>
      <w:r w:rsidR="002515EF">
        <w:t xml:space="preserve"> </w:t>
      </w:r>
      <w:r w:rsidR="00BE188D">
        <w:t xml:space="preserve">to fully explore </w:t>
      </w:r>
      <w:r w:rsidR="00101448">
        <w:t>these project</w:t>
      </w:r>
      <w:r w:rsidR="00D937B5">
        <w:t>s</w:t>
      </w:r>
      <w:r w:rsidR="00101448">
        <w:t xml:space="preserve"> — the benefits of which </w:t>
      </w:r>
      <w:r w:rsidR="0012093C">
        <w:t xml:space="preserve">can </w:t>
      </w:r>
      <w:r w:rsidR="00101448">
        <w:t xml:space="preserve">include avoided socio-economic impacts </w:t>
      </w:r>
      <w:r w:rsidR="0012093C">
        <w:t xml:space="preserve">(from further water recovery) </w:t>
      </w:r>
      <w:r w:rsidR="00101448">
        <w:t xml:space="preserve">as well as </w:t>
      </w:r>
      <w:r w:rsidR="001D26FC">
        <w:t>consideration of system constraint</w:t>
      </w:r>
      <w:r w:rsidR="00B34810">
        <w:t>s</w:t>
      </w:r>
      <w:r w:rsidR="001D26FC">
        <w:t xml:space="preserve"> to </w:t>
      </w:r>
      <w:r w:rsidR="00E24BB8">
        <w:t>enhance the environmental outcomes that can be achieve</w:t>
      </w:r>
      <w:r w:rsidR="003E2C9F">
        <w:t>d</w:t>
      </w:r>
      <w:r w:rsidR="00E24BB8">
        <w:t xml:space="preserve"> by environmental managers </w:t>
      </w:r>
      <w:r w:rsidR="003E2C9F">
        <w:t>and their water holdings.</w:t>
      </w:r>
    </w:p>
    <w:p w14:paraId="74C0583C" w14:textId="43837333" w:rsidR="00A2153D" w:rsidRDefault="009B03EB" w:rsidP="00E65605">
      <w:pPr>
        <w:pStyle w:val="BodyText"/>
      </w:pPr>
      <w:r>
        <w:t>Looking forward</w:t>
      </w:r>
      <w:r w:rsidR="00C95DDD">
        <w:t xml:space="preserve">, </w:t>
      </w:r>
      <w:r w:rsidR="00321F5F">
        <w:t xml:space="preserve">and </w:t>
      </w:r>
      <w:r w:rsidR="00C95DDD">
        <w:t xml:space="preserve">in the context of </w:t>
      </w:r>
      <w:r w:rsidR="00C20FEC">
        <w:t>the many differing views and interests</w:t>
      </w:r>
      <w:r w:rsidR="006A1F46">
        <w:t xml:space="preserve">, we </w:t>
      </w:r>
      <w:r w:rsidR="00024E64">
        <w:t xml:space="preserve">trust </w:t>
      </w:r>
      <w:r w:rsidR="006A1F46">
        <w:t xml:space="preserve">this report </w:t>
      </w:r>
      <w:r w:rsidR="00A463CE">
        <w:t xml:space="preserve">will </w:t>
      </w:r>
      <w:r w:rsidR="006A1F46">
        <w:t xml:space="preserve">contribute to the evidence base </w:t>
      </w:r>
      <w:r w:rsidR="00A9343B">
        <w:t>required to</w:t>
      </w:r>
      <w:r w:rsidR="006A1F46">
        <w:t xml:space="preserve"> support robust</w:t>
      </w:r>
      <w:r w:rsidR="00321F5F">
        <w:t xml:space="preserve"> decision-making </w:t>
      </w:r>
      <w:r w:rsidR="00A9343B">
        <w:t>on Basin Plan issues.</w:t>
      </w:r>
    </w:p>
    <w:p w14:paraId="505F633E" w14:textId="540F306B" w:rsidR="003C0DC8" w:rsidRDefault="003C0DC8" w:rsidP="00A2153D">
      <w:pPr>
        <w:pStyle w:val="Heading1numbered"/>
        <w:numPr>
          <w:ilvl w:val="0"/>
          <w:numId w:val="0"/>
        </w:numPr>
      </w:pPr>
      <w:bookmarkStart w:id="282" w:name="_Toc113621685"/>
      <w:bookmarkStart w:id="283" w:name="_Toc107997251"/>
      <w:bookmarkStart w:id="284" w:name="_Toc110262414"/>
      <w:r>
        <w:lastRenderedPageBreak/>
        <w:t>Key references</w:t>
      </w:r>
      <w:bookmarkEnd w:id="282"/>
    </w:p>
    <w:p w14:paraId="4D726224" w14:textId="55350CF7" w:rsidR="00027D61" w:rsidRDefault="00027D61" w:rsidP="00031744">
      <w:pPr>
        <w:pStyle w:val="BodyText"/>
      </w:pPr>
      <w:r>
        <w:t xml:space="preserve">Australian Competition and Consumer Commission (ACCC) </w:t>
      </w:r>
      <w:r w:rsidR="00031744">
        <w:t>2021</w:t>
      </w:r>
      <w:r w:rsidR="004433F2">
        <w:t>,</w:t>
      </w:r>
      <w:r w:rsidR="00031744" w:rsidRPr="00031744">
        <w:t xml:space="preserve"> </w:t>
      </w:r>
      <w:r w:rsidR="00031744" w:rsidRPr="009D6D6C">
        <w:rPr>
          <w:i/>
          <w:iCs/>
        </w:rPr>
        <w:t>Murray–Darling Basin water markets inquiry</w:t>
      </w:r>
      <w:r w:rsidR="004433F2">
        <w:t>,</w:t>
      </w:r>
      <w:r w:rsidR="00031744">
        <w:t xml:space="preserve"> Final report</w:t>
      </w:r>
      <w:r w:rsidR="00AD2A56">
        <w:t xml:space="preserve"> F</w:t>
      </w:r>
      <w:r w:rsidR="00031744">
        <w:t>ebruary 2021</w:t>
      </w:r>
      <w:r w:rsidR="00D542E1">
        <w:t>. Canberra</w:t>
      </w:r>
    </w:p>
    <w:p w14:paraId="7DC0378B" w14:textId="14A5BBD5" w:rsidR="0092471E" w:rsidRDefault="0092471E" w:rsidP="00031744">
      <w:pPr>
        <w:pStyle w:val="BodyText"/>
      </w:pPr>
      <w:r>
        <w:t xml:space="preserve">Australian Government 2020, </w:t>
      </w:r>
      <w:r w:rsidRPr="001F2705">
        <w:rPr>
          <w:rStyle w:val="Emphasis"/>
        </w:rPr>
        <w:t xml:space="preserve">First Review </w:t>
      </w:r>
      <w:r w:rsidRPr="00652123">
        <w:rPr>
          <w:rStyle w:val="Emphasis"/>
        </w:rPr>
        <w:t>of the Water for the Environment Special Account</w:t>
      </w:r>
      <w:r w:rsidRPr="00652123">
        <w:t>, Canberra.</w:t>
      </w:r>
    </w:p>
    <w:p w14:paraId="1DA979B7" w14:textId="1CEC2CBE" w:rsidR="0051656C" w:rsidRDefault="005365EC" w:rsidP="006E06D8">
      <w:pPr>
        <w:pStyle w:val="BodyText"/>
      </w:pPr>
      <w:r>
        <w:t xml:space="preserve">Australian Government 2021, </w:t>
      </w:r>
      <w:r w:rsidRPr="00436754">
        <w:rPr>
          <w:i/>
          <w:iCs/>
        </w:rPr>
        <w:t>Second Review of the Water for the Environment Special Account</w:t>
      </w:r>
      <w:r>
        <w:t>,</w:t>
      </w:r>
      <w:r w:rsidR="00B142DF">
        <w:t xml:space="preserve"> released August 2022.</w:t>
      </w:r>
      <w:r>
        <w:t xml:space="preserve"> </w:t>
      </w:r>
    </w:p>
    <w:p w14:paraId="12528F1D" w14:textId="248BAE46" w:rsidR="00BB20B5" w:rsidRDefault="006E06D8" w:rsidP="006E06D8">
      <w:pPr>
        <w:pStyle w:val="BodyText"/>
      </w:pPr>
      <w:r>
        <w:t xml:space="preserve">Aither 2017, </w:t>
      </w:r>
      <w:r w:rsidRPr="00301ACA">
        <w:rPr>
          <w:i/>
          <w:iCs/>
        </w:rPr>
        <w:t>Water Market Impacts of On</w:t>
      </w:r>
      <w:r w:rsidRPr="00301ACA">
        <w:rPr>
          <w:rFonts w:ascii="Cambria Math" w:hAnsi="Cambria Math" w:cs="Cambria Math"/>
          <w:i/>
          <w:iCs/>
        </w:rPr>
        <w:t>‐</w:t>
      </w:r>
      <w:r w:rsidRPr="00301ACA">
        <w:rPr>
          <w:i/>
          <w:iCs/>
        </w:rPr>
        <w:t>Farm Water Use Efficiency Programs that Require Entitlement Transfer</w:t>
      </w:r>
      <w:r>
        <w:t>, Melbourne.</w:t>
      </w:r>
    </w:p>
    <w:p w14:paraId="17BF1087" w14:textId="19F7A313" w:rsidR="002F3395" w:rsidRDefault="002F3395" w:rsidP="006E06D8">
      <w:pPr>
        <w:pStyle w:val="BodyText"/>
      </w:pPr>
      <w:r>
        <w:t xml:space="preserve">Aither 2020, </w:t>
      </w:r>
      <w:r w:rsidRPr="002F3395">
        <w:rPr>
          <w:i/>
          <w:iCs/>
        </w:rPr>
        <w:t>Southern Murray-Darling Basin water market: Trends, drivers and implications for Victoria</w:t>
      </w:r>
      <w:r w:rsidRPr="002F3395">
        <w:t>, www.waterregister.vic.gov.au/images/documents/sMB-Water-Market-Trends-and-Drivers_Report-2020.pdf</w:t>
      </w:r>
    </w:p>
    <w:p w14:paraId="6E10B091" w14:textId="03CBD6D3" w:rsidR="008C3FDA" w:rsidRDefault="008C3FDA" w:rsidP="00CC06E3">
      <w:pPr>
        <w:pStyle w:val="BodyText"/>
      </w:pPr>
      <w:r>
        <w:t xml:space="preserve">Aither 2021, </w:t>
      </w:r>
      <w:r w:rsidRPr="008C3FDA">
        <w:rPr>
          <w:i/>
          <w:iCs/>
        </w:rPr>
        <w:t>Water Markets Report: 2020-21 review and 2021-22 outlook</w:t>
      </w:r>
      <w:r>
        <w:t xml:space="preserve">, </w:t>
      </w:r>
      <w:r w:rsidRPr="003E0F52">
        <w:t>https://www.aither.com.au/wp-content/uploads/2021/08/2021-Water-Markets-Report.pdf</w:t>
      </w:r>
    </w:p>
    <w:p w14:paraId="30FF338A" w14:textId="61ED7790" w:rsidR="00AD14DC" w:rsidRDefault="00AD14DC" w:rsidP="00CC06E3">
      <w:pPr>
        <w:pStyle w:val="BodyText"/>
      </w:pPr>
      <w:r>
        <w:t xml:space="preserve">Dairy Australia 2021, </w:t>
      </w:r>
      <w:r w:rsidRPr="0037072F">
        <w:rPr>
          <w:i/>
          <w:iCs/>
        </w:rPr>
        <w:t>Murray Dairy Trends Report 2021</w:t>
      </w:r>
      <w:r w:rsidR="001F57B9">
        <w:t>.</w:t>
      </w:r>
    </w:p>
    <w:p w14:paraId="2FF32F88" w14:textId="722DED6A" w:rsidR="00A279FD" w:rsidRDefault="00A279FD" w:rsidP="00CC06E3">
      <w:pPr>
        <w:pStyle w:val="BodyText"/>
      </w:pPr>
      <w:r w:rsidRPr="00A279FD">
        <w:t>DELWP 2018</w:t>
      </w:r>
      <w:r>
        <w:t>a</w:t>
      </w:r>
      <w:r w:rsidRPr="00A279FD">
        <w:t xml:space="preserve">, </w:t>
      </w:r>
      <w:r w:rsidRPr="00A279FD">
        <w:rPr>
          <w:i/>
          <w:iCs/>
        </w:rPr>
        <w:t>Victorian Farm Modernisation Project — Options Review</w:t>
      </w:r>
      <w:r>
        <w:t>,</w:t>
      </w:r>
      <w:r w:rsidRPr="00A279FD">
        <w:t xml:space="preserve"> https://www.water.vic.gov.au/__data/assets/pdf_file/0018/331533/VFMP-options-review-final_6-July-2018_updated-clean.pdf</w:t>
      </w:r>
    </w:p>
    <w:p w14:paraId="7BC254FF" w14:textId="566130F7" w:rsidR="008C637A" w:rsidRDefault="008C637A" w:rsidP="00CC06E3">
      <w:pPr>
        <w:pStyle w:val="BodyText"/>
      </w:pPr>
      <w:r>
        <w:t>DELWP 2018</w:t>
      </w:r>
      <w:r w:rsidR="00A279FD">
        <w:t>b</w:t>
      </w:r>
      <w:r>
        <w:t xml:space="preserve">, </w:t>
      </w:r>
      <w:r w:rsidRPr="008C637A">
        <w:rPr>
          <w:i/>
          <w:iCs/>
        </w:rPr>
        <w:t>Victoria's Northern Water Infrastructure Prospectus</w:t>
      </w:r>
      <w:r>
        <w:t xml:space="preserve">, </w:t>
      </w:r>
      <w:r w:rsidRPr="003E0F52">
        <w:t>https://www.water.vic.gov.au/__data/assets/pdf_file/0028/395830/Victorias-Northern-Water-Infrastructure-Prospectus_Continuing-to-deliver-the-Basin-Plan.pdf</w:t>
      </w:r>
      <w:r>
        <w:t xml:space="preserve"> Accessed 25 July 2022</w:t>
      </w:r>
    </w:p>
    <w:p w14:paraId="1A7508A6" w14:textId="05A119C7" w:rsidR="00114995" w:rsidRDefault="00114995" w:rsidP="00CC06E3">
      <w:pPr>
        <w:pStyle w:val="BodyText"/>
      </w:pPr>
      <w:r>
        <w:t>GHD 2020, Review of Goulburn Murray Water (GMW) Water Efficiency Project</w:t>
      </w:r>
      <w:r w:rsidR="00480733">
        <w:t>.</w:t>
      </w:r>
    </w:p>
    <w:p w14:paraId="0EA1C410" w14:textId="0EB02B97" w:rsidR="009B6378" w:rsidRDefault="009B6378" w:rsidP="00CC06E3">
      <w:pPr>
        <w:pStyle w:val="BodyText"/>
      </w:pPr>
      <w:r w:rsidRPr="009B6378">
        <w:t xml:space="preserve">Goulburn Broken Catchment Management Authority </w:t>
      </w:r>
      <w:r w:rsidR="00114995">
        <w:t xml:space="preserve">(GBCMA) </w:t>
      </w:r>
      <w:r w:rsidRPr="009B6378">
        <w:t xml:space="preserve">2021, </w:t>
      </w:r>
      <w:r w:rsidRPr="00F51DAD">
        <w:rPr>
          <w:i/>
          <w:iCs/>
        </w:rPr>
        <w:t>Regional irrigated land and water use mapping in the Goulburn-Murray Irrigation District 2019/20 - Farm Irrigation Survey Technical Report</w:t>
      </w:r>
      <w:r w:rsidR="00F51DAD">
        <w:t>, September</w:t>
      </w:r>
      <w:r>
        <w:t>.</w:t>
      </w:r>
    </w:p>
    <w:p w14:paraId="42966804" w14:textId="428BF779" w:rsidR="00BB20B5" w:rsidRDefault="00BB20B5" w:rsidP="00CC06E3">
      <w:pPr>
        <w:pStyle w:val="BodyText"/>
      </w:pPr>
      <w:r>
        <w:t>Hughes</w:t>
      </w:r>
      <w:r w:rsidR="0011043D">
        <w:t xml:space="preserve">, N., Donoghoe, M. and Whittle, L. 2020, </w:t>
      </w:r>
      <w:r w:rsidR="00CC06E3">
        <w:t>‘Farm Level Effects of On</w:t>
      </w:r>
      <w:r w:rsidR="00CC06E3">
        <w:rPr>
          <w:rFonts w:ascii="Cambria Math" w:hAnsi="Cambria Math" w:cs="Cambria Math"/>
        </w:rPr>
        <w:t>‐</w:t>
      </w:r>
      <w:r w:rsidR="00CC06E3">
        <w:t xml:space="preserve">Farm Irrigation Infrastructure Programs in the Southern Murray–Darling Basin’, </w:t>
      </w:r>
      <w:r w:rsidR="00CC06E3" w:rsidRPr="00301ACA">
        <w:rPr>
          <w:i/>
          <w:iCs/>
        </w:rPr>
        <w:t>The Australian Economic Review</w:t>
      </w:r>
      <w:r w:rsidR="00CC06E3" w:rsidRPr="00CC06E3">
        <w:t>, vol. 53, no. 4, pp. 494–516</w:t>
      </w:r>
      <w:r w:rsidR="00CC06E3">
        <w:t>.</w:t>
      </w:r>
    </w:p>
    <w:p w14:paraId="48F0FB65" w14:textId="2380CD9D" w:rsidR="00C555B6" w:rsidRDefault="00C555B6" w:rsidP="00D86F7B">
      <w:pPr>
        <w:pStyle w:val="BodyText"/>
      </w:pPr>
      <w:r>
        <w:t>Indec 2021</w:t>
      </w:r>
      <w:r w:rsidR="00DD7CEC">
        <w:t xml:space="preserve">, </w:t>
      </w:r>
      <w:r w:rsidR="00DD7CEC" w:rsidRPr="0037072F">
        <w:rPr>
          <w:i/>
          <w:iCs/>
        </w:rPr>
        <w:t>Status assessment: Sustainable Diversion Limit Adjustment Mechanism Program</w:t>
      </w:r>
      <w:r w:rsidR="00DD7CEC">
        <w:t xml:space="preserve">, </w:t>
      </w:r>
      <w:r w:rsidR="00CB5420">
        <w:t>report for</w:t>
      </w:r>
      <w:r w:rsidR="00CB5420" w:rsidRPr="00CB5420">
        <w:t xml:space="preserve"> Department of Agriculture, Water and the Environment</w:t>
      </w:r>
      <w:r w:rsidR="00CB5420">
        <w:t xml:space="preserve">, </w:t>
      </w:r>
      <w:r w:rsidR="00DD7CEC">
        <w:t>April</w:t>
      </w:r>
      <w:r w:rsidR="00CB5420">
        <w:t>.</w:t>
      </w:r>
    </w:p>
    <w:p w14:paraId="1F5CC4F9" w14:textId="67889B0D" w:rsidR="00114995" w:rsidRDefault="00130B19" w:rsidP="00D86F7B">
      <w:pPr>
        <w:pStyle w:val="BodyText"/>
      </w:pPr>
      <w:r>
        <w:t xml:space="preserve">Independent panel for the Murray–Darling Basin Authority </w:t>
      </w:r>
      <w:r w:rsidR="00705D52">
        <w:t xml:space="preserve">(MDBA) </w:t>
      </w:r>
      <w:r>
        <w:t>2020</w:t>
      </w:r>
      <w:r w:rsidR="00B33000">
        <w:t>,</w:t>
      </w:r>
      <w:r>
        <w:t xml:space="preserve"> </w:t>
      </w:r>
      <w:r w:rsidR="00731215" w:rsidRPr="0037072F">
        <w:rPr>
          <w:i/>
          <w:iCs/>
        </w:rPr>
        <w:t>Managing Delivery Risks in the River Murray System</w:t>
      </w:r>
      <w:r w:rsidR="00731215">
        <w:t>, Murray</w:t>
      </w:r>
      <w:r w:rsidR="00731215">
        <w:rPr>
          <w:rFonts w:ascii="Arial" w:hAnsi="Arial" w:cs="Arial"/>
        </w:rPr>
        <w:t>‒</w:t>
      </w:r>
      <w:r w:rsidR="00731215">
        <w:t>Darling Basin Authority Canberra, 2020.</w:t>
      </w:r>
    </w:p>
    <w:p w14:paraId="662C57F1" w14:textId="1A645714" w:rsidR="00B800EA" w:rsidRDefault="00F21F4E" w:rsidP="00D86F7B">
      <w:pPr>
        <w:pStyle w:val="BodyText"/>
      </w:pPr>
      <w:r>
        <w:t>Murray–Darling Basin Authority (</w:t>
      </w:r>
      <w:r w:rsidR="00B800EA">
        <w:t>MDBA</w:t>
      </w:r>
      <w:r>
        <w:t>)</w:t>
      </w:r>
      <w:r w:rsidR="00B800EA">
        <w:t xml:space="preserve"> 2020, </w:t>
      </w:r>
      <w:r w:rsidR="00D86F7B" w:rsidRPr="00A43A92">
        <w:rPr>
          <w:i/>
          <w:iCs/>
        </w:rPr>
        <w:t>The 2020 Basin Plan Evaluation: Social, economic and cultural evidence report</w:t>
      </w:r>
      <w:r w:rsidR="00D86F7B">
        <w:t>, December.</w:t>
      </w:r>
    </w:p>
    <w:p w14:paraId="33704F10" w14:textId="628367A7" w:rsidR="00857F74" w:rsidRDefault="00857F74" w:rsidP="003C0DC8">
      <w:pPr>
        <w:pStyle w:val="BodyText"/>
      </w:pPr>
      <w:r w:rsidRPr="00857F74">
        <w:t xml:space="preserve">Productivity Commission 2018, </w:t>
      </w:r>
      <w:r w:rsidRPr="00301ACA">
        <w:rPr>
          <w:i/>
          <w:iCs/>
        </w:rPr>
        <w:t>Murray-Darling Basin Plan: Five-year assessment</w:t>
      </w:r>
      <w:r w:rsidRPr="00857F74">
        <w:t>, Final Report no. 90, Canberra</w:t>
      </w:r>
      <w:r w:rsidR="00FB3C8F">
        <w:t>.</w:t>
      </w:r>
    </w:p>
    <w:p w14:paraId="1F99940C" w14:textId="2E140838" w:rsidR="00AA5164" w:rsidRDefault="00B650A6" w:rsidP="0058604C">
      <w:pPr>
        <w:pStyle w:val="BodyText"/>
      </w:pPr>
      <w:r>
        <w:lastRenderedPageBreak/>
        <w:t xml:space="preserve">Sefton, R, Peterson, D, Woods, R, Kassebaum, A, McKenzie, D, </w:t>
      </w:r>
      <w:r w:rsidRPr="00DE46B0">
        <w:t xml:space="preserve">Simpson, B &amp; Ramsay, M 2020, </w:t>
      </w:r>
      <w:r w:rsidRPr="00A43A92">
        <w:rPr>
          <w:i/>
          <w:iCs/>
        </w:rPr>
        <w:t>Final Report: Independent assessment of social and economic conditions in the Murray–Darling Basin</w:t>
      </w:r>
      <w:r w:rsidRPr="00DE46B0">
        <w:t>, Panel for Independent Assessment of Social and Economic Conditions in the Murray– Darling Basin, Melbourne.</w:t>
      </w:r>
      <w:r w:rsidDel="00B650A6">
        <w:t xml:space="preserve"> </w:t>
      </w:r>
      <w:r w:rsidR="00AA5164">
        <w:t xml:space="preserve">SunRISE 2022, </w:t>
      </w:r>
      <w:r w:rsidR="00AA5164" w:rsidRPr="00A43A92">
        <w:rPr>
          <w:i/>
          <w:iCs/>
        </w:rPr>
        <w:t>Phase 1 report: Irrigated crop area data for the Lower Murray-Darling 2003 to 2021</w:t>
      </w:r>
      <w:r w:rsidR="00AA5164">
        <w:t>, March</w:t>
      </w:r>
      <w:r w:rsidR="002A356B">
        <w:t>.</w:t>
      </w:r>
    </w:p>
    <w:p w14:paraId="1244BAC6" w14:textId="280D4194" w:rsidR="009B6378" w:rsidRDefault="009B6378" w:rsidP="0058604C">
      <w:pPr>
        <w:pStyle w:val="BodyText"/>
      </w:pPr>
      <w:r>
        <w:t>TC&amp;A and Frontier Economics</w:t>
      </w:r>
      <w:r w:rsidR="00416B70">
        <w:t xml:space="preserve"> 2017</w:t>
      </w:r>
      <w:r>
        <w:t xml:space="preserve">, </w:t>
      </w:r>
      <w:r w:rsidR="0058604C" w:rsidRPr="00A43A92">
        <w:rPr>
          <w:i/>
          <w:iCs/>
        </w:rPr>
        <w:t>Social and economic impacts of the Basin Plan in Victoria</w:t>
      </w:r>
      <w:r w:rsidR="00416B70">
        <w:t>, February.</w:t>
      </w:r>
    </w:p>
    <w:p w14:paraId="4D5500CB" w14:textId="02EE8F65" w:rsidR="005B3E53" w:rsidRDefault="007A708A" w:rsidP="007A708A">
      <w:pPr>
        <w:pStyle w:val="BodyText"/>
      </w:pPr>
      <w:r>
        <w:t xml:space="preserve">Wheeler, S. A., Carmody, E., Grafton, R. Q., Kingsford, R. T. and Zuo, A. 2020, ‘The rebound effect on water extraction from subsidising irrigation infrastructure in Australia’, </w:t>
      </w:r>
      <w:r w:rsidRPr="00301ACA">
        <w:rPr>
          <w:i/>
          <w:iCs/>
        </w:rPr>
        <w:t>Resources, Conservation, and Recycling</w:t>
      </w:r>
      <w:r>
        <w:t>, vol. 159, no. 104775.</w:t>
      </w:r>
    </w:p>
    <w:p w14:paraId="4D9F0916" w14:textId="77777777" w:rsidR="000F7826" w:rsidRDefault="00FB3C8F" w:rsidP="00D57F6F">
      <w:pPr>
        <w:pStyle w:val="BodyText"/>
      </w:pPr>
      <w:r w:rsidRPr="00461A72">
        <w:t xml:space="preserve">Whittle, L. Galeano, D. Hughes, N., Gupta, M., Legg, P., Westwood, </w:t>
      </w:r>
      <w:r w:rsidR="00EC1722" w:rsidRPr="000F7826">
        <w:t xml:space="preserve">T., Jackson, T. and Hatfield-Dodds, S. 2020, </w:t>
      </w:r>
      <w:r w:rsidR="00CF6E8A" w:rsidRPr="000F7826">
        <w:t>‘</w:t>
      </w:r>
      <w:r w:rsidR="00EC1722" w:rsidRPr="000F7826">
        <w:t>Economic effects of water recovery in the Murray–Darling Basin</w:t>
      </w:r>
      <w:r w:rsidR="00CF6E8A" w:rsidRPr="000F7826">
        <w:t>’</w:t>
      </w:r>
      <w:r w:rsidR="00EC1722" w:rsidRPr="000F7826">
        <w:t>,</w:t>
      </w:r>
      <w:r w:rsidR="00CF6E8A" w:rsidRPr="000F7826">
        <w:t xml:space="preserve"> </w:t>
      </w:r>
      <w:r w:rsidR="00CF6E8A" w:rsidRPr="000F7826">
        <w:rPr>
          <w:i/>
          <w:iCs/>
        </w:rPr>
        <w:t>ABARES Insights</w:t>
      </w:r>
      <w:r w:rsidR="00CF6E8A" w:rsidRPr="00461A72">
        <w:t>, Issue 7,</w:t>
      </w:r>
      <w:r w:rsidR="00EC1722" w:rsidRPr="000F7826">
        <w:t xml:space="preserve"> September.</w:t>
      </w:r>
    </w:p>
    <w:p w14:paraId="1205F853" w14:textId="54D36A3A" w:rsidR="00A2153D" w:rsidRDefault="00A2153D" w:rsidP="00A2153D">
      <w:pPr>
        <w:pStyle w:val="Heading1numbered"/>
        <w:numPr>
          <w:ilvl w:val="0"/>
          <w:numId w:val="0"/>
        </w:numPr>
      </w:pPr>
      <w:bookmarkStart w:id="285" w:name="_Toc113621686"/>
      <w:r>
        <w:lastRenderedPageBreak/>
        <w:t>Appendix 1: Agreed Socio-Economic Criteria for 450 GL Efficiency Measures</w:t>
      </w:r>
      <w:bookmarkEnd w:id="283"/>
      <w:bookmarkEnd w:id="284"/>
      <w:bookmarkEnd w:id="285"/>
    </w:p>
    <w:p w14:paraId="271D4C13" w14:textId="75DAFBFA" w:rsidR="00E2229D" w:rsidRPr="00E2229D" w:rsidRDefault="00E2229D" w:rsidP="00E2229D">
      <w:pPr>
        <w:pStyle w:val="BodyText"/>
      </w:pPr>
      <w:r w:rsidRPr="00E2229D">
        <w:t xml:space="preserve">At the Murray-Darling Basin Ministerial Council meeting in December 2018, Ministers agreed that </w:t>
      </w:r>
      <w:r>
        <w:t xml:space="preserve">the following </w:t>
      </w:r>
      <w:r w:rsidRPr="00E2229D">
        <w:t>socio-economic criteria and the associated assessment be adopted as the basis of the neutrality test for assessing efficiency measures projects</w:t>
      </w:r>
      <w:r>
        <w:t>.</w:t>
      </w:r>
      <w:r>
        <w:rPr>
          <w:rStyle w:val="FootnoteReference"/>
        </w:rPr>
        <w:footnoteReference w:id="43"/>
      </w:r>
    </w:p>
    <w:p w14:paraId="0A144BD1" w14:textId="77777777" w:rsidR="00A2153D" w:rsidRDefault="00A2153D" w:rsidP="00C76310">
      <w:pPr>
        <w:pStyle w:val="BodyText"/>
        <w:numPr>
          <w:ilvl w:val="0"/>
          <w:numId w:val="17"/>
        </w:numPr>
        <w:ind w:left="426" w:hanging="426"/>
        <w:rPr>
          <w:b/>
          <w:bCs/>
        </w:rPr>
      </w:pPr>
      <w:r>
        <w:rPr>
          <w:b/>
          <w:bCs/>
        </w:rPr>
        <w:t>Projects must be made public</w:t>
      </w:r>
    </w:p>
    <w:p w14:paraId="47AD453A" w14:textId="77777777" w:rsidR="00A2153D" w:rsidRDefault="00A2153D" w:rsidP="00C76310">
      <w:pPr>
        <w:pStyle w:val="BodyText"/>
        <w:numPr>
          <w:ilvl w:val="1"/>
          <w:numId w:val="17"/>
        </w:numPr>
        <w:ind w:left="426" w:hanging="284"/>
      </w:pPr>
      <w:r>
        <w:t>A regional map must indicate where investments are being made to depict how these interrelate to improving the efficiency of the district. This includes showing the broad location of the project, the amount of water to be recovered for the environment, the type of project and relevant socio-economic information.</w:t>
      </w:r>
    </w:p>
    <w:p w14:paraId="5D4593AA" w14:textId="77777777" w:rsidR="00A2153D" w:rsidRDefault="00A2153D" w:rsidP="00C76310">
      <w:pPr>
        <w:pStyle w:val="BodyText"/>
        <w:numPr>
          <w:ilvl w:val="1"/>
          <w:numId w:val="17"/>
        </w:numPr>
        <w:ind w:left="426" w:hanging="284"/>
      </w:pPr>
      <w:r>
        <w:t>Where possible, reports or outcomes of past projects should be made available.</w:t>
      </w:r>
    </w:p>
    <w:p w14:paraId="513ED98B" w14:textId="77777777" w:rsidR="00A2153D" w:rsidRDefault="00A2153D" w:rsidP="00C76310">
      <w:pPr>
        <w:pStyle w:val="BodyText"/>
        <w:numPr>
          <w:ilvl w:val="1"/>
          <w:numId w:val="17"/>
        </w:numPr>
        <w:ind w:left="426" w:hanging="284"/>
      </w:pPr>
      <w:r>
        <w:t>Technical reports on completed projects must be made available to inform the development of any future projects.</w:t>
      </w:r>
    </w:p>
    <w:p w14:paraId="732C7BD7" w14:textId="77777777" w:rsidR="00A2153D" w:rsidRDefault="00A2153D" w:rsidP="00C76310">
      <w:pPr>
        <w:pStyle w:val="BodyText"/>
        <w:numPr>
          <w:ilvl w:val="1"/>
          <w:numId w:val="17"/>
        </w:numPr>
        <w:ind w:left="426" w:hanging="284"/>
      </w:pPr>
      <w:r>
        <w:t>Following in-principle government approval, non-sensitive information about project applications must be advertised to allow relevant stakeholders to make submissions to the proposal.</w:t>
      </w:r>
    </w:p>
    <w:p w14:paraId="0C97D8DA" w14:textId="77777777" w:rsidR="00A2153D" w:rsidRDefault="00A2153D" w:rsidP="00C76310">
      <w:pPr>
        <w:pStyle w:val="BodyText"/>
        <w:numPr>
          <w:ilvl w:val="0"/>
          <w:numId w:val="17"/>
        </w:numPr>
        <w:ind w:left="426" w:hanging="426"/>
        <w:rPr>
          <w:b/>
          <w:bCs/>
        </w:rPr>
      </w:pPr>
      <w:r>
        <w:rPr>
          <w:b/>
          <w:bCs/>
        </w:rPr>
        <w:t>Projects do not negatively impact on social and environmental outcomes.</w:t>
      </w:r>
    </w:p>
    <w:p w14:paraId="3866CC7B" w14:textId="77777777" w:rsidR="00A2153D" w:rsidRDefault="00A2153D" w:rsidP="00C76310">
      <w:pPr>
        <w:pStyle w:val="BodyText"/>
        <w:numPr>
          <w:ilvl w:val="1"/>
          <w:numId w:val="17"/>
        </w:numPr>
        <w:ind w:left="426" w:hanging="284"/>
      </w:pPr>
      <w:r>
        <w:t>All projects are required to describe the expected socio-economic and environmental benefits of their proposed project, with delivery partners required to coordinate and communicate with local communities and community bodies on the program and describe the expected socio-economic and environmental impacts of each program on the local community, region or state.</w:t>
      </w:r>
    </w:p>
    <w:p w14:paraId="5ABF67BE" w14:textId="77777777" w:rsidR="00A2153D" w:rsidRDefault="00A2153D" w:rsidP="00C76310">
      <w:pPr>
        <w:pStyle w:val="BodyText"/>
        <w:numPr>
          <w:ilvl w:val="1"/>
          <w:numId w:val="17"/>
        </w:numPr>
        <w:ind w:left="426" w:hanging="284"/>
      </w:pPr>
      <w:r>
        <w:t xml:space="preserve">Social values may include the amenity to local communities of weirs, storages and parks that may be affected by efficiency projects. </w:t>
      </w:r>
    </w:p>
    <w:p w14:paraId="7BFBD4CA" w14:textId="77777777" w:rsidR="00A2153D" w:rsidRDefault="00A2153D" w:rsidP="00C76310">
      <w:pPr>
        <w:pStyle w:val="BodyText"/>
        <w:numPr>
          <w:ilvl w:val="1"/>
          <w:numId w:val="17"/>
        </w:numPr>
        <w:ind w:left="426" w:hanging="284"/>
      </w:pPr>
      <w:r>
        <w:t>Large projects must describe the expected socio-economic outcomes of their proposal. In doing so, they must address the following:</w:t>
      </w:r>
    </w:p>
    <w:p w14:paraId="071F3163" w14:textId="77777777" w:rsidR="00A2153D" w:rsidRDefault="00A2153D" w:rsidP="00CB7C97">
      <w:pPr>
        <w:pStyle w:val="BodyText"/>
        <w:numPr>
          <w:ilvl w:val="2"/>
          <w:numId w:val="17"/>
        </w:numPr>
        <w:ind w:left="709"/>
      </w:pPr>
      <w:r>
        <w:t>the anticipated socio-economic impacts to the local community, region or state;</w:t>
      </w:r>
    </w:p>
    <w:p w14:paraId="52B65AEF" w14:textId="77777777" w:rsidR="00A2153D" w:rsidRDefault="00A2153D" w:rsidP="00CB7C97">
      <w:pPr>
        <w:pStyle w:val="BodyText"/>
        <w:numPr>
          <w:ilvl w:val="2"/>
          <w:numId w:val="17"/>
        </w:numPr>
        <w:ind w:left="709"/>
      </w:pPr>
      <w:r>
        <w:t>their project’s strategy for increasing the socio-economic benefit to participants and their communities (e.g. local sourcing of goods, services and labour); and</w:t>
      </w:r>
    </w:p>
    <w:p w14:paraId="38CB76F7" w14:textId="77777777" w:rsidR="00A2153D" w:rsidRDefault="00A2153D" w:rsidP="00CB7C97">
      <w:pPr>
        <w:pStyle w:val="BodyText"/>
        <w:numPr>
          <w:ilvl w:val="2"/>
          <w:numId w:val="17"/>
        </w:numPr>
        <w:ind w:left="709"/>
      </w:pPr>
      <w:r>
        <w:t>if and how the project will contribute to regional investment and development in the geographic area.</w:t>
      </w:r>
    </w:p>
    <w:p w14:paraId="709FAA09" w14:textId="77777777" w:rsidR="00A2153D" w:rsidRDefault="00A2153D" w:rsidP="00C76310">
      <w:pPr>
        <w:pStyle w:val="BodyText"/>
        <w:numPr>
          <w:ilvl w:val="1"/>
          <w:numId w:val="17"/>
        </w:numPr>
        <w:ind w:left="426" w:hanging="284"/>
      </w:pPr>
      <w:r>
        <w:t xml:space="preserve">Both project and delivery partners are required to comply with all relevant laws including work health and safety laws. Each project must show an understanding of all relevant </w:t>
      </w:r>
      <w:r>
        <w:lastRenderedPageBreak/>
        <w:t>legislation or regulation (including environmental laws and regulations) that will require approval prior to works commencing.</w:t>
      </w:r>
    </w:p>
    <w:p w14:paraId="384AFFF9" w14:textId="77777777" w:rsidR="00A2153D" w:rsidRDefault="00A2153D" w:rsidP="00C76310">
      <w:pPr>
        <w:pStyle w:val="BodyText"/>
        <w:numPr>
          <w:ilvl w:val="1"/>
          <w:numId w:val="17"/>
        </w:numPr>
        <w:ind w:left="426" w:hanging="284"/>
      </w:pPr>
      <w:r>
        <w:t>Australian Government to fund facilitators to work with communities to develop proposals that have community support and positive social and economic outcomes.</w:t>
      </w:r>
    </w:p>
    <w:p w14:paraId="304AD218" w14:textId="77777777" w:rsidR="00A2153D" w:rsidRDefault="00A2153D" w:rsidP="00C76310">
      <w:pPr>
        <w:pStyle w:val="BodyText"/>
        <w:numPr>
          <w:ilvl w:val="0"/>
          <w:numId w:val="17"/>
        </w:numPr>
        <w:ind w:left="426" w:hanging="426"/>
        <w:rPr>
          <w:b/>
          <w:bCs/>
        </w:rPr>
      </w:pPr>
      <w:r>
        <w:rPr>
          <w:b/>
          <w:bCs/>
        </w:rPr>
        <w:t>The project assessment for funding must be clear, timely, simple and transparent, and not unduly increase red tape.</w:t>
      </w:r>
    </w:p>
    <w:p w14:paraId="416AA601" w14:textId="77777777" w:rsidR="00A2153D" w:rsidRDefault="00A2153D" w:rsidP="00C76310">
      <w:pPr>
        <w:pStyle w:val="BodyText"/>
        <w:numPr>
          <w:ilvl w:val="0"/>
          <w:numId w:val="17"/>
        </w:numPr>
        <w:ind w:left="426" w:hanging="426"/>
        <w:rPr>
          <w:b/>
          <w:bCs/>
        </w:rPr>
      </w:pPr>
      <w:r>
        <w:rPr>
          <w:b/>
          <w:bCs/>
        </w:rPr>
        <w:t>Projects need to demonstrate how they contribute to the current and future viability of proponent businesses and irrigation districts</w:t>
      </w:r>
    </w:p>
    <w:p w14:paraId="336F528D" w14:textId="77777777" w:rsidR="00A2153D" w:rsidRDefault="00A2153D" w:rsidP="00C76310">
      <w:pPr>
        <w:pStyle w:val="BodyText"/>
        <w:numPr>
          <w:ilvl w:val="1"/>
          <w:numId w:val="17"/>
        </w:numPr>
        <w:ind w:left="426" w:hanging="284"/>
      </w:pPr>
      <w:r>
        <w:t>Proponent consider how the project would contribute to the current and future financial viability of the irrigation district/region where it will occur, including identification of potential irrigation network improvements.</w:t>
      </w:r>
    </w:p>
    <w:p w14:paraId="50BEAB10" w14:textId="77777777" w:rsidR="00A2153D" w:rsidRDefault="00A2153D" w:rsidP="00C76310">
      <w:pPr>
        <w:pStyle w:val="BodyText"/>
        <w:numPr>
          <w:ilvl w:val="1"/>
          <w:numId w:val="17"/>
        </w:numPr>
        <w:ind w:left="426" w:hanging="284"/>
      </w:pPr>
      <w:r>
        <w:t>Projects should avoid upgrading water supply infrastructure where the system, or parts of the system, are not going to be used in the future.</w:t>
      </w:r>
    </w:p>
    <w:p w14:paraId="3DB5555C" w14:textId="77777777" w:rsidR="00A2153D" w:rsidRDefault="00A2153D" w:rsidP="00C76310">
      <w:pPr>
        <w:pStyle w:val="BodyText"/>
        <w:numPr>
          <w:ilvl w:val="1"/>
          <w:numId w:val="17"/>
        </w:numPr>
        <w:ind w:left="426" w:hanging="284"/>
      </w:pPr>
      <w:r>
        <w:t>Project proposals in an irrigation district should take account of relevant irrigation business’ strategies or plans.</w:t>
      </w:r>
    </w:p>
    <w:p w14:paraId="70988E60" w14:textId="77777777" w:rsidR="00A2153D" w:rsidRDefault="00A2153D" w:rsidP="00C76310">
      <w:pPr>
        <w:pStyle w:val="BodyText"/>
        <w:numPr>
          <w:ilvl w:val="0"/>
          <w:numId w:val="17"/>
        </w:numPr>
        <w:ind w:left="426" w:hanging="426"/>
        <w:rPr>
          <w:b/>
          <w:bCs/>
        </w:rPr>
      </w:pPr>
      <w:r>
        <w:rPr>
          <w:b/>
          <w:bCs/>
        </w:rPr>
        <w:t>Programs or projects support regional economies.</w:t>
      </w:r>
    </w:p>
    <w:p w14:paraId="279ADE8E" w14:textId="77777777" w:rsidR="00A2153D" w:rsidRDefault="00A2153D" w:rsidP="00C76310">
      <w:pPr>
        <w:pStyle w:val="BodyText"/>
        <w:numPr>
          <w:ilvl w:val="1"/>
          <w:numId w:val="17"/>
        </w:numPr>
        <w:ind w:left="426" w:hanging="284"/>
      </w:pPr>
      <w:r>
        <w:t>Programs or projects should identify opportunities to support local industry and regional development.</w:t>
      </w:r>
    </w:p>
    <w:p w14:paraId="7B58B3CA" w14:textId="77777777" w:rsidR="00A2153D" w:rsidRDefault="00A2153D" w:rsidP="00C76310">
      <w:pPr>
        <w:pStyle w:val="BodyText"/>
        <w:numPr>
          <w:ilvl w:val="1"/>
          <w:numId w:val="17"/>
        </w:numPr>
        <w:ind w:left="426" w:hanging="284"/>
      </w:pPr>
      <w:r>
        <w:t>Programs or projects should focus on increasing water use efficiency in ways that address industry, network/system and local/regional priorities, future needs and risks and may include research and extension services.</w:t>
      </w:r>
    </w:p>
    <w:p w14:paraId="14F65428" w14:textId="77777777" w:rsidR="00A2153D" w:rsidRDefault="00A2153D" w:rsidP="00C76310">
      <w:pPr>
        <w:pStyle w:val="BodyText"/>
        <w:numPr>
          <w:ilvl w:val="1"/>
          <w:numId w:val="17"/>
        </w:numPr>
        <w:ind w:left="426" w:hanging="284"/>
      </w:pPr>
      <w:r>
        <w:t>Programs or projects in an irrigation district don’t reduce the overall productive capacity of the relevant region</w:t>
      </w:r>
    </w:p>
    <w:p w14:paraId="49073B1A" w14:textId="77777777" w:rsidR="00A2153D" w:rsidRDefault="00A2153D" w:rsidP="00C76310">
      <w:pPr>
        <w:pStyle w:val="BodyText"/>
        <w:numPr>
          <w:ilvl w:val="1"/>
          <w:numId w:val="17"/>
        </w:numPr>
        <w:ind w:left="426" w:hanging="284"/>
      </w:pPr>
      <w:r>
        <w:t>Programs or projects should not impact negatively on regional jobs.</w:t>
      </w:r>
    </w:p>
    <w:p w14:paraId="3573339B" w14:textId="77777777" w:rsidR="00A2153D" w:rsidRDefault="00A2153D" w:rsidP="00C76310">
      <w:pPr>
        <w:pStyle w:val="BodyText"/>
        <w:numPr>
          <w:ilvl w:val="0"/>
          <w:numId w:val="17"/>
        </w:numPr>
        <w:ind w:left="426" w:hanging="426"/>
        <w:rPr>
          <w:b/>
          <w:bCs/>
        </w:rPr>
      </w:pPr>
      <w:r>
        <w:rPr>
          <w:b/>
          <w:bCs/>
        </w:rPr>
        <w:t>Programs or projects do not have negative third party impacts on the irrigation system, water market or regional communities</w:t>
      </w:r>
    </w:p>
    <w:p w14:paraId="1F8F8F03" w14:textId="77777777" w:rsidR="00A2153D" w:rsidRDefault="00A2153D" w:rsidP="00C76310">
      <w:pPr>
        <w:pStyle w:val="BodyText"/>
        <w:numPr>
          <w:ilvl w:val="1"/>
          <w:numId w:val="17"/>
        </w:numPr>
        <w:ind w:left="426" w:hanging="284"/>
      </w:pPr>
      <w:r>
        <w:t>Where a proposed project is located within an irrigation network, the proponent must provide evidence that the relevant network operator or water corporation is involved in or aware of the project.</w:t>
      </w:r>
    </w:p>
    <w:p w14:paraId="616E276D" w14:textId="77777777" w:rsidR="00A2153D" w:rsidRDefault="00A2153D" w:rsidP="00C76310">
      <w:pPr>
        <w:pStyle w:val="BodyText"/>
        <w:numPr>
          <w:ilvl w:val="1"/>
          <w:numId w:val="17"/>
        </w:numPr>
        <w:ind w:left="426" w:hanging="284"/>
      </w:pPr>
      <w:r>
        <w:t>The relevant government or proponent must consult industry bodies, irrigation network operators/, local governments or regional development organisations, on a strategic regional approach which will focus on ensuring there is a mix of water efficiency projects in a region in ways that address industry, network/system and local/regional priorities, future needs and risks and may include research and extension services.</w:t>
      </w:r>
    </w:p>
    <w:p w14:paraId="59EB696C" w14:textId="77777777" w:rsidR="00A2153D" w:rsidRDefault="00A2153D" w:rsidP="00C76310">
      <w:pPr>
        <w:pStyle w:val="BodyText"/>
        <w:numPr>
          <w:ilvl w:val="1"/>
          <w:numId w:val="17"/>
        </w:numPr>
        <w:ind w:left="426" w:hanging="284"/>
      </w:pPr>
      <w:r>
        <w:t>The socio-economic assessment of programs or projects must consider impacts not just on participants, but for broader regions.</w:t>
      </w:r>
    </w:p>
    <w:p w14:paraId="3738327F" w14:textId="77777777" w:rsidR="00A2153D" w:rsidRDefault="00A2153D" w:rsidP="00C76310">
      <w:pPr>
        <w:pStyle w:val="BodyText"/>
        <w:numPr>
          <w:ilvl w:val="0"/>
          <w:numId w:val="17"/>
        </w:numPr>
        <w:ind w:left="426" w:hanging="426"/>
        <w:rPr>
          <w:b/>
          <w:bCs/>
        </w:rPr>
      </w:pPr>
      <w:r>
        <w:rPr>
          <w:b/>
          <w:bCs/>
        </w:rPr>
        <w:t>Projects need to be assessed for their potential to impact on the price of water.</w:t>
      </w:r>
    </w:p>
    <w:p w14:paraId="01F5F8F3" w14:textId="77777777" w:rsidR="00A2153D" w:rsidRDefault="00A2153D" w:rsidP="00C76310">
      <w:pPr>
        <w:pStyle w:val="BodyText"/>
        <w:numPr>
          <w:ilvl w:val="1"/>
          <w:numId w:val="17"/>
        </w:numPr>
        <w:ind w:left="426" w:hanging="284"/>
      </w:pPr>
      <w:r>
        <w:t xml:space="preserve">Proponents can only transfer water rights that they own at the time of their application. They cannot receive funding to acquire water rights. A project cannot transfer more water than the project will save, and the proposed quantity must be independently verified as being a </w:t>
      </w:r>
      <w:r>
        <w:lastRenderedPageBreak/>
        <w:t>conservative estimate of the resulting water savings. A proponent may keep any water savings beyond the amount transferred.</w:t>
      </w:r>
    </w:p>
    <w:p w14:paraId="545C2857" w14:textId="77777777" w:rsidR="00A2153D" w:rsidRDefault="00A2153D" w:rsidP="00C76310">
      <w:pPr>
        <w:pStyle w:val="BodyText"/>
        <w:numPr>
          <w:ilvl w:val="1"/>
          <w:numId w:val="17"/>
        </w:numPr>
        <w:ind w:left="426" w:hanging="284"/>
      </w:pPr>
      <w:r>
        <w:t>Proponents applying for project funding would be required to provide evidence that the water entitlements have been held for a minimum of 3 years at the time of application.</w:t>
      </w:r>
    </w:p>
    <w:p w14:paraId="6E8475EF" w14:textId="77777777" w:rsidR="00A2153D" w:rsidRDefault="00A2153D" w:rsidP="00C76310">
      <w:pPr>
        <w:pStyle w:val="BodyText"/>
        <w:numPr>
          <w:ilvl w:val="1"/>
          <w:numId w:val="17"/>
        </w:numPr>
        <w:ind w:left="426" w:hanging="284"/>
      </w:pPr>
      <w:r>
        <w:t>Project proponents must ensure there is no direct impact on the reliability of water from cumulative implementation of projects.</w:t>
      </w:r>
    </w:p>
    <w:p w14:paraId="6AAD4AFB" w14:textId="77777777" w:rsidR="00A2153D" w:rsidRDefault="00A2153D" w:rsidP="00C76310">
      <w:pPr>
        <w:pStyle w:val="BodyText"/>
        <w:numPr>
          <w:ilvl w:val="1"/>
          <w:numId w:val="17"/>
        </w:numPr>
        <w:ind w:left="426" w:hanging="284"/>
      </w:pPr>
      <w:r>
        <w:t>Projects must not directly increase the price of water.</w:t>
      </w:r>
    </w:p>
    <w:p w14:paraId="15227473" w14:textId="77777777" w:rsidR="00A2153D" w:rsidRDefault="00A2153D" w:rsidP="00C76310">
      <w:pPr>
        <w:pStyle w:val="BodyText"/>
        <w:numPr>
          <w:ilvl w:val="0"/>
          <w:numId w:val="17"/>
        </w:numPr>
        <w:ind w:left="426" w:hanging="426"/>
        <w:rPr>
          <w:b/>
          <w:bCs/>
        </w:rPr>
      </w:pPr>
      <w:r>
        <w:rPr>
          <w:b/>
          <w:bCs/>
        </w:rPr>
        <w:t>Any cultural impacts identified, protected or improved</w:t>
      </w:r>
    </w:p>
    <w:p w14:paraId="65DA1D84" w14:textId="77777777" w:rsidR="00A2153D" w:rsidRDefault="00A2153D" w:rsidP="00C76310">
      <w:pPr>
        <w:pStyle w:val="BodyText"/>
        <w:numPr>
          <w:ilvl w:val="1"/>
          <w:numId w:val="17"/>
        </w:numPr>
        <w:ind w:left="426" w:hanging="284"/>
      </w:pPr>
      <w:r>
        <w:t>Projects are required to describe the expected cultural benefits of their proposed project, with delivery partners required to coordinate and communicate with local communities and community bodies on projects and describe the expected cultural benefits of each project on the local community, region or state.</w:t>
      </w:r>
    </w:p>
    <w:p w14:paraId="7BAB4490" w14:textId="77777777" w:rsidR="00A2153D" w:rsidRDefault="00A2153D" w:rsidP="00C76310">
      <w:pPr>
        <w:pStyle w:val="BodyText"/>
        <w:numPr>
          <w:ilvl w:val="1"/>
          <w:numId w:val="17"/>
        </w:numPr>
        <w:ind w:left="426" w:hanging="284"/>
      </w:pPr>
      <w:r>
        <w:t>Projects must describe the expected cultural benefits of their proposal. In doing so, they must address the following:</w:t>
      </w:r>
    </w:p>
    <w:p w14:paraId="747252ED" w14:textId="77777777" w:rsidR="00A2153D" w:rsidRDefault="00A2153D" w:rsidP="00597401">
      <w:pPr>
        <w:pStyle w:val="BodyText"/>
        <w:numPr>
          <w:ilvl w:val="2"/>
          <w:numId w:val="17"/>
        </w:numPr>
        <w:ind w:left="709"/>
      </w:pPr>
      <w:r>
        <w:t>the anticipated cultural benefits to the local community, region or state;</w:t>
      </w:r>
    </w:p>
    <w:p w14:paraId="60E44FCC" w14:textId="77777777" w:rsidR="00A2153D" w:rsidRDefault="00A2153D" w:rsidP="00597401">
      <w:pPr>
        <w:pStyle w:val="BodyText"/>
        <w:numPr>
          <w:ilvl w:val="2"/>
          <w:numId w:val="17"/>
        </w:numPr>
        <w:ind w:left="709"/>
      </w:pPr>
      <w:r>
        <w:t>their project’s strategy for increasing the cultural benefit to participants and their communities (e.g. local sourcing of goods, services and labour)</w:t>
      </w:r>
    </w:p>
    <w:p w14:paraId="31D62F22" w14:textId="77777777" w:rsidR="00A2153D" w:rsidRDefault="00A2153D" w:rsidP="00C76310">
      <w:pPr>
        <w:pStyle w:val="BodyText"/>
        <w:numPr>
          <w:ilvl w:val="1"/>
          <w:numId w:val="17"/>
        </w:numPr>
        <w:ind w:left="426" w:hanging="284"/>
      </w:pPr>
      <w:r>
        <w:t>Projects over $3 million must identify cultural heritage sites and manage any impacts in accordance with relevant Commonwealth and State laws.</w:t>
      </w:r>
    </w:p>
    <w:p w14:paraId="00DB0605" w14:textId="77777777" w:rsidR="00A2153D" w:rsidRDefault="00A2153D" w:rsidP="00C76310">
      <w:pPr>
        <w:pStyle w:val="BodyText"/>
        <w:numPr>
          <w:ilvl w:val="0"/>
          <w:numId w:val="17"/>
        </w:numPr>
        <w:ind w:left="426" w:hanging="426"/>
        <w:rPr>
          <w:b/>
          <w:bCs/>
        </w:rPr>
      </w:pPr>
      <w:r>
        <w:rPr>
          <w:b/>
          <w:bCs/>
        </w:rPr>
        <w:t>Program design should include close engagement with community and industry leaders.</w:t>
      </w:r>
      <w:r>
        <w:rPr>
          <w:rStyle w:val="FootnoteReference"/>
          <w:b/>
          <w:bCs/>
        </w:rPr>
        <w:footnoteReference w:id="44"/>
      </w:r>
    </w:p>
    <w:p w14:paraId="6D82990C" w14:textId="77777777" w:rsidR="00A2153D" w:rsidRDefault="00A2153D" w:rsidP="00C76310">
      <w:pPr>
        <w:pStyle w:val="BodyText"/>
        <w:numPr>
          <w:ilvl w:val="1"/>
          <w:numId w:val="17"/>
        </w:numPr>
        <w:ind w:left="426" w:hanging="284"/>
      </w:pPr>
      <w:r>
        <w:t>The relevant government or proponent must consult with industry bodies, IIOs, local governments or regional development organisations, or investment corporations on relevant strategic regional projects, and consider community support.</w:t>
      </w:r>
    </w:p>
    <w:p w14:paraId="46365A25" w14:textId="77777777" w:rsidR="00A2153D" w:rsidRDefault="00A2153D" w:rsidP="00C76310">
      <w:pPr>
        <w:pStyle w:val="BodyText"/>
        <w:numPr>
          <w:ilvl w:val="1"/>
          <w:numId w:val="17"/>
        </w:numPr>
        <w:ind w:left="426" w:hanging="284"/>
      </w:pPr>
      <w:r>
        <w:t>This consultation should focus on increasing water use efficiency in ways that address industry, network/system and local/regional priorities, future needs and risks and may include research and extension services.</w:t>
      </w:r>
    </w:p>
    <w:p w14:paraId="2E2D1B54" w14:textId="77777777" w:rsidR="00A2153D" w:rsidRDefault="00A2153D" w:rsidP="00C76310">
      <w:pPr>
        <w:pStyle w:val="BodyText"/>
        <w:numPr>
          <w:ilvl w:val="0"/>
          <w:numId w:val="17"/>
        </w:numPr>
        <w:ind w:left="426" w:hanging="426"/>
        <w:rPr>
          <w:b/>
          <w:bCs/>
        </w:rPr>
      </w:pPr>
      <w:r>
        <w:rPr>
          <w:b/>
          <w:bCs/>
        </w:rPr>
        <w:t>Where practical, seek to develop and implement integrated implementation of efficiency measures to maximise benefits to the irrigation network and local enterprises</w:t>
      </w:r>
    </w:p>
    <w:p w14:paraId="137E2FD9" w14:textId="77777777" w:rsidR="00A2153D" w:rsidRDefault="00A2153D" w:rsidP="00C76310">
      <w:pPr>
        <w:pStyle w:val="BodyText"/>
        <w:numPr>
          <w:ilvl w:val="1"/>
          <w:numId w:val="17"/>
        </w:numPr>
        <w:ind w:left="426" w:hanging="284"/>
      </w:pPr>
      <w:r>
        <w:t>Programs or projects must focus on increasing water use efficiency in ways that address industry, network/system and local/regional priorities, future needs and risks and may include research and extension services. This would include integrated proposals.</w:t>
      </w:r>
    </w:p>
    <w:p w14:paraId="6AFE5280" w14:textId="77777777" w:rsidR="00A2153D" w:rsidRDefault="00A2153D" w:rsidP="00C76310">
      <w:pPr>
        <w:pStyle w:val="BodyText"/>
        <w:numPr>
          <w:ilvl w:val="0"/>
          <w:numId w:val="17"/>
        </w:numPr>
        <w:ind w:left="426" w:hanging="426"/>
        <w:rPr>
          <w:b/>
          <w:bCs/>
        </w:rPr>
      </w:pPr>
      <w:r>
        <w:rPr>
          <w:b/>
          <w:bCs/>
        </w:rPr>
        <w:t>Monitoring and evaluation, including of socio-economic outcomes, should be built into programs and used to regularly review and adapt programs as required.</w:t>
      </w:r>
    </w:p>
    <w:p w14:paraId="39AFDAF5" w14:textId="77777777" w:rsidR="00A2153D" w:rsidRDefault="00A2153D" w:rsidP="00C76310">
      <w:pPr>
        <w:pStyle w:val="BodyText"/>
        <w:numPr>
          <w:ilvl w:val="1"/>
          <w:numId w:val="17"/>
        </w:numPr>
        <w:ind w:left="426" w:hanging="284"/>
      </w:pPr>
      <w:r>
        <w:t>The Commonwealth will develop a monitoring and evaluation framework to assess the progress of projects in real time, post-approval.</w:t>
      </w:r>
    </w:p>
    <w:p w14:paraId="2A6FB68E" w14:textId="77777777" w:rsidR="00A2153D" w:rsidRDefault="00A2153D" w:rsidP="00C76310">
      <w:pPr>
        <w:pStyle w:val="BodyText"/>
        <w:numPr>
          <w:ilvl w:val="0"/>
          <w:numId w:val="17"/>
        </w:numPr>
        <w:ind w:left="426" w:hanging="426"/>
        <w:rPr>
          <w:b/>
          <w:bCs/>
        </w:rPr>
      </w:pPr>
      <w:r>
        <w:rPr>
          <w:b/>
          <w:bCs/>
        </w:rPr>
        <w:lastRenderedPageBreak/>
        <w:t>Projects must deliver real water savings and not result in profiteering or rorting.</w:t>
      </w:r>
    </w:p>
    <w:p w14:paraId="1ABB3F5A" w14:textId="77777777" w:rsidR="00A2153D" w:rsidRDefault="00A2153D" w:rsidP="00C76310">
      <w:pPr>
        <w:pStyle w:val="BodyText"/>
        <w:numPr>
          <w:ilvl w:val="1"/>
          <w:numId w:val="17"/>
        </w:numPr>
        <w:ind w:left="426" w:hanging="284"/>
      </w:pPr>
      <w:r>
        <w:t>Projects must not allow participants to individually profit without creating water savings.</w:t>
      </w:r>
    </w:p>
    <w:p w14:paraId="1C7A2A67" w14:textId="77777777" w:rsidR="00A2153D" w:rsidRDefault="00A2153D" w:rsidP="00C76310">
      <w:pPr>
        <w:pStyle w:val="BodyText"/>
        <w:numPr>
          <w:ilvl w:val="0"/>
          <w:numId w:val="17"/>
        </w:numPr>
        <w:ind w:left="426" w:hanging="426"/>
        <w:rPr>
          <w:b/>
          <w:bCs/>
        </w:rPr>
      </w:pPr>
      <w:r>
        <w:rPr>
          <w:b/>
          <w:bCs/>
        </w:rPr>
        <w:t>Projects should identify improved capacity to respond to changes in business environment including drought and climate resilience</w:t>
      </w:r>
    </w:p>
    <w:p w14:paraId="15B96891" w14:textId="77777777" w:rsidR="00A2153D" w:rsidRDefault="00A2153D" w:rsidP="00C76310">
      <w:pPr>
        <w:pStyle w:val="BodyText"/>
        <w:numPr>
          <w:ilvl w:val="1"/>
          <w:numId w:val="17"/>
        </w:numPr>
        <w:ind w:left="426" w:hanging="284"/>
      </w:pPr>
      <w:r>
        <w:t>Provide information on how the project will improve resilience to climate variability.</w:t>
      </w:r>
    </w:p>
    <w:p w14:paraId="4BD87C19" w14:textId="36A08780" w:rsidR="00A2153D" w:rsidRDefault="00A2153D" w:rsidP="00C02423">
      <w:pPr>
        <w:pStyle w:val="BodyText"/>
      </w:pPr>
    </w:p>
    <w:p w14:paraId="6A3A1BDF" w14:textId="5D3418ED" w:rsidR="00737269" w:rsidRDefault="00737269" w:rsidP="00737269">
      <w:pPr>
        <w:pStyle w:val="Heading1numbered"/>
        <w:numPr>
          <w:ilvl w:val="0"/>
          <w:numId w:val="0"/>
        </w:numPr>
      </w:pPr>
      <w:bookmarkStart w:id="286" w:name="_Toc113621687"/>
      <w:r>
        <w:lastRenderedPageBreak/>
        <w:t xml:space="preserve">Appendix 2: Socio-economic </w:t>
      </w:r>
      <w:r w:rsidR="00B33986">
        <w:t xml:space="preserve">and water recovery </w:t>
      </w:r>
      <w:r>
        <w:t>assessments</w:t>
      </w:r>
      <w:bookmarkEnd w:id="286"/>
      <w:r>
        <w:t xml:space="preserve"> </w:t>
      </w:r>
    </w:p>
    <w:p w14:paraId="4FACBD03" w14:textId="42733E4B" w:rsidR="00737269" w:rsidRDefault="00737269" w:rsidP="00737269">
      <w:pPr>
        <w:pStyle w:val="BodyText"/>
      </w:pPr>
      <w:r>
        <w:t>Since the time of the last report there have been several investigations into social and economic impacts of the Basin Plan, including:</w:t>
      </w:r>
    </w:p>
    <w:p w14:paraId="30DBEAD7" w14:textId="50C8ABFA" w:rsidR="00737269" w:rsidRDefault="00737269" w:rsidP="002255FF">
      <w:pPr>
        <w:pStyle w:val="ListParagraph"/>
      </w:pPr>
      <w:r>
        <w:t>Sefton Report</w:t>
      </w:r>
    </w:p>
    <w:p w14:paraId="7FCD1045" w14:textId="77777777" w:rsidR="00737269" w:rsidRDefault="00737269" w:rsidP="002255FF">
      <w:pPr>
        <w:pStyle w:val="ListParagraph"/>
      </w:pPr>
      <w:r>
        <w:t>Basin Plan evaluation 2020</w:t>
      </w:r>
    </w:p>
    <w:p w14:paraId="78F622EB" w14:textId="005A7BDD" w:rsidR="00737269" w:rsidRDefault="00737269" w:rsidP="002255FF">
      <w:pPr>
        <w:pStyle w:val="ListParagraph"/>
      </w:pPr>
      <w:r>
        <w:t xml:space="preserve">ABARES </w:t>
      </w:r>
      <w:r w:rsidR="005906F8">
        <w:t xml:space="preserve">(Whittle et al </w:t>
      </w:r>
      <w:r>
        <w:t>2020</w:t>
      </w:r>
      <w:r w:rsidR="005906F8">
        <w:t>)</w:t>
      </w:r>
      <w:r>
        <w:t>: Economic effects of water recovery in the Murray–Darling Basin</w:t>
      </w:r>
    </w:p>
    <w:p w14:paraId="15A69B51" w14:textId="77777777" w:rsidR="00737269" w:rsidRDefault="00737269" w:rsidP="002255FF">
      <w:pPr>
        <w:pStyle w:val="ListParagraph"/>
      </w:pPr>
      <w:r>
        <w:t>University of Canberra: Insights from the Regional Wellbeing Surveys (2013-2018)</w:t>
      </w:r>
    </w:p>
    <w:p w14:paraId="71B9D57A" w14:textId="77777777" w:rsidR="00F7290E" w:rsidRDefault="00F7290E" w:rsidP="002255FF">
      <w:pPr>
        <w:pStyle w:val="ListParagraph"/>
      </w:pPr>
      <w:r w:rsidRPr="00F7290E">
        <w:t>The rebound effect on water extraction from subsidising irrigation infrastructure in Australia (Wheeler 2020)</w:t>
      </w:r>
    </w:p>
    <w:p w14:paraId="4A8805F3" w14:textId="43E8A3B5" w:rsidR="00737269" w:rsidRDefault="00F7290E" w:rsidP="002255FF">
      <w:pPr>
        <w:pStyle w:val="ListParagraph"/>
      </w:pPr>
      <w:r w:rsidRPr="00F7290E">
        <w:t>Farm Level Effects of On-Farm Irrigation Infrastructure Programs in the Southern Murray-Darling Basin (Hughes 2020)</w:t>
      </w:r>
    </w:p>
    <w:p w14:paraId="788E38B4" w14:textId="086663DB" w:rsidR="00F7290E" w:rsidRDefault="00F7290E" w:rsidP="002255FF">
      <w:pPr>
        <w:pStyle w:val="ListParagraph"/>
      </w:pPr>
      <w:r w:rsidRPr="00F7290E">
        <w:t>Water market impacts of on-farm water use efficiency programs that require entitlement transfer (Aither 2017)</w:t>
      </w:r>
    </w:p>
    <w:p w14:paraId="5F590FB8" w14:textId="4E8CDC0F" w:rsidR="00737269" w:rsidRDefault="00737269" w:rsidP="00A705FF">
      <w:pPr>
        <w:pStyle w:val="Heading3"/>
      </w:pPr>
      <w:r>
        <w:t>Independent assessment of social and economic conditions in the Basin (Sefton Report)</w:t>
      </w:r>
    </w:p>
    <w:p w14:paraId="76BCFAE1" w14:textId="5A863012" w:rsidR="00737269" w:rsidRDefault="00737269" w:rsidP="00737269">
      <w:pPr>
        <w:pStyle w:val="BodyText"/>
      </w:pPr>
      <w:r>
        <w:t>The Sefton Report</w:t>
      </w:r>
      <w:r w:rsidR="0055257E">
        <w:t xml:space="preserve"> (Sefton </w:t>
      </w:r>
      <w:r w:rsidR="005D73F8">
        <w:t xml:space="preserve">et al </w:t>
      </w:r>
      <w:r w:rsidR="0055257E">
        <w:t>2020)</w:t>
      </w:r>
      <w:r>
        <w:t xml:space="preserve"> provided an independent assessment of social and economic conditions in the Basin, and found that:</w:t>
      </w:r>
    </w:p>
    <w:p w14:paraId="4AF17F4D" w14:textId="77777777" w:rsidR="00737269" w:rsidRDefault="00737269" w:rsidP="002255FF">
      <w:pPr>
        <w:pStyle w:val="ListParagraph"/>
      </w:pPr>
      <w:r>
        <w:t>Basin communities are feeling the effects of significant pressure from changes in the climate and water availability. People living in Basin communities facing reduced water availability and drought are under immense pressure — some describing that their physical and mental health and wellbeing, cultural identity, and community prosperity are declining due to the impacts of water reform and drought</w:t>
      </w:r>
    </w:p>
    <w:p w14:paraId="2DAD86AA" w14:textId="77777777" w:rsidR="00737269" w:rsidRDefault="00737269" w:rsidP="002255FF">
      <w:pPr>
        <w:pStyle w:val="ListParagraph"/>
      </w:pPr>
      <w:r>
        <w:t>There are areas of optimism, growth, and positive benefit. Positive stories and examples where water reform has provided net benefits to society overall were heard. Some industries and businesses are expanding, particularly in some of the Basin’s larger towns.</w:t>
      </w:r>
    </w:p>
    <w:p w14:paraId="7513EB7D" w14:textId="77777777" w:rsidR="00737269" w:rsidRDefault="00737269" w:rsidP="002255FF">
      <w:pPr>
        <w:pStyle w:val="ListParagraph"/>
      </w:pPr>
      <w:r>
        <w:t>The benefits and impacts of water reform are uneven. Water reform has benefitted some more than others. This has led to an increase in overall wealth but has also led to a transfer of wealth between regions.</w:t>
      </w:r>
    </w:p>
    <w:p w14:paraId="183E2268" w14:textId="77777777" w:rsidR="00737269" w:rsidRDefault="00737269" w:rsidP="002255FF">
      <w:pPr>
        <w:pStyle w:val="ListParagraph"/>
      </w:pPr>
      <w:r>
        <w:t>Reduction in the consumptive pool of water is exacerbating the effects of drought and climate change. Water reform is viewed by many people as exacerbating the worst of the impacts of drought, removing a buffer to drought and reducing the scope for post-drought recovery. Many believe these cumulative impacts will be worsened by future climate change.</w:t>
      </w:r>
    </w:p>
    <w:p w14:paraId="22BABD56" w14:textId="77777777" w:rsidR="00737269" w:rsidRDefault="00737269" w:rsidP="002255FF">
      <w:pPr>
        <w:pStyle w:val="ListParagraph"/>
      </w:pPr>
      <w:r>
        <w:t>The benefits of environmental flows are not well understood or recognised. Most felt that the environment was benefitting from the return of water to the environment. However, many see management decisions, particularly during drought, as lacking focus and out of step with their local communities and/or environmental needs.</w:t>
      </w:r>
    </w:p>
    <w:p w14:paraId="70FE3FA4" w14:textId="6CC44B9E" w:rsidR="00737269" w:rsidRDefault="003E7B86" w:rsidP="00A705FF">
      <w:pPr>
        <w:pStyle w:val="Heading3"/>
      </w:pPr>
      <w:r>
        <w:lastRenderedPageBreak/>
        <w:t xml:space="preserve">The 2020 </w:t>
      </w:r>
      <w:r w:rsidR="00737269">
        <w:t>Basin Plan Evaluation – Social, economic and cultural evidence report</w:t>
      </w:r>
    </w:p>
    <w:p w14:paraId="64DC67A5" w14:textId="396C7EE5" w:rsidR="00737269" w:rsidRDefault="00737269" w:rsidP="00737269">
      <w:pPr>
        <w:pStyle w:val="BodyText"/>
      </w:pPr>
      <w:r>
        <w:t xml:space="preserve">The Basin Plan </w:t>
      </w:r>
      <w:r w:rsidR="00DE6422">
        <w:t>E</w:t>
      </w:r>
      <w:r>
        <w:t xml:space="preserve">valuation </w:t>
      </w:r>
      <w:r w:rsidR="00DE6422">
        <w:t>(</w:t>
      </w:r>
      <w:r w:rsidR="003E7B86">
        <w:t xml:space="preserve">MDBA </w:t>
      </w:r>
      <w:r>
        <w:t>2020</w:t>
      </w:r>
      <w:r w:rsidR="00DE6422">
        <w:t>)</w:t>
      </w:r>
      <w:r>
        <w:t xml:space="preserve"> found that:</w:t>
      </w:r>
    </w:p>
    <w:p w14:paraId="76810286" w14:textId="77777777" w:rsidR="00737269" w:rsidRDefault="00737269" w:rsidP="002255FF">
      <w:pPr>
        <w:pStyle w:val="ListParagraph"/>
      </w:pPr>
      <w:r>
        <w:t>Water recovery (overall) — The effects of the Basin Plan on agricultural industry output and local economic activity appear to be mixed. Overall results tend to align with and reinforce the underlying shifts in industry and regional economic outcomes driven by wider external factors. While the net impacts of water recovery have been uneven, this does not necessarily mean that water recovery has not been in the national interest. Economic impacts of water recovery in water dependent communities need to be balanced against the socio-economic gains to the community that will occur because of the environmental and cultural outcomes of use.</w:t>
      </w:r>
    </w:p>
    <w:p w14:paraId="4E4AC9DC" w14:textId="77777777" w:rsidR="00737269" w:rsidRDefault="00737269" w:rsidP="002255FF">
      <w:pPr>
        <w:pStyle w:val="ListParagraph"/>
      </w:pPr>
      <w:r>
        <w:t>Water recovery: Capital investment from on- and off-farm investment — On- and off-farm infrastructure and water efficiency investments have created regional economic stimulus during the construction stage. The price paid for on-farm and off-farm capital investments per megalitre was well above market prices, and above comparative prices for buybacks.</w:t>
      </w:r>
    </w:p>
    <w:p w14:paraId="262EEE71" w14:textId="77777777" w:rsidR="00737269" w:rsidRDefault="00737269" w:rsidP="002255FF">
      <w:pPr>
        <w:pStyle w:val="ListParagraph"/>
      </w:pPr>
      <w:r>
        <w:t>Water recovery: On-farm investment had led to both positive and mixed impacts</w:t>
      </w:r>
    </w:p>
    <w:p w14:paraId="717E1FA4" w14:textId="18E71083" w:rsidR="00737269" w:rsidRDefault="00737269" w:rsidP="00737269">
      <w:pPr>
        <w:pStyle w:val="ParaBullet2"/>
      </w:pPr>
      <w:r>
        <w:t>There were some positive impacts:</w:t>
      </w:r>
    </w:p>
    <w:p w14:paraId="0E90D86F" w14:textId="77777777" w:rsidR="00737269" w:rsidRDefault="00737269" w:rsidP="00737269">
      <w:pPr>
        <w:pStyle w:val="ParaBullet3"/>
      </w:pPr>
      <w:r>
        <w:t>On-farm investment created productivity gains through on-farm efficiencies for many farms (Productivity Commission 2017a; Australian Government Department of Agriculture and Water Resources 2018a; Schirmer 2016; Marsden Jacob Associates 2017; Department of Agriculture and Water Resources 2017). Increasing technical water use efficiency and supporting farm adaptation and on farm productivity may increase adaptive capacity and resilience.</w:t>
      </w:r>
    </w:p>
    <w:p w14:paraId="65CBC58E" w14:textId="77777777" w:rsidR="00737269" w:rsidRDefault="00737269" w:rsidP="00737269">
      <w:pPr>
        <w:pStyle w:val="ParaBullet3"/>
        <w:ind w:left="851"/>
      </w:pPr>
      <w:r>
        <w:t>Irrigators who have transferred entitlements to access on-farm irrigation grants report overall positive impacts for their farms on a range of measures.</w:t>
      </w:r>
    </w:p>
    <w:p w14:paraId="5566D15F" w14:textId="0BF48A37" w:rsidR="00737269" w:rsidRDefault="00737269" w:rsidP="00737269">
      <w:pPr>
        <w:pStyle w:val="ParaBullet2"/>
      </w:pPr>
      <w:r>
        <w:t>There were some mixed impacts:</w:t>
      </w:r>
    </w:p>
    <w:p w14:paraId="647AFBDB" w14:textId="77777777" w:rsidR="00737269" w:rsidRDefault="00737269" w:rsidP="00737269">
      <w:pPr>
        <w:pStyle w:val="ParaBullet3"/>
        <w:ind w:left="851"/>
      </w:pPr>
      <w:r>
        <w:t xml:space="preserve">Water demand on Basin farms receiving on-farm upgrades increases after the upgrade. On-farm irrigation upgrades create economic and other impacts across the broader agricultural value chain and in regional communities. </w:t>
      </w:r>
    </w:p>
    <w:p w14:paraId="5D1CF24C" w14:textId="77777777" w:rsidR="00737269" w:rsidRDefault="00737269" w:rsidP="00737269">
      <w:pPr>
        <w:pStyle w:val="ParaBullet3"/>
        <w:ind w:left="851"/>
      </w:pPr>
      <w:r>
        <w:t xml:space="preserve">Importantly, changing </w:t>
      </w:r>
      <w:r>
        <w:rPr>
          <w:b/>
          <w:bCs/>
        </w:rPr>
        <w:t>water market prices affect market participants</w:t>
      </w:r>
      <w:r>
        <w:t xml:space="preserve"> and transformation differently. Higher prices do not necessarily decrease adaptive capacity or resilience, because water sellers receive higher prices (than they would using the water in production), while water buyers are paying higher prices because they value water higher than the market price.</w:t>
      </w:r>
    </w:p>
    <w:p w14:paraId="3A884379" w14:textId="6C81B22B" w:rsidR="00737269" w:rsidRDefault="00737269" w:rsidP="00A705FF">
      <w:pPr>
        <w:pStyle w:val="Heading3"/>
      </w:pPr>
      <w:r>
        <w:t>ABARES study of economic effects of water recovery in the MDB</w:t>
      </w:r>
    </w:p>
    <w:p w14:paraId="18914816" w14:textId="5C3B6089" w:rsidR="00737269" w:rsidRDefault="00737269" w:rsidP="00737269">
      <w:pPr>
        <w:pStyle w:val="BodyText"/>
      </w:pPr>
      <w:r>
        <w:t>ABARES</w:t>
      </w:r>
      <w:r w:rsidR="00176DFC">
        <w:t xml:space="preserve"> (Whittle et al 2020)</w:t>
      </w:r>
      <w:r>
        <w:t xml:space="preserve"> considered the economic effects of water recovery in the Murray–Darling Basin and found that:</w:t>
      </w:r>
    </w:p>
    <w:p w14:paraId="18872047" w14:textId="77777777" w:rsidR="00737269" w:rsidRDefault="00737269" w:rsidP="002255FF">
      <w:pPr>
        <w:pStyle w:val="ListParagraph"/>
      </w:pPr>
      <w:r>
        <w:t>Direct water buybacks and on-farm infrastructure programs both put upward pressure on water prices, to different degrees, and price effects have grown larger as the total volume of water recovery has increased. Off-farm infrastructure projects and rationalisation are best placed to avoid price effects, but are typically more expensive, and may be difficult to negotiate.</w:t>
      </w:r>
    </w:p>
    <w:p w14:paraId="12EE04AF" w14:textId="77777777" w:rsidR="00737269" w:rsidRDefault="00737269" w:rsidP="002255FF">
      <w:pPr>
        <w:pStyle w:val="ListParagraph"/>
      </w:pPr>
      <w:r>
        <w:lastRenderedPageBreak/>
        <w:t xml:space="preserve">The recovery of water entitlements has reduced the total amount of water available for irrigated agriculture. While those that have voluntarily sold their water entitlements or participated in programs to improve water use efficiency on their farms are compensated, water recovery also has consequences (both positive and negative) for other irrigators and regional communities. This includes impacts on the market price of water and economic impacts for other businesses as a result of changes in irrigated agriculture as a result of water recovery. </w:t>
      </w:r>
    </w:p>
    <w:p w14:paraId="50366C97" w14:textId="469D021F" w:rsidR="00737269" w:rsidRDefault="00737269" w:rsidP="00737269">
      <w:pPr>
        <w:pStyle w:val="ListParagraph"/>
      </w:pPr>
      <w:r>
        <w:t>Water recovery has increased water allocation prices in the southern MDB.</w:t>
      </w:r>
    </w:p>
    <w:p w14:paraId="763C0C3D" w14:textId="0B045E5A" w:rsidR="00737269" w:rsidRDefault="001C7B66" w:rsidP="00DF4DA4">
      <w:r w:rsidRPr="001C7B66">
        <w:fldChar w:fldCharType="begin"/>
      </w:r>
      <w:r w:rsidRPr="001C7B66">
        <w:instrText xml:space="preserve"> REF _Ref111452744 \h </w:instrText>
      </w:r>
      <w:r>
        <w:instrText xml:space="preserve"> \* MERGEFORMAT </w:instrText>
      </w:r>
      <w:r w:rsidRPr="001C7B66">
        <w:fldChar w:fldCharType="separate"/>
      </w:r>
      <w:r w:rsidR="00D4298A" w:rsidRPr="007C5D2E">
        <w:rPr>
          <w:rStyle w:val="Bold"/>
        </w:rPr>
        <w:t xml:space="preserve">Figure </w:t>
      </w:r>
      <w:r w:rsidR="00D4298A">
        <w:rPr>
          <w:rStyle w:val="Bold"/>
          <w:noProof/>
        </w:rPr>
        <w:t>24</w:t>
      </w:r>
      <w:r w:rsidRPr="001C7B66">
        <w:fldChar w:fldCharType="end"/>
      </w:r>
      <w:r w:rsidR="00737269" w:rsidRPr="001C7B66">
        <w:t xml:space="preserve"> from the ABARES report illustrate the impacts of water recovery on </w:t>
      </w:r>
      <w:r w:rsidR="002255FF" w:rsidRPr="001C7B66">
        <w:t>water prices (the price axis is the</w:t>
      </w:r>
      <w:r w:rsidR="002255FF">
        <w:t xml:space="preserve"> volume weighted average price in the southern MDB)</w:t>
      </w:r>
      <w:r w:rsidR="003964AD">
        <w:t>. The left chart shows the impact of water recovery on prices has increased over time. The right chart shows that the impact</w:t>
      </w:r>
      <w:r>
        <w:t xml:space="preserve"> persists across all seasonal conditions.</w:t>
      </w:r>
      <w:r w:rsidR="00DF4DA4">
        <w:t xml:space="preserve"> ABARES estimated the effect of all water recovery across a mix of ‘dry’, ‘typical’ and ‘wet’ years to be an average of $72/ML.</w:t>
      </w:r>
    </w:p>
    <w:p w14:paraId="719FCD59" w14:textId="0774DFCB" w:rsidR="001C7B66" w:rsidRDefault="001C7B66" w:rsidP="008276F9">
      <w:pPr>
        <w:pStyle w:val="Caption"/>
      </w:pPr>
      <w:bookmarkStart w:id="287" w:name="_Ref111452744"/>
      <w:bookmarkStart w:id="288" w:name="_Toc113621736"/>
      <w:r w:rsidRPr="007C5D2E">
        <w:rPr>
          <w:rStyle w:val="Bold"/>
        </w:rPr>
        <w:t xml:space="preserve">Figure </w:t>
      </w:r>
      <w:r w:rsidRPr="007C5D2E">
        <w:rPr>
          <w:rStyle w:val="Bold"/>
        </w:rPr>
        <w:fldChar w:fldCharType="begin"/>
      </w:r>
      <w:r w:rsidRPr="007C5D2E">
        <w:rPr>
          <w:rStyle w:val="Bold"/>
        </w:rPr>
        <w:instrText xml:space="preserve"> SEQ Figure \* ARABIC </w:instrText>
      </w:r>
      <w:r w:rsidRPr="007C5D2E">
        <w:rPr>
          <w:rStyle w:val="Bold"/>
        </w:rPr>
        <w:fldChar w:fldCharType="separate"/>
      </w:r>
      <w:r w:rsidR="00D4298A">
        <w:rPr>
          <w:rStyle w:val="Bold"/>
          <w:noProof/>
        </w:rPr>
        <w:t>24</w:t>
      </w:r>
      <w:r w:rsidRPr="007C5D2E">
        <w:rPr>
          <w:rStyle w:val="Bold"/>
        </w:rPr>
        <w:fldChar w:fldCharType="end"/>
      </w:r>
      <w:bookmarkEnd w:id="287"/>
      <w:r w:rsidRPr="00BE496A">
        <w:t xml:space="preserve">: </w:t>
      </w:r>
      <w:r>
        <w:t>I</w:t>
      </w:r>
      <w:r w:rsidRPr="001C7B66">
        <w:t>mpacts of water recovery on water prices</w:t>
      </w:r>
      <w:bookmarkEnd w:id="288"/>
    </w:p>
    <w:p w14:paraId="1A95BC6E" w14:textId="184A364A" w:rsidR="001C7B66" w:rsidRDefault="001C7B66" w:rsidP="008276F9">
      <w:pPr>
        <w:pStyle w:val="Image-Page1fullwidth"/>
        <w:keepNext/>
        <w:framePr w:w="0" w:hSpace="0" w:wrap="auto" w:vAnchor="margin" w:yAlign="inline"/>
        <w:spacing w:after="0" w:line="240" w:lineRule="auto"/>
      </w:pPr>
      <w:r>
        <w:drawing>
          <wp:inline distT="0" distB="0" distL="0" distR="0" wp14:anchorId="31B2D66C" wp14:editId="07C67869">
            <wp:extent cx="2966085" cy="1914525"/>
            <wp:effectExtent l="0" t="0" r="5715" b="9525"/>
            <wp:docPr id="24" name="Picture 2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hart, bar chart&#10;&#10;Description automatically generated"/>
                    <pic:cNvPicPr>
                      <a:picLocks noChangeAspect="1" noChangeArrowheads="1"/>
                    </pic:cNvPicPr>
                  </pic:nvPicPr>
                  <pic:blipFill rotWithShape="1">
                    <a:blip r:embed="rId43">
                      <a:extLst>
                        <a:ext uri="{28A0092B-C50C-407E-A947-70E740481C1C}">
                          <a14:useLocalDpi xmlns:a14="http://schemas.microsoft.com/office/drawing/2010/main" val="0"/>
                        </a:ext>
                      </a:extLst>
                    </a:blip>
                    <a:srcRect t="16530" b="11114"/>
                    <a:stretch/>
                  </pic:blipFill>
                  <pic:spPr bwMode="auto">
                    <a:xfrm>
                      <a:off x="0" y="0"/>
                      <a:ext cx="2971439" cy="1917981"/>
                    </a:xfrm>
                    <a:prstGeom prst="rect">
                      <a:avLst/>
                    </a:prstGeom>
                    <a:noFill/>
                    <a:ln>
                      <a:noFill/>
                    </a:ln>
                    <a:extLst>
                      <a:ext uri="{53640926-AAD7-44D8-BBD7-CCE9431645EC}">
                        <a14:shadowObscured xmlns:a14="http://schemas.microsoft.com/office/drawing/2010/main"/>
                      </a:ext>
                    </a:extLst>
                  </pic:spPr>
                </pic:pic>
              </a:graphicData>
            </a:graphic>
          </wp:inline>
        </w:drawing>
      </w:r>
      <w:r>
        <w:drawing>
          <wp:inline distT="0" distB="0" distL="0" distR="0" wp14:anchorId="7211862D" wp14:editId="473D5D70">
            <wp:extent cx="2771604" cy="1762125"/>
            <wp:effectExtent l="0" t="0" r="0" b="0"/>
            <wp:docPr id="26" name="Picture 2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hart, bar chart&#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5139" b="21789"/>
                    <a:stretch/>
                  </pic:blipFill>
                  <pic:spPr bwMode="auto">
                    <a:xfrm>
                      <a:off x="0" y="0"/>
                      <a:ext cx="2778648" cy="1766604"/>
                    </a:xfrm>
                    <a:prstGeom prst="rect">
                      <a:avLst/>
                    </a:prstGeom>
                    <a:noFill/>
                    <a:ln>
                      <a:noFill/>
                    </a:ln>
                    <a:extLst>
                      <a:ext uri="{53640926-AAD7-44D8-BBD7-CCE9431645EC}">
                        <a14:shadowObscured xmlns:a14="http://schemas.microsoft.com/office/drawing/2010/main"/>
                      </a:ext>
                    </a:extLst>
                  </pic:spPr>
                </pic:pic>
              </a:graphicData>
            </a:graphic>
          </wp:inline>
        </w:drawing>
      </w:r>
    </w:p>
    <w:p w14:paraId="7D6A8D6B" w14:textId="12648F4A" w:rsidR="001C7B66" w:rsidRPr="00202F17" w:rsidRDefault="001C7B66" w:rsidP="008276F9">
      <w:pPr>
        <w:pStyle w:val="Source"/>
        <w:rPr>
          <w:color w:val="9BA1A5"/>
        </w:rPr>
      </w:pPr>
      <w:r w:rsidRPr="00202F17">
        <w:rPr>
          <w:color w:val="9BA1A5"/>
        </w:rPr>
        <w:t xml:space="preserve">Source: </w:t>
      </w:r>
      <w:r w:rsidR="00E54645">
        <w:rPr>
          <w:color w:val="9BA1A5"/>
        </w:rPr>
        <w:t>Whittle et al</w:t>
      </w:r>
      <w:r>
        <w:rPr>
          <w:color w:val="9BA1A5"/>
        </w:rPr>
        <w:t xml:space="preserve"> 2020, Figures 4 &amp; 5.</w:t>
      </w:r>
    </w:p>
    <w:p w14:paraId="60595972" w14:textId="2AA45E5C" w:rsidR="00737269" w:rsidRDefault="00737269" w:rsidP="00737269">
      <w:pPr>
        <w:pStyle w:val="ListBullet1"/>
      </w:pPr>
      <w:r>
        <w:t xml:space="preserve">The wealth effects of higher water prices on irrigation farmers will depend largely on their water entitlement holdings. Irrigators who hold large volumes of entitlement relative to their water use (and are frequently net sellers of water allocations) may benefit from higher water prices, as this increases the value of their entitlements. </w:t>
      </w:r>
      <w:r w:rsidR="001C7B66">
        <w:t>ABARES found that f</w:t>
      </w:r>
      <w:r>
        <w:t>armers with limited entitlement holdings however may be adversely affected, as higher water prices increase their costs and lower their profitability.</w:t>
      </w:r>
    </w:p>
    <w:p w14:paraId="5EC95DF4" w14:textId="19380D9B" w:rsidR="00737269" w:rsidRDefault="00DF4DA4" w:rsidP="00737269">
      <w:pPr>
        <w:pStyle w:val="ParaBullet2"/>
      </w:pPr>
      <w:r>
        <w:t>T</w:t>
      </w:r>
      <w:r w:rsidR="00737269">
        <w:t>he majority of water recovery that occurred through buybacks was in Victoria and focussed in the GMID. These farmers who sold entitlement via buyback would not enjoy the wealth effects alluded to by ABARES.</w:t>
      </w:r>
    </w:p>
    <w:p w14:paraId="6E2636ED" w14:textId="77777777" w:rsidR="00737269" w:rsidRDefault="00737269" w:rsidP="00737269">
      <w:pPr>
        <w:pStyle w:val="ListBullet1"/>
      </w:pPr>
      <w:r>
        <w:t>Finally, ABARES noted that different water recovery mechanisms have different effects:</w:t>
      </w:r>
    </w:p>
    <w:p w14:paraId="4B160168" w14:textId="77777777" w:rsidR="00737269" w:rsidRDefault="00737269" w:rsidP="00737269">
      <w:pPr>
        <w:pStyle w:val="ParaBullet2"/>
      </w:pPr>
      <w:r>
        <w:t>Buybacks are the simplest and least expensive, but have flow on effects</w:t>
      </w:r>
    </w:p>
    <w:p w14:paraId="2640CE6C" w14:textId="77777777" w:rsidR="00737269" w:rsidRDefault="00737269" w:rsidP="00737269">
      <w:pPr>
        <w:pStyle w:val="ParaBullet2"/>
      </w:pPr>
      <w:r>
        <w:t>On-farm recovery has the largest effect on allocation prices</w:t>
      </w:r>
    </w:p>
    <w:p w14:paraId="1F3BBE55" w14:textId="77777777" w:rsidR="00737269" w:rsidRDefault="00737269" w:rsidP="00737269">
      <w:pPr>
        <w:pStyle w:val="ParaBullet2"/>
      </w:pPr>
      <w:r>
        <w:t>Off-farm water recovery has less effect on allocation prices but may be getting harder to find.</w:t>
      </w:r>
    </w:p>
    <w:p w14:paraId="52018617" w14:textId="77777777" w:rsidR="00737269" w:rsidRDefault="00737269" w:rsidP="00A705FF">
      <w:pPr>
        <w:pStyle w:val="Heading3"/>
      </w:pPr>
      <w:r>
        <w:lastRenderedPageBreak/>
        <w:t>Insights from the Regional Wellbeing Surveys (2013-2018)</w:t>
      </w:r>
    </w:p>
    <w:p w14:paraId="1F81F793" w14:textId="4E91CB2F" w:rsidR="00737269" w:rsidRDefault="00737269" w:rsidP="00737269">
      <w:pPr>
        <w:pStyle w:val="BodyText"/>
      </w:pPr>
      <w:r>
        <w:t xml:space="preserve">As part of the University of Canberra’s regular Regional Wellbeing Surveys, irrigators across the Murray–Darling Basin have provided their views and experiences of Commonwealth water recovery programs. </w:t>
      </w:r>
      <w:r w:rsidR="007313B2">
        <w:t>University of Canberra a</w:t>
      </w:r>
      <w:r>
        <w:t>nalysis of these responses found that:</w:t>
      </w:r>
    </w:p>
    <w:p w14:paraId="5803865C" w14:textId="77777777" w:rsidR="00737269" w:rsidRDefault="00737269" w:rsidP="007313B2">
      <w:pPr>
        <w:pStyle w:val="ListParagraph"/>
      </w:pPr>
      <w:r>
        <w:t>Survey findings are based on opinions rather than an analysis of the impacts and outcomes of the Commonwealth water recovery programs.</w:t>
      </w:r>
    </w:p>
    <w:p w14:paraId="1A466DF6" w14:textId="77777777" w:rsidR="00737269" w:rsidRDefault="00737269" w:rsidP="007313B2">
      <w:pPr>
        <w:pStyle w:val="ListParagraph"/>
      </w:pPr>
      <w:r>
        <w:t>The effects of selling water entitlements to the government varied for farmers depending on whether they switched to dryland farming, exited farming or remained in irrigated agriculture.</w:t>
      </w:r>
    </w:p>
    <w:p w14:paraId="1AF5377C" w14:textId="6D0BE444" w:rsidR="00737269" w:rsidRDefault="00737269" w:rsidP="00737269">
      <w:pPr>
        <w:pStyle w:val="ParaBullet2"/>
      </w:pPr>
      <w:r>
        <w:t>Of irrigators who sold entitlements and remained in irrigated agriculture, nearly half (47%) reported that selling entitlements had a positive effect on their farm business overall, while 61% reported positive effects on farm debt levels. These irrigators were also more likely than other Basin irrigators to report challenges related to water costs.</w:t>
      </w:r>
    </w:p>
    <w:p w14:paraId="4C5E3D9A" w14:textId="7C40EBF3" w:rsidR="00737269" w:rsidRDefault="00737269" w:rsidP="00737269">
      <w:pPr>
        <w:pStyle w:val="ParaBullet2"/>
      </w:pPr>
      <w:r>
        <w:t>Irrigators who sold entitlements and transitioned their farm to dryland farming or exited farming reported more positive outcomes overall than those who remained in irrigated agriculture. In particular, over 65% of these farmers reported a positive effect on their household finances, farm debt levels and farm workload.</w:t>
      </w:r>
    </w:p>
    <w:p w14:paraId="566E2791" w14:textId="77777777" w:rsidR="00737269" w:rsidRDefault="00737269" w:rsidP="00737269">
      <w:pPr>
        <w:pStyle w:val="ListBullet1"/>
      </w:pPr>
      <w:r>
        <w:t>The socio-economic impacts of water reform on irrigators can differ depending on the nature of their farm enterprise. Irrigated farm enterprises operating in the Basin are highly diverse, both in terms of geographic and economic size of the farm enterprise, and in terms of the production systems used and products harvested.</w:t>
      </w:r>
    </w:p>
    <w:p w14:paraId="5AF0D1B9" w14:textId="6E480125" w:rsidR="00737269" w:rsidRDefault="00737269" w:rsidP="00737269">
      <w:pPr>
        <w:pStyle w:val="ListBullet1"/>
      </w:pPr>
      <w:r>
        <w:t>Socio-demographic characteristics of irrigators in general varied less than water use and farm characteristics. Only one in three irrigators lived in households in which 100% of income is earned on-farm, with one or more of the household members often working off-farm.</w:t>
      </w:r>
    </w:p>
    <w:p w14:paraId="63AA7D32" w14:textId="494F04A6" w:rsidR="00737269" w:rsidRDefault="00737269" w:rsidP="00737269">
      <w:pPr>
        <w:pStyle w:val="ListBullet1"/>
      </w:pPr>
      <w:r>
        <w:t xml:space="preserve">The majority of Basin irrigators </w:t>
      </w:r>
      <w:r w:rsidR="002157E2">
        <w:t xml:space="preserve">surveyed </w:t>
      </w:r>
      <w:r>
        <w:t xml:space="preserve">– 79.4% – reported engaging in some form of on-farm irrigation infrastructure modernisation </w:t>
      </w:r>
      <w:r w:rsidRPr="002157E2">
        <w:t>since 2008</w:t>
      </w:r>
      <w:r>
        <w:t>. Of this, 54.2% did not receive assistance from a government grant, while 19.4% received assistance from a grant</w:t>
      </w:r>
      <w:r>
        <w:rPr>
          <w:rStyle w:val="FootnoteReference"/>
        </w:rPr>
        <w:footnoteReference w:id="45"/>
      </w:r>
      <w:r>
        <w:t>. Southern Basin irrigators were much more likely to report receiving a grant to assist them in some modernisation activities than those in the Northern Basin or outside the Basin. Those who received grant assistance on average reported having modernised a larger proportion of their irrigation area compared to those who had not received grant assistance. Irrigators were most likely to report having modernised with assistance of a grant since 2008 if they lived in the GMID (31%) or MIL (30%), were dairy farmers (39%), had GVAP</w:t>
      </w:r>
      <w:r w:rsidR="002157E2">
        <w:t xml:space="preserve"> (gross value of agricultural production)</w:t>
      </w:r>
      <w:r>
        <w:t xml:space="preserve"> of $1 million or more (46%), reported a moderate or large profit over the last three years (34%), and/or relied primarily on water from irrigation channels (32%).</w:t>
      </w:r>
    </w:p>
    <w:p w14:paraId="1E91E2F3" w14:textId="77777777" w:rsidR="00737269" w:rsidRDefault="00737269" w:rsidP="00737269">
      <w:pPr>
        <w:pStyle w:val="ListBullet1"/>
      </w:pPr>
      <w:r w:rsidRPr="002157E2">
        <w:t>Since 2013</w:t>
      </w:r>
      <w:r>
        <w:t>, 38% of irrigators in the Basin had not modernised any part of their on-farm irrigation area, while 14% had modernised 1-19%, 18% had modernised 20-49%, 15% had modernised 50-74%, and 14% had modernised 75% or more. Irrigators were more likely to report not modernising any on-farm infrastructure since 2013 if they lived in the Victorian Basin (44%), were graziers (46%), had GVAP of below $40,000 (49%) or $40,000 to $99,999 (50%), and/or were making a loss on the farm (48%).</w:t>
      </w:r>
    </w:p>
    <w:p w14:paraId="5DBC3A73" w14:textId="77777777" w:rsidR="00737269" w:rsidRDefault="00737269" w:rsidP="00737269">
      <w:pPr>
        <w:pStyle w:val="ListBullet1"/>
      </w:pPr>
      <w:r>
        <w:lastRenderedPageBreak/>
        <w:t>The purpose of SRWUIP on-farm modernisation grants was to support more rapid growth in water efficiency of on-farm water infrastructure through enabling modernisation to occur earlier than it would have in the absence of the grant. It is likely some irrigators would not have done the works without a grant, while others would have undertaken works in the absence of a grant, but may have taken a longer time to do so and/or only been able to fund a smaller scope of works than occurred with the grant.</w:t>
      </w:r>
    </w:p>
    <w:p w14:paraId="191B3422" w14:textId="77777777" w:rsidR="00737269" w:rsidRDefault="00737269" w:rsidP="00737269">
      <w:pPr>
        <w:pStyle w:val="ParaBullet2"/>
      </w:pPr>
      <w:r>
        <w:t>In total, 48% of grant recipients (whether located within the Basin receiving a SRWUIP grant or outside the Basin receiving a different grant) felt they would not have done any of the works without the grant. Grant recipients were more likely to report this if they lived in the GMID (59%), or were making a loss on the farm (68%).</w:t>
      </w:r>
    </w:p>
    <w:p w14:paraId="43ABB479" w14:textId="77777777" w:rsidR="00737269" w:rsidRDefault="00737269" w:rsidP="00737269">
      <w:pPr>
        <w:pStyle w:val="ParaBullet2"/>
      </w:pPr>
      <w:r>
        <w:t>In total, 52% of irrigators felt that if they hadn’t received the grant they would still have done the works but it would have taken longer. Grant recipients were more likely to report this if they lived in the NSW Southern Basin (65%), in the Southern Basin not in an irrigation district (63%), or were directly pumping water from rivers or dams (78%).</w:t>
      </w:r>
    </w:p>
    <w:p w14:paraId="2D3761AC" w14:textId="2838E52F" w:rsidR="00737269" w:rsidRDefault="00737269" w:rsidP="00737269">
      <w:pPr>
        <w:pStyle w:val="ListBullet1"/>
      </w:pPr>
      <w:r>
        <w:t>On-farm modernisation — whether self-funded or undertaken with assistance from a grant — is typically associated with positive outcomes for a large majority of irrigators, in terms of farm productivity and production, and thus with more positive farm and farmer wellbeing outcomes. Off-farm modernisation is more often associated with neutral outcomes than positive or negative outcomes, likely reflecting fewer direct impacts on individual irrigators in many cases.</w:t>
      </w:r>
    </w:p>
    <w:p w14:paraId="6F25FC13" w14:textId="77777777" w:rsidR="00737269" w:rsidRDefault="00737269" w:rsidP="00A705FF">
      <w:pPr>
        <w:pStyle w:val="Heading3"/>
      </w:pPr>
      <w:r>
        <w:t>The rebound effect on water extraction from subsidising irrigation infrastructure in Australia (Wheeler 2020)</w:t>
      </w:r>
    </w:p>
    <w:p w14:paraId="1AF0B0B3" w14:textId="1A3B5292" w:rsidR="00737269" w:rsidRDefault="00B05545" w:rsidP="00737269">
      <w:pPr>
        <w:pStyle w:val="BodyText"/>
      </w:pPr>
      <w:r w:rsidRPr="00B05545">
        <w:rPr>
          <w:bCs/>
        </w:rPr>
        <w:t>Wheeler et al (2020) consider s</w:t>
      </w:r>
      <w:r w:rsidR="00737269" w:rsidRPr="00B05545">
        <w:rPr>
          <w:bCs/>
        </w:rPr>
        <w:t>ubsidised</w:t>
      </w:r>
      <w:r w:rsidR="00737269">
        <w:t xml:space="preserve"> irrigation infrastructure upgrades have been enabled through the Sustainable Rural Water-Use &amp; Infrastructure program (SRWUIP) and associated schemes. For a subsidy or grant, the beneficiary implements specific infrastructure works and transfers a share of the assumed water savings in entitlements to the Australian Government.</w:t>
      </w:r>
    </w:p>
    <w:p w14:paraId="0255017E" w14:textId="77777777" w:rsidR="00737269" w:rsidRDefault="00737269" w:rsidP="00737269">
      <w:pPr>
        <w:pStyle w:val="BodyText"/>
      </w:pPr>
      <w:r>
        <w:t xml:space="preserve">The rebound effect is the change (increase) in water extraction from increased irrigation efficiency and its presence is determined by the interaction of three different water demand effects: </w:t>
      </w:r>
    </w:p>
    <w:p w14:paraId="1226ED88" w14:textId="77777777" w:rsidR="00737269" w:rsidRDefault="00737269" w:rsidP="00597401">
      <w:pPr>
        <w:pStyle w:val="BodyText"/>
        <w:numPr>
          <w:ilvl w:val="0"/>
          <w:numId w:val="15"/>
        </w:numPr>
        <w:ind w:left="284" w:hanging="284"/>
        <w:rPr>
          <w:b/>
          <w:bCs/>
        </w:rPr>
      </w:pPr>
      <w:r>
        <w:t xml:space="preserve">a technical shift allowing water extractions to decrease from the adoption of modernised irrigation infrastructure which allow far greater control over water movements and use (decreasing water demand); </w:t>
      </w:r>
    </w:p>
    <w:p w14:paraId="7A733B12" w14:textId="77777777" w:rsidR="00737269" w:rsidRDefault="00737269" w:rsidP="00597401">
      <w:pPr>
        <w:pStyle w:val="BodyText"/>
        <w:numPr>
          <w:ilvl w:val="0"/>
          <w:numId w:val="15"/>
        </w:numPr>
        <w:ind w:left="284" w:hanging="284"/>
        <w:rPr>
          <w:b/>
          <w:bCs/>
        </w:rPr>
      </w:pPr>
      <w:r>
        <w:t xml:space="preserve">a possible variable cost increase from modernising infrastructure and subsequently increasing electricity costs from increased pumping – especially if upgrading from previous flood irrigation by gravity (decreasing water demand); and </w:t>
      </w:r>
    </w:p>
    <w:p w14:paraId="31AE0904" w14:textId="77777777" w:rsidR="00737269" w:rsidRDefault="00737269" w:rsidP="00597401">
      <w:pPr>
        <w:pStyle w:val="BodyText"/>
        <w:numPr>
          <w:ilvl w:val="0"/>
          <w:numId w:val="15"/>
        </w:numPr>
        <w:ind w:left="284" w:hanging="284"/>
        <w:rPr>
          <w:b/>
          <w:bCs/>
        </w:rPr>
      </w:pPr>
      <w:r>
        <w:t xml:space="preserve">a water productivity/relative value increase as modernised infrastructure allows water to be used in new ways and often means crop mix change, increased utilisation of under-utilised water assets (including groundwater) and increased irrigation land (therefore increasing water demand). </w:t>
      </w:r>
    </w:p>
    <w:p w14:paraId="7C9CB272" w14:textId="77777777" w:rsidR="00737269" w:rsidRDefault="00737269" w:rsidP="00737269">
      <w:pPr>
        <w:pStyle w:val="BodyText"/>
      </w:pPr>
      <w:r>
        <w:t>The increase in water extraction (namely the existence of a rebound effect) from (3) can outweigh the decreases in water extraction from (1) and (2) when: water is scarce; there is little idle irrigation capacity; irrigation infrastructures are subsidised; and water and energy costs are low.</w:t>
      </w:r>
    </w:p>
    <w:p w14:paraId="2276B102" w14:textId="24D111F1" w:rsidR="00737269" w:rsidRPr="00B05545" w:rsidRDefault="00B05545" w:rsidP="00737269">
      <w:pPr>
        <w:pStyle w:val="BodyText"/>
      </w:pPr>
      <w:r w:rsidRPr="00B05545">
        <w:t>The d</w:t>
      </w:r>
      <w:r w:rsidR="00737269" w:rsidRPr="00B05545">
        <w:t>ata sources</w:t>
      </w:r>
      <w:r w:rsidRPr="00B05545">
        <w:t xml:space="preserve"> used include:</w:t>
      </w:r>
    </w:p>
    <w:p w14:paraId="3E715B4A" w14:textId="1B74B939" w:rsidR="00737269" w:rsidRDefault="00737269" w:rsidP="00F67436">
      <w:pPr>
        <w:pStyle w:val="ParaBullet1"/>
        <w:numPr>
          <w:ilvl w:val="0"/>
          <w:numId w:val="14"/>
        </w:numPr>
        <w:rPr>
          <w:u w:val="single"/>
        </w:rPr>
      </w:pPr>
      <w:r>
        <w:rPr>
          <w:u w:val="single"/>
        </w:rPr>
        <w:lastRenderedPageBreak/>
        <w:t>Primary on-farm survey data – 2481 irrigators</w:t>
      </w:r>
    </w:p>
    <w:p w14:paraId="1DC7FD40" w14:textId="77777777" w:rsidR="00737269" w:rsidRDefault="00737269" w:rsidP="00F67436">
      <w:pPr>
        <w:pStyle w:val="ParaBullet2"/>
      </w:pPr>
      <w:r>
        <w:t xml:space="preserve">The data used was from three representative University of Adelaide irrigator farm surveys (2010-11; 2011-12; and 2015-16). These collected information on irrigation water extractions and irrigation infrastructure grant subsidies in the Southern Basin. </w:t>
      </w:r>
    </w:p>
    <w:p w14:paraId="1C4B5226" w14:textId="77777777" w:rsidR="00737269" w:rsidRDefault="00737269" w:rsidP="00F67436">
      <w:pPr>
        <w:pStyle w:val="ParaBullet1"/>
        <w:numPr>
          <w:ilvl w:val="0"/>
          <w:numId w:val="14"/>
        </w:numPr>
        <w:rPr>
          <w:u w:val="single"/>
        </w:rPr>
      </w:pPr>
      <w:r>
        <w:rPr>
          <w:u w:val="single"/>
        </w:rPr>
        <w:t>Secondary data</w:t>
      </w:r>
    </w:p>
    <w:p w14:paraId="109B43BD" w14:textId="77777777" w:rsidR="00737269" w:rsidRDefault="00737269" w:rsidP="00F67436">
      <w:pPr>
        <w:pStyle w:val="ParaBullet2"/>
      </w:pPr>
      <w:r>
        <w:t>ABS water use survey of irrigated farms in the MDB (2005-06 to 2017-18)</w:t>
      </w:r>
    </w:p>
    <w:p w14:paraId="2F826B86" w14:textId="111514D1" w:rsidR="00737269" w:rsidRDefault="00737269" w:rsidP="00F67436">
      <w:pPr>
        <w:pStyle w:val="ParaBullet2"/>
      </w:pPr>
      <w:r>
        <w:t>MDBA water audit monitoring, SDL accounting and transitional water take, and Cap register compliance</w:t>
      </w:r>
      <w:r w:rsidR="00F67436">
        <w:t>.</w:t>
      </w:r>
    </w:p>
    <w:p w14:paraId="3963C08F" w14:textId="77777777" w:rsidR="00737269" w:rsidRDefault="00737269" w:rsidP="00737269">
      <w:pPr>
        <w:pStyle w:val="BodyText"/>
        <w:rPr>
          <w:b/>
          <w:bCs/>
        </w:rPr>
      </w:pPr>
      <w:r>
        <w:rPr>
          <w:b/>
          <w:bCs/>
        </w:rPr>
        <w:t>Findings</w:t>
      </w:r>
    </w:p>
    <w:p w14:paraId="42DEEF5D" w14:textId="77777777" w:rsidR="00737269" w:rsidRDefault="00737269" w:rsidP="00737269">
      <w:pPr>
        <w:pStyle w:val="ListBullet1"/>
      </w:pPr>
      <w:r>
        <w:t>Subsidised irrigation infrastructure upgrades in the MDB have not reduced water extractions or water consumption at a Basin-scale.</w:t>
      </w:r>
    </w:p>
    <w:p w14:paraId="7D918C36" w14:textId="77777777" w:rsidR="00737269" w:rsidRDefault="00737269" w:rsidP="00737269">
      <w:pPr>
        <w:pStyle w:val="ListBullet1"/>
      </w:pPr>
      <w:r>
        <w:t xml:space="preserve">Irrigators who received an irrigation infrastructure subsidy significantly increased (21-28%) their water extraction, relative to those who did not receive any grants. </w:t>
      </w:r>
    </w:p>
    <w:p w14:paraId="53BCF41E" w14:textId="77777777" w:rsidR="00737269" w:rsidRDefault="00737269" w:rsidP="00737269">
      <w:pPr>
        <w:pStyle w:val="ListBullet1"/>
      </w:pPr>
      <w:r>
        <w:t>an irrigator who received a grant extracted 0.34-0.38 ML per hectare more than an irrigator who did not receive a grant</w:t>
      </w:r>
    </w:p>
    <w:p w14:paraId="12EE1086" w14:textId="77777777" w:rsidR="00737269" w:rsidRDefault="00737269" w:rsidP="00737269">
      <w:pPr>
        <w:pStyle w:val="ListBullet1"/>
      </w:pPr>
      <w:r>
        <w:t>This increase occurred because of crop mix changes and increased irrigated area, and it was partly enabled through increased surface-water entitlement utilisation and water trade participation.</w:t>
      </w:r>
    </w:p>
    <w:p w14:paraId="51FC8E30" w14:textId="77777777" w:rsidR="00737269" w:rsidRDefault="00737269" w:rsidP="00737269">
      <w:pPr>
        <w:pStyle w:val="ListBullet1"/>
        <w:rPr>
          <w:b/>
          <w:bCs/>
        </w:rPr>
      </w:pPr>
      <w:r>
        <w:t>More than half of 1,000 surveyed southern Basin irrigators in 2015-16 believed that this expenditure was wasteful and one-fifth of them believed it should have been spent on other services in the community.</w:t>
      </w:r>
    </w:p>
    <w:p w14:paraId="60E7B967" w14:textId="4EE247CD" w:rsidR="00737269" w:rsidRDefault="00737269" w:rsidP="00A705FF">
      <w:pPr>
        <w:pStyle w:val="Heading3"/>
      </w:pPr>
      <w:r>
        <w:t xml:space="preserve">Farm Level Effects of On-Farm Irrigation Infrastructure Programs in the Southern Murray-Darling Basin (Hughes </w:t>
      </w:r>
      <w:r w:rsidR="00A32E4D">
        <w:t>et al</w:t>
      </w:r>
      <w:r w:rsidR="00B61D9A">
        <w:t xml:space="preserve"> </w:t>
      </w:r>
      <w:r>
        <w:t>2020)</w:t>
      </w:r>
    </w:p>
    <w:p w14:paraId="1834BB48" w14:textId="5998ABB9" w:rsidR="00737269" w:rsidRPr="00B05545" w:rsidRDefault="00A32E4D" w:rsidP="00737269">
      <w:pPr>
        <w:pStyle w:val="BodyText"/>
      </w:pPr>
      <w:r>
        <w:t>ABARES (</w:t>
      </w:r>
      <w:r w:rsidR="00B05545">
        <w:t>Hughes et al 2020) m</w:t>
      </w:r>
      <w:r w:rsidR="00737269">
        <w:t>easure</w:t>
      </w:r>
      <w:r>
        <w:t>d</w:t>
      </w:r>
      <w:r w:rsidR="00737269">
        <w:t xml:space="preserve"> the effects of Australian Government on</w:t>
      </w:r>
      <w:r w:rsidR="00737269">
        <w:rPr>
          <w:rFonts w:ascii="Cambria Math" w:hAnsi="Cambria Math" w:cs="Cambria Math"/>
        </w:rPr>
        <w:t>‐</w:t>
      </w:r>
      <w:r w:rsidR="00737269">
        <w:t>farm infrastructure programs in the southern MDB between 2009–2010 and 2016–2017, particularly the On</w:t>
      </w:r>
      <w:r w:rsidR="00737269">
        <w:rPr>
          <w:rFonts w:ascii="Cambria Math" w:hAnsi="Cambria Math" w:cs="Cambria Math"/>
        </w:rPr>
        <w:t>‐</w:t>
      </w:r>
      <w:r w:rsidR="00737269">
        <w:t xml:space="preserve">Farm Irrigation Efficiency </w:t>
      </w:r>
      <w:r w:rsidR="00737269" w:rsidRPr="00B05545">
        <w:t>Program.</w:t>
      </w:r>
      <w:r w:rsidR="00B05545" w:rsidRPr="00B05545">
        <w:t xml:space="preserve"> </w:t>
      </w:r>
      <w:r w:rsidR="00737269" w:rsidRPr="00B05545">
        <w:t>Data sources</w:t>
      </w:r>
      <w:r w:rsidR="00B05545" w:rsidRPr="00B05545">
        <w:t xml:space="preserve"> include:</w:t>
      </w:r>
    </w:p>
    <w:p w14:paraId="3A016F7B" w14:textId="01DB851E" w:rsidR="00737269" w:rsidRDefault="00737269" w:rsidP="00F67436">
      <w:pPr>
        <w:pStyle w:val="ParaBullet1"/>
        <w:numPr>
          <w:ilvl w:val="0"/>
          <w:numId w:val="14"/>
        </w:numPr>
      </w:pPr>
      <w:r>
        <w:t>ABARES Farm survey data drawn from the MDB Irrigation Survey (MDBIS), commencing in 2006</w:t>
      </w:r>
      <w:r w:rsidR="00F67436">
        <w:t>-</w:t>
      </w:r>
      <w:r>
        <w:t>07</w:t>
      </w:r>
    </w:p>
    <w:p w14:paraId="641E8F9B" w14:textId="77777777" w:rsidR="00737269" w:rsidRDefault="00737269" w:rsidP="00F67436">
      <w:pPr>
        <w:pStyle w:val="ParaBullet1"/>
        <w:numPr>
          <w:ilvl w:val="0"/>
          <w:numId w:val="14"/>
        </w:numPr>
      </w:pPr>
      <w:r>
        <w:t>OFIEP Administrative data covering all 5 rounds of the program and 1,580 projects.</w:t>
      </w:r>
    </w:p>
    <w:p w14:paraId="037829EB" w14:textId="77777777" w:rsidR="00737269" w:rsidRDefault="00737269" w:rsidP="00F67436">
      <w:pPr>
        <w:pStyle w:val="ParaBullet1"/>
        <w:numPr>
          <w:ilvl w:val="0"/>
          <w:numId w:val="14"/>
        </w:numPr>
      </w:pPr>
      <w:r>
        <w:t>Participants in the OFIEP were matched in the MDBIS and then deidentified</w:t>
      </w:r>
    </w:p>
    <w:p w14:paraId="33ECD278" w14:textId="77777777" w:rsidR="00737269" w:rsidRDefault="00737269" w:rsidP="00F67436">
      <w:pPr>
        <w:pStyle w:val="ParaBullet1"/>
        <w:numPr>
          <w:ilvl w:val="0"/>
          <w:numId w:val="14"/>
        </w:numPr>
      </w:pPr>
      <w:r>
        <w:t>Final data set has 833 farms surveyed in the southern connected MDB between 2009-10 and 2016-17.</w:t>
      </w:r>
    </w:p>
    <w:p w14:paraId="1F5324FB" w14:textId="77777777" w:rsidR="00737269" w:rsidRDefault="00737269" w:rsidP="00A705FF">
      <w:pPr>
        <w:pStyle w:val="BodyText"/>
        <w:keepNext/>
        <w:rPr>
          <w:b/>
          <w:bCs/>
        </w:rPr>
      </w:pPr>
      <w:r>
        <w:rPr>
          <w:b/>
          <w:bCs/>
        </w:rPr>
        <w:t>Findings</w:t>
      </w:r>
    </w:p>
    <w:p w14:paraId="53BE6D6D" w14:textId="77777777" w:rsidR="00737269" w:rsidRDefault="00737269" w:rsidP="00737269">
      <w:pPr>
        <w:pStyle w:val="BodyText"/>
      </w:pPr>
      <w:r>
        <w:t>On</w:t>
      </w:r>
      <w:r>
        <w:rPr>
          <w:rFonts w:ascii="Cambria Math" w:hAnsi="Cambria Math" w:cs="Cambria Math"/>
        </w:rPr>
        <w:t>‐</w:t>
      </w:r>
      <w:r>
        <w:t>farm programs are found to have positive effects for participants in terms of higher farm productivity and profitability. However, the study also finds a Jevon's paradox outcome, where farm demand for water is significantly higher post</w:t>
      </w:r>
      <w:r>
        <w:rPr>
          <w:rFonts w:ascii="Cambria Math" w:hAnsi="Cambria Math" w:cs="Cambria Math"/>
        </w:rPr>
        <w:t>‐</w:t>
      </w:r>
      <w:r>
        <w:t>upgrade. Across all farm types, the average rebound effect is 22-35%.</w:t>
      </w:r>
    </w:p>
    <w:p w14:paraId="4B78C9EF" w14:textId="4BDAD090" w:rsidR="00737269" w:rsidRDefault="00737269" w:rsidP="00737269">
      <w:pPr>
        <w:pStyle w:val="BodyText"/>
      </w:pPr>
      <w:r>
        <w:t xml:space="preserve">The study observed increases in farm water demand, area irrigated and net allocation and entitlement trade following participation in these programs. </w:t>
      </w:r>
    </w:p>
    <w:p w14:paraId="73E7BFC5" w14:textId="77777777" w:rsidR="00737269" w:rsidRDefault="00737269" w:rsidP="00737269">
      <w:pPr>
        <w:pStyle w:val="ListBullet1"/>
      </w:pPr>
      <w:r>
        <w:lastRenderedPageBreak/>
        <w:t xml:space="preserve">Rebound effects are largest in the broadacre sector (37-56%), where farms have greater ability to increase their area irrigated and to vary the types of crops planted. </w:t>
      </w:r>
    </w:p>
    <w:p w14:paraId="1CB4E2A1" w14:textId="77777777" w:rsidR="00737269" w:rsidRDefault="00737269" w:rsidP="00737269">
      <w:pPr>
        <w:pStyle w:val="ListBullet1"/>
        <w:rPr>
          <w:b/>
          <w:bCs/>
        </w:rPr>
      </w:pPr>
      <w:r>
        <w:t>On dairy farms (26-32%), on</w:t>
      </w:r>
      <w:r>
        <w:rPr>
          <w:rFonts w:ascii="Cambria Math" w:hAnsi="Cambria Math" w:cs="Cambria Math"/>
        </w:rPr>
        <w:t>‐</w:t>
      </w:r>
      <w:r>
        <w:t>farm upgrades appear to encourage farmers to make greater use of irrigated pasture (rather than purchased fodder) at least relative to non</w:t>
      </w:r>
      <w:r>
        <w:rPr>
          <w:rFonts w:ascii="Cambria Math" w:hAnsi="Cambria Math" w:cs="Cambria Math"/>
        </w:rPr>
        <w:t>‐</w:t>
      </w:r>
      <w:r>
        <w:t>upgraded farms.</w:t>
      </w:r>
    </w:p>
    <w:p w14:paraId="6266E9EB" w14:textId="77777777" w:rsidR="00737269" w:rsidRDefault="00737269" w:rsidP="00737269">
      <w:pPr>
        <w:pStyle w:val="ListBullet1"/>
        <w:rPr>
          <w:b/>
          <w:bCs/>
        </w:rPr>
      </w:pPr>
      <w:r>
        <w:t>On horticulture farms with perennial tree crops (11.8-12%), irrigated area remains fixed in the short</w:t>
      </w:r>
      <w:r>
        <w:rPr>
          <w:rFonts w:ascii="Cambria Math" w:hAnsi="Cambria Math" w:cs="Cambria Math"/>
        </w:rPr>
        <w:t>‐</w:t>
      </w:r>
      <w:r>
        <w:t xml:space="preserve">term, however some small increase in water use is still observed, suggesting an increase in application rate. </w:t>
      </w:r>
    </w:p>
    <w:p w14:paraId="2128B563" w14:textId="77777777" w:rsidR="00737269" w:rsidRDefault="00737269" w:rsidP="00737269">
      <w:pPr>
        <w:pStyle w:val="BodyText"/>
      </w:pPr>
      <w:r>
        <w:t>On</w:t>
      </w:r>
      <w:r>
        <w:rPr>
          <w:rFonts w:ascii="Cambria Math" w:hAnsi="Cambria Math" w:cs="Cambria Math"/>
        </w:rPr>
        <w:t>‐</w:t>
      </w:r>
      <w:r>
        <w:t>farm programs tend to have positive effects on on</w:t>
      </w:r>
      <w:r>
        <w:rPr>
          <w:rFonts w:ascii="Cambria Math" w:hAnsi="Cambria Math" w:cs="Cambria Math"/>
        </w:rPr>
        <w:t>‐</w:t>
      </w:r>
      <w:r>
        <w:t>farm business outcome measures: higher revenue, higher costs and higher profits. Estimated increase in profit is $135,200 per farm per year, with an average Commonwealth once off contribution per farm of around $224,000. However, the study focused on good to average seasonal conditions and smaller impacts would be expected in drought years.</w:t>
      </w:r>
    </w:p>
    <w:p w14:paraId="31C368B6" w14:textId="77777777" w:rsidR="00737269" w:rsidRDefault="00737269" w:rsidP="00A705FF">
      <w:pPr>
        <w:pStyle w:val="Heading3"/>
      </w:pPr>
      <w:r>
        <w:t>Water market impacts of on-farm water use efficiency programs that require entitlement transfer (Aither 2017)</w:t>
      </w:r>
    </w:p>
    <w:p w14:paraId="5C8D886C" w14:textId="77777777" w:rsidR="00737269" w:rsidRDefault="00737269" w:rsidP="00737269">
      <w:pPr>
        <w:pStyle w:val="BodyText"/>
      </w:pPr>
      <w:r>
        <w:t>This report by Aither assesses the mechanisms by which on-farm water use efficiency programs (on-farm water recovery) with entitlement transfer can lead to higher water prices and gathers evidence based on the experiences of participants, statistical analysis of survey data, and economic modelling.</w:t>
      </w:r>
    </w:p>
    <w:p w14:paraId="3CB789BA" w14:textId="77777777" w:rsidR="00737269" w:rsidRDefault="00737269" w:rsidP="00737269">
      <w:pPr>
        <w:pStyle w:val="BodyText"/>
        <w:rPr>
          <w:b/>
          <w:bCs/>
        </w:rPr>
      </w:pPr>
      <w:r>
        <w:rPr>
          <w:b/>
          <w:bCs/>
        </w:rPr>
        <w:t>Findings</w:t>
      </w:r>
    </w:p>
    <w:p w14:paraId="682B6D06" w14:textId="77777777" w:rsidR="00737269" w:rsidRDefault="00737269" w:rsidP="00737269">
      <w:pPr>
        <w:pStyle w:val="BodyText"/>
      </w:pPr>
      <w:r>
        <w:t>On-farm WUE program participants irrigate in more years.</w:t>
      </w:r>
    </w:p>
    <w:p w14:paraId="650271D1" w14:textId="133B133F" w:rsidR="00737269" w:rsidRDefault="00737269" w:rsidP="00597401">
      <w:pPr>
        <w:pStyle w:val="ParaBullet1"/>
        <w:numPr>
          <w:ilvl w:val="0"/>
          <w:numId w:val="14"/>
        </w:numPr>
      </w:pPr>
      <w:r>
        <w:t>Participation typically increases the average value of water applied on land that has been upgraded because the same total profit can be generated with less water. This is reflected in the threshold price at which temporary water becomes unviable in a season. For example, a 2015-16 survey of Goulburn Murray irrigators found that those who had not upgraded their irrigation methods from government funding had an average threshold price of $163 per ML, whereas those who had upgraded through access to government funding had an average threshold price of $190 per ML.</w:t>
      </w:r>
    </w:p>
    <w:p w14:paraId="29D55BAF" w14:textId="77777777" w:rsidR="00737269" w:rsidRDefault="00737269" w:rsidP="00597401">
      <w:pPr>
        <w:pStyle w:val="ParaBullet1"/>
        <w:numPr>
          <w:ilvl w:val="0"/>
          <w:numId w:val="14"/>
        </w:numPr>
      </w:pPr>
      <w:r>
        <w:t>The increase in the average value of water leads to more frequent irrigation (i.e., irrigation occurs in more years).</w:t>
      </w:r>
    </w:p>
    <w:p w14:paraId="792B0C9B" w14:textId="77777777" w:rsidR="00737269" w:rsidRDefault="00737269" w:rsidP="00737269">
      <w:pPr>
        <w:pStyle w:val="BodyText"/>
      </w:pPr>
      <w:r>
        <w:t>On-farm WUE program participants may apply more water when they do irrigate.</w:t>
      </w:r>
    </w:p>
    <w:p w14:paraId="038F93D1" w14:textId="77777777" w:rsidR="00737269" w:rsidRDefault="00737269" w:rsidP="00597401">
      <w:pPr>
        <w:pStyle w:val="ParaBullet1"/>
        <w:numPr>
          <w:ilvl w:val="0"/>
          <w:numId w:val="14"/>
        </w:numPr>
      </w:pPr>
      <w:r>
        <w:t>Participation in this program increases the proportion of water use that is received by the crop (as opposed to being ‘lost’ through evaporation, seepage, and runoff). This increases the additional production generated by water use, which incentivises an increase in water application rates. Amongst dairy farmers in Northern Victoria, the average water use associated with on-farm WUE programs participants’ water-use licences has increased by about 50 to 100ML per year (11 to 22per cent) compared with non-participants.</w:t>
      </w:r>
    </w:p>
    <w:p w14:paraId="362675FE" w14:textId="77777777" w:rsidR="00737269" w:rsidRDefault="00737269" w:rsidP="00737269">
      <w:pPr>
        <w:pStyle w:val="BodyText"/>
      </w:pPr>
      <w:r>
        <w:t>Water prices increase.</w:t>
      </w:r>
    </w:p>
    <w:p w14:paraId="7C896C88" w14:textId="77777777" w:rsidR="00737269" w:rsidRDefault="00737269" w:rsidP="00597401">
      <w:pPr>
        <w:pStyle w:val="ParaBullet1"/>
        <w:numPr>
          <w:ilvl w:val="0"/>
          <w:numId w:val="14"/>
        </w:numPr>
      </w:pPr>
      <w:r>
        <w:t>The increase in demand due to on-farm WUE programs causes water prices to increase for both entitlements and allocations.</w:t>
      </w:r>
    </w:p>
    <w:p w14:paraId="3F15A6C0" w14:textId="77777777" w:rsidR="00737269" w:rsidRDefault="00737269" w:rsidP="00597401">
      <w:pPr>
        <w:pStyle w:val="ParaBullet1"/>
        <w:numPr>
          <w:ilvl w:val="0"/>
          <w:numId w:val="14"/>
        </w:numPr>
      </w:pPr>
      <w:r>
        <w:t xml:space="preserve">Evidence suggests that some recipients of on-farm WUE investments (which are worth multiples of entitlement prices) with entitlement transfer have simply re-entered the market </w:t>
      </w:r>
      <w:r>
        <w:lastRenderedPageBreak/>
        <w:t>to re-establish their entitlement holdings, whereas others are now more reliant on buying allocations in the market.</w:t>
      </w:r>
    </w:p>
    <w:p w14:paraId="3CAAEBA4" w14:textId="77777777" w:rsidR="00737269" w:rsidRDefault="00737269" w:rsidP="00597401">
      <w:pPr>
        <w:pStyle w:val="ParaBullet1"/>
        <w:numPr>
          <w:ilvl w:val="0"/>
          <w:numId w:val="14"/>
        </w:numPr>
      </w:pPr>
      <w:r>
        <w:t>A conservative estimate using Aither’s water market model is that a further 450 GL of water recovery through on-farm WUE programs with entitlement transfer would lead to a $13 per ML increase in water allocation prices to irrigators in northern Victoria in average water availability years. The impact is likely to be higher in extremely dry years, with an estimated increase of $18per ML.</w:t>
      </w:r>
    </w:p>
    <w:p w14:paraId="041ECEE5" w14:textId="77777777" w:rsidR="00737269" w:rsidRDefault="00737269" w:rsidP="00737269">
      <w:pPr>
        <w:pStyle w:val="BodyText"/>
      </w:pPr>
      <w:r>
        <w:t>Assessing socio-economic neutrality</w:t>
      </w:r>
    </w:p>
    <w:p w14:paraId="4B9BDF46" w14:textId="7B00A607" w:rsidR="00737269" w:rsidRDefault="00737269" w:rsidP="00597401">
      <w:pPr>
        <w:pStyle w:val="ParaBullet1"/>
        <w:numPr>
          <w:ilvl w:val="0"/>
          <w:numId w:val="14"/>
        </w:numPr>
      </w:pPr>
      <w:r>
        <w:t>The potential magnitude of the water market impacts identified in this report mean that on-farm WUE programs with entitlement transfer may not meet the requirement that ‘the efficiency contributions to the proposed adjustments achieve neutral or improved socio-economic outcomes’.</w:t>
      </w:r>
    </w:p>
    <w:p w14:paraId="65188C4D" w14:textId="2875D77C" w:rsidR="00AD3BDF" w:rsidRDefault="00000000" w:rsidP="00C02423">
      <w:pPr>
        <w:pStyle w:val="BodyText"/>
        <w:sectPr w:rsidR="00AD3BDF" w:rsidSect="008905FC">
          <w:headerReference w:type="default" r:id="rId45"/>
          <w:pgSz w:w="11906" w:h="16838" w:code="9"/>
          <w:pgMar w:top="1871" w:right="1418" w:bottom="1134" w:left="1418" w:header="567" w:footer="567" w:gutter="0"/>
          <w:pgNumType w:chapStyle="1"/>
          <w:cols w:space="708"/>
          <w:formProt w:val="0"/>
          <w:docGrid w:linePitch="360"/>
        </w:sectPr>
      </w:pPr>
      <w:sdt>
        <w:sdtPr>
          <w:alias w:val="locked section break"/>
          <w:tag w:val="locked section break"/>
          <w:id w:val="726644853"/>
          <w:lock w:val="sdtLocked"/>
          <w:placeholder>
            <w:docPart w:val="1DE51B2206CD4B19B52A2954BC8FE680"/>
          </w:placeholder>
          <w:showingPlcHdr/>
          <w:text/>
        </w:sdtPr>
        <w:sdtContent>
          <w:r w:rsidR="00CE3607">
            <w:rPr>
              <w:rStyle w:val="PlaceholderText"/>
            </w:rPr>
            <w:t xml:space="preserve">  </w:t>
          </w:r>
        </w:sdtContent>
      </w:sdt>
    </w:p>
    <w:p w14:paraId="79CB5011" w14:textId="77777777" w:rsidR="001346DD" w:rsidRDefault="001346DD" w:rsidP="0070509A">
      <w:pPr>
        <w:pStyle w:val="CVHeading"/>
        <w:sectPr w:rsidR="001346DD" w:rsidSect="00E1572E">
          <w:headerReference w:type="default" r:id="rId46"/>
          <w:footerReference w:type="default" r:id="rId47"/>
          <w:type w:val="continuous"/>
          <w:pgSz w:w="11906" w:h="16838" w:code="9"/>
          <w:pgMar w:top="1871" w:right="1418" w:bottom="1134" w:left="1418" w:header="709" w:footer="567" w:gutter="0"/>
          <w:pgNumType w:start="1"/>
          <w:cols w:space="708"/>
          <w:formProt w:val="0"/>
          <w:docGrid w:linePitch="360"/>
        </w:sectPr>
      </w:pPr>
    </w:p>
    <w:p w14:paraId="07CBA42D" w14:textId="77777777" w:rsidR="00342E63" w:rsidRPr="00784FD6" w:rsidRDefault="003C16C6" w:rsidP="00E818E6">
      <w:r>
        <w:rPr>
          <w:noProof/>
        </w:rPr>
        <mc:AlternateContent>
          <mc:Choice Requires="wps">
            <w:drawing>
              <wp:anchor distT="45720" distB="45720" distL="114300" distR="114300" simplePos="0" relativeHeight="251658243" behindDoc="0" locked="1" layoutInCell="1" allowOverlap="1" wp14:anchorId="4CC62EA7" wp14:editId="69F8AB1C">
                <wp:simplePos x="0" y="0"/>
                <wp:positionH relativeFrom="margin">
                  <wp:align>right</wp:align>
                </wp:positionH>
                <wp:positionV relativeFrom="margin">
                  <wp:align>bottom</wp:align>
                </wp:positionV>
                <wp:extent cx="3819600" cy="2152800"/>
                <wp:effectExtent l="0" t="0" r="952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600" cy="2152800"/>
                        </a:xfrm>
                        <a:prstGeom prst="rect">
                          <a:avLst/>
                        </a:prstGeom>
                        <a:solidFill>
                          <a:schemeClr val="bg1"/>
                        </a:solidFill>
                        <a:ln w="9525">
                          <a:noFill/>
                          <a:miter lim="800000"/>
                          <a:headEnd/>
                          <a:tailEnd/>
                        </a:ln>
                      </wps:spPr>
                      <wps:txbx>
                        <w:txbxContent>
                          <w:p w14:paraId="51192944" w14:textId="77777777" w:rsidR="00713452" w:rsidRPr="00291882" w:rsidRDefault="00C14B5D" w:rsidP="003C16C6">
                            <w:pPr>
                              <w:spacing w:before="0" w:line="264" w:lineRule="auto"/>
                              <w:jc w:val="right"/>
                              <w:rPr>
                                <w:rFonts w:ascii="Open Sans SemiBold" w:hAnsi="Open Sans SemiBold" w:cs="Open Sans SemiBold"/>
                                <w:bCs/>
                                <w:sz w:val="24"/>
                                <w:szCs w:val="24"/>
                              </w:rPr>
                            </w:pPr>
                            <w:r w:rsidRPr="00291882">
                              <w:rPr>
                                <w:rFonts w:ascii="Open Sans SemiBold" w:hAnsi="Open Sans SemiBold" w:cs="Open Sans SemiBold"/>
                                <w:bCs/>
                                <w:sz w:val="24"/>
                                <w:szCs w:val="24"/>
                              </w:rPr>
                              <w:t>F</w:t>
                            </w:r>
                            <w:r w:rsidR="00713452" w:rsidRPr="00291882">
                              <w:rPr>
                                <w:rFonts w:ascii="Open Sans SemiBold" w:hAnsi="Open Sans SemiBold" w:cs="Open Sans SemiBold"/>
                                <w:bCs/>
                                <w:sz w:val="24"/>
                                <w:szCs w:val="24"/>
                              </w:rPr>
                              <w:t xml:space="preserve">rontier </w:t>
                            </w:r>
                            <w:r w:rsidRPr="00291882">
                              <w:rPr>
                                <w:rFonts w:ascii="Open Sans SemiBold" w:hAnsi="Open Sans SemiBold" w:cs="Open Sans SemiBold"/>
                                <w:bCs/>
                                <w:sz w:val="24"/>
                                <w:szCs w:val="24"/>
                              </w:rPr>
                              <w:t>E</w:t>
                            </w:r>
                            <w:r w:rsidR="00713452" w:rsidRPr="00291882">
                              <w:rPr>
                                <w:rFonts w:ascii="Open Sans SemiBold" w:hAnsi="Open Sans SemiBold" w:cs="Open Sans SemiBold"/>
                                <w:bCs/>
                                <w:sz w:val="24"/>
                                <w:szCs w:val="24"/>
                              </w:rPr>
                              <w:t>conomics</w:t>
                            </w:r>
                          </w:p>
                          <w:p w14:paraId="4D50F2D7" w14:textId="77777777" w:rsidR="00713452" w:rsidRPr="003C16C6" w:rsidRDefault="00D83774" w:rsidP="003C16C6">
                            <w:pPr>
                              <w:spacing w:before="0" w:line="264" w:lineRule="auto"/>
                              <w:jc w:val="right"/>
                              <w:rPr>
                                <w:sz w:val="18"/>
                                <w:szCs w:val="18"/>
                              </w:rPr>
                            </w:pPr>
                            <w:r>
                              <w:rPr>
                                <w:sz w:val="18"/>
                                <w:szCs w:val="18"/>
                              </w:rPr>
                              <w:t>Brisbane</w:t>
                            </w:r>
                            <w:r w:rsidR="00713452" w:rsidRPr="00291882">
                              <w:rPr>
                                <w:sz w:val="18"/>
                                <w:szCs w:val="18"/>
                              </w:rPr>
                              <w:t xml:space="preserve"> </w:t>
                            </w:r>
                            <w:r w:rsidR="00713452" w:rsidRPr="00C14B5D">
                              <w:rPr>
                                <w:color w:val="207BA1" w:themeColor="accent2"/>
                                <w:sz w:val="18"/>
                                <w:szCs w:val="18"/>
                              </w:rPr>
                              <w:t>|</w:t>
                            </w:r>
                            <w:r w:rsidR="00713452" w:rsidRPr="00291882">
                              <w:rPr>
                                <w:sz w:val="18"/>
                                <w:szCs w:val="18"/>
                              </w:rPr>
                              <w:t xml:space="preserve"> </w:t>
                            </w:r>
                            <w:r w:rsidR="00713452" w:rsidRPr="003C16C6">
                              <w:rPr>
                                <w:sz w:val="18"/>
                                <w:szCs w:val="18"/>
                              </w:rPr>
                              <w:t>M</w:t>
                            </w:r>
                            <w:r>
                              <w:rPr>
                                <w:sz w:val="18"/>
                                <w:szCs w:val="18"/>
                              </w:rPr>
                              <w:t>elbourne</w:t>
                            </w:r>
                            <w:r w:rsidR="00713452" w:rsidRPr="003C16C6">
                              <w:rPr>
                                <w:sz w:val="18"/>
                                <w:szCs w:val="18"/>
                              </w:rPr>
                              <w:t xml:space="preserve"> </w:t>
                            </w:r>
                            <w:r w:rsidR="00713452" w:rsidRPr="00C14B5D">
                              <w:rPr>
                                <w:color w:val="207BA1" w:themeColor="accent2"/>
                                <w:sz w:val="18"/>
                                <w:szCs w:val="18"/>
                              </w:rPr>
                              <w:t>|</w:t>
                            </w:r>
                            <w:r w:rsidR="00713452" w:rsidRPr="003C16C6">
                              <w:rPr>
                                <w:sz w:val="18"/>
                                <w:szCs w:val="18"/>
                              </w:rPr>
                              <w:t xml:space="preserve"> S</w:t>
                            </w:r>
                            <w:r>
                              <w:rPr>
                                <w:sz w:val="18"/>
                                <w:szCs w:val="18"/>
                              </w:rPr>
                              <w:t xml:space="preserve">ingapore </w:t>
                            </w:r>
                            <w:r w:rsidR="00713452" w:rsidRPr="00C14B5D">
                              <w:rPr>
                                <w:color w:val="207BA1" w:themeColor="accent2"/>
                                <w:sz w:val="18"/>
                                <w:szCs w:val="18"/>
                              </w:rPr>
                              <w:t>|</w:t>
                            </w:r>
                            <w:r w:rsidR="00713452" w:rsidRPr="00291882">
                              <w:rPr>
                                <w:sz w:val="18"/>
                                <w:szCs w:val="18"/>
                              </w:rPr>
                              <w:t xml:space="preserve"> </w:t>
                            </w:r>
                            <w:r w:rsidR="00713452" w:rsidRPr="003C16C6">
                              <w:rPr>
                                <w:sz w:val="18"/>
                                <w:szCs w:val="18"/>
                              </w:rPr>
                              <w:t>S</w:t>
                            </w:r>
                            <w:r>
                              <w:rPr>
                                <w:sz w:val="18"/>
                                <w:szCs w:val="18"/>
                              </w:rPr>
                              <w:t>ydney</w:t>
                            </w:r>
                          </w:p>
                          <w:p w14:paraId="3580F37B" w14:textId="77777777" w:rsidR="00713452" w:rsidRPr="003C16C6" w:rsidRDefault="00713452" w:rsidP="003C16C6">
                            <w:pPr>
                              <w:spacing w:before="0" w:line="264" w:lineRule="auto"/>
                              <w:jc w:val="right"/>
                              <w:rPr>
                                <w:sz w:val="18"/>
                                <w:szCs w:val="18"/>
                              </w:rPr>
                            </w:pPr>
                            <w:r w:rsidRPr="003C16C6">
                              <w:rPr>
                                <w:sz w:val="18"/>
                                <w:szCs w:val="18"/>
                              </w:rPr>
                              <w:t xml:space="preserve">Frontier Economics Pty Ltd </w:t>
                            </w:r>
                            <w:r w:rsidRPr="003C16C6">
                              <w:rPr>
                                <w:sz w:val="18"/>
                                <w:szCs w:val="18"/>
                              </w:rPr>
                              <w:br/>
                              <w:t>395 Collins Street Melbourne Victoria 3000</w:t>
                            </w:r>
                          </w:p>
                          <w:p w14:paraId="2F097333" w14:textId="77777777" w:rsidR="00713452" w:rsidRPr="003C16C6" w:rsidRDefault="00713452" w:rsidP="003C16C6">
                            <w:pPr>
                              <w:spacing w:before="0" w:line="264" w:lineRule="auto"/>
                              <w:jc w:val="right"/>
                              <w:rPr>
                                <w:sz w:val="18"/>
                                <w:szCs w:val="18"/>
                              </w:rPr>
                            </w:pPr>
                            <w:r w:rsidRPr="003C16C6">
                              <w:rPr>
                                <w:sz w:val="18"/>
                                <w:szCs w:val="18"/>
                              </w:rPr>
                              <w:t xml:space="preserve">Tel: +61 3 9620 4488 </w:t>
                            </w:r>
                            <w:r>
                              <w:rPr>
                                <w:sz w:val="18"/>
                                <w:szCs w:val="18"/>
                              </w:rPr>
                              <w:br/>
                            </w:r>
                            <w:hyperlink r:id="rId48" w:history="1">
                              <w:r w:rsidR="00122CA4" w:rsidRPr="00122CA4">
                                <w:rPr>
                                  <w:rStyle w:val="Hyperlink"/>
                                  <w:color w:val="E83F35" w:themeColor="accent1"/>
                                  <w:sz w:val="18"/>
                                  <w:szCs w:val="18"/>
                                </w:rPr>
                                <w:t>https://www.frontier-economics.com.au</w:t>
                              </w:r>
                            </w:hyperlink>
                          </w:p>
                          <w:p w14:paraId="18954A3D" w14:textId="77777777" w:rsidR="00713452" w:rsidRPr="003C16C6" w:rsidRDefault="00713452" w:rsidP="00541CCD">
                            <w:pPr>
                              <w:spacing w:before="0" w:after="0" w:line="264" w:lineRule="auto"/>
                              <w:jc w:val="right"/>
                              <w:rPr>
                                <w:sz w:val="18"/>
                                <w:szCs w:val="18"/>
                              </w:rPr>
                            </w:pPr>
                            <w:r w:rsidRPr="003C16C6">
                              <w:rPr>
                                <w:sz w:val="18"/>
                                <w:szCs w:val="18"/>
                              </w:rPr>
                              <w:t>ACN: 087 553 124 ABN: 13 087 553</w:t>
                            </w:r>
                            <w:r w:rsidR="00C368AC">
                              <w:rPr>
                                <w:sz w:val="18"/>
                                <w:szCs w:val="18"/>
                              </w:rPr>
                              <w:t xml:space="preserve"> 124</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4CC62EA7" id="_x0000_s1032" type="#_x0000_t202" style="position:absolute;left:0;text-align:left;margin-left:249.55pt;margin-top:0;width:300.75pt;height:169.5pt;z-index:251658243;visibility:visible;mso-wrap-style:square;mso-width-percent:0;mso-height-percent:0;mso-wrap-distance-left:9pt;mso-wrap-distance-top:3.6pt;mso-wrap-distance-right:9pt;mso-wrap-distance-bottom:3.6pt;mso-position-horizontal:righ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" fillcolor="white [3212]" stroked="f">
                <v:textbox inset="0,0,0,0">
                  <w:txbxContent>
                    <w:p w14:paraId="51192944" w14:textId="77777777" w:rsidR="00713452" w:rsidRPr="00291882" w:rsidRDefault="00C14B5D" w:rsidP="003C16C6">
                      <w:pPr>
                        <w:spacing w:before="0" w:line="264" w:lineRule="auto"/>
                        <w:jc w:val="right"/>
                        <w:rPr>
                          <w:rFonts w:ascii="Open Sans SemiBold" w:hAnsi="Open Sans SemiBold" w:cs="Open Sans SemiBold"/>
                          <w:bCs/>
                          <w:sz w:val="24"/>
                          <w:szCs w:val="24"/>
                        </w:rPr>
                      </w:pPr>
                      <w:r w:rsidRPr="00291882">
                        <w:rPr>
                          <w:rFonts w:ascii="Open Sans SemiBold" w:hAnsi="Open Sans SemiBold" w:cs="Open Sans SemiBold"/>
                          <w:bCs/>
                          <w:sz w:val="24"/>
                          <w:szCs w:val="24"/>
                        </w:rPr>
                        <w:t>F</w:t>
                      </w:r>
                      <w:r w:rsidR="00713452" w:rsidRPr="00291882">
                        <w:rPr>
                          <w:rFonts w:ascii="Open Sans SemiBold" w:hAnsi="Open Sans SemiBold" w:cs="Open Sans SemiBold"/>
                          <w:bCs/>
                          <w:sz w:val="24"/>
                          <w:szCs w:val="24"/>
                        </w:rPr>
                        <w:t xml:space="preserve">rontier </w:t>
                      </w:r>
                      <w:r w:rsidRPr="00291882">
                        <w:rPr>
                          <w:rFonts w:ascii="Open Sans SemiBold" w:hAnsi="Open Sans SemiBold" w:cs="Open Sans SemiBold"/>
                          <w:bCs/>
                          <w:sz w:val="24"/>
                          <w:szCs w:val="24"/>
                        </w:rPr>
                        <w:t>E</w:t>
                      </w:r>
                      <w:r w:rsidR="00713452" w:rsidRPr="00291882">
                        <w:rPr>
                          <w:rFonts w:ascii="Open Sans SemiBold" w:hAnsi="Open Sans SemiBold" w:cs="Open Sans SemiBold"/>
                          <w:bCs/>
                          <w:sz w:val="24"/>
                          <w:szCs w:val="24"/>
                        </w:rPr>
                        <w:t>conomics</w:t>
                      </w:r>
                    </w:p>
                    <w:p w14:paraId="4D50F2D7" w14:textId="77777777" w:rsidR="00713452" w:rsidRPr="003C16C6" w:rsidRDefault="00D83774" w:rsidP="003C16C6">
                      <w:pPr>
                        <w:spacing w:before="0" w:line="264" w:lineRule="auto"/>
                        <w:jc w:val="right"/>
                        <w:rPr>
                          <w:sz w:val="18"/>
                          <w:szCs w:val="18"/>
                        </w:rPr>
                      </w:pPr>
                      <w:r>
                        <w:rPr>
                          <w:sz w:val="18"/>
                          <w:szCs w:val="18"/>
                        </w:rPr>
                        <w:t>Brisbane</w:t>
                      </w:r>
                      <w:r w:rsidR="00713452" w:rsidRPr="00291882">
                        <w:rPr>
                          <w:sz w:val="18"/>
                          <w:szCs w:val="18"/>
                        </w:rPr>
                        <w:t xml:space="preserve"> </w:t>
                      </w:r>
                      <w:r w:rsidR="00713452" w:rsidRPr="00C14B5D">
                        <w:rPr>
                          <w:color w:val="207BA1" w:themeColor="accent2"/>
                          <w:sz w:val="18"/>
                          <w:szCs w:val="18"/>
                        </w:rPr>
                        <w:t>|</w:t>
                      </w:r>
                      <w:r w:rsidR="00713452" w:rsidRPr="00291882">
                        <w:rPr>
                          <w:sz w:val="18"/>
                          <w:szCs w:val="18"/>
                        </w:rPr>
                        <w:t xml:space="preserve"> </w:t>
                      </w:r>
                      <w:r w:rsidR="00713452" w:rsidRPr="003C16C6">
                        <w:rPr>
                          <w:sz w:val="18"/>
                          <w:szCs w:val="18"/>
                        </w:rPr>
                        <w:t>M</w:t>
                      </w:r>
                      <w:r>
                        <w:rPr>
                          <w:sz w:val="18"/>
                          <w:szCs w:val="18"/>
                        </w:rPr>
                        <w:t>elbourne</w:t>
                      </w:r>
                      <w:r w:rsidR="00713452" w:rsidRPr="003C16C6">
                        <w:rPr>
                          <w:sz w:val="18"/>
                          <w:szCs w:val="18"/>
                        </w:rPr>
                        <w:t xml:space="preserve"> </w:t>
                      </w:r>
                      <w:r w:rsidR="00713452" w:rsidRPr="00C14B5D">
                        <w:rPr>
                          <w:color w:val="207BA1" w:themeColor="accent2"/>
                          <w:sz w:val="18"/>
                          <w:szCs w:val="18"/>
                        </w:rPr>
                        <w:t>|</w:t>
                      </w:r>
                      <w:r w:rsidR="00713452" w:rsidRPr="003C16C6">
                        <w:rPr>
                          <w:sz w:val="18"/>
                          <w:szCs w:val="18"/>
                        </w:rPr>
                        <w:t xml:space="preserve"> S</w:t>
                      </w:r>
                      <w:r>
                        <w:rPr>
                          <w:sz w:val="18"/>
                          <w:szCs w:val="18"/>
                        </w:rPr>
                        <w:t xml:space="preserve">ingapore </w:t>
                      </w:r>
                      <w:r w:rsidR="00713452" w:rsidRPr="00C14B5D">
                        <w:rPr>
                          <w:color w:val="207BA1" w:themeColor="accent2"/>
                          <w:sz w:val="18"/>
                          <w:szCs w:val="18"/>
                        </w:rPr>
                        <w:t>|</w:t>
                      </w:r>
                      <w:r w:rsidR="00713452" w:rsidRPr="00291882">
                        <w:rPr>
                          <w:sz w:val="18"/>
                          <w:szCs w:val="18"/>
                        </w:rPr>
                        <w:t xml:space="preserve"> </w:t>
                      </w:r>
                      <w:r w:rsidR="00713452" w:rsidRPr="003C16C6">
                        <w:rPr>
                          <w:sz w:val="18"/>
                          <w:szCs w:val="18"/>
                        </w:rPr>
                        <w:t>S</w:t>
                      </w:r>
                      <w:r>
                        <w:rPr>
                          <w:sz w:val="18"/>
                          <w:szCs w:val="18"/>
                        </w:rPr>
                        <w:t>ydney</w:t>
                      </w:r>
                    </w:p>
                    <w:p w14:paraId="3580F37B" w14:textId="77777777" w:rsidR="00713452" w:rsidRPr="003C16C6" w:rsidRDefault="00713452" w:rsidP="003C16C6">
                      <w:pPr>
                        <w:spacing w:before="0" w:line="264" w:lineRule="auto"/>
                        <w:jc w:val="right"/>
                        <w:rPr>
                          <w:sz w:val="18"/>
                          <w:szCs w:val="18"/>
                        </w:rPr>
                      </w:pPr>
                      <w:r w:rsidRPr="003C16C6">
                        <w:rPr>
                          <w:sz w:val="18"/>
                          <w:szCs w:val="18"/>
                        </w:rPr>
                        <w:t xml:space="preserve">Frontier Economics Pty Ltd </w:t>
                      </w:r>
                      <w:r w:rsidRPr="003C16C6">
                        <w:rPr>
                          <w:sz w:val="18"/>
                          <w:szCs w:val="18"/>
                        </w:rPr>
                        <w:br/>
                        <w:t>395 Collins Street Melbourne Victoria 3000</w:t>
                      </w:r>
                    </w:p>
                    <w:p w14:paraId="2F097333" w14:textId="77777777" w:rsidR="00713452" w:rsidRPr="003C16C6" w:rsidRDefault="00713452" w:rsidP="003C16C6">
                      <w:pPr>
                        <w:spacing w:before="0" w:line="264" w:lineRule="auto"/>
                        <w:jc w:val="right"/>
                        <w:rPr>
                          <w:sz w:val="18"/>
                          <w:szCs w:val="18"/>
                        </w:rPr>
                      </w:pPr>
                      <w:r w:rsidRPr="003C16C6">
                        <w:rPr>
                          <w:sz w:val="18"/>
                          <w:szCs w:val="18"/>
                        </w:rPr>
                        <w:t xml:space="preserve">Tel: +61 3 9620 4488 </w:t>
                      </w:r>
                      <w:r>
                        <w:rPr>
                          <w:sz w:val="18"/>
                          <w:szCs w:val="18"/>
                        </w:rPr>
                        <w:br/>
                      </w:r>
                      <w:hyperlink r:id="rId49" w:history="1">
                        <w:r w:rsidR="00122CA4" w:rsidRPr="00122CA4">
                          <w:rPr>
                            <w:rStyle w:val="Hyperlink"/>
                            <w:color w:val="E83F35" w:themeColor="accent1"/>
                            <w:sz w:val="18"/>
                            <w:szCs w:val="18"/>
                          </w:rPr>
                          <w:t>https://www.frontier-economics.com.au</w:t>
                        </w:r>
                      </w:hyperlink>
                    </w:p>
                    <w:p w14:paraId="18954A3D" w14:textId="77777777" w:rsidR="00713452" w:rsidRPr="003C16C6" w:rsidRDefault="00713452" w:rsidP="00541CCD">
                      <w:pPr>
                        <w:spacing w:before="0" w:after="0" w:line="264" w:lineRule="auto"/>
                        <w:jc w:val="right"/>
                        <w:rPr>
                          <w:sz w:val="18"/>
                          <w:szCs w:val="18"/>
                        </w:rPr>
                      </w:pPr>
                      <w:r w:rsidRPr="003C16C6">
                        <w:rPr>
                          <w:sz w:val="18"/>
                          <w:szCs w:val="18"/>
                        </w:rPr>
                        <w:t>ACN: 087 553 124 ABN: 13 087 553</w:t>
                      </w:r>
                      <w:r w:rsidR="00C368AC">
                        <w:rPr>
                          <w:sz w:val="18"/>
                          <w:szCs w:val="18"/>
                        </w:rPr>
                        <w:t xml:space="preserve"> 124</w:t>
                      </w:r>
                    </w:p>
                  </w:txbxContent>
                </v:textbox>
                <w10:wrap type="square" anchorx="margin" anchory="margin"/>
                <w10:anchorlock/>
              </v:shape>
            </w:pict>
          </mc:Fallback>
        </mc:AlternateContent>
      </w:r>
    </w:p>
    <w:sectPr w:rsidR="00342E63" w:rsidRPr="00784FD6" w:rsidSect="00E1572E">
      <w:headerReference w:type="default" r:id="rId50"/>
      <w:footerReference w:type="default" r:id="rId51"/>
      <w:type w:val="continuous"/>
      <w:pgSz w:w="11906" w:h="16838" w:code="9"/>
      <w:pgMar w:top="1871" w:right="1418" w:bottom="1134" w:left="1418" w:header="567" w:footer="510" w:gutter="0"/>
      <w:pgNumType w:start="1"/>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B4607" w14:textId="77777777" w:rsidR="00AA4C65" w:rsidRDefault="00AA4C65" w:rsidP="00860DFA">
      <w:pPr>
        <w:spacing w:before="0" w:line="240" w:lineRule="auto"/>
      </w:pPr>
      <w:r>
        <w:separator/>
      </w:r>
    </w:p>
  </w:endnote>
  <w:endnote w:type="continuationSeparator" w:id="0">
    <w:p w14:paraId="662A66D3" w14:textId="77777777" w:rsidR="00AA4C65" w:rsidRDefault="00AA4C65" w:rsidP="00860DFA">
      <w:pPr>
        <w:spacing w:before="0" w:line="240" w:lineRule="auto"/>
      </w:pPr>
      <w:r>
        <w:continuationSeparator/>
      </w:r>
    </w:p>
  </w:endnote>
  <w:endnote w:type="continuationNotice" w:id="1">
    <w:p w14:paraId="3763CB42" w14:textId="77777777" w:rsidR="00AA4C65" w:rsidRDefault="00AA4C6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charset w:val="00"/>
    <w:family w:val="swiss"/>
    <w:pitch w:val="variable"/>
    <w:sig w:usb0="E00002EF" w:usb1="4000205B" w:usb2="00000028" w:usb3="00000000" w:csb0="0000019F" w:csb1="00000000"/>
    <w:embedRegular r:id="rId1" w:fontKey="{343189C7-4877-4139-A2BD-1B3D4EC238C7}"/>
    <w:embedBold r:id="rId2" w:fontKey="{1F5AF5C6-8186-4D7F-99AF-438DB2FA2C4C}"/>
    <w:embedItalic r:id="rId3" w:fontKey="{1F7D0110-7B2A-42DE-92C7-ADA13D13257A}"/>
    <w:embedBoldItalic r:id="rId4" w:fontKey="{14D8B759-7215-4D43-9172-34EF46472E3A}"/>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5" w:fontKey="{8E3F9845-53C8-4709-A773-72B2DB136F64}"/>
  </w:font>
  <w:font w:name="Open Sans Light">
    <w:charset w:val="00"/>
    <w:family w:val="swiss"/>
    <w:pitch w:val="variable"/>
    <w:sig w:usb0="E00002EF" w:usb1="4000205B" w:usb2="00000028" w:usb3="00000000" w:csb0="0000019F" w:csb1="00000000"/>
    <w:embedRegular r:id="rId6" w:fontKey="{BDDF1431-97E5-42C2-B20B-F21D3424E8B3}"/>
    <w:embedBold r:id="rId7" w:fontKey="{0DBAC4B7-424D-446D-B292-546942DB4FEA}"/>
  </w:font>
  <w:font w:name="Arial">
    <w:panose1 w:val="020B0604020202020204"/>
    <w:charset w:val="00"/>
    <w:family w:val="swiss"/>
    <w:pitch w:val="variable"/>
    <w:sig w:usb0="E0002EFF" w:usb1="C000785B" w:usb2="00000009" w:usb3="00000000" w:csb0="000001FF" w:csb1="00000000"/>
  </w:font>
  <w:font w:name="AR ESSENCE">
    <w:altName w:val="Calibri"/>
    <w:charset w:val="00"/>
    <w:family w:val="auto"/>
    <w:pitch w:val="variable"/>
    <w:sig w:usb0="8000002F" w:usb1="0000000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Open Sans SemiBold">
    <w:charset w:val="00"/>
    <w:family w:val="swiss"/>
    <w:pitch w:val="variable"/>
    <w:sig w:usb0="E00002EF" w:usb1="4000205B" w:usb2="00000028" w:usb3="00000000" w:csb0="0000019F" w:csb1="00000000"/>
    <w:embedRegular r:id="rId8" w:fontKey="{D2C89068-1153-4DB8-B70B-7C3602862721}"/>
    <w:embedBold r:id="rId9" w:fontKey="{829073C5-3CEF-49BF-BDC5-552F24DBD9C2}"/>
  </w:font>
  <w:font w:name="Calibri">
    <w:panose1 w:val="020F0502020204030204"/>
    <w:charset w:val="00"/>
    <w:family w:val="swiss"/>
    <w:pitch w:val="variable"/>
    <w:sig w:usb0="E4002EFF" w:usb1="C000247B" w:usb2="00000009" w:usb3="00000000" w:csb0="000001FF" w:csb1="00000000"/>
    <w:embedRegular r:id="rId10" w:fontKey="{DE9991F8-5097-4535-BC20-AE8AD0A2C622}"/>
    <w:embedBold r:id="rId11" w:fontKey="{5FFE5165-428D-4958-9F95-95EEABBEB2C8}"/>
    <w:embedItalic r:id="rId12" w:fontKey="{AE5AF13E-8166-41BB-A9FF-D60EB8CBDF6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3" w:fontKey="{34742E50-C90F-48BF-80E1-2F3C8705C057}"/>
  </w:font>
  <w:font w:name="Chiller">
    <w:panose1 w:val="04020404031007020602"/>
    <w:charset w:val="00"/>
    <w:family w:val="decorative"/>
    <w:pitch w:val="variable"/>
    <w:sig w:usb0="00000003" w:usb1="00000000" w:usb2="00000000" w:usb3="00000000" w:csb0="00000001" w:csb1="00000000"/>
    <w:embedRegular r:id="rId14" w:fontKey="{BC2DC163-9253-42BC-B68A-DAF6B8CF519A}"/>
  </w:font>
  <w:font w:name="Britannic Bold">
    <w:panose1 w:val="020B0903060703020204"/>
    <w:charset w:val="00"/>
    <w:family w:val="swiss"/>
    <w:pitch w:val="variable"/>
    <w:sig w:usb0="00000003" w:usb1="00000000" w:usb2="00000000" w:usb3="00000000" w:csb0="00000001" w:csb1="00000000"/>
    <w:embedRegular r:id="rId15" w:fontKey="{D021B124-90BB-4517-8AFC-B7E826F3FD23}"/>
  </w:font>
  <w:font w:name="Cambria Math">
    <w:panose1 w:val="02040503050406030204"/>
    <w:charset w:val="00"/>
    <w:family w:val="roman"/>
    <w:pitch w:val="variable"/>
    <w:sig w:usb0="E00006FF" w:usb1="420024FF" w:usb2="02000000" w:usb3="00000000" w:csb0="0000019F" w:csb1="00000000"/>
    <w:embedRegular r:id="rId16" w:fontKey="{803AC123-1B81-435C-AAFE-714B48BE8E2C}"/>
    <w:embedItalic r:id="rId17" w:fontKey="{68986EA0-ED95-42A1-B6C7-904E7E9E78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C9F72" w14:textId="47EEEF77" w:rsidR="00713452" w:rsidRPr="00122CA4" w:rsidRDefault="007433D0" w:rsidP="00E57B03">
    <w:pPr>
      <w:pStyle w:val="Footer"/>
      <w:pBdr>
        <w:top w:val="single" w:sz="8" w:space="6" w:color="E83F35" w:themeColor="accent1"/>
      </w:pBdr>
      <w:rPr>
        <w:rFonts w:ascii="Open Sans Light" w:hAnsi="Open Sans Light" w:cs="Open Sans Light"/>
        <w:b/>
        <w:color w:val="6A7177"/>
        <w:sz w:val="18"/>
        <w:szCs w:val="18"/>
      </w:rPr>
    </w:pPr>
    <w:r>
      <w:rPr>
        <w:rFonts w:ascii="Open Sans Light" w:hAnsi="Open Sans Light" w:cs="Open Sans Light"/>
        <w:noProof/>
      </w:rPr>
      <mc:AlternateContent>
        <mc:Choice Requires="wps">
          <w:drawing>
            <wp:anchor distT="0" distB="0" distL="114300" distR="114300" simplePos="0" relativeHeight="251661320" behindDoc="0" locked="0" layoutInCell="0" allowOverlap="1" wp14:anchorId="346584B1" wp14:editId="2146B31E">
              <wp:simplePos x="0" y="0"/>
              <wp:positionH relativeFrom="page">
                <wp:posOffset>0</wp:posOffset>
              </wp:positionH>
              <wp:positionV relativeFrom="page">
                <wp:posOffset>10228580</wp:posOffset>
              </wp:positionV>
              <wp:extent cx="7560310" cy="273050"/>
              <wp:effectExtent l="0" t="0" r="0" b="12700"/>
              <wp:wrapNone/>
              <wp:docPr id="2" name="MSIPCM47eb44ef8ac3aa8802e437a0"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bwMode="auto">
                      <a:xfrm>
                        <a:off x="0" y="0"/>
                        <a:ext cx="7560310" cy="2730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BCD0D" w14:textId="05253ABF" w:rsidR="007433D0" w:rsidRPr="006C2AC5" w:rsidRDefault="006C2AC5" w:rsidP="006C2AC5">
                          <w:pPr>
                            <w:spacing w:before="0" w:after="0"/>
                            <w:jc w:val="center"/>
                            <w:rPr>
                              <w:rFonts w:ascii="Calibri" w:hAnsi="Calibri" w:cs="Calibri"/>
                              <w:color w:val="000000"/>
                              <w:sz w:val="24"/>
                            </w:rPr>
                          </w:pPr>
                          <w:r w:rsidRPr="006C2AC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46584B1" id="_x0000_t202" coordsize="21600,21600" o:spt="202" path="m,l,21600r21600,l21600,xe">
              <v:stroke joinstyle="miter"/>
              <v:path gradientshapeok="t" o:connecttype="rect"/>
            </v:shapetype>
            <v:shape id="MSIPCM47eb44ef8ac3aa8802e437a0" o:spid="_x0000_s1035" type="#_x0000_t202" alt="{&quot;HashCode&quot;:1862493762,&quot;Height&quot;:841.0,&quot;Width&quot;:595.0,&quot;Placement&quot;:&quot;Footer&quot;,&quot;Index&quot;:&quot;Primary&quot;,&quot;Section&quot;:1,&quot;Top&quot;:0.0,&quot;Left&quot;:0.0}" style="position:absolute;margin-left:0;margin-top:805.4pt;width:595.3pt;height:21.5pt;z-index:2516613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" o:allowincell="f" filled="f" stroked="f">
              <v:textbox inset=",0,,0">
                <w:txbxContent>
                  <w:p w14:paraId="2A0BCD0D" w14:textId="05253ABF" w:rsidR="007433D0" w:rsidRPr="006C2AC5" w:rsidRDefault="006C2AC5" w:rsidP="006C2AC5">
                    <w:pPr>
                      <w:spacing w:before="0" w:after="0"/>
                      <w:jc w:val="center"/>
                      <w:rPr>
                        <w:rFonts w:ascii="Calibri" w:hAnsi="Calibri" w:cs="Calibri"/>
                        <w:color w:val="000000"/>
                        <w:sz w:val="24"/>
                      </w:rPr>
                    </w:pPr>
                    <w:r w:rsidRPr="006C2AC5">
                      <w:rPr>
                        <w:rFonts w:ascii="Calibri" w:hAnsi="Calibri" w:cs="Calibri"/>
                        <w:color w:val="000000"/>
                        <w:sz w:val="24"/>
                      </w:rPr>
                      <w:t>OFFICIAL</w:t>
                    </w:r>
                  </w:p>
                </w:txbxContent>
              </v:textbox>
              <w10:wrap anchorx="page" anchory="page"/>
            </v:shape>
          </w:pict>
        </mc:Fallback>
      </mc:AlternateContent>
    </w:r>
    <w:r w:rsidR="00E57B03">
      <w:rPr>
        <w:rFonts w:ascii="Open Sans Light" w:hAnsi="Open Sans Light" w:cs="Open Sans Light"/>
        <w:noProof/>
      </w:rPr>
      <mc:AlternateContent>
        <mc:Choice Requires="wps">
          <w:drawing>
            <wp:anchor distT="0" distB="0" distL="114300" distR="114300" simplePos="0" relativeHeight="251658244" behindDoc="0" locked="0" layoutInCell="1" allowOverlap="1" wp14:anchorId="27CC3843" wp14:editId="432339F5">
              <wp:simplePos x="0" y="0"/>
              <wp:positionH relativeFrom="rightMargin">
                <wp:posOffset>-3407</wp:posOffset>
              </wp:positionH>
              <wp:positionV relativeFrom="paragraph">
                <wp:posOffset>-22225</wp:posOffset>
              </wp:positionV>
              <wp:extent cx="5402" cy="206518"/>
              <wp:effectExtent l="0" t="0" r="33020" b="22225"/>
              <wp:wrapNone/>
              <wp:docPr id="18" name="Straight Connector 18"/>
              <wp:cNvGraphicFramePr/>
              <a:graphic xmlns:a="http://schemas.openxmlformats.org/drawingml/2006/main">
                <a:graphicData uri="http://schemas.microsoft.com/office/word/2010/wordprocessingShape">
                  <wps:wsp>
                    <wps:cNvCnPr/>
                    <wps:spPr>
                      <a:xfrm flipH="1">
                        <a:off x="0" y="0"/>
                        <a:ext cx="5402" cy="206518"/>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4C1A5D4" id="Straight Connector 18" o:spid="_x0000_s1026" style="position:absolute;flip:x;z-index:251658244;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 from="-.25pt,-1.75pt" to=".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" strokecolor="white [3212]" strokeweight="1pt">
              <w10:wrap anchorx="margin"/>
            </v:line>
          </w:pict>
        </mc:Fallback>
      </mc:AlternateContent>
    </w:r>
    <w:r w:rsidR="000D5B52" w:rsidRPr="00122CA4">
      <w:rPr>
        <w:rFonts w:ascii="Open Sans Light" w:hAnsi="Open Sans Light" w:cs="Open Sans Light"/>
        <w:noProof/>
      </w:rPr>
      <mc:AlternateContent>
        <mc:Choice Requires="wps">
          <w:drawing>
            <wp:anchor distT="45720" distB="45720" distL="114300" distR="114300" simplePos="0" relativeHeight="251658242" behindDoc="1" locked="1" layoutInCell="1" allowOverlap="1" wp14:anchorId="21AAE7E4" wp14:editId="348ECEB3">
              <wp:simplePos x="0" y="0"/>
              <wp:positionH relativeFrom="margin">
                <wp:align>right</wp:align>
              </wp:positionH>
              <wp:positionV relativeFrom="page">
                <wp:posOffset>9846945</wp:posOffset>
              </wp:positionV>
              <wp:extent cx="255600" cy="572400"/>
              <wp:effectExtent l="0" t="0" r="1143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00" cy="572400"/>
                      </a:xfrm>
                      <a:prstGeom prst="rect">
                        <a:avLst/>
                      </a:prstGeom>
                      <a:noFill/>
                      <a:ln w="9525">
                        <a:noFill/>
                        <a:miter lim="800000"/>
                        <a:headEnd/>
                        <a:tailEnd/>
                      </a:ln>
                    </wps:spPr>
                    <wps:txbx>
                      <w:txbxContent>
                        <w:p w14:paraId="622426E3" w14:textId="77777777" w:rsidR="000D5B52" w:rsidRPr="00424108" w:rsidRDefault="000D5B52" w:rsidP="000D5B52">
                          <w:pPr>
                            <w:jc w:val="right"/>
                            <w:rPr>
                              <w:sz w:val="18"/>
                              <w:szCs w:val="18"/>
                            </w:rPr>
                          </w:pPr>
                          <w:r w:rsidRPr="00424108">
                            <w:rPr>
                              <w:sz w:val="18"/>
                              <w:szCs w:val="18"/>
                            </w:rPr>
                            <w:fldChar w:fldCharType="begin"/>
                          </w:r>
                          <w:r w:rsidRPr="00424108">
                            <w:rPr>
                              <w:sz w:val="18"/>
                              <w:szCs w:val="18"/>
                            </w:rPr>
                            <w:instrText xml:space="preserve"> PAGE   \* MERGEFORMAT </w:instrText>
                          </w:r>
                          <w:r w:rsidRPr="00424108">
                            <w:rPr>
                              <w:sz w:val="18"/>
                              <w:szCs w:val="18"/>
                            </w:rPr>
                            <w:fldChar w:fldCharType="separate"/>
                          </w:r>
                          <w:r w:rsidRPr="00424108">
                            <w:rPr>
                              <w:noProof/>
                              <w:sz w:val="18"/>
                              <w:szCs w:val="18"/>
                            </w:rPr>
                            <w:t>1</w:t>
                          </w:r>
                          <w:r w:rsidRPr="00424108">
                            <w:rPr>
                              <w:noProof/>
                              <w:sz w:val="18"/>
                              <w:szCs w:val="18"/>
                            </w:rPr>
                            <w:fldChar w:fldCharType="end"/>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21AAE7E4" id="_x0000_s1036" type="#_x0000_t202" style="position:absolute;margin-left:-31.05pt;margin-top:775.35pt;width:20.15pt;height:45.05pt;z-index:-251658238;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" filled="f" stroked="f">
              <v:textbox inset="0,0,0,0">
                <w:txbxContent>
                  <w:p w14:paraId="622426E3" w14:textId="77777777" w:rsidR="000D5B52" w:rsidRPr="00424108" w:rsidRDefault="000D5B52" w:rsidP="000D5B52">
                    <w:pPr>
                      <w:jc w:val="right"/>
                      <w:rPr>
                        <w:sz w:val="18"/>
                        <w:szCs w:val="18"/>
                      </w:rPr>
                    </w:pPr>
                    <w:r w:rsidRPr="00424108">
                      <w:rPr>
                        <w:sz w:val="18"/>
                        <w:szCs w:val="18"/>
                      </w:rPr>
                      <w:fldChar w:fldCharType="begin"/>
                    </w:r>
                    <w:r w:rsidRPr="00424108">
                      <w:rPr>
                        <w:sz w:val="18"/>
                        <w:szCs w:val="18"/>
                      </w:rPr>
                      <w:instrText xml:space="preserve"> PAGE   \* MERGEFORMAT </w:instrText>
                    </w:r>
                    <w:r w:rsidRPr="00424108">
                      <w:rPr>
                        <w:sz w:val="18"/>
                        <w:szCs w:val="18"/>
                      </w:rPr>
                      <w:fldChar w:fldCharType="separate"/>
                    </w:r>
                    <w:r w:rsidRPr="00424108">
                      <w:rPr>
                        <w:noProof/>
                        <w:sz w:val="18"/>
                        <w:szCs w:val="18"/>
                      </w:rPr>
                      <w:t>1</w:t>
                    </w:r>
                    <w:r w:rsidRPr="00424108">
                      <w:rPr>
                        <w:noProof/>
                        <w:sz w:val="18"/>
                        <w:szCs w:val="18"/>
                      </w:rPr>
                      <w:fldChar w:fldCharType="end"/>
                    </w:r>
                  </w:p>
                </w:txbxContent>
              </v:textbox>
              <w10:wrap anchorx="margin" anchory="page"/>
              <w10:anchorlock/>
            </v:shape>
          </w:pict>
        </mc:Fallback>
      </mc:AlternateContent>
    </w:r>
    <w:r w:rsidR="00C14B5D" w:rsidRPr="00122CA4">
      <w:rPr>
        <w:rFonts w:ascii="Open Sans Light" w:hAnsi="Open Sans Light" w:cs="Open Sans Light"/>
        <w:color w:val="6A7177"/>
        <w:sz w:val="18"/>
        <w:szCs w:val="18"/>
      </w:rPr>
      <w:t>F</w:t>
    </w:r>
    <w:r w:rsidR="00713452" w:rsidRPr="00122CA4">
      <w:rPr>
        <w:rFonts w:ascii="Open Sans Light" w:hAnsi="Open Sans Light" w:cs="Open Sans Light"/>
        <w:color w:val="6A7177"/>
        <w:sz w:val="18"/>
        <w:szCs w:val="18"/>
      </w:rPr>
      <w:t xml:space="preserve">rontier </w:t>
    </w:r>
    <w:r w:rsidR="00C14B5D" w:rsidRPr="00122CA4">
      <w:rPr>
        <w:rFonts w:ascii="Open Sans Light" w:hAnsi="Open Sans Light" w:cs="Open Sans Light"/>
        <w:color w:val="6A7177"/>
        <w:sz w:val="18"/>
        <w:szCs w:val="18"/>
      </w:rPr>
      <w:t>E</w:t>
    </w:r>
    <w:r w:rsidR="00713452" w:rsidRPr="00122CA4">
      <w:rPr>
        <w:rFonts w:ascii="Open Sans Light" w:hAnsi="Open Sans Light" w:cs="Open Sans Light"/>
        <w:color w:val="6A7177"/>
        <w:sz w:val="18"/>
        <w:szCs w:val="18"/>
      </w:rPr>
      <w:t>conomics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0CBD" w14:textId="0C7338CF" w:rsidR="006D775C" w:rsidRDefault="00172A6D" w:rsidP="00637AFB">
    <w:pPr>
      <w:pStyle w:val="Footer"/>
      <w:ind w:left="-851" w:right="-853"/>
    </w:pPr>
    <w:r>
      <w:rPr>
        <w:noProof/>
      </w:rPr>
      <mc:AlternateContent>
        <mc:Choice Requires="wps">
          <w:drawing>
            <wp:anchor distT="0" distB="0" distL="114300" distR="114300" simplePos="0" relativeHeight="251659271" behindDoc="0" locked="0" layoutInCell="0" allowOverlap="1" wp14:anchorId="3B570A02" wp14:editId="4694B2D3">
              <wp:simplePos x="0" y="0"/>
              <wp:positionH relativeFrom="page">
                <wp:posOffset>0</wp:posOffset>
              </wp:positionH>
              <wp:positionV relativeFrom="page">
                <wp:posOffset>10228580</wp:posOffset>
              </wp:positionV>
              <wp:extent cx="7560310" cy="273050"/>
              <wp:effectExtent l="0" t="0" r="0" b="12700"/>
              <wp:wrapNone/>
              <wp:docPr id="15" name="MSIPCMde8049078922c2ea9ef4d6be"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bwMode="auto">
                      <a:xfrm>
                        <a:off x="0" y="0"/>
                        <a:ext cx="7560310" cy="2730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6D4EF" w14:textId="4B88466B" w:rsidR="00172A6D" w:rsidRPr="006C2AC5" w:rsidRDefault="006C2AC5" w:rsidP="006C2AC5">
                          <w:pPr>
                            <w:spacing w:before="0" w:after="0"/>
                            <w:jc w:val="center"/>
                            <w:rPr>
                              <w:rFonts w:ascii="Calibri" w:hAnsi="Calibri" w:cs="Calibri"/>
                              <w:color w:val="000000"/>
                              <w:sz w:val="24"/>
                            </w:rPr>
                          </w:pPr>
                          <w:r w:rsidRPr="006C2AC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570A02" id="_x0000_t202" coordsize="21600,21600" o:spt="202" path="m,l,21600r21600,l21600,xe">
              <v:stroke joinstyle="miter"/>
              <v:path gradientshapeok="t" o:connecttype="rect"/>
            </v:shapetype>
            <v:shape id="MSIPCMde8049078922c2ea9ef4d6be" o:spid="_x0000_s1037" type="#_x0000_t202" alt="{&quot;HashCode&quot;:1862493762,&quot;Height&quot;:841.0,&quot;Width&quot;:595.0,&quot;Placement&quot;:&quot;Footer&quot;,&quot;Index&quot;:&quot;FirstPage&quot;,&quot;Section&quot;:1,&quot;Top&quot;:0.0,&quot;Left&quot;:0.0}" style="position:absolute;left:0;text-align:left;margin-left:0;margin-top:805.4pt;width:595.3pt;height:21.5pt;z-index:25165927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" o:allowincell="f" filled="f" stroked="f">
              <v:textbox inset=",0,,0">
                <w:txbxContent>
                  <w:p w14:paraId="38F6D4EF" w14:textId="4B88466B" w:rsidR="00172A6D" w:rsidRPr="006C2AC5" w:rsidRDefault="006C2AC5" w:rsidP="006C2AC5">
                    <w:pPr>
                      <w:spacing w:before="0" w:after="0"/>
                      <w:jc w:val="center"/>
                      <w:rPr>
                        <w:rFonts w:ascii="Calibri" w:hAnsi="Calibri" w:cs="Calibri"/>
                        <w:color w:val="000000"/>
                        <w:sz w:val="24"/>
                      </w:rPr>
                    </w:pPr>
                    <w:r w:rsidRPr="006C2AC5">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4F94" w14:textId="54029677" w:rsidR="00713452" w:rsidRPr="009E16F7" w:rsidRDefault="007433D0" w:rsidP="00C02423">
    <w:pPr>
      <w:pStyle w:val="BodyText"/>
    </w:pPr>
    <w:r>
      <w:rPr>
        <w:noProof/>
      </w:rPr>
      <mc:AlternateContent>
        <mc:Choice Requires="wps">
          <w:drawing>
            <wp:anchor distT="0" distB="0" distL="114300" distR="114300" simplePos="0" relativeHeight="251660296" behindDoc="0" locked="0" layoutInCell="0" allowOverlap="1" wp14:anchorId="02532342" wp14:editId="03531822">
              <wp:simplePos x="0" y="0"/>
              <wp:positionH relativeFrom="page">
                <wp:posOffset>0</wp:posOffset>
              </wp:positionH>
              <wp:positionV relativeFrom="page">
                <wp:posOffset>10227945</wp:posOffset>
              </wp:positionV>
              <wp:extent cx="7560310" cy="273050"/>
              <wp:effectExtent l="0" t="0" r="0" b="12700"/>
              <wp:wrapNone/>
              <wp:docPr id="21" name="MSIPCMb6bf49d2bbf3c194d0030110" descr="{&quot;HashCode&quot;:-1264680268,&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bwMode="auto">
                      <a:xfrm>
                        <a:off x="0" y="0"/>
                        <a:ext cx="7560310" cy="2730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C3965" w14:textId="1AFF2182" w:rsidR="007433D0" w:rsidRPr="007433D0" w:rsidRDefault="007433D0" w:rsidP="007433D0">
                          <w:pPr>
                            <w:spacing w:before="0" w:after="0"/>
                            <w:jc w:val="center"/>
                            <w:rPr>
                              <w:rFonts w:ascii="Calibri" w:hAnsi="Calibri" w:cs="Calibri"/>
                              <w:color w:val="000000"/>
                              <w:sz w:val="24"/>
                            </w:rPr>
                          </w:pPr>
                          <w:r w:rsidRPr="007433D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2532342" id="_x0000_t202" coordsize="21600,21600" o:spt="202" path="m,l,21600r21600,l21600,xe">
              <v:stroke joinstyle="miter"/>
              <v:path gradientshapeok="t" o:connecttype="rect"/>
            </v:shapetype>
            <v:shape id="MSIPCMb6bf49d2bbf3c194d0030110" o:spid="_x0000_s1039" type="#_x0000_t202" alt="{&quot;HashCode&quot;:-1264680268,&quot;Height&quot;:841.0,&quot;Width&quot;:595.0,&quot;Placement&quot;:&quot;Footer&quot;,&quot;Index&quot;:&quot;Primary&quot;,&quot;Section&quot;:4,&quot;Top&quot;:0.0,&quot;Left&quot;:0.0}" style="position:absolute;margin-left:0;margin-top:805.35pt;width:595.3pt;height:21.5pt;z-index:2516602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" o:allowincell="f" filled="f" stroked="f">
              <v:textbox inset=",0,,0">
                <w:txbxContent>
                  <w:p w14:paraId="2ACC3965" w14:textId="1AFF2182" w:rsidR="007433D0" w:rsidRPr="007433D0" w:rsidRDefault="007433D0" w:rsidP="007433D0">
                    <w:pPr>
                      <w:spacing w:before="0" w:after="0"/>
                      <w:jc w:val="center"/>
                      <w:rPr>
                        <w:rFonts w:ascii="Calibri" w:hAnsi="Calibri" w:cs="Calibri"/>
                        <w:color w:val="000000"/>
                        <w:sz w:val="24"/>
                      </w:rPr>
                    </w:pPr>
                    <w:r w:rsidRPr="007433D0">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F6471" w14:textId="10E6EA1C" w:rsidR="00713452" w:rsidRPr="00BC74DB" w:rsidRDefault="00172A6D" w:rsidP="003829C4">
    <w:pPr>
      <w:pStyle w:val="Footer"/>
      <w:rPr>
        <w:b/>
        <w:sz w:val="2"/>
        <w:szCs w:val="2"/>
      </w:rPr>
    </w:pPr>
    <w:r>
      <w:rPr>
        <w:b/>
        <w:noProof/>
        <w:sz w:val="2"/>
        <w:szCs w:val="2"/>
      </w:rPr>
      <mc:AlternateContent>
        <mc:Choice Requires="wps">
          <w:drawing>
            <wp:anchor distT="0" distB="0" distL="114300" distR="114300" simplePos="1" relativeHeight="251658248" behindDoc="0" locked="0" layoutInCell="0" allowOverlap="1" wp14:anchorId="05AFE40E" wp14:editId="43402F9D">
              <wp:simplePos x="0" y="10228183"/>
              <wp:positionH relativeFrom="page">
                <wp:posOffset>0</wp:posOffset>
              </wp:positionH>
              <wp:positionV relativeFrom="page">
                <wp:posOffset>10227945</wp:posOffset>
              </wp:positionV>
              <wp:extent cx="7560310" cy="273050"/>
              <wp:effectExtent l="0" t="0" r="0" b="12700"/>
              <wp:wrapNone/>
              <wp:docPr id="19" name="MSIPCM796342ddbb663d74cae940e5" descr="{&quot;HashCode&quot;:-1264680268,&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bwMode="auto">
                      <a:xfrm>
                        <a:off x="0" y="0"/>
                        <a:ext cx="7560310" cy="2730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9681B" w14:textId="2893D846" w:rsidR="00172A6D" w:rsidRPr="00172A6D" w:rsidRDefault="00172A6D" w:rsidP="00172A6D">
                          <w:pPr>
                            <w:spacing w:before="0" w:after="0"/>
                            <w:jc w:val="center"/>
                            <w:rPr>
                              <w:rFonts w:ascii="Calibri" w:hAnsi="Calibri" w:cs="Calibri"/>
                              <w:color w:val="000000"/>
                              <w:sz w:val="24"/>
                            </w:rPr>
                          </w:pPr>
                          <w:r w:rsidRPr="00172A6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5AFE40E" id="_x0000_t202" coordsize="21600,21600" o:spt="202" path="m,l,21600r21600,l21600,xe">
              <v:stroke joinstyle="miter"/>
              <v:path gradientshapeok="t" o:connecttype="rect"/>
            </v:shapetype>
            <v:shape id="MSIPCM796342ddbb663d74cae940e5" o:spid="_x0000_s1040" type="#_x0000_t202" alt="{&quot;HashCode&quot;:-1264680268,&quot;Height&quot;:841.0,&quot;Width&quot;:595.0,&quot;Placement&quot;:&quot;Footer&quot;,&quot;Index&quot;:&quot;Primary&quot;,&quot;Section&quot;:5,&quot;Top&quot;:0.0,&quot;Left&quot;:0.0}" style="position:absolute;margin-left:0;margin-top:805.35pt;width:595.3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" o:allowincell="f" filled="f" stroked="f">
              <v:textbox inset=",0,,0">
                <w:txbxContent>
                  <w:p w14:paraId="7719681B" w14:textId="2893D846" w:rsidR="00172A6D" w:rsidRPr="00172A6D" w:rsidRDefault="00172A6D" w:rsidP="00172A6D">
                    <w:pPr>
                      <w:spacing w:before="0" w:after="0"/>
                      <w:jc w:val="center"/>
                      <w:rPr>
                        <w:rFonts w:ascii="Calibri" w:hAnsi="Calibri" w:cs="Calibri"/>
                        <w:color w:val="000000"/>
                        <w:sz w:val="24"/>
                      </w:rPr>
                    </w:pPr>
                    <w:r w:rsidRPr="00172A6D">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D4B3C" w14:textId="77777777" w:rsidR="00AA4C65" w:rsidRPr="00647A60" w:rsidRDefault="00AA4C65" w:rsidP="00860DFA">
      <w:pPr>
        <w:spacing w:before="0" w:line="240" w:lineRule="auto"/>
        <w:rPr>
          <w:color w:val="F2F2F2" w:themeColor="background2"/>
        </w:rPr>
      </w:pPr>
      <w:r w:rsidRPr="00647A60">
        <w:rPr>
          <w:color w:val="F2F2F2" w:themeColor="background2"/>
        </w:rPr>
        <w:separator/>
      </w:r>
    </w:p>
  </w:footnote>
  <w:footnote w:type="continuationSeparator" w:id="0">
    <w:p w14:paraId="19796A6A" w14:textId="77777777" w:rsidR="00AA4C65" w:rsidRPr="00647A60" w:rsidRDefault="00AA4C65" w:rsidP="00860DFA">
      <w:pPr>
        <w:spacing w:before="0" w:line="240" w:lineRule="auto"/>
        <w:rPr>
          <w:color w:val="F2F2F2" w:themeColor="background2"/>
        </w:rPr>
      </w:pPr>
      <w:r w:rsidRPr="00647A60">
        <w:rPr>
          <w:color w:val="F2F2F2" w:themeColor="background2"/>
        </w:rPr>
        <w:continuationSeparator/>
      </w:r>
    </w:p>
  </w:footnote>
  <w:footnote w:type="continuationNotice" w:id="1">
    <w:p w14:paraId="6CDCF98E" w14:textId="77777777" w:rsidR="00AA4C65" w:rsidRDefault="00AA4C65">
      <w:pPr>
        <w:spacing w:before="0" w:after="0" w:line="240" w:lineRule="auto"/>
      </w:pPr>
    </w:p>
  </w:footnote>
  <w:footnote w:id="2">
    <w:p w14:paraId="4EA73634" w14:textId="6323F814" w:rsidR="006935B4" w:rsidRPr="006935B4" w:rsidRDefault="006935B4">
      <w:pPr>
        <w:pStyle w:val="FootnoteText"/>
        <w:rPr>
          <w:lang w:val="en-US"/>
        </w:rPr>
      </w:pPr>
      <w:r>
        <w:rPr>
          <w:rStyle w:val="FootnoteReference"/>
        </w:rPr>
        <w:footnoteRef/>
      </w:r>
      <w:r>
        <w:t xml:space="preserve"> </w:t>
      </w:r>
      <w:r>
        <w:rPr>
          <w:lang w:val="en-US"/>
        </w:rPr>
        <w:tab/>
        <w:t xml:space="preserve">The review recommended that the northern basin water recovery target should be reduced from 390GL to 320GL provided </w:t>
      </w:r>
      <w:r w:rsidRPr="006935B4">
        <w:rPr>
          <w:lang w:val="en-US"/>
        </w:rPr>
        <w:t>there are commitments from the Australian, Queensland and New South Wales governments to implement a range of specific toolkit measures</w:t>
      </w:r>
      <w:r>
        <w:rPr>
          <w:lang w:val="en-US"/>
        </w:rPr>
        <w:t>.</w:t>
      </w:r>
    </w:p>
  </w:footnote>
  <w:footnote w:id="3">
    <w:p w14:paraId="17A39590" w14:textId="77777777" w:rsidR="00FE6E2B" w:rsidRDefault="00FE6E2B" w:rsidP="00FE6E2B">
      <w:pPr>
        <w:pStyle w:val="FootnoteText"/>
        <w:rPr>
          <w:lang w:val="en-US"/>
        </w:rPr>
      </w:pPr>
      <w:r>
        <w:rPr>
          <w:rStyle w:val="FootnoteReference"/>
        </w:rPr>
        <w:footnoteRef/>
      </w:r>
      <w:r>
        <w:t xml:space="preserve"> </w:t>
      </w:r>
      <w:r>
        <w:tab/>
        <w:t>These criteria are reproduced in Appendix 1.</w:t>
      </w:r>
    </w:p>
  </w:footnote>
  <w:footnote w:id="4">
    <w:p w14:paraId="7B413E7D" w14:textId="13129CB3" w:rsidR="009278E8" w:rsidRPr="009278E8" w:rsidRDefault="009278E8" w:rsidP="00EA6F52">
      <w:pPr>
        <w:pStyle w:val="FootnoteText"/>
        <w:rPr>
          <w:lang w:val="en-US"/>
        </w:rPr>
      </w:pPr>
      <w:r>
        <w:rPr>
          <w:rStyle w:val="FootnoteReference"/>
        </w:rPr>
        <w:footnoteRef/>
      </w:r>
      <w:r>
        <w:t xml:space="preserve"> </w:t>
      </w:r>
      <w:r w:rsidR="00EA6F52">
        <w:rPr>
          <w:lang w:val="en-US"/>
        </w:rPr>
        <w:tab/>
      </w:r>
      <w:r w:rsidR="00EA6F52" w:rsidRPr="00EA6F52">
        <w:rPr>
          <w:lang w:val="en-US"/>
        </w:rPr>
        <w:t>Second Review of the Water for</w:t>
      </w:r>
      <w:r w:rsidR="00EA6F52">
        <w:rPr>
          <w:lang w:val="en-US"/>
        </w:rPr>
        <w:t xml:space="preserve"> </w:t>
      </w:r>
      <w:r w:rsidR="00EA6F52" w:rsidRPr="00EA6F52">
        <w:rPr>
          <w:lang w:val="en-US"/>
        </w:rPr>
        <w:t>the Environment Special Account</w:t>
      </w:r>
      <w:r w:rsidR="00EA6F52">
        <w:rPr>
          <w:lang w:val="en-US"/>
        </w:rPr>
        <w:t xml:space="preserve"> </w:t>
      </w:r>
      <w:r w:rsidR="00BF0E76">
        <w:rPr>
          <w:lang w:val="en-US"/>
        </w:rPr>
        <w:t xml:space="preserve">(Australian Government </w:t>
      </w:r>
      <w:r w:rsidR="00EA6F52">
        <w:rPr>
          <w:lang w:val="en-US"/>
        </w:rPr>
        <w:t>2021</w:t>
      </w:r>
      <w:r w:rsidR="00BF0E76">
        <w:rPr>
          <w:lang w:val="en-US"/>
        </w:rPr>
        <w:t>)</w:t>
      </w:r>
      <w:r w:rsidR="00EA6F52">
        <w:rPr>
          <w:lang w:val="en-US"/>
        </w:rPr>
        <w:t xml:space="preserve">, and the accompanying advice from </w:t>
      </w:r>
      <w:r w:rsidR="00960801">
        <w:t>Marsden Jacob Associates</w:t>
      </w:r>
      <w:r w:rsidR="00EA6F52">
        <w:rPr>
          <w:lang w:val="en-US"/>
        </w:rPr>
        <w:t>.</w:t>
      </w:r>
    </w:p>
  </w:footnote>
  <w:footnote w:id="5">
    <w:p w14:paraId="313D5612" w14:textId="7E5E8264" w:rsidR="001B1D85" w:rsidRPr="007B6650" w:rsidRDefault="001B1D85">
      <w:pPr>
        <w:pStyle w:val="FootnoteText"/>
        <w:rPr>
          <w:lang w:val="en-US"/>
        </w:rPr>
      </w:pPr>
      <w:r>
        <w:rPr>
          <w:rStyle w:val="FootnoteReference"/>
        </w:rPr>
        <w:footnoteRef/>
      </w:r>
      <w:r>
        <w:t xml:space="preserve"> </w:t>
      </w:r>
      <w:r>
        <w:rPr>
          <w:lang w:val="en-US"/>
        </w:rPr>
        <w:tab/>
        <w:t>Representing an additional 60GL above the 2GL registered.</w:t>
      </w:r>
    </w:p>
  </w:footnote>
  <w:footnote w:id="6">
    <w:p w14:paraId="5D49E569" w14:textId="2FDAE971" w:rsidR="00A2153D" w:rsidRDefault="00A2153D" w:rsidP="00A2153D">
      <w:pPr>
        <w:pStyle w:val="FootnoteText"/>
        <w:rPr>
          <w:lang w:val="en-US"/>
        </w:rPr>
      </w:pPr>
      <w:r>
        <w:rPr>
          <w:rStyle w:val="FootnoteReference"/>
        </w:rPr>
        <w:footnoteRef/>
      </w:r>
      <w:r>
        <w:t xml:space="preserve"> </w:t>
      </w:r>
      <w:r>
        <w:rPr>
          <w:lang w:val="en-US"/>
        </w:rPr>
        <w:tab/>
        <w:t xml:space="preserve">For example, </w:t>
      </w:r>
      <w:r w:rsidRPr="009D5AF3">
        <w:rPr>
          <w:lang w:val="en-US"/>
        </w:rPr>
        <w:t>https://www.water.vic.gov.au/water-for-agriculture/investment-in-irrigation-efficiency/Connections-Water-Recovery</w:t>
      </w:r>
      <w:r>
        <w:rPr>
          <w:lang w:val="en-US"/>
        </w:rPr>
        <w:t xml:space="preserve"> </w:t>
      </w:r>
    </w:p>
  </w:footnote>
  <w:footnote w:id="7">
    <w:p w14:paraId="76F2D6DE" w14:textId="1C9F3BCB" w:rsidR="00A2153D" w:rsidRDefault="00A2153D" w:rsidP="00A2153D">
      <w:pPr>
        <w:pStyle w:val="FootnoteText"/>
        <w:rPr>
          <w:lang w:val="en-US"/>
        </w:rPr>
      </w:pPr>
      <w:r>
        <w:rPr>
          <w:rStyle w:val="FootnoteReference"/>
        </w:rPr>
        <w:footnoteRef/>
      </w:r>
      <w:r>
        <w:t xml:space="preserve"> </w:t>
      </w:r>
      <w:r>
        <w:rPr>
          <w:lang w:val="en-US"/>
        </w:rPr>
        <w:tab/>
      </w:r>
      <w:r>
        <w:t>Victoria’s Northern Water Infrastructure Prospectus.</w:t>
      </w:r>
      <w:r w:rsidR="00424D56">
        <w:t xml:space="preserve"> </w:t>
      </w:r>
      <w:r w:rsidR="00424D56" w:rsidRPr="00424D56">
        <w:t>https://www.water.vic.gov.au/__data/assets/pdf_file/0028/395830/Victorias-Northern-Water-Infrastructure-Prospectus_Continuing-to-deliver-the-Basin-Plan.pdf</w:t>
      </w:r>
    </w:p>
  </w:footnote>
  <w:footnote w:id="8">
    <w:p w14:paraId="2BAE85B5" w14:textId="43CDEA61" w:rsidR="00A2153D" w:rsidRDefault="00A2153D" w:rsidP="00A2153D">
      <w:pPr>
        <w:pStyle w:val="FootnoteText"/>
      </w:pPr>
      <w:r>
        <w:rPr>
          <w:rStyle w:val="FootnoteReference"/>
        </w:rPr>
        <w:footnoteRef/>
      </w:r>
      <w:r>
        <w:t xml:space="preserve"> </w:t>
      </w:r>
      <w:r>
        <w:tab/>
        <w:t xml:space="preserve">Approved projects under the Water Efficiency Program, </w:t>
      </w:r>
      <w:r w:rsidRPr="009D5AF3">
        <w:t>https://www.dcceew.gov.au/water/policy/programs/continuing/water-efficiency/approved-projects</w:t>
      </w:r>
      <w:r>
        <w:t xml:space="preserve"> </w:t>
      </w:r>
    </w:p>
  </w:footnote>
  <w:footnote w:id="9">
    <w:p w14:paraId="614C2940" w14:textId="26DB4383" w:rsidR="00A2153D" w:rsidRDefault="00A2153D" w:rsidP="00A2153D">
      <w:pPr>
        <w:pStyle w:val="FootnoteText"/>
        <w:rPr>
          <w:lang w:val="en-US"/>
        </w:rPr>
      </w:pPr>
      <w:r>
        <w:rPr>
          <w:rStyle w:val="FootnoteReference"/>
        </w:rPr>
        <w:footnoteRef/>
      </w:r>
      <w:r>
        <w:t xml:space="preserve"> </w:t>
      </w:r>
      <w:r>
        <w:rPr>
          <w:lang w:val="en-US"/>
        </w:rPr>
        <w:tab/>
      </w:r>
      <w:r w:rsidR="009D5AF3" w:rsidRPr="009D5AF3">
        <w:rPr>
          <w:lang w:val="en-US"/>
        </w:rPr>
        <w:t>Reserve Policy Goulburn and Murray Systems</w:t>
      </w:r>
      <w:r w:rsidR="009D5AF3">
        <w:rPr>
          <w:lang w:val="en-US"/>
        </w:rPr>
        <w:t xml:space="preserve">, </w:t>
      </w:r>
      <w:r w:rsidR="009D5AF3" w:rsidRPr="009D5AF3">
        <w:rPr>
          <w:lang w:val="en-US"/>
        </w:rPr>
        <w:t>https://www.g-mwater.com.au/policy-and-projects/reservemurraygoulburn</w:t>
      </w:r>
      <w:r>
        <w:rPr>
          <w:lang w:val="en-US"/>
        </w:rPr>
        <w:t xml:space="preserve"> </w:t>
      </w:r>
    </w:p>
  </w:footnote>
  <w:footnote w:id="10">
    <w:p w14:paraId="41AE8F14" w14:textId="652E614A" w:rsidR="00CD0567" w:rsidRPr="00CD0567" w:rsidRDefault="00CD0567">
      <w:pPr>
        <w:pStyle w:val="FootnoteText"/>
        <w:rPr>
          <w:lang w:val="en-US"/>
        </w:rPr>
      </w:pPr>
      <w:r>
        <w:rPr>
          <w:rStyle w:val="FootnoteReference"/>
        </w:rPr>
        <w:footnoteRef/>
      </w:r>
      <w:r>
        <w:t xml:space="preserve"> </w:t>
      </w:r>
      <w:r>
        <w:rPr>
          <w:lang w:val="en-US"/>
        </w:rPr>
        <w:tab/>
        <w:t>This is due to such factors as a</w:t>
      </w:r>
      <w:r w:rsidRPr="00CD0567">
        <w:rPr>
          <w:lang w:val="en-US"/>
        </w:rPr>
        <w:t xml:space="preserve"> step change in lower inflows since the </w:t>
      </w:r>
      <w:r>
        <w:rPr>
          <w:lang w:val="en-US"/>
        </w:rPr>
        <w:t>M</w:t>
      </w:r>
      <w:r w:rsidRPr="00CD0567">
        <w:rPr>
          <w:lang w:val="en-US"/>
        </w:rPr>
        <w:t xml:space="preserve">illennium </w:t>
      </w:r>
      <w:r>
        <w:rPr>
          <w:lang w:val="en-US"/>
        </w:rPr>
        <w:t>D</w:t>
      </w:r>
      <w:r w:rsidRPr="00CD0567">
        <w:rPr>
          <w:lang w:val="en-US"/>
        </w:rPr>
        <w:t>rought a</w:t>
      </w:r>
      <w:r>
        <w:rPr>
          <w:lang w:val="en-US"/>
        </w:rPr>
        <w:t xml:space="preserve">s well as </w:t>
      </w:r>
      <w:r w:rsidRPr="00CD0567">
        <w:rPr>
          <w:lang w:val="en-US"/>
        </w:rPr>
        <w:t>reserve</w:t>
      </w:r>
      <w:r w:rsidR="00320E9A">
        <w:rPr>
          <w:lang w:val="en-US"/>
        </w:rPr>
        <w:t xml:space="preserve"> policies which accumulate allocations for 100% High Reliability Water Shares in the following year, prior to granting allocations to </w:t>
      </w:r>
      <w:r w:rsidR="00320E9A">
        <w:t>Low Reliability Water Shares in the current year.</w:t>
      </w:r>
    </w:p>
  </w:footnote>
  <w:footnote w:id="11">
    <w:p w14:paraId="435A2903" w14:textId="456CC551" w:rsidR="00320E9A" w:rsidRPr="00320E9A" w:rsidRDefault="00320E9A">
      <w:pPr>
        <w:pStyle w:val="FootnoteText"/>
        <w:rPr>
          <w:lang w:val="en-US"/>
        </w:rPr>
      </w:pPr>
      <w:r>
        <w:rPr>
          <w:rStyle w:val="FootnoteReference"/>
        </w:rPr>
        <w:footnoteRef/>
      </w:r>
      <w:r>
        <w:t xml:space="preserve"> </w:t>
      </w:r>
      <w:r>
        <w:rPr>
          <w:lang w:val="en-US"/>
        </w:rPr>
        <w:tab/>
        <w:t xml:space="preserve">This low risk of spill is linked to the fact that </w:t>
      </w:r>
      <w:r>
        <w:t>Low Reliability Water Shares generally receive 0% allocations.</w:t>
      </w:r>
    </w:p>
  </w:footnote>
  <w:footnote w:id="12">
    <w:p w14:paraId="41D75471" w14:textId="163ADFDF" w:rsidR="00A2153D" w:rsidRDefault="00A2153D" w:rsidP="00A2153D">
      <w:pPr>
        <w:pStyle w:val="FootnoteText"/>
        <w:rPr>
          <w:lang w:val="en-US"/>
        </w:rPr>
      </w:pPr>
      <w:r>
        <w:rPr>
          <w:rStyle w:val="FootnoteReference"/>
        </w:rPr>
        <w:footnoteRef/>
      </w:r>
      <w:r>
        <w:t xml:space="preserve"> </w:t>
      </w:r>
      <w:r>
        <w:rPr>
          <w:lang w:val="en-US"/>
        </w:rPr>
        <w:tab/>
      </w:r>
      <w:r w:rsidR="009D5AF3" w:rsidRPr="009D5AF3">
        <w:rPr>
          <w:lang w:val="en-US"/>
        </w:rPr>
        <w:t>Carryover rules</w:t>
      </w:r>
      <w:r w:rsidR="009D5AF3">
        <w:rPr>
          <w:lang w:val="en-US"/>
        </w:rPr>
        <w:t>,</w:t>
      </w:r>
      <w:r w:rsidR="009D5AF3" w:rsidRPr="009D5AF3">
        <w:rPr>
          <w:lang w:val="en-US"/>
        </w:rPr>
        <w:t xml:space="preserve"> </w:t>
      </w:r>
      <w:r>
        <w:rPr>
          <w:lang w:val="en-US"/>
        </w:rPr>
        <w:t>https://www.waterregister.vic.gov.au/water-entitlements/carryover/carryover-rules</w:t>
      </w:r>
    </w:p>
  </w:footnote>
  <w:footnote w:id="13">
    <w:p w14:paraId="7CCF44DE" w14:textId="036079E2" w:rsidR="00A2153D" w:rsidRDefault="00A2153D" w:rsidP="00A2153D">
      <w:pPr>
        <w:pStyle w:val="FootnoteText"/>
        <w:rPr>
          <w:lang w:val="en-US"/>
        </w:rPr>
      </w:pPr>
      <w:r>
        <w:rPr>
          <w:rStyle w:val="FootnoteReference"/>
        </w:rPr>
        <w:footnoteRef/>
      </w:r>
      <w:r>
        <w:t xml:space="preserve"> </w:t>
      </w:r>
      <w:r>
        <w:rPr>
          <w:lang w:val="en-US"/>
        </w:rPr>
        <w:tab/>
      </w:r>
      <w:r w:rsidR="009D5AF3">
        <w:rPr>
          <w:lang w:val="en-US"/>
        </w:rPr>
        <w:t xml:space="preserve">MDBA nd, </w:t>
      </w:r>
      <w:r w:rsidR="009D5AF3" w:rsidRPr="009D5AF3">
        <w:rPr>
          <w:lang w:val="en-US"/>
        </w:rPr>
        <w:t>Allowable direction of water trades in the southern-connected Murray–Darling Basin</w:t>
      </w:r>
      <w:r w:rsidR="002F3395">
        <w:rPr>
          <w:lang w:val="en-US"/>
        </w:rPr>
        <w:t xml:space="preserve">, </w:t>
      </w:r>
      <w:r w:rsidR="002F3395" w:rsidRPr="002F3395">
        <w:rPr>
          <w:lang w:val="en-US"/>
        </w:rPr>
        <w:t>www.mdba.gov.au/sites/default/files/pubs/Allowable-water-trade-direction-southern-basin.pdf</w:t>
      </w:r>
    </w:p>
  </w:footnote>
  <w:footnote w:id="14">
    <w:p w14:paraId="36920657" w14:textId="17AA7D19" w:rsidR="00A2153D" w:rsidRDefault="00A2153D" w:rsidP="00A2153D">
      <w:pPr>
        <w:pStyle w:val="FootnoteText"/>
        <w:rPr>
          <w:lang w:val="en-US"/>
        </w:rPr>
      </w:pPr>
      <w:r>
        <w:rPr>
          <w:rStyle w:val="FootnoteReference"/>
        </w:rPr>
        <w:footnoteRef/>
      </w:r>
      <w:r>
        <w:t xml:space="preserve"> </w:t>
      </w:r>
      <w:r>
        <w:rPr>
          <w:lang w:val="en-US"/>
        </w:rPr>
        <w:tab/>
        <w:t>ABS Water Use on Australian Farms 2020-21.</w:t>
      </w:r>
      <w:r w:rsidR="0080565B">
        <w:rPr>
          <w:lang w:val="en-US"/>
        </w:rPr>
        <w:t xml:space="preserve"> </w:t>
      </w:r>
      <w:r w:rsidR="0080565B" w:rsidRPr="0080565B">
        <w:rPr>
          <w:lang w:val="en-US"/>
        </w:rPr>
        <w:t>https://www.abs.gov.au/statistics/industry/agriculture/water-use-australian-farms/2020-21</w:t>
      </w:r>
    </w:p>
  </w:footnote>
  <w:footnote w:id="15">
    <w:p w14:paraId="59922280" w14:textId="77777777" w:rsidR="007B506C" w:rsidRDefault="007B506C" w:rsidP="007B506C">
      <w:pPr>
        <w:pStyle w:val="FootnoteText"/>
      </w:pPr>
      <w:r>
        <w:rPr>
          <w:rStyle w:val="FootnoteReference"/>
        </w:rPr>
        <w:footnoteRef/>
      </w:r>
      <w:r>
        <w:t xml:space="preserve"> </w:t>
      </w:r>
      <w:r>
        <w:tab/>
      </w:r>
      <w:r w:rsidRPr="009D5AF3">
        <w:t>Off-farm Efficiency Program</w:t>
      </w:r>
      <w:r>
        <w:t>,</w:t>
      </w:r>
      <w:r w:rsidRPr="009D5AF3">
        <w:t xml:space="preserve"> </w:t>
      </w:r>
      <w:hyperlink r:id="rId1" w:history="1">
        <w:r w:rsidRPr="009D5AF3">
          <w:rPr>
            <w:lang w:val="en-US"/>
          </w:rPr>
          <w:t>https://www.dcceew.gov.au/water/policy/programs/open/off-farm-efficiency-program</w:t>
        </w:r>
      </w:hyperlink>
      <w:r w:rsidRPr="009D5AF3">
        <w:rPr>
          <w:lang w:val="en-US"/>
        </w:rPr>
        <w:t xml:space="preserve"> </w:t>
      </w:r>
    </w:p>
  </w:footnote>
  <w:footnote w:id="16">
    <w:p w14:paraId="7E932A50" w14:textId="1693DD21" w:rsidR="004D090D" w:rsidRPr="004D090D" w:rsidRDefault="004D090D">
      <w:pPr>
        <w:pStyle w:val="FootnoteText"/>
        <w:rPr>
          <w:lang w:val="en-US"/>
        </w:rPr>
      </w:pPr>
      <w:r>
        <w:rPr>
          <w:rStyle w:val="FootnoteReference"/>
        </w:rPr>
        <w:footnoteRef/>
      </w:r>
      <w:r>
        <w:t xml:space="preserve"> </w:t>
      </w:r>
      <w:r>
        <w:rPr>
          <w:lang w:val="en-US"/>
        </w:rPr>
        <w:tab/>
        <w:t xml:space="preserve">Based on the estimated volumes </w:t>
      </w:r>
      <w:r w:rsidR="00005FFA">
        <w:rPr>
          <w:lang w:val="en-US"/>
        </w:rPr>
        <w:t xml:space="preserve">on issue and environmental </w:t>
      </w:r>
      <w:r>
        <w:rPr>
          <w:lang w:val="en-US"/>
        </w:rPr>
        <w:t>in the Aither 2021 water market report, Table 5.</w:t>
      </w:r>
    </w:p>
  </w:footnote>
  <w:footnote w:id="17">
    <w:p w14:paraId="6EC848CF" w14:textId="553EC879" w:rsidR="00005FFA" w:rsidRPr="00005FFA" w:rsidRDefault="00005FFA">
      <w:pPr>
        <w:pStyle w:val="FootnoteText"/>
        <w:rPr>
          <w:lang w:val="en-US"/>
        </w:rPr>
      </w:pPr>
      <w:r>
        <w:rPr>
          <w:rStyle w:val="FootnoteReference"/>
        </w:rPr>
        <w:footnoteRef/>
      </w:r>
      <w:r>
        <w:t xml:space="preserve"> </w:t>
      </w:r>
      <w:r>
        <w:rPr>
          <w:lang w:val="en-US"/>
        </w:rPr>
        <w:tab/>
        <w:t xml:space="preserve">Based on the most prevalent entitlements — ‘higher’ being SA Murray, Victorian Murray and Goulburn HRWS, and NSW </w:t>
      </w:r>
      <w:r w:rsidRPr="00005FFA">
        <w:t>Murray and Murrumbidgee</w:t>
      </w:r>
      <w:r>
        <w:t xml:space="preserve"> high security entitlements; ‘lower’ being </w:t>
      </w:r>
      <w:r>
        <w:rPr>
          <w:lang w:val="en-US"/>
        </w:rPr>
        <w:t xml:space="preserve">NSW </w:t>
      </w:r>
      <w:r w:rsidRPr="00005FFA">
        <w:t>Murray and Murrumbidgee</w:t>
      </w:r>
      <w:r>
        <w:t xml:space="preserve"> general security and </w:t>
      </w:r>
      <w:r>
        <w:rPr>
          <w:lang w:val="en-US"/>
        </w:rPr>
        <w:t>Victorian Murray and Goulburn LRWS.</w:t>
      </w:r>
    </w:p>
  </w:footnote>
  <w:footnote w:id="18">
    <w:p w14:paraId="6955363A" w14:textId="4C122C49" w:rsidR="00A2153D" w:rsidRDefault="00A2153D" w:rsidP="00A2153D">
      <w:pPr>
        <w:pStyle w:val="FootnoteText"/>
        <w:rPr>
          <w:lang w:val="en-US"/>
        </w:rPr>
      </w:pPr>
      <w:r>
        <w:rPr>
          <w:rStyle w:val="FootnoteReference"/>
        </w:rPr>
        <w:footnoteRef/>
      </w:r>
      <w:r>
        <w:t xml:space="preserve"> </w:t>
      </w:r>
      <w:r>
        <w:tab/>
      </w:r>
      <w:r w:rsidR="00935070">
        <w:t xml:space="preserve">Carryover Decisions: </w:t>
      </w:r>
      <w:r w:rsidR="009D5AF3" w:rsidRPr="009D5AF3">
        <w:t>Understanding the trade-offs associated with carryover decisions</w:t>
      </w:r>
      <w:r w:rsidR="009D5AF3">
        <w:t>,</w:t>
      </w:r>
      <w:r w:rsidR="009D5AF3" w:rsidRPr="009D5AF3">
        <w:t xml:space="preserve"> </w:t>
      </w:r>
      <w:r w:rsidR="00887CC4">
        <w:t xml:space="preserve">Victorian </w:t>
      </w:r>
      <w:r w:rsidR="004B27B3">
        <w:t>Government</w:t>
      </w:r>
      <w:r w:rsidR="00887CC4">
        <w:t xml:space="preserve"> factsheet prepared by Frontier Economics in 2013 </w:t>
      </w:r>
      <w:r>
        <w:t>https://waterregister.vic.gov.au/images/documents/Trade-offs%20in%20carryover%20decisions.pdf</w:t>
      </w:r>
    </w:p>
  </w:footnote>
  <w:footnote w:id="19">
    <w:p w14:paraId="050E3640" w14:textId="5E8A36B3" w:rsidR="00A2153D" w:rsidRDefault="00A2153D" w:rsidP="00A2153D">
      <w:pPr>
        <w:pStyle w:val="FootnoteText"/>
        <w:rPr>
          <w:lang w:val="en-US"/>
        </w:rPr>
      </w:pPr>
      <w:r>
        <w:rPr>
          <w:rStyle w:val="FootnoteReference"/>
        </w:rPr>
        <w:footnoteRef/>
      </w:r>
      <w:r>
        <w:t xml:space="preserve"> </w:t>
      </w:r>
      <w:r>
        <w:tab/>
      </w:r>
      <w:r w:rsidR="009D5AF3">
        <w:t xml:space="preserve">GMW </w:t>
      </w:r>
      <w:r w:rsidR="009D5AF3" w:rsidRPr="009D5AF3">
        <w:t>2022/23 Prices and Schedule of Charges</w:t>
      </w:r>
      <w:r w:rsidR="009D5AF3">
        <w:t>,</w:t>
      </w:r>
      <w:r w:rsidR="009D5AF3" w:rsidRPr="009D5AF3">
        <w:t xml:space="preserve"> </w:t>
      </w:r>
      <w:r>
        <w:t>https://www.g-mwater.com.au/downloads/gmw/Pricing_List/20220629Form_GMW_Pricing_Table_2022.pdf</w:t>
      </w:r>
    </w:p>
  </w:footnote>
  <w:footnote w:id="20">
    <w:p w14:paraId="0D43ED4D" w14:textId="3AFB763B" w:rsidR="00A2153D" w:rsidRDefault="00A2153D" w:rsidP="00A2153D">
      <w:pPr>
        <w:pStyle w:val="FootnoteText"/>
        <w:rPr>
          <w:lang w:val="en-US"/>
        </w:rPr>
      </w:pPr>
      <w:r>
        <w:rPr>
          <w:rStyle w:val="FootnoteReference"/>
        </w:rPr>
        <w:footnoteRef/>
      </w:r>
      <w:r>
        <w:t xml:space="preserve"> </w:t>
      </w:r>
      <w:r>
        <w:tab/>
      </w:r>
      <w:r w:rsidR="000510EF" w:rsidRPr="000510EF">
        <w:t>Department for Environment and Water 2022</w:t>
      </w:r>
      <w:r w:rsidR="009D5AF3">
        <w:t xml:space="preserve">, </w:t>
      </w:r>
      <w:r w:rsidR="009D5AF3" w:rsidRPr="009D5AF3">
        <w:t>Carryover and other options</w:t>
      </w:r>
      <w:r w:rsidR="009D5AF3">
        <w:t>,</w:t>
      </w:r>
      <w:r w:rsidR="009D5AF3" w:rsidRPr="009D5AF3">
        <w:t xml:space="preserve"> </w:t>
      </w:r>
      <w:r>
        <w:t>https://www.environment.sa.gov.au/topics/river-murray/water-allocation/carryover-and-other-options</w:t>
      </w:r>
    </w:p>
  </w:footnote>
  <w:footnote w:id="21">
    <w:p w14:paraId="01F3515B" w14:textId="1F7FD316" w:rsidR="00A2153D" w:rsidRDefault="00A2153D" w:rsidP="00A2153D">
      <w:pPr>
        <w:pStyle w:val="FootnoteText"/>
        <w:rPr>
          <w:lang w:val="en-US"/>
        </w:rPr>
      </w:pPr>
      <w:r>
        <w:rPr>
          <w:rStyle w:val="FootnoteReference"/>
        </w:rPr>
        <w:footnoteRef/>
      </w:r>
      <w:r>
        <w:t xml:space="preserve"> </w:t>
      </w:r>
      <w:r>
        <w:rPr>
          <w:lang w:val="en-US"/>
        </w:rPr>
        <w:tab/>
        <w:t>ACCC water markets inquiry, s15.2.</w:t>
      </w:r>
      <w:r w:rsidR="006D0EAA">
        <w:rPr>
          <w:lang w:val="en-US"/>
        </w:rPr>
        <w:t xml:space="preserve"> (ACCC </w:t>
      </w:r>
      <w:r w:rsidR="00027D61">
        <w:rPr>
          <w:lang w:val="en-US"/>
        </w:rPr>
        <w:t>2021)</w:t>
      </w:r>
    </w:p>
  </w:footnote>
  <w:footnote w:id="22">
    <w:p w14:paraId="17D47EC0" w14:textId="522820DE" w:rsidR="00601460" w:rsidRDefault="00601460" w:rsidP="00601460">
      <w:pPr>
        <w:pStyle w:val="FootnoteText"/>
      </w:pPr>
      <w:r>
        <w:rPr>
          <w:rStyle w:val="FootnoteReference"/>
        </w:rPr>
        <w:footnoteRef/>
      </w:r>
      <w:r>
        <w:t xml:space="preserve"> </w:t>
      </w:r>
      <w:r>
        <w:tab/>
        <w:t xml:space="preserve">Victoria passed changes to the </w:t>
      </w:r>
      <w:r>
        <w:rPr>
          <w:i/>
          <w:iCs/>
        </w:rPr>
        <w:t>Water Act 1989</w:t>
      </w:r>
      <w:r>
        <w:t xml:space="preserve"> in October 2021 to provide the legislative framework needed to strengthen delivery rights by improving regulation of the places and times that water is taken. A new delivery rights framework is expected to start to be introduced from 1 July 2023 when these legislative changes come into effect. </w:t>
      </w:r>
    </w:p>
  </w:footnote>
  <w:footnote w:id="23">
    <w:p w14:paraId="5889A2F8" w14:textId="55666203" w:rsidR="008E10E6" w:rsidRPr="008E10E6" w:rsidRDefault="008E10E6">
      <w:pPr>
        <w:pStyle w:val="FootnoteText"/>
        <w:rPr>
          <w:lang w:val="en-US"/>
        </w:rPr>
      </w:pPr>
      <w:r>
        <w:rPr>
          <w:rStyle w:val="FootnoteReference"/>
        </w:rPr>
        <w:footnoteRef/>
      </w:r>
      <w:r>
        <w:t xml:space="preserve"> </w:t>
      </w:r>
      <w:r>
        <w:rPr>
          <w:lang w:val="en-US"/>
        </w:rPr>
        <w:tab/>
        <w:t>Saputo 2021 Annual report.</w:t>
      </w:r>
    </w:p>
  </w:footnote>
  <w:footnote w:id="24">
    <w:p w14:paraId="3FDF4D5B" w14:textId="559208F0" w:rsidR="008E10E6" w:rsidRPr="008E10E6" w:rsidRDefault="008E10E6">
      <w:pPr>
        <w:pStyle w:val="FootnoteText"/>
        <w:rPr>
          <w:lang w:val="en-US"/>
        </w:rPr>
      </w:pPr>
      <w:r>
        <w:rPr>
          <w:rStyle w:val="FootnoteReference"/>
        </w:rPr>
        <w:footnoteRef/>
      </w:r>
      <w:r>
        <w:t xml:space="preserve"> </w:t>
      </w:r>
      <w:r>
        <w:rPr>
          <w:lang w:val="en-US"/>
        </w:rPr>
        <w:tab/>
        <w:t>Dairy Australia, pers. comm.</w:t>
      </w:r>
    </w:p>
  </w:footnote>
  <w:footnote w:id="25">
    <w:p w14:paraId="3FFB8D10" w14:textId="122F020D" w:rsidR="00A2153D" w:rsidRDefault="00A2153D" w:rsidP="00A2153D">
      <w:pPr>
        <w:pStyle w:val="FootnoteText"/>
      </w:pPr>
      <w:r>
        <w:rPr>
          <w:rStyle w:val="FootnoteReference"/>
        </w:rPr>
        <w:footnoteRef/>
      </w:r>
      <w:r>
        <w:t xml:space="preserve"> </w:t>
      </w:r>
      <w:r>
        <w:tab/>
        <w:t>The most recent available ABS information on GVIAP are estimates for 2017-18, which were release in May 2019.</w:t>
      </w:r>
    </w:p>
  </w:footnote>
  <w:footnote w:id="26">
    <w:p w14:paraId="7C1C1AB0" w14:textId="5C135A2C" w:rsidR="00992D97" w:rsidRPr="00992D97" w:rsidRDefault="00992D97">
      <w:pPr>
        <w:pStyle w:val="FootnoteText"/>
        <w:rPr>
          <w:lang w:val="en-US"/>
        </w:rPr>
      </w:pPr>
      <w:r>
        <w:rPr>
          <w:rStyle w:val="FootnoteReference"/>
        </w:rPr>
        <w:footnoteRef/>
      </w:r>
      <w:r>
        <w:t xml:space="preserve"> </w:t>
      </w:r>
      <w:r>
        <w:rPr>
          <w:lang w:val="en-US"/>
        </w:rPr>
        <w:tab/>
      </w:r>
      <w:r w:rsidRPr="00992D97">
        <w:rPr>
          <w:lang w:val="en-US"/>
        </w:rPr>
        <w:t xml:space="preserve">110% for </w:t>
      </w:r>
      <w:r>
        <w:rPr>
          <w:lang w:val="en-US"/>
        </w:rPr>
        <w:t xml:space="preserve">NSW </w:t>
      </w:r>
      <w:r w:rsidRPr="00992D97">
        <w:rPr>
          <w:lang w:val="en-US"/>
        </w:rPr>
        <w:t>Murray general security</w:t>
      </w:r>
      <w:r>
        <w:rPr>
          <w:lang w:val="en-US"/>
        </w:rPr>
        <w:t xml:space="preserve"> entitlements.</w:t>
      </w:r>
    </w:p>
  </w:footnote>
  <w:footnote w:id="27">
    <w:p w14:paraId="16F7193D" w14:textId="77777777" w:rsidR="00004F45" w:rsidRDefault="00004F45" w:rsidP="00004F45">
      <w:pPr>
        <w:pStyle w:val="FootnoteText"/>
        <w:rPr>
          <w:lang w:val="en-US"/>
        </w:rPr>
      </w:pPr>
      <w:r>
        <w:rPr>
          <w:rStyle w:val="FootnoteReference"/>
        </w:rPr>
        <w:footnoteRef/>
      </w:r>
      <w:r>
        <w:t xml:space="preserve"> </w:t>
      </w:r>
      <w:r>
        <w:rPr>
          <w:lang w:val="en-US"/>
        </w:rPr>
        <w:tab/>
        <w:t>Green J &amp; Moggridge B (2021). Australia state of the environment 2021: inland water, independent report to the Australian Government Minister for the Environment, Commonwealth of Australia, p. 91, https://soe.dcceew.gov.au/sites/default/files/2022-07/soe2021-inland-water.pdf</w:t>
      </w:r>
    </w:p>
  </w:footnote>
  <w:footnote w:id="28">
    <w:p w14:paraId="73DAD230" w14:textId="6C2ACBEB" w:rsidR="00004F45" w:rsidRDefault="00004F45" w:rsidP="00004F45">
      <w:pPr>
        <w:pStyle w:val="FootnoteText"/>
        <w:rPr>
          <w:lang w:val="en-US"/>
        </w:rPr>
      </w:pPr>
      <w:r>
        <w:rPr>
          <w:rStyle w:val="FootnoteReference"/>
        </w:rPr>
        <w:footnoteRef/>
      </w:r>
      <w:r>
        <w:t xml:space="preserve"> </w:t>
      </w:r>
      <w:r>
        <w:rPr>
          <w:lang w:val="en-US"/>
        </w:rPr>
        <w:tab/>
      </w:r>
      <w:r w:rsidR="00323104">
        <w:rPr>
          <w:lang w:val="en-US"/>
        </w:rPr>
        <w:t xml:space="preserve">NCEconomics 2017, </w:t>
      </w:r>
      <w:r w:rsidR="00323104" w:rsidRPr="00323104">
        <w:rPr>
          <w:lang w:val="en-US"/>
        </w:rPr>
        <w:t>Review of the Commonwealth Environmental Water Holder’s</w:t>
      </w:r>
      <w:r w:rsidR="00323104">
        <w:rPr>
          <w:lang w:val="en-US"/>
        </w:rPr>
        <w:t xml:space="preserve"> </w:t>
      </w:r>
      <w:r w:rsidR="00323104" w:rsidRPr="00323104">
        <w:rPr>
          <w:lang w:val="en-US"/>
        </w:rPr>
        <w:t>operations and business processes</w:t>
      </w:r>
      <w:r w:rsidR="00323104">
        <w:rPr>
          <w:lang w:val="en-US"/>
        </w:rPr>
        <w:t xml:space="preserve">, </w:t>
      </w:r>
      <w:r>
        <w:rPr>
          <w:lang w:val="en-US"/>
        </w:rPr>
        <w:t>https://www.awe.gov.au/sites/default/files/documents/cewh-review-final-report.pdf</w:t>
      </w:r>
    </w:p>
  </w:footnote>
  <w:footnote w:id="29">
    <w:p w14:paraId="69477C33" w14:textId="335883B8" w:rsidR="000870A2" w:rsidRDefault="000870A2" w:rsidP="000870A2">
      <w:pPr>
        <w:pStyle w:val="FootnoteText"/>
        <w:rPr>
          <w:lang w:val="en-US"/>
        </w:rPr>
      </w:pPr>
      <w:r>
        <w:rPr>
          <w:rStyle w:val="FootnoteReference"/>
        </w:rPr>
        <w:footnoteRef/>
      </w:r>
      <w:r>
        <w:t xml:space="preserve"> </w:t>
      </w:r>
      <w:r>
        <w:rPr>
          <w:lang w:val="en-US"/>
        </w:rPr>
        <w:tab/>
      </w:r>
      <w:r w:rsidR="00323104">
        <w:rPr>
          <w:lang w:val="en-US"/>
        </w:rPr>
        <w:t xml:space="preserve">SCBEWC 2021, </w:t>
      </w:r>
      <w:r w:rsidR="00323104" w:rsidRPr="00323104">
        <w:rPr>
          <w:lang w:val="en-US"/>
        </w:rPr>
        <w:t>Water for the environment</w:t>
      </w:r>
      <w:r w:rsidR="00323104">
        <w:rPr>
          <w:lang w:val="en-US"/>
        </w:rPr>
        <w:t xml:space="preserve">: </w:t>
      </w:r>
      <w:r w:rsidR="00323104" w:rsidRPr="00323104">
        <w:rPr>
          <w:lang w:val="en-US"/>
        </w:rPr>
        <w:t>Southern Connected Basin Environmental Watering Committee Annual Report 2020-21</w:t>
      </w:r>
      <w:r w:rsidR="00323104">
        <w:rPr>
          <w:lang w:val="en-US"/>
        </w:rPr>
        <w:t xml:space="preserve">, </w:t>
      </w:r>
      <w:r>
        <w:rPr>
          <w:lang w:val="en-US"/>
        </w:rPr>
        <w:t>https://www.mdba.gov.au/sites/default/files/pubs/SCBEWC-water-for-the-environment-annual-report-2020-21.pdf</w:t>
      </w:r>
    </w:p>
  </w:footnote>
  <w:footnote w:id="30">
    <w:p w14:paraId="024B9391" w14:textId="299AD5F6" w:rsidR="000870A2" w:rsidRDefault="000870A2" w:rsidP="000870A2">
      <w:pPr>
        <w:pStyle w:val="FootnoteText"/>
        <w:rPr>
          <w:lang w:val="en-US"/>
        </w:rPr>
      </w:pPr>
      <w:r>
        <w:rPr>
          <w:rStyle w:val="FootnoteReference"/>
        </w:rPr>
        <w:footnoteRef/>
      </w:r>
      <w:r>
        <w:t xml:space="preserve"> </w:t>
      </w:r>
      <w:r>
        <w:rPr>
          <w:lang w:val="en-US"/>
        </w:rPr>
        <w:tab/>
      </w:r>
      <w:r w:rsidR="00323104">
        <w:rPr>
          <w:lang w:val="en-US"/>
        </w:rPr>
        <w:t xml:space="preserve">University of Melbourne 2021, </w:t>
      </w:r>
      <w:r w:rsidR="00323104" w:rsidRPr="00323104">
        <w:rPr>
          <w:lang w:val="en-US"/>
        </w:rPr>
        <w:t>Lower Goulburn Quarterly Outcomes Newsletter</w:t>
      </w:r>
      <w:r w:rsidR="00323104">
        <w:rPr>
          <w:lang w:val="en-US"/>
        </w:rPr>
        <w:t xml:space="preserve">, No.10, December, </w:t>
      </w:r>
      <w:r>
        <w:rPr>
          <w:lang w:val="en-US"/>
        </w:rPr>
        <w:t>https://www.awe.gov.au/sites/default/files/documents/lower-goulburn-quarterly-outcomes-newsletter-dec-2021.pdf</w:t>
      </w:r>
    </w:p>
  </w:footnote>
  <w:footnote w:id="31">
    <w:p w14:paraId="32A4594B" w14:textId="0D9E9697" w:rsidR="000870A2" w:rsidRDefault="000870A2" w:rsidP="000870A2">
      <w:pPr>
        <w:pStyle w:val="FootnoteText"/>
        <w:rPr>
          <w:lang w:val="en-US"/>
        </w:rPr>
      </w:pPr>
      <w:r>
        <w:rPr>
          <w:rStyle w:val="FootnoteReference"/>
        </w:rPr>
        <w:footnoteRef/>
      </w:r>
      <w:r>
        <w:t xml:space="preserve"> </w:t>
      </w:r>
      <w:r>
        <w:rPr>
          <w:lang w:val="en-US"/>
        </w:rPr>
        <w:tab/>
      </w:r>
      <w:r w:rsidR="00323104">
        <w:rPr>
          <w:lang w:val="en-US"/>
        </w:rPr>
        <w:t xml:space="preserve">CEWO 2021, </w:t>
      </w:r>
      <w:r w:rsidR="00323104" w:rsidRPr="00323104">
        <w:rPr>
          <w:lang w:val="en-US"/>
        </w:rPr>
        <w:t>Commonwealth Environmental Water Office Water Management Plan 2021–22</w:t>
      </w:r>
      <w:r w:rsidR="00323104">
        <w:rPr>
          <w:lang w:val="en-US"/>
        </w:rPr>
        <w:t xml:space="preserve">, </w:t>
      </w:r>
      <w:r>
        <w:rPr>
          <w:lang w:val="en-US"/>
        </w:rPr>
        <w:t>https://www.awe.gov.au/sites/default/files/documents/water-mgt-plan-2021-22-full.pdf</w:t>
      </w:r>
    </w:p>
  </w:footnote>
  <w:footnote w:id="32">
    <w:p w14:paraId="215B34D4" w14:textId="7FF36E78" w:rsidR="00A2153D" w:rsidRDefault="00A2153D" w:rsidP="00A2153D">
      <w:pPr>
        <w:pStyle w:val="FootnoteText"/>
        <w:rPr>
          <w:lang w:val="en-US"/>
        </w:rPr>
      </w:pPr>
      <w:r>
        <w:rPr>
          <w:rStyle w:val="FootnoteReference"/>
        </w:rPr>
        <w:footnoteRef/>
      </w:r>
      <w:r>
        <w:t xml:space="preserve"> </w:t>
      </w:r>
      <w:r>
        <w:rPr>
          <w:lang w:val="en-US"/>
        </w:rPr>
        <w:tab/>
      </w:r>
      <w:r w:rsidR="0003753E">
        <w:rPr>
          <w:lang w:val="en-US"/>
        </w:rPr>
        <w:t>DCCEEW 2022,</w:t>
      </w:r>
      <w:r w:rsidR="0003753E" w:rsidRPr="0003753E">
        <w:t xml:space="preserve"> </w:t>
      </w:r>
      <w:r w:rsidR="0003753E" w:rsidRPr="0003753E">
        <w:rPr>
          <w:lang w:val="en-US"/>
        </w:rPr>
        <w:t>Sustainable Diversion Limit adjustment mechanism and its implementation</w:t>
      </w:r>
      <w:r w:rsidR="0003753E">
        <w:rPr>
          <w:lang w:val="en-US"/>
        </w:rPr>
        <w:t xml:space="preserve">, </w:t>
      </w:r>
      <w:r>
        <w:rPr>
          <w:lang w:val="en-US"/>
        </w:rPr>
        <w:t>https://www.dcceew.gov.au/water/policy/mdb/policy/sdl-adjustment-mechanism</w:t>
      </w:r>
    </w:p>
  </w:footnote>
  <w:footnote w:id="33">
    <w:p w14:paraId="43066422" w14:textId="7995BF5D" w:rsidR="00A2153D" w:rsidRDefault="00A2153D" w:rsidP="00A2153D">
      <w:pPr>
        <w:pStyle w:val="FootnoteText"/>
        <w:rPr>
          <w:lang w:val="en-US"/>
        </w:rPr>
      </w:pPr>
      <w:r>
        <w:rPr>
          <w:rStyle w:val="FootnoteReference"/>
        </w:rPr>
        <w:footnoteRef/>
      </w:r>
      <w:r>
        <w:t xml:space="preserve"> </w:t>
      </w:r>
      <w:r>
        <w:rPr>
          <w:lang w:val="en-US"/>
        </w:rPr>
        <w:tab/>
      </w:r>
      <w:r w:rsidR="003E0F52" w:rsidRPr="003E0F52">
        <w:rPr>
          <w:lang w:val="en-US"/>
        </w:rPr>
        <w:t>First Review of the Water for the Environment Special Account</w:t>
      </w:r>
      <w:r w:rsidR="0092471E">
        <w:rPr>
          <w:lang w:val="en-US"/>
        </w:rPr>
        <w:t xml:space="preserve"> (Australian Government 2020)</w:t>
      </w:r>
      <w:r>
        <w:rPr>
          <w:lang w:val="en-US"/>
        </w:rPr>
        <w:t xml:space="preserve"> </w:t>
      </w:r>
    </w:p>
  </w:footnote>
  <w:footnote w:id="34">
    <w:p w14:paraId="102C62A8" w14:textId="1E473F8E" w:rsidR="00A2153D" w:rsidRDefault="00A2153D" w:rsidP="00A2153D">
      <w:pPr>
        <w:pStyle w:val="FootnoteText"/>
        <w:rPr>
          <w:lang w:val="en-US"/>
        </w:rPr>
      </w:pPr>
      <w:r>
        <w:rPr>
          <w:rStyle w:val="FootnoteReference"/>
        </w:rPr>
        <w:footnoteRef/>
      </w:r>
      <w:r>
        <w:t xml:space="preserve"> </w:t>
      </w:r>
      <w:r>
        <w:rPr>
          <w:lang w:val="en-US"/>
        </w:rPr>
        <w:tab/>
      </w:r>
      <w:r w:rsidR="0003753E">
        <w:rPr>
          <w:lang w:val="en-US"/>
        </w:rPr>
        <w:t>MDBA 2020,</w:t>
      </w:r>
      <w:r w:rsidR="0003753E" w:rsidRPr="0003753E">
        <w:t xml:space="preserve"> </w:t>
      </w:r>
      <w:r w:rsidR="0003753E" w:rsidRPr="0003753E">
        <w:rPr>
          <w:lang w:val="en-US"/>
        </w:rPr>
        <w:t>Annual Progress Report 2020</w:t>
      </w:r>
      <w:r w:rsidR="007E73F0">
        <w:rPr>
          <w:lang w:val="en-US"/>
        </w:rPr>
        <w:t xml:space="preserve"> </w:t>
      </w:r>
      <w:r w:rsidR="0003753E" w:rsidRPr="0003753E">
        <w:rPr>
          <w:lang w:val="en-US"/>
        </w:rPr>
        <w:t>Sustainable Diversion Limit Adjustment Mechanism</w:t>
      </w:r>
      <w:r w:rsidR="0003753E">
        <w:rPr>
          <w:lang w:val="en-US"/>
        </w:rPr>
        <w:t xml:space="preserve">, </w:t>
      </w:r>
      <w:r w:rsidR="0003753E" w:rsidRPr="0003753E">
        <w:t>https://www.mdba.gov.au/sites/default/files/pubs/Annual%20Progress%20Report%202020%20-%20Sustainable%20Diversion%20Limit%20Adjustment%20Mechanism_1.pdf</w:t>
      </w:r>
    </w:p>
  </w:footnote>
  <w:footnote w:id="35">
    <w:p w14:paraId="11D16EBF" w14:textId="585F98A0" w:rsidR="00A2153D" w:rsidRDefault="00A2153D" w:rsidP="00A2153D">
      <w:pPr>
        <w:pStyle w:val="FootnoteText"/>
        <w:rPr>
          <w:lang w:val="en-US"/>
        </w:rPr>
      </w:pPr>
      <w:r>
        <w:rPr>
          <w:rStyle w:val="FootnoteReference"/>
        </w:rPr>
        <w:footnoteRef/>
      </w:r>
      <w:r>
        <w:t xml:space="preserve"> </w:t>
      </w:r>
      <w:r>
        <w:rPr>
          <w:lang w:val="en-US"/>
        </w:rPr>
        <w:tab/>
      </w:r>
      <w:r w:rsidR="003E0F52">
        <w:rPr>
          <w:lang w:val="en-US"/>
        </w:rPr>
        <w:t xml:space="preserve">VMFRP 2019, </w:t>
      </w:r>
      <w:r w:rsidR="003E0F52" w:rsidRPr="003E0F52">
        <w:rPr>
          <w:lang w:val="en-US"/>
        </w:rPr>
        <w:t>Murray Floodplain Restoration Project Begins</w:t>
      </w:r>
      <w:r w:rsidR="003E0F52">
        <w:rPr>
          <w:lang w:val="en-US"/>
        </w:rPr>
        <w:t xml:space="preserve">, </w:t>
      </w:r>
      <w:r w:rsidR="003E0F52" w:rsidRPr="003E0F52">
        <w:rPr>
          <w:lang w:val="en-US"/>
        </w:rPr>
        <w:t>https://www.vmfrp.com.au/media-releases/murray-floodplain-restoration-project-begins</w:t>
      </w:r>
      <w:r>
        <w:rPr>
          <w:lang w:val="en-US"/>
        </w:rPr>
        <w:t xml:space="preserve"> </w:t>
      </w:r>
    </w:p>
  </w:footnote>
  <w:footnote w:id="36">
    <w:p w14:paraId="4A8EC61C" w14:textId="77777777" w:rsidR="00A2153D" w:rsidRDefault="00A2153D" w:rsidP="00A2153D">
      <w:pPr>
        <w:pStyle w:val="FootnoteText"/>
        <w:rPr>
          <w:lang w:val="en-US"/>
        </w:rPr>
      </w:pPr>
      <w:r>
        <w:rPr>
          <w:rStyle w:val="FootnoteReference"/>
        </w:rPr>
        <w:footnoteRef/>
      </w:r>
      <w:r>
        <w:t xml:space="preserve"> </w:t>
      </w:r>
      <w:r>
        <w:tab/>
        <w:t>These criteria are reproduced in Appendix 1.</w:t>
      </w:r>
    </w:p>
  </w:footnote>
  <w:footnote w:id="37">
    <w:p w14:paraId="2F02E1EA" w14:textId="1884DAEA" w:rsidR="00135242" w:rsidRDefault="00135242">
      <w:pPr>
        <w:pStyle w:val="FootnoteText"/>
      </w:pPr>
      <w:r>
        <w:rPr>
          <w:rStyle w:val="FootnoteReference"/>
        </w:rPr>
        <w:footnoteRef/>
      </w:r>
      <w:r>
        <w:t xml:space="preserve"> </w:t>
      </w:r>
      <w:r>
        <w:tab/>
        <w:t xml:space="preserve">Sefton Report, </w:t>
      </w:r>
      <w:r w:rsidR="002B27CE">
        <w:t>p.64.</w:t>
      </w:r>
      <w:r w:rsidR="009355C2">
        <w:t>(Sefton et al 2020)</w:t>
      </w:r>
    </w:p>
  </w:footnote>
  <w:footnote w:id="38">
    <w:p w14:paraId="5EA1C6B1" w14:textId="4DCAFAC2" w:rsidR="00A2153D" w:rsidRDefault="00A2153D" w:rsidP="00A2153D">
      <w:pPr>
        <w:pStyle w:val="FootnoteText"/>
        <w:rPr>
          <w:lang w:val="en-US"/>
        </w:rPr>
      </w:pPr>
      <w:r>
        <w:rPr>
          <w:rStyle w:val="FootnoteReference"/>
        </w:rPr>
        <w:footnoteRef/>
      </w:r>
      <w:r>
        <w:t xml:space="preserve"> </w:t>
      </w:r>
      <w:r>
        <w:rPr>
          <w:lang w:val="en-US"/>
        </w:rPr>
        <w:tab/>
        <w:t xml:space="preserve">For example, </w:t>
      </w:r>
      <w:r w:rsidRPr="009672E3">
        <w:rPr>
          <w:lang w:val="en-US"/>
        </w:rPr>
        <w:t>https://www.theguardian.com/australia-news/2022/jul/18/calls-for-more-water-buybacks-to-sustain-murray-darling-basin-as-government-continues-to-fall-short-of-target</w:t>
      </w:r>
      <w:r>
        <w:rPr>
          <w:lang w:val="en-US"/>
        </w:rPr>
        <w:t xml:space="preserve"> </w:t>
      </w:r>
    </w:p>
  </w:footnote>
  <w:footnote w:id="39">
    <w:p w14:paraId="7F504B24" w14:textId="77777777" w:rsidR="00A2153D" w:rsidRDefault="00A2153D" w:rsidP="00A2153D">
      <w:pPr>
        <w:pStyle w:val="FootnoteText"/>
        <w:rPr>
          <w:lang w:val="en-US"/>
        </w:rPr>
      </w:pPr>
      <w:r>
        <w:rPr>
          <w:rStyle w:val="FootnoteReference"/>
        </w:rPr>
        <w:footnoteRef/>
      </w:r>
      <w:r>
        <w:t xml:space="preserve"> </w:t>
      </w:r>
      <w:r>
        <w:rPr>
          <w:lang w:val="en-US"/>
        </w:rPr>
        <w:tab/>
        <w:t>Commonwealth Environmental Water Office Water Management Plan 2021-22, p. 184.</w:t>
      </w:r>
    </w:p>
  </w:footnote>
  <w:footnote w:id="40">
    <w:p w14:paraId="465F91EC" w14:textId="77777777" w:rsidR="00A2153D" w:rsidRDefault="00A2153D" w:rsidP="00A2153D">
      <w:pPr>
        <w:pStyle w:val="FootnoteText"/>
        <w:rPr>
          <w:lang w:val="en-US"/>
        </w:rPr>
      </w:pPr>
      <w:r>
        <w:rPr>
          <w:rStyle w:val="FootnoteReference"/>
        </w:rPr>
        <w:footnoteRef/>
      </w:r>
      <w:r>
        <w:t xml:space="preserve"> </w:t>
      </w:r>
      <w:r>
        <w:rPr>
          <w:lang w:val="en-US"/>
        </w:rPr>
        <w:tab/>
        <w:t>Victorian Environmental Water Holder Annual Report 2020-21, p.27.</w:t>
      </w:r>
    </w:p>
  </w:footnote>
  <w:footnote w:id="41">
    <w:p w14:paraId="5B6DEFA9" w14:textId="77777777" w:rsidR="00A2153D" w:rsidRDefault="00A2153D" w:rsidP="00A2153D">
      <w:pPr>
        <w:pStyle w:val="FootnoteText"/>
        <w:rPr>
          <w:lang w:val="en-US"/>
        </w:rPr>
      </w:pPr>
      <w:r>
        <w:rPr>
          <w:rStyle w:val="FootnoteReference"/>
        </w:rPr>
        <w:footnoteRef/>
      </w:r>
      <w:r>
        <w:t xml:space="preserve"> </w:t>
      </w:r>
      <w:r>
        <w:rPr>
          <w:lang w:val="en-US"/>
        </w:rPr>
        <w:tab/>
        <w:t>Horne et al 2020, Kaiela (Lower Goulburn River) Environmental Flows Study, p. 29.</w:t>
      </w:r>
    </w:p>
  </w:footnote>
  <w:footnote w:id="42">
    <w:p w14:paraId="239019F0" w14:textId="75371133" w:rsidR="00A2153D" w:rsidRDefault="00A2153D" w:rsidP="00A2153D">
      <w:pPr>
        <w:pStyle w:val="FootnoteText"/>
        <w:rPr>
          <w:lang w:val="en-US"/>
        </w:rPr>
      </w:pPr>
      <w:r>
        <w:rPr>
          <w:rStyle w:val="FootnoteReference"/>
        </w:rPr>
        <w:footnoteRef/>
      </w:r>
      <w:r>
        <w:t xml:space="preserve"> </w:t>
      </w:r>
      <w:r>
        <w:rPr>
          <w:lang w:val="en-US"/>
        </w:rPr>
        <w:tab/>
      </w:r>
      <w:r>
        <w:t xml:space="preserve">As discussed in </w:t>
      </w:r>
      <w:r>
        <w:fldChar w:fldCharType="begin"/>
      </w:r>
      <w:r>
        <w:instrText xml:space="preserve"> REF _Ref108092917 \h </w:instrText>
      </w:r>
      <w:r>
        <w:fldChar w:fldCharType="separate"/>
      </w:r>
      <w:r w:rsidR="00D4298A">
        <w:rPr>
          <w:rStyle w:val="Bold"/>
        </w:rPr>
        <w:t xml:space="preserve">Figure </w:t>
      </w:r>
      <w:r w:rsidR="00D4298A">
        <w:rPr>
          <w:rStyle w:val="Bold"/>
          <w:noProof/>
        </w:rPr>
        <w:t>11</w:t>
      </w:r>
      <w:r>
        <w:fldChar w:fldCharType="end"/>
      </w:r>
      <w:r>
        <w:t>, carryover rules protect entitlement reliability by requiring carryover water to be forfeited/spilled in preference to some other volumes.</w:t>
      </w:r>
    </w:p>
  </w:footnote>
  <w:footnote w:id="43">
    <w:p w14:paraId="51210BD1" w14:textId="4760ACC5" w:rsidR="00E2229D" w:rsidRDefault="00E2229D">
      <w:pPr>
        <w:pStyle w:val="FootnoteText"/>
      </w:pPr>
      <w:r>
        <w:rPr>
          <w:rStyle w:val="FootnoteReference"/>
        </w:rPr>
        <w:footnoteRef/>
      </w:r>
      <w:r>
        <w:t xml:space="preserve"> </w:t>
      </w:r>
      <w:r>
        <w:tab/>
      </w:r>
      <w:r w:rsidR="00CB7C97" w:rsidRPr="00CB7C97">
        <w:t>Efficiency Measures – Agreed Criteria</w:t>
      </w:r>
      <w:r w:rsidR="00CB7C97">
        <w:t xml:space="preserve">; </w:t>
      </w:r>
      <w:r w:rsidRPr="00E2229D">
        <w:t>https://haveyoursay.agriculture.gov.au/40641/documents/95243/download</w:t>
      </w:r>
    </w:p>
  </w:footnote>
  <w:footnote w:id="44">
    <w:p w14:paraId="74DF9251" w14:textId="77777777" w:rsidR="00A2153D" w:rsidRDefault="00A2153D" w:rsidP="00A2153D">
      <w:pPr>
        <w:pStyle w:val="FootnoteText"/>
        <w:rPr>
          <w:lang w:val="en-US"/>
        </w:rPr>
      </w:pPr>
      <w:r>
        <w:rPr>
          <w:rStyle w:val="FootnoteReference"/>
        </w:rPr>
        <w:footnoteRef/>
      </w:r>
      <w:r>
        <w:t xml:space="preserve"> ‘program’ refers to an initiative that can be consulted on and discussed with community before project implementation</w:t>
      </w:r>
    </w:p>
  </w:footnote>
  <w:footnote w:id="45">
    <w:p w14:paraId="1C741C27" w14:textId="36D45407" w:rsidR="00737269" w:rsidRDefault="00737269" w:rsidP="00737269">
      <w:pPr>
        <w:pStyle w:val="FootnoteText"/>
      </w:pPr>
      <w:r>
        <w:rPr>
          <w:rStyle w:val="FootnoteReference"/>
        </w:rPr>
        <w:footnoteRef/>
      </w:r>
      <w:r>
        <w:t xml:space="preserve"> </w:t>
      </w:r>
      <w:r w:rsidR="00AF5F5B">
        <w:tab/>
      </w:r>
      <w:r>
        <w:t>These grants</w:t>
      </w:r>
      <w:r w:rsidRPr="00FD1AF3">
        <w:t xml:space="preserve"> were likely to have been from the Sustainable Rural Water Use and Infrastructure Program (SRWUIP), although it is possible a small number received grants from other programs that were run in the same regions as SRWUIP-related grants)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6F004" w14:textId="6850987F" w:rsidR="00B62909" w:rsidRPr="00122CA4" w:rsidRDefault="00713452" w:rsidP="00B62909">
    <w:pPr>
      <w:pStyle w:val="Header"/>
      <w:pBdr>
        <w:bottom w:val="none" w:sz="0" w:space="0" w:color="auto"/>
      </w:pBdr>
      <w:rPr>
        <w:rFonts w:ascii="Open Sans Light" w:hAnsi="Open Sans Light" w:cs="Open Sans Light"/>
        <w:b w:val="0"/>
        <w:bCs/>
      </w:rPr>
    </w:pPr>
    <w:r w:rsidRPr="00122CA4">
      <w:rPr>
        <w:b w:val="0"/>
        <w:bCs/>
      </w:rPr>
      <mc:AlternateContent>
        <mc:Choice Requires="wps">
          <w:drawing>
            <wp:anchor distT="45720" distB="45720" distL="114300" distR="114300" simplePos="0" relativeHeight="251658240" behindDoc="1" locked="1" layoutInCell="1" allowOverlap="1" wp14:anchorId="06AD5EB1" wp14:editId="4416695E">
              <wp:simplePos x="0" y="0"/>
              <wp:positionH relativeFrom="margin">
                <wp:posOffset>5467350</wp:posOffset>
              </wp:positionH>
              <wp:positionV relativeFrom="page">
                <wp:posOffset>15240</wp:posOffset>
              </wp:positionV>
              <wp:extent cx="256540" cy="571500"/>
              <wp:effectExtent l="0" t="0" r="1016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571500"/>
                      </a:xfrm>
                      <a:prstGeom prst="rect">
                        <a:avLst/>
                      </a:prstGeom>
                      <a:noFill/>
                      <a:ln w="9525">
                        <a:noFill/>
                        <a:miter lim="800000"/>
                        <a:headEnd/>
                        <a:tailEnd/>
                      </a:ln>
                    </wps:spPr>
                    <wps:txbx>
                      <w:txbxContent>
                        <w:p w14:paraId="3DDE1852" w14:textId="77777777" w:rsidR="00713452" w:rsidRPr="00212D06" w:rsidRDefault="00713452" w:rsidP="00212D06">
                          <w:pPr>
                            <w:jc w:val="right"/>
                            <w:rPr>
                              <w:color w:val="FFFFFF" w:themeColor="background1"/>
                              <w:sz w:val="18"/>
                              <w:szCs w:val="18"/>
                            </w:rPr>
                          </w:pPr>
                          <w:r w:rsidRPr="00212D06">
                            <w:rPr>
                              <w:color w:val="FFFFFF" w:themeColor="background1"/>
                              <w:sz w:val="18"/>
                              <w:szCs w:val="18"/>
                            </w:rPr>
                            <w:fldChar w:fldCharType="begin"/>
                          </w:r>
                          <w:r w:rsidRPr="00212D06">
                            <w:rPr>
                              <w:color w:val="FFFFFF" w:themeColor="background1"/>
                              <w:sz w:val="18"/>
                              <w:szCs w:val="18"/>
                            </w:rPr>
                            <w:instrText xml:space="preserve"> PAGE   \* MERGEFORMAT </w:instrText>
                          </w:r>
                          <w:r w:rsidRPr="00212D06">
                            <w:rPr>
                              <w:color w:val="FFFFFF" w:themeColor="background1"/>
                              <w:sz w:val="18"/>
                              <w:szCs w:val="18"/>
                            </w:rPr>
                            <w:fldChar w:fldCharType="separate"/>
                          </w:r>
                          <w:r w:rsidRPr="00212D06">
                            <w:rPr>
                              <w:noProof/>
                              <w:color w:val="FFFFFF" w:themeColor="background1"/>
                              <w:sz w:val="18"/>
                              <w:szCs w:val="18"/>
                            </w:rPr>
                            <w:t>1</w:t>
                          </w:r>
                          <w:r w:rsidRPr="00212D06">
                            <w:rPr>
                              <w:noProof/>
                              <w:color w:val="FFFFFF" w:themeColor="background1"/>
                              <w:sz w:val="18"/>
                              <w:szCs w:val="18"/>
                            </w:rPr>
                            <w:fldChar w:fldCharType="end"/>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6AD5EB1" id="_x0000_t202" coordsize="21600,21600" o:spt="202" path="m,l,21600r21600,l21600,xe">
              <v:stroke joinstyle="miter"/>
              <v:path gradientshapeok="t" o:connecttype="rect"/>
            </v:shapetype>
            <v:shape id="_x0000_s1033" type="#_x0000_t202" style="position:absolute;left:0;text-align:left;margin-left:430.5pt;margin-top:1.2pt;width:20.2pt;height:4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" filled="f" stroked="f">
              <v:textbox inset="0,0,0,0">
                <w:txbxContent>
                  <w:p w14:paraId="3DDE1852" w14:textId="77777777" w:rsidR="00713452" w:rsidRPr="00212D06" w:rsidRDefault="00713452" w:rsidP="00212D06">
                    <w:pPr>
                      <w:jc w:val="right"/>
                      <w:rPr>
                        <w:color w:val="FFFFFF" w:themeColor="background1"/>
                        <w:sz w:val="18"/>
                        <w:szCs w:val="18"/>
                      </w:rPr>
                    </w:pPr>
                    <w:r w:rsidRPr="00212D06">
                      <w:rPr>
                        <w:color w:val="FFFFFF" w:themeColor="background1"/>
                        <w:sz w:val="18"/>
                        <w:szCs w:val="18"/>
                      </w:rPr>
                      <w:fldChar w:fldCharType="begin"/>
                    </w:r>
                    <w:r w:rsidRPr="00212D06">
                      <w:rPr>
                        <w:color w:val="FFFFFF" w:themeColor="background1"/>
                        <w:sz w:val="18"/>
                        <w:szCs w:val="18"/>
                      </w:rPr>
                      <w:instrText xml:space="preserve"> PAGE   \* MERGEFORMAT </w:instrText>
                    </w:r>
                    <w:r w:rsidRPr="00212D06">
                      <w:rPr>
                        <w:color w:val="FFFFFF" w:themeColor="background1"/>
                        <w:sz w:val="18"/>
                        <w:szCs w:val="18"/>
                      </w:rPr>
                      <w:fldChar w:fldCharType="separate"/>
                    </w:r>
                    <w:r w:rsidRPr="00212D06">
                      <w:rPr>
                        <w:noProof/>
                        <w:color w:val="FFFFFF" w:themeColor="background1"/>
                        <w:sz w:val="18"/>
                        <w:szCs w:val="18"/>
                      </w:rPr>
                      <w:t>1</w:t>
                    </w:r>
                    <w:r w:rsidRPr="00212D06">
                      <w:rPr>
                        <w:noProof/>
                        <w:color w:val="FFFFFF" w:themeColor="background1"/>
                        <w:sz w:val="18"/>
                        <w:szCs w:val="18"/>
                      </w:rPr>
                      <w:fldChar w:fldCharType="end"/>
                    </w:r>
                  </w:p>
                </w:txbxContent>
              </v:textbox>
              <w10:wrap anchorx="margin" anchory="page"/>
              <w10:anchorlock/>
            </v:shape>
          </w:pict>
        </mc:Fallback>
      </mc:AlternateContent>
    </w:r>
    <w:sdt>
      <w:sdtPr>
        <w:rPr>
          <w:rFonts w:ascii="Open Sans Light" w:hAnsi="Open Sans Light" w:cs="Open Sans Light"/>
          <w:b w:val="0"/>
          <w:bCs/>
        </w:rPr>
        <w:alias w:val="Report Title"/>
        <w:tag w:val="ReportTitle"/>
        <w:id w:val="420300993"/>
        <w:dataBinding w:xpath="/root[1]/ReportTitle[1]" w:storeItemID="{8A6671F6-5EF9-4802-9226-F59F66B71F67}"/>
        <w:text/>
      </w:sdtPr>
      <w:sdtContent>
        <w:r w:rsidR="004570C8">
          <w:rPr>
            <w:rFonts w:ascii="Open Sans Light" w:hAnsi="Open Sans Light" w:cs="Open Sans Light"/>
            <w:b w:val="0"/>
            <w:bCs/>
          </w:rPr>
          <w:t>Social and economic impacts of Basin Plan water recovery in Victoria</w:t>
        </w:r>
      </w:sdtContent>
    </w:sdt>
  </w:p>
  <w:p w14:paraId="23629F66" w14:textId="77777777" w:rsidR="00713452" w:rsidRPr="00C84082" w:rsidRDefault="00B62909" w:rsidP="00B62909">
    <w:pPr>
      <w:pStyle w:val="Header"/>
      <w:pBdr>
        <w:bottom w:val="none" w:sz="0" w:space="0" w:color="auto"/>
      </w:pBdr>
    </w:pPr>
    <w:r>
      <w:rPr>
        <w:b w:val="0"/>
        <w:color w:val="6A7177"/>
      </w:rPr>
      <w:drawing>
        <wp:inline distT="0" distB="0" distL="0" distR="0" wp14:anchorId="2AD5166A" wp14:editId="4BC99D20">
          <wp:extent cx="615600" cy="1237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 Powerpoint_graphic_device_1_dots.emf"/>
                  <pic:cNvPicPr/>
                </pic:nvPicPr>
                <pic:blipFill>
                  <a:blip r:embed="rId1">
                    <a:extLst>
                      <a:ext uri="{28A0092B-C50C-407E-A947-70E740481C1C}">
                        <a14:useLocalDpi xmlns:a14="http://schemas.microsoft.com/office/drawing/2010/main" val="0"/>
                      </a:ext>
                    </a:extLst>
                  </a:blip>
                  <a:stretch>
                    <a:fillRect/>
                  </a:stretch>
                </pic:blipFill>
                <pic:spPr>
                  <a:xfrm>
                    <a:off x="0" y="0"/>
                    <a:ext cx="615600" cy="123731"/>
                  </a:xfrm>
                  <a:prstGeom prst="rect">
                    <a:avLst/>
                  </a:prstGeom>
                </pic:spPr>
              </pic:pic>
            </a:graphicData>
          </a:graphic>
        </wp:inline>
      </w:drawing>
    </w:r>
    <w:r w:rsidR="000D5B52" w:rsidRPr="000D5B52">
      <w:rPr>
        <w:b w:val="0"/>
        <w:color w:val="6A7177"/>
      </w:rPr>
      <mc:AlternateContent>
        <mc:Choice Requires="wps">
          <w:drawing>
            <wp:anchor distT="45720" distB="45720" distL="114300" distR="114300" simplePos="0" relativeHeight="251658241" behindDoc="1" locked="1" layoutInCell="1" allowOverlap="1" wp14:anchorId="109DAC72" wp14:editId="0BED4066">
              <wp:simplePos x="0" y="0"/>
              <wp:positionH relativeFrom="margin">
                <wp:align>right</wp:align>
              </wp:positionH>
              <wp:positionV relativeFrom="page">
                <wp:posOffset>253365</wp:posOffset>
              </wp:positionV>
              <wp:extent cx="2638425" cy="647700"/>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647700"/>
                      </a:xfrm>
                      <a:prstGeom prst="rect">
                        <a:avLst/>
                      </a:prstGeom>
                      <a:solidFill>
                        <a:srgbClr val="FFFFFF"/>
                      </a:solidFill>
                      <a:ln w="9525">
                        <a:noFill/>
                        <a:miter lim="800000"/>
                        <a:headEnd/>
                        <a:tailEnd/>
                      </a:ln>
                    </wps:spPr>
                    <wps:txbx>
                      <w:txbxContent>
                        <w:sdt>
                          <w:sdtPr>
                            <w:rPr>
                              <w:rFonts w:ascii="Open Sans Light" w:hAnsi="Open Sans Light" w:cs="Open Sans Light"/>
                              <w:sz w:val="18"/>
                              <w:szCs w:val="18"/>
                            </w:rPr>
                            <w:alias w:val="Document Status"/>
                            <w:tag w:val="Document Status"/>
                            <w:id w:val="-87318925"/>
                            <w:dropDownList>
                              <w:listItem w:value="Choose document status:"/>
                              <w:listItem w:displayText="Draft" w:value="Draft"/>
                              <w:listItem w:displayText="Final" w:value="Final"/>
                              <w:listItem w:displayText=" " w:value="  "/>
                              <w:listItem w:displayText="Draft | Confidential" w:value="Draft | Confidential"/>
                              <w:listItem w:displayText="Final | Confidential" w:value="Final | Confidential"/>
                              <w:listItem w:displayText="Confidential" w:value="Confidential"/>
                            </w:dropDownList>
                          </w:sdtPr>
                          <w:sdtContent>
                            <w:p w14:paraId="22F5F120" w14:textId="694224C8" w:rsidR="000D5B52" w:rsidRPr="00122CA4" w:rsidRDefault="009E1CBD" w:rsidP="000D5B52">
                              <w:pPr>
                                <w:jc w:val="right"/>
                                <w:rPr>
                                  <w:rFonts w:ascii="Open Sans Light" w:hAnsi="Open Sans Light" w:cs="Open Sans Light"/>
                                  <w:sz w:val="18"/>
                                  <w:szCs w:val="18"/>
                                </w:rPr>
                              </w:pPr>
                              <w:r>
                                <w:rPr>
                                  <w:rFonts w:ascii="Open Sans Light" w:hAnsi="Open Sans Light" w:cs="Open Sans Light"/>
                                  <w:sz w:val="18"/>
                                  <w:szCs w:val="18"/>
                                </w:rPr>
                                <w:t>Final</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DAC72" id="_x0000_s1034" type="#_x0000_t202" style="position:absolute;left:0;text-align:left;margin-left:156.55pt;margin-top:19.95pt;width:207.75pt;height:51pt;z-index:-251658239;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" stroked="f">
              <v:textbox inset="0,0,0,0">
                <w:txbxContent>
                  <w:sdt>
                    <w:sdtPr>
                      <w:rPr>
                        <w:rFonts w:ascii="Open Sans Light" w:hAnsi="Open Sans Light" w:cs="Open Sans Light"/>
                        <w:sz w:val="18"/>
                        <w:szCs w:val="18"/>
                      </w:rPr>
                      <w:alias w:val="Document Status"/>
                      <w:tag w:val="Document Status"/>
                      <w:id w:val="-87318925"/>
                      <w:dropDownList>
                        <w:listItem w:value="Choose document status:"/>
                        <w:listItem w:displayText="Draft" w:value="Draft"/>
                        <w:listItem w:displayText="Final" w:value="Final"/>
                        <w:listItem w:displayText=" " w:value="  "/>
                        <w:listItem w:displayText="Draft | Confidential" w:value="Draft | Confidential"/>
                        <w:listItem w:displayText="Final | Confidential" w:value="Final | Confidential"/>
                        <w:listItem w:displayText="Confidential" w:value="Confidential"/>
                      </w:dropDownList>
                    </w:sdtPr>
                    <w:sdtContent>
                      <w:p w14:paraId="22F5F120" w14:textId="694224C8" w:rsidR="000D5B52" w:rsidRPr="00122CA4" w:rsidRDefault="009E1CBD" w:rsidP="000D5B52">
                        <w:pPr>
                          <w:jc w:val="right"/>
                          <w:rPr>
                            <w:rFonts w:ascii="Open Sans Light" w:hAnsi="Open Sans Light" w:cs="Open Sans Light"/>
                            <w:sz w:val="18"/>
                            <w:szCs w:val="18"/>
                          </w:rPr>
                        </w:pPr>
                        <w:r>
                          <w:rPr>
                            <w:rFonts w:ascii="Open Sans Light" w:hAnsi="Open Sans Light" w:cs="Open Sans Light"/>
                            <w:sz w:val="18"/>
                            <w:szCs w:val="18"/>
                          </w:rPr>
                          <w:t>Final</w:t>
                        </w:r>
                      </w:p>
                    </w:sdtContent>
                  </w:sdt>
                </w:txbxContent>
              </v:textbox>
              <w10:wrap anchorx="margin"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1E2B0" w14:textId="7FA61ED8" w:rsidR="00A34E1C" w:rsidRPr="00122CA4" w:rsidRDefault="00D7786A" w:rsidP="005D5386">
    <w:pPr>
      <w:pStyle w:val="Header"/>
      <w:pBdr>
        <w:bottom w:val="none" w:sz="0" w:space="0" w:color="auto"/>
      </w:pBdr>
      <w:rPr>
        <w:rFonts w:ascii="Open Sans Light" w:hAnsi="Open Sans Light" w:cs="Open Sans Light"/>
        <w:b w:val="0"/>
        <w:bCs/>
      </w:rPr>
    </w:pPr>
    <w:r w:rsidRPr="00122CA4">
      <w:rPr>
        <w:rFonts w:ascii="Open Sans Light" w:hAnsi="Open Sans Light" w:cs="Open Sans Light"/>
        <w:b w:val="0"/>
        <w:bCs/>
        <w:color w:val="6A7177"/>
      </w:rPr>
      <mc:AlternateContent>
        <mc:Choice Requires="wps">
          <w:drawing>
            <wp:anchor distT="45720" distB="45720" distL="114300" distR="114300" simplePos="0" relativeHeight="251658243" behindDoc="1" locked="1" layoutInCell="1" allowOverlap="1" wp14:anchorId="659C7DB2" wp14:editId="3F8EF93E">
              <wp:simplePos x="0" y="0"/>
              <wp:positionH relativeFrom="margin">
                <wp:align>right</wp:align>
              </wp:positionH>
              <wp:positionV relativeFrom="page">
                <wp:posOffset>252095</wp:posOffset>
              </wp:positionV>
              <wp:extent cx="2638800" cy="648000"/>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800" cy="648000"/>
                      </a:xfrm>
                      <a:prstGeom prst="rect">
                        <a:avLst/>
                      </a:prstGeom>
                      <a:solidFill>
                        <a:srgbClr val="FFFFFF"/>
                      </a:solidFill>
                      <a:ln w="9525">
                        <a:noFill/>
                        <a:miter lim="800000"/>
                        <a:headEnd/>
                        <a:tailEnd/>
                      </a:ln>
                    </wps:spPr>
                    <wps:txbx>
                      <w:txbxContent>
                        <w:sdt>
                          <w:sdtPr>
                            <w:rPr>
                              <w:rFonts w:ascii="Open Sans Light" w:hAnsi="Open Sans Light" w:cs="Open Sans Light"/>
                              <w:sz w:val="18"/>
                              <w:szCs w:val="18"/>
                            </w:rPr>
                            <w:alias w:val="Document Status"/>
                            <w:tag w:val="Document Status"/>
                            <w:id w:val="-1844316142"/>
                            <w:dropDownList>
                              <w:listItem w:value="Choose document status:"/>
                              <w:listItem w:displayText="Draft" w:value="Draft"/>
                              <w:listItem w:displayText="Final" w:value="Final"/>
                              <w:listItem w:displayText=" " w:value="  "/>
                              <w:listItem w:displayText="Draft | Confidential" w:value="Draft | Confidential"/>
                              <w:listItem w:displayText="Final | Confidential" w:value="Final | Confidential"/>
                              <w:listItem w:displayText="Confidential" w:value="Confidential"/>
                            </w:dropDownList>
                          </w:sdtPr>
                          <w:sdtContent>
                            <w:p w14:paraId="09F2ED75" w14:textId="462CAD07" w:rsidR="00D7786A" w:rsidRPr="009E16F7" w:rsidRDefault="00F264AD" w:rsidP="00D7786A">
                              <w:pPr>
                                <w:jc w:val="right"/>
                                <w:rPr>
                                  <w:sz w:val="18"/>
                                  <w:szCs w:val="18"/>
                                </w:rPr>
                              </w:pPr>
                              <w:r>
                                <w:rPr>
                                  <w:rFonts w:ascii="Open Sans Light" w:hAnsi="Open Sans Light" w:cs="Open Sans Light"/>
                                  <w:sz w:val="18"/>
                                  <w:szCs w:val="18"/>
                                </w:rPr>
                                <w:t>Final</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9C7DB2" id="_x0000_t202" coordsize="21600,21600" o:spt="202" path="m,l,21600r21600,l21600,xe">
              <v:stroke joinstyle="miter"/>
              <v:path gradientshapeok="t" o:connecttype="rect"/>
            </v:shapetype>
            <v:shape id="_x0000_s1038" type="#_x0000_t202" style="position:absolute;left:0;text-align:left;margin-left:156.6pt;margin-top:19.85pt;width:207.8pt;height:51pt;z-index:-251658237;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" stroked="f">
              <v:textbox inset="0,0,0,0">
                <w:txbxContent>
                  <w:sdt>
                    <w:sdtPr>
                      <w:rPr>
                        <w:rFonts w:ascii="Open Sans Light" w:hAnsi="Open Sans Light" w:cs="Open Sans Light"/>
                        <w:sz w:val="18"/>
                        <w:szCs w:val="18"/>
                      </w:rPr>
                      <w:alias w:val="Document Status"/>
                      <w:tag w:val="Document Status"/>
                      <w:id w:val="-1844316142"/>
                      <w:dropDownList>
                        <w:listItem w:value="Choose document status:"/>
                        <w:listItem w:displayText="Draft" w:value="Draft"/>
                        <w:listItem w:displayText="Final" w:value="Final"/>
                        <w:listItem w:displayText=" " w:value="  "/>
                        <w:listItem w:displayText="Draft | Confidential" w:value="Draft | Confidential"/>
                        <w:listItem w:displayText="Final | Confidential" w:value="Final | Confidential"/>
                        <w:listItem w:displayText="Confidential" w:value="Confidential"/>
                      </w:dropDownList>
                    </w:sdtPr>
                    <w:sdtContent>
                      <w:p w14:paraId="09F2ED75" w14:textId="462CAD07" w:rsidR="00D7786A" w:rsidRPr="009E16F7" w:rsidRDefault="00F264AD" w:rsidP="00D7786A">
                        <w:pPr>
                          <w:jc w:val="right"/>
                          <w:rPr>
                            <w:sz w:val="18"/>
                            <w:szCs w:val="18"/>
                          </w:rPr>
                        </w:pPr>
                        <w:r>
                          <w:rPr>
                            <w:rFonts w:ascii="Open Sans Light" w:hAnsi="Open Sans Light" w:cs="Open Sans Light"/>
                            <w:sz w:val="18"/>
                            <w:szCs w:val="18"/>
                          </w:rPr>
                          <w:t>Final</w:t>
                        </w:r>
                      </w:p>
                    </w:sdtContent>
                  </w:sdt>
                </w:txbxContent>
              </v:textbox>
              <w10:wrap anchorx="margin" anchory="page"/>
              <w10:anchorlock/>
            </v:shape>
          </w:pict>
        </mc:Fallback>
      </mc:AlternateContent>
    </w:r>
    <w:sdt>
      <w:sdtPr>
        <w:rPr>
          <w:rFonts w:ascii="Open Sans Light" w:hAnsi="Open Sans Light" w:cs="Open Sans Light"/>
          <w:b w:val="0"/>
          <w:bCs/>
        </w:rPr>
        <w:alias w:val="Report Title"/>
        <w:tag w:val="ReportTitle"/>
        <w:id w:val="-1536035873"/>
        <w:placeholder>
          <w:docPart w:val="97A9394BD0904E7A9FA782D1730BB1EF"/>
        </w:placeholder>
        <w:dataBinding w:xpath="/root[1]/ReportTitle[1]" w:storeItemID="{8A6671F6-5EF9-4802-9226-F59F66B71F67}"/>
        <w:text/>
      </w:sdtPr>
      <w:sdtContent>
        <w:r w:rsidR="004570C8">
          <w:rPr>
            <w:rFonts w:ascii="Open Sans Light" w:hAnsi="Open Sans Light" w:cs="Open Sans Light"/>
            <w:b w:val="0"/>
            <w:bCs/>
          </w:rPr>
          <w:t>Social and economic impacts of Basin Plan water recovery in Victoria</w:t>
        </w:r>
      </w:sdtContent>
    </w:sdt>
  </w:p>
  <w:p w14:paraId="1AC2574D" w14:textId="77777777" w:rsidR="00A34E1C" w:rsidRPr="00424108" w:rsidRDefault="00A34E1C" w:rsidP="005D5386">
    <w:pPr>
      <w:pStyle w:val="Header"/>
      <w:pBdr>
        <w:bottom w:val="none" w:sz="0" w:space="0" w:color="auto"/>
      </w:pBdr>
    </w:pPr>
    <w:r>
      <w:drawing>
        <wp:inline distT="0" distB="0" distL="0" distR="0" wp14:anchorId="6AFCA8B8" wp14:editId="79E19BF1">
          <wp:extent cx="615997" cy="123825"/>
          <wp:effectExtent l="0" t="0" r="0" b="0"/>
          <wp:docPr id="39"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E Powerpoint_graphic_device_1_dots.svg"/>
                  <pic:cNvPicPr/>
                </pic:nvPicPr>
                <pic:blipFill>
                  <a:blip r:embed="rId1">
                    <a:extLst>
                      <a:ext uri="{28A0092B-C50C-407E-A947-70E740481C1C}">
                        <a14:useLocalDpi xmlns:a14="http://schemas.microsoft.com/office/drawing/2010/main" val="0"/>
                      </a:ext>
                    </a:extLst>
                  </a:blip>
                  <a:stretch>
                    <a:fillRect/>
                  </a:stretch>
                </pic:blipFill>
                <pic:spPr>
                  <a:xfrm>
                    <a:off x="0" y="0"/>
                    <a:ext cx="615997" cy="12382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AFFA" w14:textId="77777777" w:rsidR="00713452" w:rsidRPr="00424108" w:rsidRDefault="00713452" w:rsidP="00C02423">
    <w:pPr>
      <w:pStyle w:val="Body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797D4" w14:textId="77777777" w:rsidR="00713452" w:rsidRDefault="00713452" w:rsidP="00C840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F0E2A"/>
    <w:multiLevelType w:val="multilevel"/>
    <w:tmpl w:val="5568FF78"/>
    <w:lvl w:ilvl="0">
      <w:start w:val="1"/>
      <w:numFmt w:val="decimal"/>
      <w:pStyle w:val="CalloutBoxcaption"/>
      <w:suff w:val="nothing"/>
      <w:lvlText w:val="Box %1"/>
      <w:lvlJc w:val="left"/>
      <w:pPr>
        <w:ind w:left="0" w:firstLine="0"/>
      </w:pPr>
      <w:rPr>
        <w:rFonts w:ascii="Open Sans" w:hAnsi="Open Sans" w:cs="Open San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8ED0A14"/>
    <w:multiLevelType w:val="hybridMultilevel"/>
    <w:tmpl w:val="D5608516"/>
    <w:lvl w:ilvl="0" w:tplc="211ED0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C46CED"/>
    <w:multiLevelType w:val="multilevel"/>
    <w:tmpl w:val="0C09001D"/>
    <w:name w:val="AppHead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4147362"/>
    <w:multiLevelType w:val="hybridMultilevel"/>
    <w:tmpl w:val="9F888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2104B6"/>
    <w:multiLevelType w:val="hybridMultilevel"/>
    <w:tmpl w:val="F4CE41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FB10A31"/>
    <w:multiLevelType w:val="multilevel"/>
    <w:tmpl w:val="0C09001D"/>
    <w:name w:val="AppHead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B017FC1"/>
    <w:multiLevelType w:val="hybridMultilevel"/>
    <w:tmpl w:val="21EEF3C4"/>
    <w:lvl w:ilvl="0" w:tplc="67386054">
      <w:start w:val="1"/>
      <w:numFmt w:val="decimal"/>
      <w:lvlText w:val="%1."/>
      <w:lvlJc w:val="left"/>
      <w:pPr>
        <w:ind w:left="720" w:hanging="360"/>
      </w:pPr>
      <w:rPr>
        <w:rFonts w:hint="default"/>
      </w:rPr>
    </w:lvl>
    <w:lvl w:ilvl="1" w:tplc="306AA0EE">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B80FB4"/>
    <w:multiLevelType w:val="multilevel"/>
    <w:tmpl w:val="8C88B2F2"/>
    <w:styleLink w:val="Numberedparagraph"/>
    <w:lvl w:ilvl="0">
      <w:start w:val="1"/>
      <w:numFmt w:val="decimal"/>
      <w:lvlText w:val="%1."/>
      <w:lvlJc w:val="left"/>
      <w:pPr>
        <w:tabs>
          <w:tab w:val="num" w:pos="851"/>
        </w:tabs>
        <w:ind w:left="851" w:hanging="851"/>
      </w:pPr>
      <w:rPr>
        <w:rFonts w:hint="default"/>
        <w:color w:val="808080" w:themeColor="background1" w:themeShade="80"/>
        <w:sz w:val="20"/>
      </w:rPr>
    </w:lvl>
    <w:lvl w:ilvl="1">
      <w:start w:val="1"/>
      <w:numFmt w:val="lowerLetter"/>
      <w:lvlText w:val="%2"/>
      <w:lvlJc w:val="left"/>
      <w:pPr>
        <w:tabs>
          <w:tab w:val="num" w:pos="1134"/>
        </w:tabs>
        <w:ind w:left="1134" w:hanging="283"/>
      </w:pPr>
      <w:rPr>
        <w:rFonts w:ascii="Open Sans" w:hAnsi="Open Sans" w:hint="default"/>
        <w:color w:val="374249" w:themeColor="text2"/>
      </w:rPr>
    </w:lvl>
    <w:lvl w:ilvl="2">
      <w:start w:val="1"/>
      <w:numFmt w:val="lowerRoman"/>
      <w:lvlText w:val="%3"/>
      <w:lvlJc w:val="left"/>
      <w:pPr>
        <w:tabs>
          <w:tab w:val="num" w:pos="1418"/>
        </w:tabs>
        <w:ind w:left="1418" w:hanging="284"/>
      </w:pPr>
      <w:rPr>
        <w:rFonts w:ascii="Open Sans" w:hAnsi="Open Sans" w:hint="default"/>
        <w:color w:val="374249" w:themeColor="text2"/>
      </w:rPr>
    </w:lvl>
    <w:lvl w:ilvl="3">
      <w:start w:val="1"/>
      <w:numFmt w:val="bullet"/>
      <w:lvlText w:val=""/>
      <w:lvlJc w:val="left"/>
      <w:pPr>
        <w:tabs>
          <w:tab w:val="num" w:pos="1701"/>
        </w:tabs>
        <w:ind w:left="1701" w:hanging="283"/>
      </w:pPr>
      <w:rPr>
        <w:rFonts w:ascii="Wingdings" w:hAnsi="Wingdings" w:hint="default"/>
      </w:rPr>
    </w:lvl>
    <w:lvl w:ilvl="4">
      <w:start w:val="1"/>
      <w:numFmt w:val="decimal"/>
      <w:lvlText w:val="%5."/>
      <w:lvlJc w:val="left"/>
      <w:pPr>
        <w:tabs>
          <w:tab w:val="num" w:pos="1134"/>
        </w:tabs>
        <w:ind w:left="1134" w:hanging="283"/>
      </w:pPr>
      <w:rPr>
        <w:rFonts w:hint="default"/>
      </w:rPr>
    </w:lvl>
    <w:lvl w:ilvl="5">
      <w:start w:val="1"/>
      <w:numFmt w:val="lowerLetter"/>
      <w:lvlText w:val="%6."/>
      <w:lvlJc w:val="left"/>
      <w:pPr>
        <w:tabs>
          <w:tab w:val="num" w:pos="1418"/>
        </w:tabs>
        <w:ind w:left="1418" w:hanging="284"/>
      </w:pPr>
      <w:rPr>
        <w:rFonts w:hint="default"/>
      </w:rPr>
    </w:lvl>
    <w:lvl w:ilvl="6">
      <w:start w:val="1"/>
      <w:numFmt w:val="lowerRoman"/>
      <w:lvlText w:val="%7."/>
      <w:lvlJc w:val="left"/>
      <w:pPr>
        <w:tabs>
          <w:tab w:val="num" w:pos="1701"/>
        </w:tabs>
        <w:ind w:left="1701" w:hanging="283"/>
      </w:pPr>
      <w:rPr>
        <w:rFonts w:hint="default"/>
      </w:rPr>
    </w:lvl>
    <w:lvl w:ilvl="7">
      <w:start w:val="1"/>
      <w:numFmt w:val="decimal"/>
      <w:lvlText w:val="%1.%2.%3.%4.%5.%6.%7.%8."/>
      <w:lvlJc w:val="left"/>
      <w:pPr>
        <w:tabs>
          <w:tab w:val="num" w:pos="2328"/>
        </w:tabs>
        <w:ind w:left="2272" w:hanging="284"/>
      </w:pPr>
      <w:rPr>
        <w:rFonts w:hint="default"/>
      </w:rPr>
    </w:lvl>
    <w:lvl w:ilvl="8">
      <w:start w:val="1"/>
      <w:numFmt w:val="decimal"/>
      <w:lvlText w:val="%1.%2.%3.%4.%5.%6.%7.%8.%9."/>
      <w:lvlJc w:val="left"/>
      <w:pPr>
        <w:tabs>
          <w:tab w:val="num" w:pos="2612"/>
        </w:tabs>
        <w:ind w:left="2556" w:hanging="284"/>
      </w:pPr>
      <w:rPr>
        <w:rFonts w:hint="default"/>
      </w:rPr>
    </w:lvl>
  </w:abstractNum>
  <w:abstractNum w:abstractNumId="8" w15:restartNumberingAfterBreak="0">
    <w:nsid w:val="35E67AB2"/>
    <w:multiLevelType w:val="multilevel"/>
    <w:tmpl w:val="A0102696"/>
    <w:styleLink w:val="ListNumStyle"/>
    <w:lvl w:ilvl="0">
      <w:start w:val="1"/>
      <w:numFmt w:val="decimal"/>
      <w:lvlText w:val="%1."/>
      <w:lvlJc w:val="left"/>
      <w:pPr>
        <w:tabs>
          <w:tab w:val="num" w:pos="340"/>
        </w:tabs>
        <w:ind w:left="340" w:hanging="340"/>
      </w:pPr>
      <w:rPr>
        <w:rFonts w:hint="default"/>
        <w:color w:val="37424A" w:themeColor="text1"/>
      </w:rPr>
    </w:lvl>
    <w:lvl w:ilvl="1">
      <w:start w:val="1"/>
      <w:numFmt w:val="lowerLetter"/>
      <w:lvlText w:val="%2."/>
      <w:lvlJc w:val="left"/>
      <w:pPr>
        <w:tabs>
          <w:tab w:val="num" w:pos="680"/>
        </w:tabs>
        <w:ind w:left="680" w:hanging="340"/>
      </w:pPr>
      <w:rPr>
        <w:rFonts w:hint="default"/>
        <w:color w:val="37424A" w:themeColor="text1"/>
      </w:rPr>
    </w:lvl>
    <w:lvl w:ilvl="2">
      <w:start w:val="1"/>
      <w:numFmt w:val="lowerRoman"/>
      <w:lvlText w:val="%3."/>
      <w:lvlJc w:val="left"/>
      <w:pPr>
        <w:tabs>
          <w:tab w:val="num" w:pos="1021"/>
        </w:tabs>
        <w:ind w:left="1021" w:hanging="341"/>
      </w:pPr>
      <w:rPr>
        <w:rFonts w:hint="default"/>
        <w:color w:val="37424A" w:themeColor="tex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6A633AB"/>
    <w:multiLevelType w:val="hybridMultilevel"/>
    <w:tmpl w:val="98F2F418"/>
    <w:lvl w:ilvl="0" w:tplc="525C1A3A">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ECB2D54"/>
    <w:multiLevelType w:val="multilevel"/>
    <w:tmpl w:val="B950C590"/>
    <w:lvl w:ilvl="0">
      <w:start w:val="1"/>
      <w:numFmt w:val="bullet"/>
      <w:pStyle w:val="Table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1" w15:restartNumberingAfterBreak="0">
    <w:nsid w:val="437F30DB"/>
    <w:multiLevelType w:val="hybridMultilevel"/>
    <w:tmpl w:val="EB98E6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A0744BE"/>
    <w:multiLevelType w:val="multilevel"/>
    <w:tmpl w:val="4D589C58"/>
    <w:lvl w:ilvl="0">
      <w:start w:val="1"/>
      <w:numFmt w:val="bullet"/>
      <w:lvlText w:val=""/>
      <w:lvlJc w:val="left"/>
      <w:pPr>
        <w:tabs>
          <w:tab w:val="num" w:pos="340"/>
        </w:tabs>
        <w:ind w:left="284" w:hanging="284"/>
      </w:pPr>
      <w:rPr>
        <w:rFonts w:ascii="Symbol" w:hAnsi="Symbol" w:hint="default"/>
        <w:color w:val="37424A" w:themeColor="text1"/>
        <w:sz w:val="24"/>
      </w:rPr>
    </w:lvl>
    <w:lvl w:ilvl="1">
      <w:start w:val="1"/>
      <w:numFmt w:val="bullet"/>
      <w:pStyle w:val="ParaBullet2"/>
      <w:lvlText w:val="o"/>
      <w:lvlJc w:val="left"/>
      <w:pPr>
        <w:tabs>
          <w:tab w:val="num" w:pos="624"/>
        </w:tabs>
        <w:ind w:left="568" w:hanging="284"/>
      </w:pPr>
      <w:rPr>
        <w:rFonts w:ascii="Courier New" w:hAnsi="Courier New" w:hint="default"/>
        <w:color w:val="37424A" w:themeColor="text1"/>
        <w:sz w:val="18"/>
      </w:rPr>
    </w:lvl>
    <w:lvl w:ilvl="2">
      <w:start w:val="1"/>
      <w:numFmt w:val="bullet"/>
      <w:pStyle w:val="ParaBullet3"/>
      <w:lvlText w:val=""/>
      <w:lvlJc w:val="left"/>
      <w:pPr>
        <w:tabs>
          <w:tab w:val="num" w:pos="908"/>
        </w:tabs>
        <w:ind w:left="852" w:hanging="284"/>
      </w:pPr>
      <w:rPr>
        <w:rFonts w:ascii="Wingdings 2" w:hAnsi="Wingdings 2" w:hint="default"/>
        <w:color w:val="37424A" w:themeColor="text1"/>
      </w:rPr>
    </w:lvl>
    <w:lvl w:ilvl="3">
      <w:start w:val="1"/>
      <w:numFmt w:val="bullet"/>
      <w:lvlText w:val=""/>
      <w:lvlJc w:val="left"/>
      <w:pPr>
        <w:tabs>
          <w:tab w:val="num" w:pos="1192"/>
        </w:tabs>
        <w:ind w:left="1136" w:hanging="284"/>
      </w:pPr>
      <w:rPr>
        <w:rFonts w:ascii="Symbol" w:hAnsi="Symbol" w:hint="default"/>
      </w:rPr>
    </w:lvl>
    <w:lvl w:ilvl="4">
      <w:start w:val="1"/>
      <w:numFmt w:val="bullet"/>
      <w:lvlText w:val="o"/>
      <w:lvlJc w:val="left"/>
      <w:pPr>
        <w:tabs>
          <w:tab w:val="num" w:pos="1476"/>
        </w:tabs>
        <w:ind w:left="1420" w:hanging="284"/>
      </w:pPr>
      <w:rPr>
        <w:rFonts w:ascii="Courier New" w:hAnsi="Courier New" w:hint="default"/>
      </w:rPr>
    </w:lvl>
    <w:lvl w:ilvl="5">
      <w:start w:val="1"/>
      <w:numFmt w:val="bullet"/>
      <w:lvlText w:val=""/>
      <w:lvlJc w:val="left"/>
      <w:pPr>
        <w:tabs>
          <w:tab w:val="num" w:pos="1760"/>
        </w:tabs>
        <w:ind w:left="1704" w:hanging="284"/>
      </w:pPr>
      <w:rPr>
        <w:rFonts w:ascii="Wingdings" w:hAnsi="Wingdings" w:hint="default"/>
      </w:rPr>
    </w:lvl>
    <w:lvl w:ilvl="6">
      <w:start w:val="1"/>
      <w:numFmt w:val="bullet"/>
      <w:lvlText w:val=""/>
      <w:lvlJc w:val="left"/>
      <w:pPr>
        <w:tabs>
          <w:tab w:val="num" w:pos="2044"/>
        </w:tabs>
        <w:ind w:left="1988" w:hanging="284"/>
      </w:pPr>
      <w:rPr>
        <w:rFonts w:ascii="Symbol" w:hAnsi="Symbol" w:hint="default"/>
      </w:rPr>
    </w:lvl>
    <w:lvl w:ilvl="7">
      <w:start w:val="1"/>
      <w:numFmt w:val="bullet"/>
      <w:lvlText w:val="o"/>
      <w:lvlJc w:val="left"/>
      <w:pPr>
        <w:tabs>
          <w:tab w:val="num" w:pos="2328"/>
        </w:tabs>
        <w:ind w:left="2272" w:hanging="284"/>
      </w:pPr>
      <w:rPr>
        <w:rFonts w:ascii="Courier New" w:hAnsi="Courier New" w:cs="Courier New" w:hint="default"/>
      </w:rPr>
    </w:lvl>
    <w:lvl w:ilvl="8">
      <w:start w:val="1"/>
      <w:numFmt w:val="bullet"/>
      <w:lvlText w:val=""/>
      <w:lvlJc w:val="left"/>
      <w:pPr>
        <w:tabs>
          <w:tab w:val="num" w:pos="2612"/>
        </w:tabs>
        <w:ind w:left="2556" w:hanging="284"/>
      </w:pPr>
      <w:rPr>
        <w:rFonts w:ascii="Wingdings" w:hAnsi="Wingdings" w:hint="default"/>
      </w:rPr>
    </w:lvl>
  </w:abstractNum>
  <w:abstractNum w:abstractNumId="13" w15:restartNumberingAfterBreak="0">
    <w:nsid w:val="513C3E2F"/>
    <w:multiLevelType w:val="multilevel"/>
    <w:tmpl w:val="9070AC38"/>
    <w:lvl w:ilvl="0">
      <w:start w:val="1"/>
      <w:numFmt w:val="upperLetter"/>
      <w:lvlRestart w:val="0"/>
      <w:pStyle w:val="AppendixHead"/>
      <w:lvlText w:val=" %1"/>
      <w:lvlJc w:val="left"/>
      <w:pPr>
        <w:tabs>
          <w:tab w:val="num" w:pos="2552"/>
        </w:tabs>
        <w:ind w:left="1134" w:hanging="1134"/>
      </w:pPr>
      <w:rPr>
        <w:rFonts w:ascii="Open Sans Light" w:hAnsi="Open Sans Light" w:cs="Arial" w:hint="default"/>
        <w:b w:val="0"/>
        <w:bCs/>
        <w:i w:val="0"/>
        <w:color w:val="207BA1"/>
        <w:sz w:val="40"/>
      </w:rPr>
    </w:lvl>
    <w:lvl w:ilvl="1">
      <w:start w:val="1"/>
      <w:numFmt w:val="decimal"/>
      <w:suff w:val="nothing"/>
      <w:lvlText w:val=""/>
      <w:lvlJc w:val="left"/>
      <w:pPr>
        <w:ind w:left="1418" w:hanging="1134"/>
      </w:pPr>
      <w:rPr>
        <w:rFonts w:ascii="Arial" w:hAnsi="Arial" w:cs="Arial" w:hint="default"/>
        <w:b w:val="0"/>
        <w:i w:val="0"/>
        <w:color w:val="E83F35" w:themeColor="accent1"/>
        <w:sz w:val="36"/>
      </w:rPr>
    </w:lvl>
    <w:lvl w:ilvl="2">
      <w:start w:val="1"/>
      <w:numFmt w:val="decimal"/>
      <w:suff w:val="nothing"/>
      <w:lvlText w:val=""/>
      <w:lvlJc w:val="left"/>
      <w:pPr>
        <w:ind w:left="1418" w:hanging="1134"/>
      </w:pPr>
      <w:rPr>
        <w:rFonts w:ascii="Arial" w:hAnsi="Arial" w:cs="Arial" w:hint="default"/>
        <w:b w:val="0"/>
        <w:i w:val="0"/>
        <w:color w:val="E83F35" w:themeColor="accent1"/>
        <w:sz w:val="30"/>
      </w:rPr>
    </w:lvl>
    <w:lvl w:ilvl="3">
      <w:start w:val="1"/>
      <w:numFmt w:val="none"/>
      <w:suff w:val="nothing"/>
      <w:lvlText w:val=""/>
      <w:lvlJc w:val="left"/>
      <w:pPr>
        <w:ind w:left="1418" w:hanging="1134"/>
      </w:pPr>
      <w:rPr>
        <w:rFonts w:hint="default"/>
      </w:rPr>
    </w:lvl>
    <w:lvl w:ilvl="4">
      <w:start w:val="1"/>
      <w:numFmt w:val="none"/>
      <w:suff w:val="nothing"/>
      <w:lvlText w:val=""/>
      <w:lvlJc w:val="left"/>
      <w:pPr>
        <w:ind w:left="1418" w:hanging="1134"/>
      </w:pPr>
      <w:rPr>
        <w:rFonts w:hint="default"/>
      </w:rPr>
    </w:lvl>
    <w:lvl w:ilvl="5">
      <w:start w:val="1"/>
      <w:numFmt w:val="none"/>
      <w:suff w:val="nothing"/>
      <w:lvlText w:val=""/>
      <w:lvlJc w:val="left"/>
      <w:pPr>
        <w:ind w:left="1418" w:hanging="1134"/>
      </w:pPr>
      <w:rPr>
        <w:rFonts w:hint="default"/>
      </w:rPr>
    </w:lvl>
    <w:lvl w:ilvl="6">
      <w:start w:val="1"/>
      <w:numFmt w:val="none"/>
      <w:suff w:val="nothing"/>
      <w:lvlText w:val=""/>
      <w:lvlJc w:val="left"/>
      <w:pPr>
        <w:ind w:left="1418" w:hanging="1134"/>
      </w:pPr>
      <w:rPr>
        <w:rFonts w:hint="default"/>
      </w:rPr>
    </w:lvl>
    <w:lvl w:ilvl="7">
      <w:start w:val="1"/>
      <w:numFmt w:val="none"/>
      <w:suff w:val="nothing"/>
      <w:lvlText w:val=""/>
      <w:lvlJc w:val="left"/>
      <w:pPr>
        <w:ind w:left="1418" w:hanging="1134"/>
      </w:pPr>
      <w:rPr>
        <w:rFonts w:hint="default"/>
      </w:rPr>
    </w:lvl>
    <w:lvl w:ilvl="8">
      <w:start w:val="1"/>
      <w:numFmt w:val="none"/>
      <w:suff w:val="nothing"/>
      <w:lvlText w:val=""/>
      <w:lvlJc w:val="left"/>
      <w:pPr>
        <w:ind w:left="1418" w:hanging="1134"/>
      </w:pPr>
      <w:rPr>
        <w:rFonts w:hint="default"/>
      </w:rPr>
    </w:lvl>
  </w:abstractNum>
  <w:abstractNum w:abstractNumId="14" w15:restartNumberingAfterBreak="0">
    <w:nsid w:val="54F215E6"/>
    <w:multiLevelType w:val="multilevel"/>
    <w:tmpl w:val="522AAC1E"/>
    <w:lvl w:ilvl="0">
      <w:start w:val="1"/>
      <w:numFmt w:val="decimal"/>
      <w:pStyle w:val="ListNumber1"/>
      <w:lvlText w:val="%1."/>
      <w:lvlJc w:val="left"/>
      <w:pPr>
        <w:tabs>
          <w:tab w:val="num" w:pos="284"/>
        </w:tabs>
        <w:ind w:left="284" w:hanging="284"/>
      </w:pPr>
      <w:rPr>
        <w:rFonts w:hint="default"/>
        <w:color w:val="37424A" w:themeColor="text1"/>
      </w:rPr>
    </w:lvl>
    <w:lvl w:ilvl="1">
      <w:start w:val="1"/>
      <w:numFmt w:val="lowerLetter"/>
      <w:pStyle w:val="ListNumber2"/>
      <w:lvlText w:val="%2."/>
      <w:lvlJc w:val="left"/>
      <w:pPr>
        <w:tabs>
          <w:tab w:val="num" w:pos="568"/>
        </w:tabs>
        <w:ind w:left="568" w:hanging="284"/>
      </w:pPr>
      <w:rPr>
        <w:rFonts w:hint="default"/>
        <w:color w:val="37424A" w:themeColor="text1"/>
      </w:rPr>
    </w:lvl>
    <w:lvl w:ilvl="2">
      <w:start w:val="1"/>
      <w:numFmt w:val="lowerRoman"/>
      <w:pStyle w:val="ListNumber3"/>
      <w:lvlText w:val="%3."/>
      <w:lvlJc w:val="left"/>
      <w:pPr>
        <w:tabs>
          <w:tab w:val="num" w:pos="852"/>
        </w:tabs>
        <w:ind w:left="852" w:hanging="284"/>
      </w:pPr>
      <w:rPr>
        <w:rFonts w:hint="default"/>
        <w:color w:val="37424A" w:themeColor="text1"/>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15" w15:restartNumberingAfterBreak="0">
    <w:nsid w:val="5CE63CC0"/>
    <w:multiLevelType w:val="multilevel"/>
    <w:tmpl w:val="0EB0E888"/>
    <w:lvl w:ilvl="0">
      <w:start w:val="1"/>
      <w:numFmt w:val="decimal"/>
      <w:pStyle w:val="Heading1numbered"/>
      <w:lvlText w:val="%1"/>
      <w:lvlJc w:val="left"/>
      <w:pPr>
        <w:ind w:left="0" w:firstLine="0"/>
      </w:pPr>
      <w:rPr>
        <w:rFonts w:ascii="Open Sans Light" w:hAnsi="Open Sans Light" w:hint="default"/>
        <w:b w:val="0"/>
        <w:i w:val="0"/>
        <w:color w:val="207BA1"/>
        <w:sz w:val="52"/>
      </w:rPr>
    </w:lvl>
    <w:lvl w:ilvl="1">
      <w:start w:val="1"/>
      <w:numFmt w:val="decimal"/>
      <w:pStyle w:val="Heading2numbered"/>
      <w:lvlText w:val="%1.%2"/>
      <w:lvlJc w:val="left"/>
      <w:pPr>
        <w:tabs>
          <w:tab w:val="num" w:pos="851"/>
        </w:tabs>
        <w:ind w:left="851" w:hanging="851"/>
      </w:pPr>
      <w:rPr>
        <w:rFonts w:hint="default"/>
      </w:rPr>
    </w:lvl>
    <w:lvl w:ilvl="2">
      <w:start w:val="1"/>
      <w:numFmt w:val="decimal"/>
      <w:pStyle w:val="Heading3numbered"/>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644C7F05"/>
    <w:multiLevelType w:val="multilevel"/>
    <w:tmpl w:val="E74CEBAA"/>
    <w:lvl w:ilvl="0">
      <w:start w:val="1"/>
      <w:numFmt w:val="decimal"/>
      <w:pStyle w:val="TableNumberi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6E10DF0"/>
    <w:multiLevelType w:val="multilevel"/>
    <w:tmpl w:val="0C09001D"/>
    <w:name w:val="ParaNumBulletList3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E1B3E02"/>
    <w:multiLevelType w:val="multilevel"/>
    <w:tmpl w:val="D80855C2"/>
    <w:lvl w:ilvl="0">
      <w:start w:val="1"/>
      <w:numFmt w:val="bullet"/>
      <w:pStyle w:val="ListParagraph"/>
      <w:lvlText w:val=""/>
      <w:lvlJc w:val="left"/>
      <w:pPr>
        <w:ind w:left="284" w:hanging="284"/>
      </w:pPr>
      <w:rPr>
        <w:rFonts w:ascii="Symbol" w:hAnsi="Symbol" w:hint="default"/>
        <w:color w:val="37424A"/>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9" w15:restartNumberingAfterBreak="0">
    <w:nsid w:val="72F623E7"/>
    <w:multiLevelType w:val="multilevel"/>
    <w:tmpl w:val="BF943C9E"/>
    <w:name w:val="ParaBulletList2"/>
    <w:styleLink w:val="BulletLevel1"/>
    <w:lvl w:ilvl="0">
      <w:start w:val="1"/>
      <w:numFmt w:val="bullet"/>
      <w:lvlText w:val=""/>
      <w:lvlJc w:val="left"/>
      <w:pPr>
        <w:tabs>
          <w:tab w:val="num" w:pos="360"/>
        </w:tabs>
        <w:ind w:left="360" w:hanging="360"/>
      </w:pPr>
      <w:rPr>
        <w:rFonts w:ascii="Symbol" w:hAnsi="Symbol"/>
        <w:color w:val="37424A"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84F4468"/>
    <w:multiLevelType w:val="multilevel"/>
    <w:tmpl w:val="BF943C9E"/>
    <w:name w:val="ParaBulletList2"/>
    <w:numStyleLink w:val="BulletLevel1"/>
  </w:abstractNum>
  <w:abstractNum w:abstractNumId="21" w15:restartNumberingAfterBreak="0">
    <w:nsid w:val="7F412206"/>
    <w:multiLevelType w:val="multilevel"/>
    <w:tmpl w:val="8C08B24E"/>
    <w:name w:val="ParaNumBulletList3"/>
    <w:lvl w:ilvl="0">
      <w:start w:val="1"/>
      <w:numFmt w:val="decimal"/>
      <w:pStyle w:val="ParaNumber1"/>
      <w:lvlText w:val="%1."/>
      <w:lvlJc w:val="left"/>
      <w:pPr>
        <w:tabs>
          <w:tab w:val="num" w:pos="1418"/>
        </w:tabs>
        <w:ind w:left="0" w:hanging="567"/>
      </w:pPr>
      <w:rPr>
        <w:rFonts w:ascii="Open Sans" w:hAnsi="Open Sans" w:hint="default"/>
        <w:color w:val="37424A" w:themeColor="text1"/>
        <w:sz w:val="20"/>
      </w:rPr>
    </w:lvl>
    <w:lvl w:ilvl="1">
      <w:start w:val="1"/>
      <w:numFmt w:val="lowerLetter"/>
      <w:pStyle w:val="ParaNumber2"/>
      <w:lvlText w:val="%2"/>
      <w:lvlJc w:val="left"/>
      <w:pPr>
        <w:tabs>
          <w:tab w:val="num" w:pos="1701"/>
        </w:tabs>
        <w:ind w:left="851" w:hanging="284"/>
      </w:pPr>
      <w:rPr>
        <w:rFonts w:ascii="Open Sans" w:hAnsi="Open Sans" w:hint="default"/>
        <w:color w:val="37424A" w:themeColor="text1"/>
      </w:rPr>
    </w:lvl>
    <w:lvl w:ilvl="2">
      <w:start w:val="1"/>
      <w:numFmt w:val="lowerRoman"/>
      <w:pStyle w:val="ParaNumber3"/>
      <w:lvlText w:val="%3"/>
      <w:lvlJc w:val="left"/>
      <w:pPr>
        <w:tabs>
          <w:tab w:val="num" w:pos="1985"/>
        </w:tabs>
        <w:ind w:left="1418" w:hanging="284"/>
      </w:pPr>
      <w:rPr>
        <w:rFonts w:ascii="Open Sans" w:hAnsi="Open Sans" w:hint="default"/>
        <w:color w:val="374249" w:themeColor="text2"/>
      </w:rPr>
    </w:lvl>
    <w:lvl w:ilvl="3">
      <w:start w:val="1"/>
      <w:numFmt w:val="bullet"/>
      <w:lvlText w:val=""/>
      <w:lvlJc w:val="left"/>
      <w:pPr>
        <w:tabs>
          <w:tab w:val="num" w:pos="2268"/>
        </w:tabs>
        <w:ind w:left="2268" w:hanging="283"/>
      </w:pPr>
      <w:rPr>
        <w:rFonts w:ascii="Wingdings" w:hAnsi="Wingdings" w:hint="default"/>
      </w:rPr>
    </w:lvl>
    <w:lvl w:ilvl="4">
      <w:start w:val="1"/>
      <w:numFmt w:val="decimal"/>
      <w:lvlText w:val="%5."/>
      <w:lvlJc w:val="left"/>
      <w:pPr>
        <w:tabs>
          <w:tab w:val="num" w:pos="1701"/>
        </w:tabs>
        <w:ind w:left="1701" w:hanging="283"/>
      </w:pPr>
      <w:rPr>
        <w:rFonts w:hint="default"/>
      </w:rPr>
    </w:lvl>
    <w:lvl w:ilvl="5">
      <w:start w:val="1"/>
      <w:numFmt w:val="lowerLetter"/>
      <w:lvlText w:val="%6."/>
      <w:lvlJc w:val="left"/>
      <w:pPr>
        <w:tabs>
          <w:tab w:val="num" w:pos="1985"/>
        </w:tabs>
        <w:ind w:left="1985" w:hanging="284"/>
      </w:pPr>
      <w:rPr>
        <w:rFonts w:hint="default"/>
      </w:rPr>
    </w:lvl>
    <w:lvl w:ilvl="6">
      <w:start w:val="1"/>
      <w:numFmt w:val="lowerRoman"/>
      <w:lvlText w:val="%7."/>
      <w:lvlJc w:val="left"/>
      <w:pPr>
        <w:tabs>
          <w:tab w:val="num" w:pos="2268"/>
        </w:tabs>
        <w:ind w:left="2268" w:hanging="283"/>
      </w:pPr>
      <w:rPr>
        <w:rFonts w:hint="default"/>
      </w:rPr>
    </w:lvl>
    <w:lvl w:ilvl="7">
      <w:start w:val="1"/>
      <w:numFmt w:val="decimal"/>
      <w:lvlText w:val="%1.%2.%3.%4.%5.%6.%7.%8."/>
      <w:lvlJc w:val="left"/>
      <w:pPr>
        <w:tabs>
          <w:tab w:val="num" w:pos="2895"/>
        </w:tabs>
        <w:ind w:left="2839" w:hanging="284"/>
      </w:pPr>
      <w:rPr>
        <w:rFonts w:hint="default"/>
      </w:rPr>
    </w:lvl>
    <w:lvl w:ilvl="8">
      <w:start w:val="1"/>
      <w:numFmt w:val="decimal"/>
      <w:lvlText w:val="%1.%2.%3.%4.%5.%6.%7.%8.%9."/>
      <w:lvlJc w:val="left"/>
      <w:pPr>
        <w:tabs>
          <w:tab w:val="num" w:pos="3179"/>
        </w:tabs>
        <w:ind w:left="3123" w:hanging="284"/>
      </w:pPr>
      <w:rPr>
        <w:rFonts w:hint="default"/>
      </w:rPr>
    </w:lvl>
  </w:abstractNum>
  <w:num w:numId="1" w16cid:durableId="1656953406">
    <w:abstractNumId w:val="19"/>
  </w:num>
  <w:num w:numId="2" w16cid:durableId="1886675116">
    <w:abstractNumId w:val="0"/>
  </w:num>
  <w:num w:numId="3" w16cid:durableId="587160678">
    <w:abstractNumId w:val="18"/>
  </w:num>
  <w:num w:numId="4" w16cid:durableId="2089646900">
    <w:abstractNumId w:val="10"/>
  </w:num>
  <w:num w:numId="5" w16cid:durableId="1505894636">
    <w:abstractNumId w:val="16"/>
  </w:num>
  <w:num w:numId="6" w16cid:durableId="557934095">
    <w:abstractNumId w:val="21"/>
  </w:num>
  <w:num w:numId="7" w16cid:durableId="650838189">
    <w:abstractNumId w:val="8"/>
  </w:num>
  <w:num w:numId="8" w16cid:durableId="1237128417">
    <w:abstractNumId w:val="15"/>
  </w:num>
  <w:num w:numId="9" w16cid:durableId="1800680520">
    <w:abstractNumId w:val="13"/>
  </w:num>
  <w:num w:numId="10" w16cid:durableId="828210122">
    <w:abstractNumId w:val="14"/>
  </w:num>
  <w:num w:numId="11" w16cid:durableId="1414474809">
    <w:abstractNumId w:val="7"/>
  </w:num>
  <w:num w:numId="12" w16cid:durableId="1264533863">
    <w:abstractNumId w:val="15"/>
  </w:num>
  <w:num w:numId="13" w16cid:durableId="968978596">
    <w:abstractNumId w:val="0"/>
    <w:lvlOverride w:ilvl="0">
      <w:startOverride w:val="1"/>
    </w:lvlOverride>
    <w:lvlOverride w:ilvl="1"/>
    <w:lvlOverride w:ilvl="2"/>
    <w:lvlOverride w:ilvl="3"/>
    <w:lvlOverride w:ilvl="4"/>
    <w:lvlOverride w:ilvl="5"/>
    <w:lvlOverride w:ilvl="6"/>
    <w:lvlOverride w:ilvl="7"/>
    <w:lvlOverride w:ilvl="8"/>
  </w:num>
  <w:num w:numId="14" w16cid:durableId="1429078329">
    <w:abstractNumId w:val="12"/>
  </w:num>
  <w:num w:numId="15" w16cid:durableId="412969337">
    <w:abstractNumId w:val="9"/>
  </w:num>
  <w:num w:numId="16" w16cid:durableId="2067602842">
    <w:abstractNumId w:val="1"/>
  </w:num>
  <w:num w:numId="17" w16cid:durableId="1130630382">
    <w:abstractNumId w:val="6"/>
  </w:num>
  <w:num w:numId="18" w16cid:durableId="20353799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291162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66776730">
    <w:abstractNumId w:val="4"/>
  </w:num>
  <w:num w:numId="21" w16cid:durableId="1928804878">
    <w:abstractNumId w:val="3"/>
  </w:num>
  <w:num w:numId="22" w16cid:durableId="1667590924">
    <w:abstractNumId w:val="11"/>
  </w:num>
  <w:num w:numId="23" w16cid:durableId="1649432695">
    <w:abstractNumId w:val="18"/>
  </w:num>
  <w:num w:numId="24" w16cid:durableId="1427192574">
    <w:abstractNumId w:val="12"/>
  </w:num>
  <w:num w:numId="25" w16cid:durableId="18206159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0B9"/>
    <w:rsid w:val="000010A5"/>
    <w:rsid w:val="00003380"/>
    <w:rsid w:val="00003503"/>
    <w:rsid w:val="000038C2"/>
    <w:rsid w:val="00003CC8"/>
    <w:rsid w:val="000043AB"/>
    <w:rsid w:val="0000443E"/>
    <w:rsid w:val="00004F45"/>
    <w:rsid w:val="000057C1"/>
    <w:rsid w:val="000059DA"/>
    <w:rsid w:val="00005A14"/>
    <w:rsid w:val="00005FFA"/>
    <w:rsid w:val="0000601A"/>
    <w:rsid w:val="0000678D"/>
    <w:rsid w:val="00010395"/>
    <w:rsid w:val="00010948"/>
    <w:rsid w:val="000110E9"/>
    <w:rsid w:val="0001127C"/>
    <w:rsid w:val="00012271"/>
    <w:rsid w:val="000123F7"/>
    <w:rsid w:val="00012803"/>
    <w:rsid w:val="00013A64"/>
    <w:rsid w:val="00013A73"/>
    <w:rsid w:val="00013EEE"/>
    <w:rsid w:val="00014871"/>
    <w:rsid w:val="00014B3D"/>
    <w:rsid w:val="00014FE4"/>
    <w:rsid w:val="00015554"/>
    <w:rsid w:val="0001599A"/>
    <w:rsid w:val="00015DCD"/>
    <w:rsid w:val="00015FA2"/>
    <w:rsid w:val="0001658E"/>
    <w:rsid w:val="00016629"/>
    <w:rsid w:val="000169C5"/>
    <w:rsid w:val="00016C35"/>
    <w:rsid w:val="00017F6E"/>
    <w:rsid w:val="000203CF"/>
    <w:rsid w:val="00020613"/>
    <w:rsid w:val="00020C10"/>
    <w:rsid w:val="0002320B"/>
    <w:rsid w:val="00024855"/>
    <w:rsid w:val="0002488B"/>
    <w:rsid w:val="00024E64"/>
    <w:rsid w:val="000255C5"/>
    <w:rsid w:val="00025D4C"/>
    <w:rsid w:val="00025F49"/>
    <w:rsid w:val="00026387"/>
    <w:rsid w:val="000264E0"/>
    <w:rsid w:val="0002654C"/>
    <w:rsid w:val="000272A3"/>
    <w:rsid w:val="00027A8D"/>
    <w:rsid w:val="00027D61"/>
    <w:rsid w:val="0003033D"/>
    <w:rsid w:val="00030A44"/>
    <w:rsid w:val="00030C65"/>
    <w:rsid w:val="00031326"/>
    <w:rsid w:val="00031744"/>
    <w:rsid w:val="00031A10"/>
    <w:rsid w:val="00032238"/>
    <w:rsid w:val="00032CAC"/>
    <w:rsid w:val="00032D2A"/>
    <w:rsid w:val="00033069"/>
    <w:rsid w:val="000332FF"/>
    <w:rsid w:val="00033750"/>
    <w:rsid w:val="00034327"/>
    <w:rsid w:val="00034955"/>
    <w:rsid w:val="0003542B"/>
    <w:rsid w:val="00035555"/>
    <w:rsid w:val="0003726B"/>
    <w:rsid w:val="0003753E"/>
    <w:rsid w:val="00037A75"/>
    <w:rsid w:val="00040CF0"/>
    <w:rsid w:val="00041E5E"/>
    <w:rsid w:val="00041F10"/>
    <w:rsid w:val="00042380"/>
    <w:rsid w:val="00042D20"/>
    <w:rsid w:val="00043AF9"/>
    <w:rsid w:val="0004422D"/>
    <w:rsid w:val="000447AE"/>
    <w:rsid w:val="0004503C"/>
    <w:rsid w:val="00045052"/>
    <w:rsid w:val="000452B6"/>
    <w:rsid w:val="00045F58"/>
    <w:rsid w:val="000460D3"/>
    <w:rsid w:val="000468CE"/>
    <w:rsid w:val="0004712A"/>
    <w:rsid w:val="000476F7"/>
    <w:rsid w:val="000502CF"/>
    <w:rsid w:val="00050C91"/>
    <w:rsid w:val="000510EF"/>
    <w:rsid w:val="00051340"/>
    <w:rsid w:val="00051EED"/>
    <w:rsid w:val="00051F28"/>
    <w:rsid w:val="00052777"/>
    <w:rsid w:val="00054805"/>
    <w:rsid w:val="0005596B"/>
    <w:rsid w:val="00055CBF"/>
    <w:rsid w:val="00056804"/>
    <w:rsid w:val="000569C2"/>
    <w:rsid w:val="000572E4"/>
    <w:rsid w:val="00057998"/>
    <w:rsid w:val="00057CFD"/>
    <w:rsid w:val="0006058E"/>
    <w:rsid w:val="00060678"/>
    <w:rsid w:val="000606F7"/>
    <w:rsid w:val="0006095C"/>
    <w:rsid w:val="00060BB0"/>
    <w:rsid w:val="00061C5D"/>
    <w:rsid w:val="00062A58"/>
    <w:rsid w:val="00063DC2"/>
    <w:rsid w:val="000649C2"/>
    <w:rsid w:val="00064E2C"/>
    <w:rsid w:val="000650F2"/>
    <w:rsid w:val="000651B2"/>
    <w:rsid w:val="000652E4"/>
    <w:rsid w:val="000660D8"/>
    <w:rsid w:val="00066888"/>
    <w:rsid w:val="00066D2E"/>
    <w:rsid w:val="0006737B"/>
    <w:rsid w:val="000675D6"/>
    <w:rsid w:val="00070983"/>
    <w:rsid w:val="00071029"/>
    <w:rsid w:val="00071C27"/>
    <w:rsid w:val="00071F09"/>
    <w:rsid w:val="00072288"/>
    <w:rsid w:val="00072AD6"/>
    <w:rsid w:val="00072E68"/>
    <w:rsid w:val="00073103"/>
    <w:rsid w:val="0007441F"/>
    <w:rsid w:val="00074571"/>
    <w:rsid w:val="00075048"/>
    <w:rsid w:val="00075C6C"/>
    <w:rsid w:val="0007656F"/>
    <w:rsid w:val="000766F5"/>
    <w:rsid w:val="00076A1C"/>
    <w:rsid w:val="000770F8"/>
    <w:rsid w:val="000776C5"/>
    <w:rsid w:val="00077892"/>
    <w:rsid w:val="00080784"/>
    <w:rsid w:val="00080924"/>
    <w:rsid w:val="00080A25"/>
    <w:rsid w:val="00080A5F"/>
    <w:rsid w:val="00081235"/>
    <w:rsid w:val="00081271"/>
    <w:rsid w:val="000813A4"/>
    <w:rsid w:val="00082839"/>
    <w:rsid w:val="000828C0"/>
    <w:rsid w:val="00082EC1"/>
    <w:rsid w:val="0008356C"/>
    <w:rsid w:val="0008377B"/>
    <w:rsid w:val="00083C86"/>
    <w:rsid w:val="00085C47"/>
    <w:rsid w:val="00086113"/>
    <w:rsid w:val="00086121"/>
    <w:rsid w:val="0008637E"/>
    <w:rsid w:val="0008667D"/>
    <w:rsid w:val="0008674F"/>
    <w:rsid w:val="0008703E"/>
    <w:rsid w:val="000870A2"/>
    <w:rsid w:val="0008766C"/>
    <w:rsid w:val="000877E4"/>
    <w:rsid w:val="0009075E"/>
    <w:rsid w:val="00090E5C"/>
    <w:rsid w:val="0009104C"/>
    <w:rsid w:val="000912CD"/>
    <w:rsid w:val="000912E2"/>
    <w:rsid w:val="0009186A"/>
    <w:rsid w:val="000927B2"/>
    <w:rsid w:val="0009448E"/>
    <w:rsid w:val="000945AC"/>
    <w:rsid w:val="00096070"/>
    <w:rsid w:val="0009668B"/>
    <w:rsid w:val="00096BA3"/>
    <w:rsid w:val="00096C96"/>
    <w:rsid w:val="00096CBF"/>
    <w:rsid w:val="00097004"/>
    <w:rsid w:val="000972E3"/>
    <w:rsid w:val="00097529"/>
    <w:rsid w:val="000977BB"/>
    <w:rsid w:val="000A03C6"/>
    <w:rsid w:val="000A0868"/>
    <w:rsid w:val="000A17F5"/>
    <w:rsid w:val="000A24D5"/>
    <w:rsid w:val="000A2AAE"/>
    <w:rsid w:val="000A2E56"/>
    <w:rsid w:val="000A385A"/>
    <w:rsid w:val="000A4342"/>
    <w:rsid w:val="000A585E"/>
    <w:rsid w:val="000A5DE4"/>
    <w:rsid w:val="000A5F14"/>
    <w:rsid w:val="000A62AE"/>
    <w:rsid w:val="000A67EF"/>
    <w:rsid w:val="000A6CA6"/>
    <w:rsid w:val="000A764B"/>
    <w:rsid w:val="000A772E"/>
    <w:rsid w:val="000B17F1"/>
    <w:rsid w:val="000B1A2E"/>
    <w:rsid w:val="000B3091"/>
    <w:rsid w:val="000B3778"/>
    <w:rsid w:val="000B40C9"/>
    <w:rsid w:val="000B46A1"/>
    <w:rsid w:val="000B47D5"/>
    <w:rsid w:val="000B5DBB"/>
    <w:rsid w:val="000B64DB"/>
    <w:rsid w:val="000B6C8A"/>
    <w:rsid w:val="000B762C"/>
    <w:rsid w:val="000B76C5"/>
    <w:rsid w:val="000B79B1"/>
    <w:rsid w:val="000B7B97"/>
    <w:rsid w:val="000C0152"/>
    <w:rsid w:val="000C02BA"/>
    <w:rsid w:val="000C0ED6"/>
    <w:rsid w:val="000C14DC"/>
    <w:rsid w:val="000C1ADE"/>
    <w:rsid w:val="000C207E"/>
    <w:rsid w:val="000C3479"/>
    <w:rsid w:val="000C374C"/>
    <w:rsid w:val="000C3756"/>
    <w:rsid w:val="000C44A3"/>
    <w:rsid w:val="000C4998"/>
    <w:rsid w:val="000C5E86"/>
    <w:rsid w:val="000C618A"/>
    <w:rsid w:val="000C63BB"/>
    <w:rsid w:val="000C691F"/>
    <w:rsid w:val="000C6D45"/>
    <w:rsid w:val="000C6E2C"/>
    <w:rsid w:val="000C73DA"/>
    <w:rsid w:val="000C76D2"/>
    <w:rsid w:val="000D0178"/>
    <w:rsid w:val="000D080B"/>
    <w:rsid w:val="000D2D70"/>
    <w:rsid w:val="000D3450"/>
    <w:rsid w:val="000D3524"/>
    <w:rsid w:val="000D3BB0"/>
    <w:rsid w:val="000D3E59"/>
    <w:rsid w:val="000D4556"/>
    <w:rsid w:val="000D4D8F"/>
    <w:rsid w:val="000D584E"/>
    <w:rsid w:val="000D5B52"/>
    <w:rsid w:val="000D5FB1"/>
    <w:rsid w:val="000D62EB"/>
    <w:rsid w:val="000D640A"/>
    <w:rsid w:val="000D775E"/>
    <w:rsid w:val="000D7EF9"/>
    <w:rsid w:val="000E233D"/>
    <w:rsid w:val="000E2691"/>
    <w:rsid w:val="000E26C9"/>
    <w:rsid w:val="000E36BE"/>
    <w:rsid w:val="000E38BE"/>
    <w:rsid w:val="000E3B4D"/>
    <w:rsid w:val="000E3DC3"/>
    <w:rsid w:val="000E481D"/>
    <w:rsid w:val="000E60D9"/>
    <w:rsid w:val="000E618B"/>
    <w:rsid w:val="000E65DD"/>
    <w:rsid w:val="000E68B9"/>
    <w:rsid w:val="000E6A3A"/>
    <w:rsid w:val="000E7AC9"/>
    <w:rsid w:val="000E7C96"/>
    <w:rsid w:val="000F119C"/>
    <w:rsid w:val="000F1567"/>
    <w:rsid w:val="000F17BC"/>
    <w:rsid w:val="000F1959"/>
    <w:rsid w:val="000F1A0F"/>
    <w:rsid w:val="000F1E84"/>
    <w:rsid w:val="000F276E"/>
    <w:rsid w:val="000F2B1F"/>
    <w:rsid w:val="000F2CF2"/>
    <w:rsid w:val="000F3485"/>
    <w:rsid w:val="000F3CE8"/>
    <w:rsid w:val="000F3D1E"/>
    <w:rsid w:val="000F3F6B"/>
    <w:rsid w:val="000F4652"/>
    <w:rsid w:val="000F4CD9"/>
    <w:rsid w:val="000F521A"/>
    <w:rsid w:val="000F5947"/>
    <w:rsid w:val="000F60B3"/>
    <w:rsid w:val="000F642F"/>
    <w:rsid w:val="000F64B0"/>
    <w:rsid w:val="000F7826"/>
    <w:rsid w:val="000F7975"/>
    <w:rsid w:val="000F7A1B"/>
    <w:rsid w:val="00100355"/>
    <w:rsid w:val="00100989"/>
    <w:rsid w:val="00100B1E"/>
    <w:rsid w:val="00100CB1"/>
    <w:rsid w:val="00100D8A"/>
    <w:rsid w:val="00100FFF"/>
    <w:rsid w:val="00101448"/>
    <w:rsid w:val="00101C90"/>
    <w:rsid w:val="00101E8C"/>
    <w:rsid w:val="00103294"/>
    <w:rsid w:val="001033B5"/>
    <w:rsid w:val="001034E8"/>
    <w:rsid w:val="001035C6"/>
    <w:rsid w:val="00103A0C"/>
    <w:rsid w:val="00103E0E"/>
    <w:rsid w:val="0010431A"/>
    <w:rsid w:val="00104CC7"/>
    <w:rsid w:val="001052A8"/>
    <w:rsid w:val="00105BD5"/>
    <w:rsid w:val="001063DA"/>
    <w:rsid w:val="001065EE"/>
    <w:rsid w:val="00106BBF"/>
    <w:rsid w:val="0011043D"/>
    <w:rsid w:val="0011067F"/>
    <w:rsid w:val="0011072B"/>
    <w:rsid w:val="00110744"/>
    <w:rsid w:val="0011175B"/>
    <w:rsid w:val="0011231D"/>
    <w:rsid w:val="00112C60"/>
    <w:rsid w:val="0011324B"/>
    <w:rsid w:val="001136A9"/>
    <w:rsid w:val="00113E41"/>
    <w:rsid w:val="00114995"/>
    <w:rsid w:val="001150E7"/>
    <w:rsid w:val="00115157"/>
    <w:rsid w:val="00115754"/>
    <w:rsid w:val="00115B2B"/>
    <w:rsid w:val="00115CD3"/>
    <w:rsid w:val="00116756"/>
    <w:rsid w:val="00116D17"/>
    <w:rsid w:val="0011778B"/>
    <w:rsid w:val="00117AB4"/>
    <w:rsid w:val="00117F4D"/>
    <w:rsid w:val="00117F93"/>
    <w:rsid w:val="0012000E"/>
    <w:rsid w:val="0012093C"/>
    <w:rsid w:val="00120E44"/>
    <w:rsid w:val="00121518"/>
    <w:rsid w:val="0012188C"/>
    <w:rsid w:val="00122818"/>
    <w:rsid w:val="00122CA4"/>
    <w:rsid w:val="00122F43"/>
    <w:rsid w:val="00123398"/>
    <w:rsid w:val="001233F8"/>
    <w:rsid w:val="00123DC8"/>
    <w:rsid w:val="001247ED"/>
    <w:rsid w:val="00125956"/>
    <w:rsid w:val="00125EF9"/>
    <w:rsid w:val="00125FD6"/>
    <w:rsid w:val="001262F2"/>
    <w:rsid w:val="00126DA2"/>
    <w:rsid w:val="00126ECF"/>
    <w:rsid w:val="00127A9E"/>
    <w:rsid w:val="00127AF5"/>
    <w:rsid w:val="00130AF5"/>
    <w:rsid w:val="00130B19"/>
    <w:rsid w:val="00130C63"/>
    <w:rsid w:val="0013159A"/>
    <w:rsid w:val="00131789"/>
    <w:rsid w:val="00131C2D"/>
    <w:rsid w:val="00132324"/>
    <w:rsid w:val="00132444"/>
    <w:rsid w:val="00132B6E"/>
    <w:rsid w:val="00132DA3"/>
    <w:rsid w:val="00132EF6"/>
    <w:rsid w:val="00133457"/>
    <w:rsid w:val="00133850"/>
    <w:rsid w:val="00134426"/>
    <w:rsid w:val="001346DD"/>
    <w:rsid w:val="001348E2"/>
    <w:rsid w:val="00134CFF"/>
    <w:rsid w:val="00134EF4"/>
    <w:rsid w:val="00135242"/>
    <w:rsid w:val="00136106"/>
    <w:rsid w:val="0013662A"/>
    <w:rsid w:val="001376F7"/>
    <w:rsid w:val="0013776E"/>
    <w:rsid w:val="00137A0B"/>
    <w:rsid w:val="0014024D"/>
    <w:rsid w:val="00141867"/>
    <w:rsid w:val="00141E4D"/>
    <w:rsid w:val="00141FCC"/>
    <w:rsid w:val="001423AF"/>
    <w:rsid w:val="001435E4"/>
    <w:rsid w:val="00144061"/>
    <w:rsid w:val="001442A4"/>
    <w:rsid w:val="0014496F"/>
    <w:rsid w:val="00144B57"/>
    <w:rsid w:val="00145ECA"/>
    <w:rsid w:val="0014667D"/>
    <w:rsid w:val="001473E1"/>
    <w:rsid w:val="00150E12"/>
    <w:rsid w:val="00151359"/>
    <w:rsid w:val="001519AB"/>
    <w:rsid w:val="00151B9D"/>
    <w:rsid w:val="00152013"/>
    <w:rsid w:val="00152A3D"/>
    <w:rsid w:val="00152F3C"/>
    <w:rsid w:val="00153663"/>
    <w:rsid w:val="00153E37"/>
    <w:rsid w:val="00153F24"/>
    <w:rsid w:val="00154771"/>
    <w:rsid w:val="00154851"/>
    <w:rsid w:val="001559C8"/>
    <w:rsid w:val="00155A66"/>
    <w:rsid w:val="00155CE2"/>
    <w:rsid w:val="001563E5"/>
    <w:rsid w:val="0015659E"/>
    <w:rsid w:val="00156761"/>
    <w:rsid w:val="00156FD7"/>
    <w:rsid w:val="0015757A"/>
    <w:rsid w:val="001609DF"/>
    <w:rsid w:val="001610D1"/>
    <w:rsid w:val="0016111C"/>
    <w:rsid w:val="00161BB6"/>
    <w:rsid w:val="00162908"/>
    <w:rsid w:val="001629D6"/>
    <w:rsid w:val="00162AC0"/>
    <w:rsid w:val="00162C7C"/>
    <w:rsid w:val="00163907"/>
    <w:rsid w:val="00163C3F"/>
    <w:rsid w:val="001647E9"/>
    <w:rsid w:val="00165F0E"/>
    <w:rsid w:val="00166595"/>
    <w:rsid w:val="0016674C"/>
    <w:rsid w:val="00166877"/>
    <w:rsid w:val="001668E7"/>
    <w:rsid w:val="00166DA1"/>
    <w:rsid w:val="00170FE1"/>
    <w:rsid w:val="00171050"/>
    <w:rsid w:val="001717DF"/>
    <w:rsid w:val="00172A6D"/>
    <w:rsid w:val="00172EF4"/>
    <w:rsid w:val="00173551"/>
    <w:rsid w:val="00173724"/>
    <w:rsid w:val="001737B2"/>
    <w:rsid w:val="00173D94"/>
    <w:rsid w:val="00173F06"/>
    <w:rsid w:val="00174905"/>
    <w:rsid w:val="00175246"/>
    <w:rsid w:val="00175869"/>
    <w:rsid w:val="0017586A"/>
    <w:rsid w:val="00175E9E"/>
    <w:rsid w:val="00176650"/>
    <w:rsid w:val="00176C92"/>
    <w:rsid w:val="00176DFC"/>
    <w:rsid w:val="00176EBF"/>
    <w:rsid w:val="0017703B"/>
    <w:rsid w:val="00177101"/>
    <w:rsid w:val="00177253"/>
    <w:rsid w:val="00177909"/>
    <w:rsid w:val="00177FBE"/>
    <w:rsid w:val="001809CD"/>
    <w:rsid w:val="00180BF0"/>
    <w:rsid w:val="0018126B"/>
    <w:rsid w:val="001819D9"/>
    <w:rsid w:val="00181AA3"/>
    <w:rsid w:val="00181E15"/>
    <w:rsid w:val="001827EC"/>
    <w:rsid w:val="001829E3"/>
    <w:rsid w:val="00182E60"/>
    <w:rsid w:val="00182EE6"/>
    <w:rsid w:val="00183B7D"/>
    <w:rsid w:val="0018420F"/>
    <w:rsid w:val="00184B58"/>
    <w:rsid w:val="00185645"/>
    <w:rsid w:val="0018620C"/>
    <w:rsid w:val="00186432"/>
    <w:rsid w:val="00186681"/>
    <w:rsid w:val="0018768D"/>
    <w:rsid w:val="001876EE"/>
    <w:rsid w:val="00187975"/>
    <w:rsid w:val="00187AA1"/>
    <w:rsid w:val="00187BB9"/>
    <w:rsid w:val="00190F85"/>
    <w:rsid w:val="001910D3"/>
    <w:rsid w:val="00191741"/>
    <w:rsid w:val="001922D0"/>
    <w:rsid w:val="0019237B"/>
    <w:rsid w:val="0019319E"/>
    <w:rsid w:val="001937ED"/>
    <w:rsid w:val="00194919"/>
    <w:rsid w:val="00194E64"/>
    <w:rsid w:val="00195532"/>
    <w:rsid w:val="00195AC6"/>
    <w:rsid w:val="00195E44"/>
    <w:rsid w:val="00196095"/>
    <w:rsid w:val="00196383"/>
    <w:rsid w:val="00196877"/>
    <w:rsid w:val="001970DC"/>
    <w:rsid w:val="00197236"/>
    <w:rsid w:val="001978BF"/>
    <w:rsid w:val="00197A35"/>
    <w:rsid w:val="00197C42"/>
    <w:rsid w:val="001A0B84"/>
    <w:rsid w:val="001A19A5"/>
    <w:rsid w:val="001A1E21"/>
    <w:rsid w:val="001A2FCA"/>
    <w:rsid w:val="001A3F5E"/>
    <w:rsid w:val="001A45E3"/>
    <w:rsid w:val="001A461C"/>
    <w:rsid w:val="001A4D3E"/>
    <w:rsid w:val="001A6611"/>
    <w:rsid w:val="001A6C6B"/>
    <w:rsid w:val="001A6CDB"/>
    <w:rsid w:val="001A7251"/>
    <w:rsid w:val="001A7742"/>
    <w:rsid w:val="001A7DE8"/>
    <w:rsid w:val="001B04CB"/>
    <w:rsid w:val="001B15C3"/>
    <w:rsid w:val="001B163B"/>
    <w:rsid w:val="001B1D52"/>
    <w:rsid w:val="001B1D85"/>
    <w:rsid w:val="001B20D1"/>
    <w:rsid w:val="001B2392"/>
    <w:rsid w:val="001B3024"/>
    <w:rsid w:val="001B396E"/>
    <w:rsid w:val="001B3BF5"/>
    <w:rsid w:val="001B3F47"/>
    <w:rsid w:val="001B4BC4"/>
    <w:rsid w:val="001B5202"/>
    <w:rsid w:val="001B5754"/>
    <w:rsid w:val="001B5B6F"/>
    <w:rsid w:val="001B6CBB"/>
    <w:rsid w:val="001B6DCC"/>
    <w:rsid w:val="001B7209"/>
    <w:rsid w:val="001B76FE"/>
    <w:rsid w:val="001B7991"/>
    <w:rsid w:val="001C1EBC"/>
    <w:rsid w:val="001C3706"/>
    <w:rsid w:val="001C46B2"/>
    <w:rsid w:val="001C47F0"/>
    <w:rsid w:val="001C4E59"/>
    <w:rsid w:val="001C4FD2"/>
    <w:rsid w:val="001C519A"/>
    <w:rsid w:val="001C5375"/>
    <w:rsid w:val="001C5B70"/>
    <w:rsid w:val="001C5FB0"/>
    <w:rsid w:val="001C68C8"/>
    <w:rsid w:val="001C6ADD"/>
    <w:rsid w:val="001C6EE0"/>
    <w:rsid w:val="001C76D0"/>
    <w:rsid w:val="001C7B66"/>
    <w:rsid w:val="001C7B8C"/>
    <w:rsid w:val="001C7C3A"/>
    <w:rsid w:val="001D03E2"/>
    <w:rsid w:val="001D08E6"/>
    <w:rsid w:val="001D0980"/>
    <w:rsid w:val="001D11CD"/>
    <w:rsid w:val="001D12B4"/>
    <w:rsid w:val="001D172C"/>
    <w:rsid w:val="001D1C13"/>
    <w:rsid w:val="001D1E9F"/>
    <w:rsid w:val="001D26FC"/>
    <w:rsid w:val="001D32E6"/>
    <w:rsid w:val="001D35BD"/>
    <w:rsid w:val="001D3902"/>
    <w:rsid w:val="001D3C58"/>
    <w:rsid w:val="001D3EAE"/>
    <w:rsid w:val="001D4056"/>
    <w:rsid w:val="001D4288"/>
    <w:rsid w:val="001D4AEE"/>
    <w:rsid w:val="001D4B2A"/>
    <w:rsid w:val="001D5DE7"/>
    <w:rsid w:val="001D5F74"/>
    <w:rsid w:val="001D6ED9"/>
    <w:rsid w:val="001D76A3"/>
    <w:rsid w:val="001D7781"/>
    <w:rsid w:val="001D7934"/>
    <w:rsid w:val="001E01FC"/>
    <w:rsid w:val="001E06D5"/>
    <w:rsid w:val="001E12CF"/>
    <w:rsid w:val="001E16C2"/>
    <w:rsid w:val="001E3258"/>
    <w:rsid w:val="001E3456"/>
    <w:rsid w:val="001E48DC"/>
    <w:rsid w:val="001E5666"/>
    <w:rsid w:val="001E58D6"/>
    <w:rsid w:val="001E59D7"/>
    <w:rsid w:val="001E62B2"/>
    <w:rsid w:val="001E6A09"/>
    <w:rsid w:val="001E6C17"/>
    <w:rsid w:val="001E6E7E"/>
    <w:rsid w:val="001E7124"/>
    <w:rsid w:val="001E7CAC"/>
    <w:rsid w:val="001E7E2E"/>
    <w:rsid w:val="001F0CB0"/>
    <w:rsid w:val="001F125E"/>
    <w:rsid w:val="001F1688"/>
    <w:rsid w:val="001F24C8"/>
    <w:rsid w:val="001F2B0E"/>
    <w:rsid w:val="001F383C"/>
    <w:rsid w:val="001F3CFB"/>
    <w:rsid w:val="001F4022"/>
    <w:rsid w:val="001F481B"/>
    <w:rsid w:val="001F49A3"/>
    <w:rsid w:val="001F4FD9"/>
    <w:rsid w:val="001F57B9"/>
    <w:rsid w:val="001F65C3"/>
    <w:rsid w:val="001F6E0C"/>
    <w:rsid w:val="001F6EA2"/>
    <w:rsid w:val="001F7A10"/>
    <w:rsid w:val="0020053F"/>
    <w:rsid w:val="00200966"/>
    <w:rsid w:val="0020114A"/>
    <w:rsid w:val="002012F5"/>
    <w:rsid w:val="00201A21"/>
    <w:rsid w:val="00201C4E"/>
    <w:rsid w:val="00202234"/>
    <w:rsid w:val="00202648"/>
    <w:rsid w:val="0020299A"/>
    <w:rsid w:val="00202F17"/>
    <w:rsid w:val="00202FB2"/>
    <w:rsid w:val="00203487"/>
    <w:rsid w:val="00203C8E"/>
    <w:rsid w:val="0020432D"/>
    <w:rsid w:val="00204716"/>
    <w:rsid w:val="00204F8A"/>
    <w:rsid w:val="0020533B"/>
    <w:rsid w:val="0020543A"/>
    <w:rsid w:val="00205CB7"/>
    <w:rsid w:val="00205CB8"/>
    <w:rsid w:val="0020604C"/>
    <w:rsid w:val="002065B4"/>
    <w:rsid w:val="00207032"/>
    <w:rsid w:val="002076B3"/>
    <w:rsid w:val="00207765"/>
    <w:rsid w:val="00207E22"/>
    <w:rsid w:val="00210F59"/>
    <w:rsid w:val="0021163F"/>
    <w:rsid w:val="00211EAF"/>
    <w:rsid w:val="00211F7E"/>
    <w:rsid w:val="00212D06"/>
    <w:rsid w:val="00213727"/>
    <w:rsid w:val="00213A7E"/>
    <w:rsid w:val="002145F3"/>
    <w:rsid w:val="00214FCE"/>
    <w:rsid w:val="002153EF"/>
    <w:rsid w:val="002157E2"/>
    <w:rsid w:val="00215D6F"/>
    <w:rsid w:val="00216B20"/>
    <w:rsid w:val="00216BD9"/>
    <w:rsid w:val="00216DF6"/>
    <w:rsid w:val="002173E6"/>
    <w:rsid w:val="00217C51"/>
    <w:rsid w:val="0022051F"/>
    <w:rsid w:val="00220B16"/>
    <w:rsid w:val="0022129A"/>
    <w:rsid w:val="002212D3"/>
    <w:rsid w:val="00221440"/>
    <w:rsid w:val="002215EA"/>
    <w:rsid w:val="00221BFD"/>
    <w:rsid w:val="002234EE"/>
    <w:rsid w:val="00223ABF"/>
    <w:rsid w:val="00223F79"/>
    <w:rsid w:val="00224097"/>
    <w:rsid w:val="0022431E"/>
    <w:rsid w:val="0022488C"/>
    <w:rsid w:val="002255FF"/>
    <w:rsid w:val="00226334"/>
    <w:rsid w:val="00226707"/>
    <w:rsid w:val="002268B6"/>
    <w:rsid w:val="0022724B"/>
    <w:rsid w:val="0022728D"/>
    <w:rsid w:val="00227B75"/>
    <w:rsid w:val="00227EBC"/>
    <w:rsid w:val="00227F7A"/>
    <w:rsid w:val="00230744"/>
    <w:rsid w:val="002309E0"/>
    <w:rsid w:val="00230B89"/>
    <w:rsid w:val="00230CCA"/>
    <w:rsid w:val="00230D4B"/>
    <w:rsid w:val="00233074"/>
    <w:rsid w:val="00233E36"/>
    <w:rsid w:val="0023489D"/>
    <w:rsid w:val="00234C1E"/>
    <w:rsid w:val="00235635"/>
    <w:rsid w:val="00235CB7"/>
    <w:rsid w:val="00236640"/>
    <w:rsid w:val="002368C9"/>
    <w:rsid w:val="00236983"/>
    <w:rsid w:val="00236E2D"/>
    <w:rsid w:val="00237432"/>
    <w:rsid w:val="002374CD"/>
    <w:rsid w:val="002376DB"/>
    <w:rsid w:val="0023780D"/>
    <w:rsid w:val="00237E01"/>
    <w:rsid w:val="00237E66"/>
    <w:rsid w:val="00237F2D"/>
    <w:rsid w:val="00237F92"/>
    <w:rsid w:val="00240AF1"/>
    <w:rsid w:val="00240D4B"/>
    <w:rsid w:val="002413D9"/>
    <w:rsid w:val="00241973"/>
    <w:rsid w:val="00241A14"/>
    <w:rsid w:val="00241FE9"/>
    <w:rsid w:val="00242712"/>
    <w:rsid w:val="00243C75"/>
    <w:rsid w:val="00244398"/>
    <w:rsid w:val="00244482"/>
    <w:rsid w:val="00244A9B"/>
    <w:rsid w:val="00245350"/>
    <w:rsid w:val="00245AFC"/>
    <w:rsid w:val="00245DC8"/>
    <w:rsid w:val="00246865"/>
    <w:rsid w:val="002469AA"/>
    <w:rsid w:val="00246F58"/>
    <w:rsid w:val="002470F3"/>
    <w:rsid w:val="002477DC"/>
    <w:rsid w:val="002479DA"/>
    <w:rsid w:val="00247C0B"/>
    <w:rsid w:val="002502FE"/>
    <w:rsid w:val="0025056E"/>
    <w:rsid w:val="00250994"/>
    <w:rsid w:val="00250A01"/>
    <w:rsid w:val="00250A31"/>
    <w:rsid w:val="00250B7C"/>
    <w:rsid w:val="00250C39"/>
    <w:rsid w:val="00251443"/>
    <w:rsid w:val="002515EF"/>
    <w:rsid w:val="0025302C"/>
    <w:rsid w:val="0025350D"/>
    <w:rsid w:val="0025373D"/>
    <w:rsid w:val="0025374A"/>
    <w:rsid w:val="00253B9F"/>
    <w:rsid w:val="002545F1"/>
    <w:rsid w:val="00254CF5"/>
    <w:rsid w:val="002550B9"/>
    <w:rsid w:val="0025551E"/>
    <w:rsid w:val="00255B14"/>
    <w:rsid w:val="00255D43"/>
    <w:rsid w:val="002561E9"/>
    <w:rsid w:val="002570A2"/>
    <w:rsid w:val="0025728C"/>
    <w:rsid w:val="0026004B"/>
    <w:rsid w:val="0026076E"/>
    <w:rsid w:val="002610CC"/>
    <w:rsid w:val="00261254"/>
    <w:rsid w:val="00261337"/>
    <w:rsid w:val="002613D5"/>
    <w:rsid w:val="002619B9"/>
    <w:rsid w:val="00261C74"/>
    <w:rsid w:val="0026232B"/>
    <w:rsid w:val="00262D13"/>
    <w:rsid w:val="00262D9F"/>
    <w:rsid w:val="0026392C"/>
    <w:rsid w:val="00263D58"/>
    <w:rsid w:val="00263F16"/>
    <w:rsid w:val="00264270"/>
    <w:rsid w:val="00264374"/>
    <w:rsid w:val="00264F5A"/>
    <w:rsid w:val="00264F6D"/>
    <w:rsid w:val="002651BF"/>
    <w:rsid w:val="00265C50"/>
    <w:rsid w:val="00265D4D"/>
    <w:rsid w:val="00265DF6"/>
    <w:rsid w:val="00266121"/>
    <w:rsid w:val="00266693"/>
    <w:rsid w:val="00267FE7"/>
    <w:rsid w:val="00270C9F"/>
    <w:rsid w:val="0027191F"/>
    <w:rsid w:val="002732EB"/>
    <w:rsid w:val="002741C5"/>
    <w:rsid w:val="00274CAA"/>
    <w:rsid w:val="00275763"/>
    <w:rsid w:val="002758B9"/>
    <w:rsid w:val="0027593A"/>
    <w:rsid w:val="002759F3"/>
    <w:rsid w:val="00276968"/>
    <w:rsid w:val="002769D7"/>
    <w:rsid w:val="00277C7F"/>
    <w:rsid w:val="002807B4"/>
    <w:rsid w:val="00280A9E"/>
    <w:rsid w:val="00280E7E"/>
    <w:rsid w:val="00281063"/>
    <w:rsid w:val="00281363"/>
    <w:rsid w:val="00281C21"/>
    <w:rsid w:val="00282113"/>
    <w:rsid w:val="00282129"/>
    <w:rsid w:val="00282A10"/>
    <w:rsid w:val="0028308B"/>
    <w:rsid w:val="002830EF"/>
    <w:rsid w:val="00283636"/>
    <w:rsid w:val="00283726"/>
    <w:rsid w:val="00283DB2"/>
    <w:rsid w:val="002840CB"/>
    <w:rsid w:val="00284424"/>
    <w:rsid w:val="00284624"/>
    <w:rsid w:val="00284984"/>
    <w:rsid w:val="00284CAD"/>
    <w:rsid w:val="002851ED"/>
    <w:rsid w:val="00286469"/>
    <w:rsid w:val="00286722"/>
    <w:rsid w:val="002870D0"/>
    <w:rsid w:val="00287FC5"/>
    <w:rsid w:val="00290ECC"/>
    <w:rsid w:val="00291452"/>
    <w:rsid w:val="00291882"/>
    <w:rsid w:val="002919E4"/>
    <w:rsid w:val="00291DA1"/>
    <w:rsid w:val="00291ED4"/>
    <w:rsid w:val="002924A3"/>
    <w:rsid w:val="00292E0A"/>
    <w:rsid w:val="0029310E"/>
    <w:rsid w:val="002945EE"/>
    <w:rsid w:val="0029487B"/>
    <w:rsid w:val="002948BE"/>
    <w:rsid w:val="00294B72"/>
    <w:rsid w:val="00294BB9"/>
    <w:rsid w:val="00294CAE"/>
    <w:rsid w:val="00295776"/>
    <w:rsid w:val="00295A93"/>
    <w:rsid w:val="00296921"/>
    <w:rsid w:val="00296CD1"/>
    <w:rsid w:val="00297038"/>
    <w:rsid w:val="002978C9"/>
    <w:rsid w:val="002A012D"/>
    <w:rsid w:val="002A0143"/>
    <w:rsid w:val="002A0598"/>
    <w:rsid w:val="002A06FF"/>
    <w:rsid w:val="002A18D1"/>
    <w:rsid w:val="002A2093"/>
    <w:rsid w:val="002A221F"/>
    <w:rsid w:val="002A2325"/>
    <w:rsid w:val="002A28A1"/>
    <w:rsid w:val="002A2C3E"/>
    <w:rsid w:val="002A356B"/>
    <w:rsid w:val="002A3C60"/>
    <w:rsid w:val="002A3F94"/>
    <w:rsid w:val="002A5013"/>
    <w:rsid w:val="002A5693"/>
    <w:rsid w:val="002A587A"/>
    <w:rsid w:val="002A5B4C"/>
    <w:rsid w:val="002A5B4D"/>
    <w:rsid w:val="002A71D7"/>
    <w:rsid w:val="002A78E5"/>
    <w:rsid w:val="002A7A92"/>
    <w:rsid w:val="002A7F94"/>
    <w:rsid w:val="002B1808"/>
    <w:rsid w:val="002B18A2"/>
    <w:rsid w:val="002B1945"/>
    <w:rsid w:val="002B1AE4"/>
    <w:rsid w:val="002B1E95"/>
    <w:rsid w:val="002B2028"/>
    <w:rsid w:val="002B22BB"/>
    <w:rsid w:val="002B2328"/>
    <w:rsid w:val="002B27CE"/>
    <w:rsid w:val="002B324B"/>
    <w:rsid w:val="002B3407"/>
    <w:rsid w:val="002B3B91"/>
    <w:rsid w:val="002B4DFE"/>
    <w:rsid w:val="002B5595"/>
    <w:rsid w:val="002B74AB"/>
    <w:rsid w:val="002B7878"/>
    <w:rsid w:val="002C08E7"/>
    <w:rsid w:val="002C15B1"/>
    <w:rsid w:val="002C16E8"/>
    <w:rsid w:val="002C1E9E"/>
    <w:rsid w:val="002C2F63"/>
    <w:rsid w:val="002C2FC2"/>
    <w:rsid w:val="002C36A5"/>
    <w:rsid w:val="002C3760"/>
    <w:rsid w:val="002C3C10"/>
    <w:rsid w:val="002C4B79"/>
    <w:rsid w:val="002C5B36"/>
    <w:rsid w:val="002C5EB7"/>
    <w:rsid w:val="002C66B2"/>
    <w:rsid w:val="002C6F37"/>
    <w:rsid w:val="002C7019"/>
    <w:rsid w:val="002C73B7"/>
    <w:rsid w:val="002C7493"/>
    <w:rsid w:val="002C79E9"/>
    <w:rsid w:val="002C7E66"/>
    <w:rsid w:val="002D06D5"/>
    <w:rsid w:val="002D086A"/>
    <w:rsid w:val="002D1EEB"/>
    <w:rsid w:val="002D330E"/>
    <w:rsid w:val="002D3548"/>
    <w:rsid w:val="002D36BD"/>
    <w:rsid w:val="002D3D36"/>
    <w:rsid w:val="002D3F10"/>
    <w:rsid w:val="002D42E8"/>
    <w:rsid w:val="002D4542"/>
    <w:rsid w:val="002D55C2"/>
    <w:rsid w:val="002D5DB6"/>
    <w:rsid w:val="002D6246"/>
    <w:rsid w:val="002D6658"/>
    <w:rsid w:val="002D6760"/>
    <w:rsid w:val="002D6FFD"/>
    <w:rsid w:val="002D7654"/>
    <w:rsid w:val="002D79B0"/>
    <w:rsid w:val="002D7D13"/>
    <w:rsid w:val="002D7E7F"/>
    <w:rsid w:val="002E0B38"/>
    <w:rsid w:val="002E0B5D"/>
    <w:rsid w:val="002E11D9"/>
    <w:rsid w:val="002E14B6"/>
    <w:rsid w:val="002E228A"/>
    <w:rsid w:val="002E3B52"/>
    <w:rsid w:val="002E3FFA"/>
    <w:rsid w:val="002E513B"/>
    <w:rsid w:val="002E6460"/>
    <w:rsid w:val="002E66C4"/>
    <w:rsid w:val="002E6BB5"/>
    <w:rsid w:val="002E71D3"/>
    <w:rsid w:val="002F00A8"/>
    <w:rsid w:val="002F0176"/>
    <w:rsid w:val="002F029D"/>
    <w:rsid w:val="002F072C"/>
    <w:rsid w:val="002F07EF"/>
    <w:rsid w:val="002F0923"/>
    <w:rsid w:val="002F1AF0"/>
    <w:rsid w:val="002F26A4"/>
    <w:rsid w:val="002F29B1"/>
    <w:rsid w:val="002F3395"/>
    <w:rsid w:val="002F48FD"/>
    <w:rsid w:val="002F4EC2"/>
    <w:rsid w:val="002F52A4"/>
    <w:rsid w:val="002F534E"/>
    <w:rsid w:val="002F57CF"/>
    <w:rsid w:val="002F5D9A"/>
    <w:rsid w:val="002F60E4"/>
    <w:rsid w:val="002F6484"/>
    <w:rsid w:val="002F661A"/>
    <w:rsid w:val="002F6FFF"/>
    <w:rsid w:val="002F7A42"/>
    <w:rsid w:val="0030021F"/>
    <w:rsid w:val="003003D2"/>
    <w:rsid w:val="00300C8A"/>
    <w:rsid w:val="00300F2B"/>
    <w:rsid w:val="003017D1"/>
    <w:rsid w:val="00301ACA"/>
    <w:rsid w:val="00301B30"/>
    <w:rsid w:val="0030250B"/>
    <w:rsid w:val="0030492E"/>
    <w:rsid w:val="0030504C"/>
    <w:rsid w:val="003053DB"/>
    <w:rsid w:val="00305B81"/>
    <w:rsid w:val="00305BF7"/>
    <w:rsid w:val="00306E62"/>
    <w:rsid w:val="0030771F"/>
    <w:rsid w:val="00307930"/>
    <w:rsid w:val="00310931"/>
    <w:rsid w:val="00310FCE"/>
    <w:rsid w:val="003112CC"/>
    <w:rsid w:val="0031132C"/>
    <w:rsid w:val="00311665"/>
    <w:rsid w:val="00311A93"/>
    <w:rsid w:val="00311C59"/>
    <w:rsid w:val="00311CAC"/>
    <w:rsid w:val="00311FC7"/>
    <w:rsid w:val="00312372"/>
    <w:rsid w:val="00312D84"/>
    <w:rsid w:val="00312EA3"/>
    <w:rsid w:val="00313C46"/>
    <w:rsid w:val="003140A9"/>
    <w:rsid w:val="00314F6B"/>
    <w:rsid w:val="00315226"/>
    <w:rsid w:val="00315349"/>
    <w:rsid w:val="00315AAF"/>
    <w:rsid w:val="0031614F"/>
    <w:rsid w:val="0031713B"/>
    <w:rsid w:val="0032015D"/>
    <w:rsid w:val="00320E9A"/>
    <w:rsid w:val="003213D1"/>
    <w:rsid w:val="00321AB5"/>
    <w:rsid w:val="00321BC4"/>
    <w:rsid w:val="00321F5F"/>
    <w:rsid w:val="00322263"/>
    <w:rsid w:val="00323104"/>
    <w:rsid w:val="00323726"/>
    <w:rsid w:val="00325672"/>
    <w:rsid w:val="003257B2"/>
    <w:rsid w:val="00325925"/>
    <w:rsid w:val="00325F7F"/>
    <w:rsid w:val="00326083"/>
    <w:rsid w:val="003260CF"/>
    <w:rsid w:val="00326FAD"/>
    <w:rsid w:val="003272DC"/>
    <w:rsid w:val="0032754E"/>
    <w:rsid w:val="00327EB6"/>
    <w:rsid w:val="00327F51"/>
    <w:rsid w:val="003310C6"/>
    <w:rsid w:val="00331595"/>
    <w:rsid w:val="00332356"/>
    <w:rsid w:val="00332EBA"/>
    <w:rsid w:val="003338D0"/>
    <w:rsid w:val="00333CB1"/>
    <w:rsid w:val="00333D39"/>
    <w:rsid w:val="0033406E"/>
    <w:rsid w:val="003345F5"/>
    <w:rsid w:val="00334AB0"/>
    <w:rsid w:val="00335386"/>
    <w:rsid w:val="00335D49"/>
    <w:rsid w:val="00335EC6"/>
    <w:rsid w:val="00336284"/>
    <w:rsid w:val="00336B09"/>
    <w:rsid w:val="003378FA"/>
    <w:rsid w:val="003405A7"/>
    <w:rsid w:val="00340A8B"/>
    <w:rsid w:val="00340CDA"/>
    <w:rsid w:val="00341290"/>
    <w:rsid w:val="003420A8"/>
    <w:rsid w:val="003423ED"/>
    <w:rsid w:val="00342BAB"/>
    <w:rsid w:val="00342E63"/>
    <w:rsid w:val="0034314C"/>
    <w:rsid w:val="003438E2"/>
    <w:rsid w:val="003441A6"/>
    <w:rsid w:val="003441D7"/>
    <w:rsid w:val="00344497"/>
    <w:rsid w:val="0034485F"/>
    <w:rsid w:val="00345121"/>
    <w:rsid w:val="00345BDC"/>
    <w:rsid w:val="00345D68"/>
    <w:rsid w:val="00345FF6"/>
    <w:rsid w:val="0034627F"/>
    <w:rsid w:val="003463D5"/>
    <w:rsid w:val="003476EF"/>
    <w:rsid w:val="00347E46"/>
    <w:rsid w:val="00350183"/>
    <w:rsid w:val="00350419"/>
    <w:rsid w:val="003507BA"/>
    <w:rsid w:val="00350B8D"/>
    <w:rsid w:val="00350D20"/>
    <w:rsid w:val="00351D54"/>
    <w:rsid w:val="0035287E"/>
    <w:rsid w:val="00353046"/>
    <w:rsid w:val="0035448E"/>
    <w:rsid w:val="003553C8"/>
    <w:rsid w:val="00355587"/>
    <w:rsid w:val="003556C8"/>
    <w:rsid w:val="00355AFD"/>
    <w:rsid w:val="00355DB4"/>
    <w:rsid w:val="00356127"/>
    <w:rsid w:val="0035618C"/>
    <w:rsid w:val="00356EA3"/>
    <w:rsid w:val="0035700C"/>
    <w:rsid w:val="003572E2"/>
    <w:rsid w:val="0035786E"/>
    <w:rsid w:val="0036068A"/>
    <w:rsid w:val="00360AA2"/>
    <w:rsid w:val="00360C9B"/>
    <w:rsid w:val="00360EA7"/>
    <w:rsid w:val="0036185D"/>
    <w:rsid w:val="00361B28"/>
    <w:rsid w:val="00361DE4"/>
    <w:rsid w:val="00361DE6"/>
    <w:rsid w:val="00361EF9"/>
    <w:rsid w:val="00362024"/>
    <w:rsid w:val="00362146"/>
    <w:rsid w:val="003621CF"/>
    <w:rsid w:val="00362630"/>
    <w:rsid w:val="00362789"/>
    <w:rsid w:val="00362B97"/>
    <w:rsid w:val="00362EFE"/>
    <w:rsid w:val="00363BC2"/>
    <w:rsid w:val="00363C7B"/>
    <w:rsid w:val="00363F68"/>
    <w:rsid w:val="003645AB"/>
    <w:rsid w:val="0036511D"/>
    <w:rsid w:val="0036590D"/>
    <w:rsid w:val="00366179"/>
    <w:rsid w:val="0036648D"/>
    <w:rsid w:val="00366B48"/>
    <w:rsid w:val="003676CD"/>
    <w:rsid w:val="00367EC1"/>
    <w:rsid w:val="0037072F"/>
    <w:rsid w:val="00370B54"/>
    <w:rsid w:val="003710F0"/>
    <w:rsid w:val="0037165E"/>
    <w:rsid w:val="0037178A"/>
    <w:rsid w:val="003722B0"/>
    <w:rsid w:val="00372497"/>
    <w:rsid w:val="003726CA"/>
    <w:rsid w:val="00373D8B"/>
    <w:rsid w:val="0037572E"/>
    <w:rsid w:val="003758E3"/>
    <w:rsid w:val="003758E5"/>
    <w:rsid w:val="003763D7"/>
    <w:rsid w:val="003766CB"/>
    <w:rsid w:val="00377102"/>
    <w:rsid w:val="003773D1"/>
    <w:rsid w:val="00377AB9"/>
    <w:rsid w:val="00377AE9"/>
    <w:rsid w:val="00377C34"/>
    <w:rsid w:val="00377C70"/>
    <w:rsid w:val="00377D19"/>
    <w:rsid w:val="00380CBC"/>
    <w:rsid w:val="003812FB"/>
    <w:rsid w:val="00381949"/>
    <w:rsid w:val="00381973"/>
    <w:rsid w:val="003819C7"/>
    <w:rsid w:val="00382277"/>
    <w:rsid w:val="003828BE"/>
    <w:rsid w:val="003829C4"/>
    <w:rsid w:val="00382DC5"/>
    <w:rsid w:val="00383907"/>
    <w:rsid w:val="00383AAD"/>
    <w:rsid w:val="00384B71"/>
    <w:rsid w:val="00385C12"/>
    <w:rsid w:val="00385EEF"/>
    <w:rsid w:val="00385FDE"/>
    <w:rsid w:val="00386F8E"/>
    <w:rsid w:val="003870C3"/>
    <w:rsid w:val="003878CD"/>
    <w:rsid w:val="00390820"/>
    <w:rsid w:val="0039105E"/>
    <w:rsid w:val="00391295"/>
    <w:rsid w:val="0039148F"/>
    <w:rsid w:val="00391A5B"/>
    <w:rsid w:val="003923ED"/>
    <w:rsid w:val="00392793"/>
    <w:rsid w:val="00392DBC"/>
    <w:rsid w:val="00392E1E"/>
    <w:rsid w:val="00392EC7"/>
    <w:rsid w:val="0039316C"/>
    <w:rsid w:val="0039331B"/>
    <w:rsid w:val="003933C7"/>
    <w:rsid w:val="003935AA"/>
    <w:rsid w:val="00393ADF"/>
    <w:rsid w:val="00393DB2"/>
    <w:rsid w:val="003945C3"/>
    <w:rsid w:val="00394618"/>
    <w:rsid w:val="003948B6"/>
    <w:rsid w:val="00394B0B"/>
    <w:rsid w:val="0039511F"/>
    <w:rsid w:val="003952D4"/>
    <w:rsid w:val="0039532B"/>
    <w:rsid w:val="00395DEE"/>
    <w:rsid w:val="003963E3"/>
    <w:rsid w:val="003964AD"/>
    <w:rsid w:val="003A0385"/>
    <w:rsid w:val="003A0D48"/>
    <w:rsid w:val="003A0E0B"/>
    <w:rsid w:val="003A1575"/>
    <w:rsid w:val="003A1B1C"/>
    <w:rsid w:val="003A304A"/>
    <w:rsid w:val="003A33EA"/>
    <w:rsid w:val="003A3593"/>
    <w:rsid w:val="003A37D0"/>
    <w:rsid w:val="003A3937"/>
    <w:rsid w:val="003A3D8F"/>
    <w:rsid w:val="003A4871"/>
    <w:rsid w:val="003A5168"/>
    <w:rsid w:val="003A5ACB"/>
    <w:rsid w:val="003A623B"/>
    <w:rsid w:val="003A7DF9"/>
    <w:rsid w:val="003A7F11"/>
    <w:rsid w:val="003B03CC"/>
    <w:rsid w:val="003B0B63"/>
    <w:rsid w:val="003B0E0D"/>
    <w:rsid w:val="003B0F3B"/>
    <w:rsid w:val="003B1405"/>
    <w:rsid w:val="003B186C"/>
    <w:rsid w:val="003B202E"/>
    <w:rsid w:val="003B34E5"/>
    <w:rsid w:val="003B3B5E"/>
    <w:rsid w:val="003B567D"/>
    <w:rsid w:val="003B5BAE"/>
    <w:rsid w:val="003B60F8"/>
    <w:rsid w:val="003B66B5"/>
    <w:rsid w:val="003C06C4"/>
    <w:rsid w:val="003C09B5"/>
    <w:rsid w:val="003C0AFE"/>
    <w:rsid w:val="003C0B23"/>
    <w:rsid w:val="003C0DC8"/>
    <w:rsid w:val="003C16C6"/>
    <w:rsid w:val="003C1BE7"/>
    <w:rsid w:val="003C25F4"/>
    <w:rsid w:val="003C3661"/>
    <w:rsid w:val="003C4214"/>
    <w:rsid w:val="003C4F17"/>
    <w:rsid w:val="003C587C"/>
    <w:rsid w:val="003C59C0"/>
    <w:rsid w:val="003C5BC4"/>
    <w:rsid w:val="003C62D1"/>
    <w:rsid w:val="003C652A"/>
    <w:rsid w:val="003C6DB6"/>
    <w:rsid w:val="003C7129"/>
    <w:rsid w:val="003C7391"/>
    <w:rsid w:val="003C7713"/>
    <w:rsid w:val="003D04C7"/>
    <w:rsid w:val="003D1249"/>
    <w:rsid w:val="003D23F2"/>
    <w:rsid w:val="003D25A0"/>
    <w:rsid w:val="003D272C"/>
    <w:rsid w:val="003D2776"/>
    <w:rsid w:val="003D344F"/>
    <w:rsid w:val="003D3A16"/>
    <w:rsid w:val="003D40F2"/>
    <w:rsid w:val="003D4E06"/>
    <w:rsid w:val="003D7386"/>
    <w:rsid w:val="003D7D1D"/>
    <w:rsid w:val="003E04C5"/>
    <w:rsid w:val="003E0D89"/>
    <w:rsid w:val="003E0F52"/>
    <w:rsid w:val="003E198D"/>
    <w:rsid w:val="003E1D9F"/>
    <w:rsid w:val="003E2800"/>
    <w:rsid w:val="003E2C9F"/>
    <w:rsid w:val="003E2CE9"/>
    <w:rsid w:val="003E32DA"/>
    <w:rsid w:val="003E3761"/>
    <w:rsid w:val="003E3913"/>
    <w:rsid w:val="003E3DC1"/>
    <w:rsid w:val="003E463E"/>
    <w:rsid w:val="003E482F"/>
    <w:rsid w:val="003E48B2"/>
    <w:rsid w:val="003E49DC"/>
    <w:rsid w:val="003E4E13"/>
    <w:rsid w:val="003E5C7A"/>
    <w:rsid w:val="003E5F21"/>
    <w:rsid w:val="003E6408"/>
    <w:rsid w:val="003E66BE"/>
    <w:rsid w:val="003E6834"/>
    <w:rsid w:val="003E6C0B"/>
    <w:rsid w:val="003E6CE9"/>
    <w:rsid w:val="003E7248"/>
    <w:rsid w:val="003E7B86"/>
    <w:rsid w:val="003F123D"/>
    <w:rsid w:val="003F1419"/>
    <w:rsid w:val="003F16D2"/>
    <w:rsid w:val="003F182D"/>
    <w:rsid w:val="003F1F15"/>
    <w:rsid w:val="003F233F"/>
    <w:rsid w:val="003F2D0E"/>
    <w:rsid w:val="003F2D9B"/>
    <w:rsid w:val="003F31F7"/>
    <w:rsid w:val="003F36A4"/>
    <w:rsid w:val="003F3903"/>
    <w:rsid w:val="003F474B"/>
    <w:rsid w:val="003F4764"/>
    <w:rsid w:val="003F4D1B"/>
    <w:rsid w:val="003F4DBA"/>
    <w:rsid w:val="003F51C5"/>
    <w:rsid w:val="003F61B9"/>
    <w:rsid w:val="003F672B"/>
    <w:rsid w:val="003F6A18"/>
    <w:rsid w:val="003F6A85"/>
    <w:rsid w:val="003F6BE0"/>
    <w:rsid w:val="003F6C9E"/>
    <w:rsid w:val="003F6D0B"/>
    <w:rsid w:val="003F6F3D"/>
    <w:rsid w:val="003F6F6E"/>
    <w:rsid w:val="003F74CE"/>
    <w:rsid w:val="003F7584"/>
    <w:rsid w:val="003F7E5E"/>
    <w:rsid w:val="0040080E"/>
    <w:rsid w:val="00400BA4"/>
    <w:rsid w:val="00402261"/>
    <w:rsid w:val="00402501"/>
    <w:rsid w:val="004026E9"/>
    <w:rsid w:val="00402ADF"/>
    <w:rsid w:val="00403867"/>
    <w:rsid w:val="00404906"/>
    <w:rsid w:val="00405BBE"/>
    <w:rsid w:val="00405DFC"/>
    <w:rsid w:val="00405EC5"/>
    <w:rsid w:val="00406117"/>
    <w:rsid w:val="0040639D"/>
    <w:rsid w:val="00407074"/>
    <w:rsid w:val="004075F4"/>
    <w:rsid w:val="0040799D"/>
    <w:rsid w:val="00407E19"/>
    <w:rsid w:val="00410228"/>
    <w:rsid w:val="00410C20"/>
    <w:rsid w:val="00410C94"/>
    <w:rsid w:val="00410D26"/>
    <w:rsid w:val="00410F33"/>
    <w:rsid w:val="004120A5"/>
    <w:rsid w:val="0041246A"/>
    <w:rsid w:val="0041268E"/>
    <w:rsid w:val="00412861"/>
    <w:rsid w:val="00413103"/>
    <w:rsid w:val="00414205"/>
    <w:rsid w:val="0041453C"/>
    <w:rsid w:val="004151FC"/>
    <w:rsid w:val="004157AF"/>
    <w:rsid w:val="00416637"/>
    <w:rsid w:val="00416B70"/>
    <w:rsid w:val="00416B95"/>
    <w:rsid w:val="00417476"/>
    <w:rsid w:val="00417E2F"/>
    <w:rsid w:val="00417EF9"/>
    <w:rsid w:val="00420BBC"/>
    <w:rsid w:val="00421F8C"/>
    <w:rsid w:val="0042292C"/>
    <w:rsid w:val="00422B1B"/>
    <w:rsid w:val="00422F26"/>
    <w:rsid w:val="0042317C"/>
    <w:rsid w:val="0042325E"/>
    <w:rsid w:val="00423BA9"/>
    <w:rsid w:val="00423E73"/>
    <w:rsid w:val="00424108"/>
    <w:rsid w:val="00424CD2"/>
    <w:rsid w:val="00424D56"/>
    <w:rsid w:val="00424DCE"/>
    <w:rsid w:val="004252FE"/>
    <w:rsid w:val="00425E43"/>
    <w:rsid w:val="00427313"/>
    <w:rsid w:val="004276AA"/>
    <w:rsid w:val="00427AF4"/>
    <w:rsid w:val="0043089C"/>
    <w:rsid w:val="004308C8"/>
    <w:rsid w:val="0043092E"/>
    <w:rsid w:val="00430E23"/>
    <w:rsid w:val="00430F7A"/>
    <w:rsid w:val="0043114C"/>
    <w:rsid w:val="004312D8"/>
    <w:rsid w:val="0043132F"/>
    <w:rsid w:val="00431519"/>
    <w:rsid w:val="00431904"/>
    <w:rsid w:val="00431B40"/>
    <w:rsid w:val="00432831"/>
    <w:rsid w:val="00432978"/>
    <w:rsid w:val="00432982"/>
    <w:rsid w:val="00432A60"/>
    <w:rsid w:val="004334C3"/>
    <w:rsid w:val="004335C7"/>
    <w:rsid w:val="00433796"/>
    <w:rsid w:val="004337E1"/>
    <w:rsid w:val="00433933"/>
    <w:rsid w:val="004340E0"/>
    <w:rsid w:val="00434B8B"/>
    <w:rsid w:val="00435124"/>
    <w:rsid w:val="00435BF9"/>
    <w:rsid w:val="00436424"/>
    <w:rsid w:val="00436754"/>
    <w:rsid w:val="00436ACF"/>
    <w:rsid w:val="00436FFB"/>
    <w:rsid w:val="00437201"/>
    <w:rsid w:val="004378FA"/>
    <w:rsid w:val="00437D9A"/>
    <w:rsid w:val="004402ED"/>
    <w:rsid w:val="004403B4"/>
    <w:rsid w:val="00440670"/>
    <w:rsid w:val="00440B1A"/>
    <w:rsid w:val="00441472"/>
    <w:rsid w:val="004415B7"/>
    <w:rsid w:val="00441D5F"/>
    <w:rsid w:val="00441DFD"/>
    <w:rsid w:val="00441E16"/>
    <w:rsid w:val="004433F2"/>
    <w:rsid w:val="00443782"/>
    <w:rsid w:val="0044395D"/>
    <w:rsid w:val="00444556"/>
    <w:rsid w:val="004454B3"/>
    <w:rsid w:val="00445ADB"/>
    <w:rsid w:val="0044641B"/>
    <w:rsid w:val="004476B6"/>
    <w:rsid w:val="00447D49"/>
    <w:rsid w:val="00447E1E"/>
    <w:rsid w:val="004504AF"/>
    <w:rsid w:val="004515B4"/>
    <w:rsid w:val="00452113"/>
    <w:rsid w:val="004522C6"/>
    <w:rsid w:val="0045330D"/>
    <w:rsid w:val="00454634"/>
    <w:rsid w:val="00454B52"/>
    <w:rsid w:val="00455962"/>
    <w:rsid w:val="004559DC"/>
    <w:rsid w:val="00455EC6"/>
    <w:rsid w:val="004566FD"/>
    <w:rsid w:val="004570BC"/>
    <w:rsid w:val="004570C8"/>
    <w:rsid w:val="00457127"/>
    <w:rsid w:val="00457533"/>
    <w:rsid w:val="00457BAF"/>
    <w:rsid w:val="004610B3"/>
    <w:rsid w:val="00461422"/>
    <w:rsid w:val="00461438"/>
    <w:rsid w:val="00461A72"/>
    <w:rsid w:val="00461EC3"/>
    <w:rsid w:val="00462708"/>
    <w:rsid w:val="00462D4D"/>
    <w:rsid w:val="00463912"/>
    <w:rsid w:val="00464132"/>
    <w:rsid w:val="00464D02"/>
    <w:rsid w:val="00464E3F"/>
    <w:rsid w:val="004656C0"/>
    <w:rsid w:val="00465E13"/>
    <w:rsid w:val="004661AD"/>
    <w:rsid w:val="004661C4"/>
    <w:rsid w:val="00466313"/>
    <w:rsid w:val="0046731A"/>
    <w:rsid w:val="0046745A"/>
    <w:rsid w:val="0047057D"/>
    <w:rsid w:val="00470F46"/>
    <w:rsid w:val="00471243"/>
    <w:rsid w:val="00471CB5"/>
    <w:rsid w:val="004727BD"/>
    <w:rsid w:val="00472DF4"/>
    <w:rsid w:val="00473440"/>
    <w:rsid w:val="0047357E"/>
    <w:rsid w:val="00473972"/>
    <w:rsid w:val="004739FC"/>
    <w:rsid w:val="00474EC0"/>
    <w:rsid w:val="00475488"/>
    <w:rsid w:val="004754C7"/>
    <w:rsid w:val="00476628"/>
    <w:rsid w:val="00476E29"/>
    <w:rsid w:val="00477B34"/>
    <w:rsid w:val="00477F7C"/>
    <w:rsid w:val="00480733"/>
    <w:rsid w:val="00481D40"/>
    <w:rsid w:val="00481FE7"/>
    <w:rsid w:val="00482668"/>
    <w:rsid w:val="004826C8"/>
    <w:rsid w:val="00482898"/>
    <w:rsid w:val="00482901"/>
    <w:rsid w:val="00482A31"/>
    <w:rsid w:val="00483605"/>
    <w:rsid w:val="0048385D"/>
    <w:rsid w:val="00483DC9"/>
    <w:rsid w:val="00485299"/>
    <w:rsid w:val="004854ED"/>
    <w:rsid w:val="004856E4"/>
    <w:rsid w:val="00485770"/>
    <w:rsid w:val="004857FC"/>
    <w:rsid w:val="00485DA3"/>
    <w:rsid w:val="00486177"/>
    <w:rsid w:val="0048617F"/>
    <w:rsid w:val="00486428"/>
    <w:rsid w:val="0048680D"/>
    <w:rsid w:val="0048727C"/>
    <w:rsid w:val="004874FE"/>
    <w:rsid w:val="00487F8A"/>
    <w:rsid w:val="00490310"/>
    <w:rsid w:val="00490864"/>
    <w:rsid w:val="004908B1"/>
    <w:rsid w:val="00490A82"/>
    <w:rsid w:val="00490E5A"/>
    <w:rsid w:val="00491292"/>
    <w:rsid w:val="00491B4E"/>
    <w:rsid w:val="00491CC5"/>
    <w:rsid w:val="00491E2B"/>
    <w:rsid w:val="004927A0"/>
    <w:rsid w:val="00492AA2"/>
    <w:rsid w:val="00492B2C"/>
    <w:rsid w:val="00492D91"/>
    <w:rsid w:val="00492EE5"/>
    <w:rsid w:val="0049399B"/>
    <w:rsid w:val="00494199"/>
    <w:rsid w:val="004942FB"/>
    <w:rsid w:val="00494BA2"/>
    <w:rsid w:val="00494BB3"/>
    <w:rsid w:val="00494BDB"/>
    <w:rsid w:val="00494FAA"/>
    <w:rsid w:val="0049590D"/>
    <w:rsid w:val="00495C93"/>
    <w:rsid w:val="004963F0"/>
    <w:rsid w:val="0049655B"/>
    <w:rsid w:val="004966F1"/>
    <w:rsid w:val="004967D0"/>
    <w:rsid w:val="00496AEE"/>
    <w:rsid w:val="00497D74"/>
    <w:rsid w:val="004A06FB"/>
    <w:rsid w:val="004A09AB"/>
    <w:rsid w:val="004A1CAB"/>
    <w:rsid w:val="004A1FEA"/>
    <w:rsid w:val="004A2371"/>
    <w:rsid w:val="004A26CD"/>
    <w:rsid w:val="004A2A79"/>
    <w:rsid w:val="004A2F54"/>
    <w:rsid w:val="004A3D82"/>
    <w:rsid w:val="004A40B9"/>
    <w:rsid w:val="004A4416"/>
    <w:rsid w:val="004A451E"/>
    <w:rsid w:val="004A547B"/>
    <w:rsid w:val="004A5DDA"/>
    <w:rsid w:val="004A662A"/>
    <w:rsid w:val="004A6977"/>
    <w:rsid w:val="004A6D48"/>
    <w:rsid w:val="004A71E9"/>
    <w:rsid w:val="004A7CCF"/>
    <w:rsid w:val="004A7EF8"/>
    <w:rsid w:val="004B075B"/>
    <w:rsid w:val="004B0AA3"/>
    <w:rsid w:val="004B1033"/>
    <w:rsid w:val="004B1275"/>
    <w:rsid w:val="004B130A"/>
    <w:rsid w:val="004B1A50"/>
    <w:rsid w:val="004B27B3"/>
    <w:rsid w:val="004B2801"/>
    <w:rsid w:val="004B31BB"/>
    <w:rsid w:val="004B342F"/>
    <w:rsid w:val="004B456B"/>
    <w:rsid w:val="004B4B02"/>
    <w:rsid w:val="004B4BB8"/>
    <w:rsid w:val="004B5034"/>
    <w:rsid w:val="004B63D0"/>
    <w:rsid w:val="004B6BB6"/>
    <w:rsid w:val="004B7368"/>
    <w:rsid w:val="004B75CA"/>
    <w:rsid w:val="004C08CE"/>
    <w:rsid w:val="004C0B7D"/>
    <w:rsid w:val="004C30EA"/>
    <w:rsid w:val="004C3D24"/>
    <w:rsid w:val="004C42F1"/>
    <w:rsid w:val="004C4597"/>
    <w:rsid w:val="004C4E22"/>
    <w:rsid w:val="004C580C"/>
    <w:rsid w:val="004C595B"/>
    <w:rsid w:val="004C5F0F"/>
    <w:rsid w:val="004C6621"/>
    <w:rsid w:val="004C68E5"/>
    <w:rsid w:val="004C7749"/>
    <w:rsid w:val="004D0505"/>
    <w:rsid w:val="004D090D"/>
    <w:rsid w:val="004D1AC4"/>
    <w:rsid w:val="004D1B9E"/>
    <w:rsid w:val="004D2A2F"/>
    <w:rsid w:val="004D32FC"/>
    <w:rsid w:val="004D4837"/>
    <w:rsid w:val="004D4888"/>
    <w:rsid w:val="004D48CA"/>
    <w:rsid w:val="004D5174"/>
    <w:rsid w:val="004D5D6F"/>
    <w:rsid w:val="004D628E"/>
    <w:rsid w:val="004D66D5"/>
    <w:rsid w:val="004D7082"/>
    <w:rsid w:val="004D75AA"/>
    <w:rsid w:val="004E02C8"/>
    <w:rsid w:val="004E1441"/>
    <w:rsid w:val="004E28AD"/>
    <w:rsid w:val="004E3BA2"/>
    <w:rsid w:val="004E42C8"/>
    <w:rsid w:val="004E4C10"/>
    <w:rsid w:val="004E5072"/>
    <w:rsid w:val="004E5500"/>
    <w:rsid w:val="004E5A9D"/>
    <w:rsid w:val="004E5C47"/>
    <w:rsid w:val="004E60CF"/>
    <w:rsid w:val="004E6C95"/>
    <w:rsid w:val="004E6E48"/>
    <w:rsid w:val="004E6E9A"/>
    <w:rsid w:val="004E7854"/>
    <w:rsid w:val="004F0531"/>
    <w:rsid w:val="004F0718"/>
    <w:rsid w:val="004F1C3B"/>
    <w:rsid w:val="004F2505"/>
    <w:rsid w:val="004F2AE0"/>
    <w:rsid w:val="004F32AC"/>
    <w:rsid w:val="004F3854"/>
    <w:rsid w:val="004F52BC"/>
    <w:rsid w:val="004F54CC"/>
    <w:rsid w:val="004F6045"/>
    <w:rsid w:val="004F615C"/>
    <w:rsid w:val="004F6775"/>
    <w:rsid w:val="004F6C5B"/>
    <w:rsid w:val="004F71A1"/>
    <w:rsid w:val="004F77A0"/>
    <w:rsid w:val="004F77F0"/>
    <w:rsid w:val="004F7BBB"/>
    <w:rsid w:val="00500474"/>
    <w:rsid w:val="00500D14"/>
    <w:rsid w:val="00501AA5"/>
    <w:rsid w:val="00501B09"/>
    <w:rsid w:val="0050247B"/>
    <w:rsid w:val="00502621"/>
    <w:rsid w:val="00502B4C"/>
    <w:rsid w:val="005034A8"/>
    <w:rsid w:val="0050428F"/>
    <w:rsid w:val="00504958"/>
    <w:rsid w:val="00504AFE"/>
    <w:rsid w:val="00507421"/>
    <w:rsid w:val="005075EB"/>
    <w:rsid w:val="00507652"/>
    <w:rsid w:val="00507FFA"/>
    <w:rsid w:val="00511731"/>
    <w:rsid w:val="00511BEB"/>
    <w:rsid w:val="005129E3"/>
    <w:rsid w:val="005133C9"/>
    <w:rsid w:val="00513B40"/>
    <w:rsid w:val="00513BFF"/>
    <w:rsid w:val="00513D3F"/>
    <w:rsid w:val="00513EA5"/>
    <w:rsid w:val="005143D7"/>
    <w:rsid w:val="00514D65"/>
    <w:rsid w:val="00514D91"/>
    <w:rsid w:val="00515036"/>
    <w:rsid w:val="0051514A"/>
    <w:rsid w:val="0051656C"/>
    <w:rsid w:val="00516DAA"/>
    <w:rsid w:val="0051720A"/>
    <w:rsid w:val="00520380"/>
    <w:rsid w:val="005203D9"/>
    <w:rsid w:val="00520766"/>
    <w:rsid w:val="00520F3E"/>
    <w:rsid w:val="00521206"/>
    <w:rsid w:val="00521D08"/>
    <w:rsid w:val="005225D0"/>
    <w:rsid w:val="005225FF"/>
    <w:rsid w:val="00522D4C"/>
    <w:rsid w:val="00522EB0"/>
    <w:rsid w:val="00522FBA"/>
    <w:rsid w:val="00523145"/>
    <w:rsid w:val="005232F7"/>
    <w:rsid w:val="00523799"/>
    <w:rsid w:val="00523906"/>
    <w:rsid w:val="0052399F"/>
    <w:rsid w:val="00523A93"/>
    <w:rsid w:val="005240A4"/>
    <w:rsid w:val="00525053"/>
    <w:rsid w:val="005250BC"/>
    <w:rsid w:val="005254AA"/>
    <w:rsid w:val="00525D29"/>
    <w:rsid w:val="00526A4A"/>
    <w:rsid w:val="00526E51"/>
    <w:rsid w:val="005271B3"/>
    <w:rsid w:val="00527578"/>
    <w:rsid w:val="00527947"/>
    <w:rsid w:val="00530421"/>
    <w:rsid w:val="00531009"/>
    <w:rsid w:val="00532073"/>
    <w:rsid w:val="0053309B"/>
    <w:rsid w:val="0053334B"/>
    <w:rsid w:val="00533848"/>
    <w:rsid w:val="00533D92"/>
    <w:rsid w:val="00534086"/>
    <w:rsid w:val="00534102"/>
    <w:rsid w:val="005342FE"/>
    <w:rsid w:val="005343B6"/>
    <w:rsid w:val="0053486E"/>
    <w:rsid w:val="0053558F"/>
    <w:rsid w:val="0053561F"/>
    <w:rsid w:val="00535CB7"/>
    <w:rsid w:val="005365EC"/>
    <w:rsid w:val="00536CF6"/>
    <w:rsid w:val="00537195"/>
    <w:rsid w:val="005377EE"/>
    <w:rsid w:val="00537968"/>
    <w:rsid w:val="005379F4"/>
    <w:rsid w:val="00537D64"/>
    <w:rsid w:val="00540690"/>
    <w:rsid w:val="00540794"/>
    <w:rsid w:val="00540998"/>
    <w:rsid w:val="00541496"/>
    <w:rsid w:val="00541513"/>
    <w:rsid w:val="005419FE"/>
    <w:rsid w:val="00541CCD"/>
    <w:rsid w:val="00542701"/>
    <w:rsid w:val="0054275F"/>
    <w:rsid w:val="00542A24"/>
    <w:rsid w:val="00542EF6"/>
    <w:rsid w:val="0054475F"/>
    <w:rsid w:val="005448CC"/>
    <w:rsid w:val="00544BA4"/>
    <w:rsid w:val="005459CA"/>
    <w:rsid w:val="0054606D"/>
    <w:rsid w:val="00546566"/>
    <w:rsid w:val="005468B4"/>
    <w:rsid w:val="00546EF9"/>
    <w:rsid w:val="00546F25"/>
    <w:rsid w:val="00547BC8"/>
    <w:rsid w:val="00547E69"/>
    <w:rsid w:val="005506C4"/>
    <w:rsid w:val="00550855"/>
    <w:rsid w:val="00550EC8"/>
    <w:rsid w:val="00550F06"/>
    <w:rsid w:val="00551869"/>
    <w:rsid w:val="0055257E"/>
    <w:rsid w:val="00553476"/>
    <w:rsid w:val="0055347A"/>
    <w:rsid w:val="00553660"/>
    <w:rsid w:val="00554F6B"/>
    <w:rsid w:val="005554E1"/>
    <w:rsid w:val="00555848"/>
    <w:rsid w:val="00555B16"/>
    <w:rsid w:val="00555DB2"/>
    <w:rsid w:val="0055640A"/>
    <w:rsid w:val="00556B17"/>
    <w:rsid w:val="00556BBB"/>
    <w:rsid w:val="00556C0D"/>
    <w:rsid w:val="005578C6"/>
    <w:rsid w:val="005619D7"/>
    <w:rsid w:val="005620A9"/>
    <w:rsid w:val="00562826"/>
    <w:rsid w:val="00562B78"/>
    <w:rsid w:val="00562B83"/>
    <w:rsid w:val="00563BE9"/>
    <w:rsid w:val="00564134"/>
    <w:rsid w:val="00564379"/>
    <w:rsid w:val="0056445B"/>
    <w:rsid w:val="00564855"/>
    <w:rsid w:val="00564946"/>
    <w:rsid w:val="00564F9F"/>
    <w:rsid w:val="00566449"/>
    <w:rsid w:val="0056658E"/>
    <w:rsid w:val="00566ED6"/>
    <w:rsid w:val="00566FDB"/>
    <w:rsid w:val="005674C6"/>
    <w:rsid w:val="00570935"/>
    <w:rsid w:val="005717AF"/>
    <w:rsid w:val="005721F7"/>
    <w:rsid w:val="00572C52"/>
    <w:rsid w:val="0057386C"/>
    <w:rsid w:val="00574311"/>
    <w:rsid w:val="00574AED"/>
    <w:rsid w:val="00574F3A"/>
    <w:rsid w:val="0057538F"/>
    <w:rsid w:val="005755E7"/>
    <w:rsid w:val="005768D6"/>
    <w:rsid w:val="00576BD6"/>
    <w:rsid w:val="00576E6D"/>
    <w:rsid w:val="00576EC0"/>
    <w:rsid w:val="005772CD"/>
    <w:rsid w:val="0057763F"/>
    <w:rsid w:val="00577AE6"/>
    <w:rsid w:val="00580295"/>
    <w:rsid w:val="005814E9"/>
    <w:rsid w:val="00581B1A"/>
    <w:rsid w:val="005825BF"/>
    <w:rsid w:val="00582693"/>
    <w:rsid w:val="005826CE"/>
    <w:rsid w:val="00582714"/>
    <w:rsid w:val="00582895"/>
    <w:rsid w:val="00582A62"/>
    <w:rsid w:val="00582E54"/>
    <w:rsid w:val="00583A1B"/>
    <w:rsid w:val="00584B67"/>
    <w:rsid w:val="0058545F"/>
    <w:rsid w:val="00585E99"/>
    <w:rsid w:val="0058604C"/>
    <w:rsid w:val="005863AF"/>
    <w:rsid w:val="005865DA"/>
    <w:rsid w:val="005868FC"/>
    <w:rsid w:val="00590099"/>
    <w:rsid w:val="005903A6"/>
    <w:rsid w:val="005906D4"/>
    <w:rsid w:val="005906F8"/>
    <w:rsid w:val="00591149"/>
    <w:rsid w:val="00591487"/>
    <w:rsid w:val="005919D5"/>
    <w:rsid w:val="00591B3C"/>
    <w:rsid w:val="00591BD5"/>
    <w:rsid w:val="0059254D"/>
    <w:rsid w:val="00592652"/>
    <w:rsid w:val="0059278D"/>
    <w:rsid w:val="00592D30"/>
    <w:rsid w:val="005948FD"/>
    <w:rsid w:val="00594F45"/>
    <w:rsid w:val="005956A7"/>
    <w:rsid w:val="00595CE8"/>
    <w:rsid w:val="005962A8"/>
    <w:rsid w:val="0059662C"/>
    <w:rsid w:val="0059677E"/>
    <w:rsid w:val="00597401"/>
    <w:rsid w:val="00597EDA"/>
    <w:rsid w:val="00597FF9"/>
    <w:rsid w:val="005A044F"/>
    <w:rsid w:val="005A04F6"/>
    <w:rsid w:val="005A06FE"/>
    <w:rsid w:val="005A12D4"/>
    <w:rsid w:val="005A1E6F"/>
    <w:rsid w:val="005A1F19"/>
    <w:rsid w:val="005A2EC2"/>
    <w:rsid w:val="005A32CF"/>
    <w:rsid w:val="005A33F6"/>
    <w:rsid w:val="005A4833"/>
    <w:rsid w:val="005A4B34"/>
    <w:rsid w:val="005A4E94"/>
    <w:rsid w:val="005A5E34"/>
    <w:rsid w:val="005A6221"/>
    <w:rsid w:val="005A6E86"/>
    <w:rsid w:val="005A7248"/>
    <w:rsid w:val="005A775B"/>
    <w:rsid w:val="005A7AA7"/>
    <w:rsid w:val="005A7E03"/>
    <w:rsid w:val="005B0D67"/>
    <w:rsid w:val="005B111D"/>
    <w:rsid w:val="005B1573"/>
    <w:rsid w:val="005B1ABE"/>
    <w:rsid w:val="005B2234"/>
    <w:rsid w:val="005B2628"/>
    <w:rsid w:val="005B3E53"/>
    <w:rsid w:val="005B3FA6"/>
    <w:rsid w:val="005B53F4"/>
    <w:rsid w:val="005B599F"/>
    <w:rsid w:val="005B5B21"/>
    <w:rsid w:val="005B62BC"/>
    <w:rsid w:val="005B652C"/>
    <w:rsid w:val="005B7310"/>
    <w:rsid w:val="005B7A36"/>
    <w:rsid w:val="005B7DCE"/>
    <w:rsid w:val="005C0700"/>
    <w:rsid w:val="005C0A93"/>
    <w:rsid w:val="005C15DE"/>
    <w:rsid w:val="005C16D6"/>
    <w:rsid w:val="005C1810"/>
    <w:rsid w:val="005C19C7"/>
    <w:rsid w:val="005C1BD2"/>
    <w:rsid w:val="005C2AD7"/>
    <w:rsid w:val="005C2B1A"/>
    <w:rsid w:val="005C2BC0"/>
    <w:rsid w:val="005C3415"/>
    <w:rsid w:val="005C3CB9"/>
    <w:rsid w:val="005C3D17"/>
    <w:rsid w:val="005C3D41"/>
    <w:rsid w:val="005C3D48"/>
    <w:rsid w:val="005C442D"/>
    <w:rsid w:val="005C44D8"/>
    <w:rsid w:val="005C4C15"/>
    <w:rsid w:val="005C52F2"/>
    <w:rsid w:val="005C61F6"/>
    <w:rsid w:val="005C66A3"/>
    <w:rsid w:val="005C6863"/>
    <w:rsid w:val="005C744A"/>
    <w:rsid w:val="005C781B"/>
    <w:rsid w:val="005D0C7D"/>
    <w:rsid w:val="005D0D3A"/>
    <w:rsid w:val="005D0D99"/>
    <w:rsid w:val="005D1092"/>
    <w:rsid w:val="005D1B74"/>
    <w:rsid w:val="005D2D5E"/>
    <w:rsid w:val="005D51EF"/>
    <w:rsid w:val="005D5386"/>
    <w:rsid w:val="005D5830"/>
    <w:rsid w:val="005D645C"/>
    <w:rsid w:val="005D68B4"/>
    <w:rsid w:val="005D73F8"/>
    <w:rsid w:val="005D7BF2"/>
    <w:rsid w:val="005E056C"/>
    <w:rsid w:val="005E06E4"/>
    <w:rsid w:val="005E0A1A"/>
    <w:rsid w:val="005E11B2"/>
    <w:rsid w:val="005E16E2"/>
    <w:rsid w:val="005E1F73"/>
    <w:rsid w:val="005E2275"/>
    <w:rsid w:val="005E2D8D"/>
    <w:rsid w:val="005E34D7"/>
    <w:rsid w:val="005E3CB0"/>
    <w:rsid w:val="005E42A9"/>
    <w:rsid w:val="005E4344"/>
    <w:rsid w:val="005E489A"/>
    <w:rsid w:val="005E48D8"/>
    <w:rsid w:val="005E4C71"/>
    <w:rsid w:val="005E5BA1"/>
    <w:rsid w:val="005E6021"/>
    <w:rsid w:val="005E6EC6"/>
    <w:rsid w:val="005E759F"/>
    <w:rsid w:val="005E7A2D"/>
    <w:rsid w:val="005F00EA"/>
    <w:rsid w:val="005F0730"/>
    <w:rsid w:val="005F0984"/>
    <w:rsid w:val="005F0A79"/>
    <w:rsid w:val="005F0D23"/>
    <w:rsid w:val="005F121F"/>
    <w:rsid w:val="005F2969"/>
    <w:rsid w:val="005F2E8A"/>
    <w:rsid w:val="005F337E"/>
    <w:rsid w:val="005F3597"/>
    <w:rsid w:val="005F368C"/>
    <w:rsid w:val="005F457D"/>
    <w:rsid w:val="005F4682"/>
    <w:rsid w:val="005F4D00"/>
    <w:rsid w:val="005F5936"/>
    <w:rsid w:val="005F5E4A"/>
    <w:rsid w:val="005F6331"/>
    <w:rsid w:val="005F64D9"/>
    <w:rsid w:val="005F6513"/>
    <w:rsid w:val="005F6A3C"/>
    <w:rsid w:val="005F6B5B"/>
    <w:rsid w:val="005F6FCC"/>
    <w:rsid w:val="005F6FFE"/>
    <w:rsid w:val="005F7082"/>
    <w:rsid w:val="005F7F69"/>
    <w:rsid w:val="00600C6F"/>
    <w:rsid w:val="00601170"/>
    <w:rsid w:val="00601460"/>
    <w:rsid w:val="00601CC3"/>
    <w:rsid w:val="00602216"/>
    <w:rsid w:val="00602E02"/>
    <w:rsid w:val="00603BC1"/>
    <w:rsid w:val="0060526B"/>
    <w:rsid w:val="006057BC"/>
    <w:rsid w:val="00605A34"/>
    <w:rsid w:val="00606A1B"/>
    <w:rsid w:val="0060738E"/>
    <w:rsid w:val="0060744B"/>
    <w:rsid w:val="00607A84"/>
    <w:rsid w:val="00607B01"/>
    <w:rsid w:val="00607DD1"/>
    <w:rsid w:val="006100E1"/>
    <w:rsid w:val="0061049B"/>
    <w:rsid w:val="00610834"/>
    <w:rsid w:val="00611037"/>
    <w:rsid w:val="00611EDC"/>
    <w:rsid w:val="00613088"/>
    <w:rsid w:val="00613357"/>
    <w:rsid w:val="00613A25"/>
    <w:rsid w:val="00613B26"/>
    <w:rsid w:val="00614F73"/>
    <w:rsid w:val="00615015"/>
    <w:rsid w:val="0061548A"/>
    <w:rsid w:val="00615A72"/>
    <w:rsid w:val="006161B0"/>
    <w:rsid w:val="00616ECD"/>
    <w:rsid w:val="00620C12"/>
    <w:rsid w:val="0062110F"/>
    <w:rsid w:val="00621576"/>
    <w:rsid w:val="00622754"/>
    <w:rsid w:val="00622C86"/>
    <w:rsid w:val="00622F22"/>
    <w:rsid w:val="00623B00"/>
    <w:rsid w:val="00624873"/>
    <w:rsid w:val="0062522B"/>
    <w:rsid w:val="00625296"/>
    <w:rsid w:val="006254B1"/>
    <w:rsid w:val="006257DE"/>
    <w:rsid w:val="006267D4"/>
    <w:rsid w:val="006268E7"/>
    <w:rsid w:val="00626B83"/>
    <w:rsid w:val="00626E23"/>
    <w:rsid w:val="00627000"/>
    <w:rsid w:val="00627073"/>
    <w:rsid w:val="00627409"/>
    <w:rsid w:val="00627473"/>
    <w:rsid w:val="006274A1"/>
    <w:rsid w:val="00627938"/>
    <w:rsid w:val="00627E58"/>
    <w:rsid w:val="00630082"/>
    <w:rsid w:val="00630AEB"/>
    <w:rsid w:val="0063147B"/>
    <w:rsid w:val="0063163E"/>
    <w:rsid w:val="006318DD"/>
    <w:rsid w:val="00631A7E"/>
    <w:rsid w:val="00632071"/>
    <w:rsid w:val="00632734"/>
    <w:rsid w:val="00632C32"/>
    <w:rsid w:val="00632CA4"/>
    <w:rsid w:val="00632CF3"/>
    <w:rsid w:val="006339F5"/>
    <w:rsid w:val="00634ABE"/>
    <w:rsid w:val="00634B38"/>
    <w:rsid w:val="0063573A"/>
    <w:rsid w:val="006359D9"/>
    <w:rsid w:val="00635ACD"/>
    <w:rsid w:val="00636094"/>
    <w:rsid w:val="0063646B"/>
    <w:rsid w:val="00637033"/>
    <w:rsid w:val="00637AFB"/>
    <w:rsid w:val="00640036"/>
    <w:rsid w:val="00640FC1"/>
    <w:rsid w:val="00641422"/>
    <w:rsid w:val="00641924"/>
    <w:rsid w:val="00642280"/>
    <w:rsid w:val="00642BA5"/>
    <w:rsid w:val="00643843"/>
    <w:rsid w:val="006444D8"/>
    <w:rsid w:val="00645120"/>
    <w:rsid w:val="00645550"/>
    <w:rsid w:val="00645E43"/>
    <w:rsid w:val="00646535"/>
    <w:rsid w:val="00646ED8"/>
    <w:rsid w:val="006471D6"/>
    <w:rsid w:val="00647293"/>
    <w:rsid w:val="00647603"/>
    <w:rsid w:val="0064779B"/>
    <w:rsid w:val="00647A1C"/>
    <w:rsid w:val="00647A60"/>
    <w:rsid w:val="006502C3"/>
    <w:rsid w:val="00650632"/>
    <w:rsid w:val="006514B8"/>
    <w:rsid w:val="00651782"/>
    <w:rsid w:val="0065183B"/>
    <w:rsid w:val="00651D89"/>
    <w:rsid w:val="00651EAE"/>
    <w:rsid w:val="00651FC3"/>
    <w:rsid w:val="00653563"/>
    <w:rsid w:val="00653B51"/>
    <w:rsid w:val="00653D41"/>
    <w:rsid w:val="0065570D"/>
    <w:rsid w:val="00655F90"/>
    <w:rsid w:val="00655FD2"/>
    <w:rsid w:val="006562A4"/>
    <w:rsid w:val="00656B59"/>
    <w:rsid w:val="00656E26"/>
    <w:rsid w:val="0065778B"/>
    <w:rsid w:val="00657D4D"/>
    <w:rsid w:val="006600D1"/>
    <w:rsid w:val="0066059F"/>
    <w:rsid w:val="00660EA8"/>
    <w:rsid w:val="00660EE5"/>
    <w:rsid w:val="006616A9"/>
    <w:rsid w:val="00662682"/>
    <w:rsid w:val="006628AF"/>
    <w:rsid w:val="006629C3"/>
    <w:rsid w:val="00662E4B"/>
    <w:rsid w:val="00662FA1"/>
    <w:rsid w:val="006632E3"/>
    <w:rsid w:val="006639D0"/>
    <w:rsid w:val="00663D5D"/>
    <w:rsid w:val="00664CAC"/>
    <w:rsid w:val="00665FFF"/>
    <w:rsid w:val="00666A8A"/>
    <w:rsid w:val="00666DAF"/>
    <w:rsid w:val="0066708A"/>
    <w:rsid w:val="00667469"/>
    <w:rsid w:val="00667C6A"/>
    <w:rsid w:val="00667FA2"/>
    <w:rsid w:val="0067017D"/>
    <w:rsid w:val="00670A36"/>
    <w:rsid w:val="00670F47"/>
    <w:rsid w:val="0067249E"/>
    <w:rsid w:val="006727EF"/>
    <w:rsid w:val="00672D2D"/>
    <w:rsid w:val="0067312A"/>
    <w:rsid w:val="00673C93"/>
    <w:rsid w:val="00674552"/>
    <w:rsid w:val="00675172"/>
    <w:rsid w:val="00675507"/>
    <w:rsid w:val="00675A9E"/>
    <w:rsid w:val="00676DF3"/>
    <w:rsid w:val="00676E06"/>
    <w:rsid w:val="00676EFF"/>
    <w:rsid w:val="006805E1"/>
    <w:rsid w:val="0068118F"/>
    <w:rsid w:val="00681876"/>
    <w:rsid w:val="00682599"/>
    <w:rsid w:val="0068359A"/>
    <w:rsid w:val="00683B16"/>
    <w:rsid w:val="00683D5B"/>
    <w:rsid w:val="00684C6E"/>
    <w:rsid w:val="00684D6E"/>
    <w:rsid w:val="006850E9"/>
    <w:rsid w:val="006855DC"/>
    <w:rsid w:val="006864F3"/>
    <w:rsid w:val="00686964"/>
    <w:rsid w:val="0068740C"/>
    <w:rsid w:val="0068780C"/>
    <w:rsid w:val="00687F3D"/>
    <w:rsid w:val="00690358"/>
    <w:rsid w:val="006903E9"/>
    <w:rsid w:val="00690558"/>
    <w:rsid w:val="00690C00"/>
    <w:rsid w:val="00690DB8"/>
    <w:rsid w:val="00691FD2"/>
    <w:rsid w:val="00692486"/>
    <w:rsid w:val="00692C52"/>
    <w:rsid w:val="0069320A"/>
    <w:rsid w:val="006935B4"/>
    <w:rsid w:val="0069368D"/>
    <w:rsid w:val="006939BF"/>
    <w:rsid w:val="006941E0"/>
    <w:rsid w:val="006957D1"/>
    <w:rsid w:val="0069617B"/>
    <w:rsid w:val="00696183"/>
    <w:rsid w:val="00696371"/>
    <w:rsid w:val="0069658C"/>
    <w:rsid w:val="006965EA"/>
    <w:rsid w:val="00696A38"/>
    <w:rsid w:val="00696C0C"/>
    <w:rsid w:val="00696C49"/>
    <w:rsid w:val="0069765A"/>
    <w:rsid w:val="006A107E"/>
    <w:rsid w:val="006A1AE7"/>
    <w:rsid w:val="006A1DC3"/>
    <w:rsid w:val="006A1F46"/>
    <w:rsid w:val="006A2BC1"/>
    <w:rsid w:val="006A2ED4"/>
    <w:rsid w:val="006A33D0"/>
    <w:rsid w:val="006A33DC"/>
    <w:rsid w:val="006A34DA"/>
    <w:rsid w:val="006A38EA"/>
    <w:rsid w:val="006A3D2C"/>
    <w:rsid w:val="006A3D33"/>
    <w:rsid w:val="006A45D6"/>
    <w:rsid w:val="006A4D49"/>
    <w:rsid w:val="006A5292"/>
    <w:rsid w:val="006A5392"/>
    <w:rsid w:val="006A553B"/>
    <w:rsid w:val="006A660C"/>
    <w:rsid w:val="006A75A7"/>
    <w:rsid w:val="006A7E4A"/>
    <w:rsid w:val="006A7F9C"/>
    <w:rsid w:val="006B088C"/>
    <w:rsid w:val="006B08BF"/>
    <w:rsid w:val="006B1350"/>
    <w:rsid w:val="006B17BD"/>
    <w:rsid w:val="006B19F1"/>
    <w:rsid w:val="006B1FCB"/>
    <w:rsid w:val="006B28A1"/>
    <w:rsid w:val="006B2A65"/>
    <w:rsid w:val="006B2E72"/>
    <w:rsid w:val="006B3C7B"/>
    <w:rsid w:val="006B3D48"/>
    <w:rsid w:val="006B43C6"/>
    <w:rsid w:val="006B458D"/>
    <w:rsid w:val="006B5058"/>
    <w:rsid w:val="006B5106"/>
    <w:rsid w:val="006B5474"/>
    <w:rsid w:val="006B599E"/>
    <w:rsid w:val="006B6079"/>
    <w:rsid w:val="006B6099"/>
    <w:rsid w:val="006B61E6"/>
    <w:rsid w:val="006B6613"/>
    <w:rsid w:val="006B6769"/>
    <w:rsid w:val="006B6852"/>
    <w:rsid w:val="006B6A36"/>
    <w:rsid w:val="006B6E7D"/>
    <w:rsid w:val="006B6E84"/>
    <w:rsid w:val="006B7078"/>
    <w:rsid w:val="006B7A1B"/>
    <w:rsid w:val="006B7BC7"/>
    <w:rsid w:val="006B7F58"/>
    <w:rsid w:val="006C048C"/>
    <w:rsid w:val="006C0701"/>
    <w:rsid w:val="006C0745"/>
    <w:rsid w:val="006C1246"/>
    <w:rsid w:val="006C2AC5"/>
    <w:rsid w:val="006C3124"/>
    <w:rsid w:val="006C39C9"/>
    <w:rsid w:val="006C40E2"/>
    <w:rsid w:val="006C450B"/>
    <w:rsid w:val="006C48D6"/>
    <w:rsid w:val="006C49A6"/>
    <w:rsid w:val="006C4F81"/>
    <w:rsid w:val="006C54F2"/>
    <w:rsid w:val="006C575E"/>
    <w:rsid w:val="006C5F82"/>
    <w:rsid w:val="006C66CD"/>
    <w:rsid w:val="006C67A8"/>
    <w:rsid w:val="006C68E3"/>
    <w:rsid w:val="006C7CA9"/>
    <w:rsid w:val="006D009F"/>
    <w:rsid w:val="006D0259"/>
    <w:rsid w:val="006D089D"/>
    <w:rsid w:val="006D0E6F"/>
    <w:rsid w:val="006D0EAA"/>
    <w:rsid w:val="006D2F6F"/>
    <w:rsid w:val="006D3257"/>
    <w:rsid w:val="006D4497"/>
    <w:rsid w:val="006D4ABD"/>
    <w:rsid w:val="006D597E"/>
    <w:rsid w:val="006D5AB3"/>
    <w:rsid w:val="006D66CD"/>
    <w:rsid w:val="006D69D1"/>
    <w:rsid w:val="006D7342"/>
    <w:rsid w:val="006D775C"/>
    <w:rsid w:val="006E043D"/>
    <w:rsid w:val="006E06D8"/>
    <w:rsid w:val="006E09F3"/>
    <w:rsid w:val="006E0B5D"/>
    <w:rsid w:val="006E0F37"/>
    <w:rsid w:val="006E1319"/>
    <w:rsid w:val="006E1B8E"/>
    <w:rsid w:val="006E2400"/>
    <w:rsid w:val="006E2B1D"/>
    <w:rsid w:val="006E2CB9"/>
    <w:rsid w:val="006E323F"/>
    <w:rsid w:val="006E3686"/>
    <w:rsid w:val="006E3B73"/>
    <w:rsid w:val="006E3D40"/>
    <w:rsid w:val="006E3E86"/>
    <w:rsid w:val="006E46FE"/>
    <w:rsid w:val="006E481E"/>
    <w:rsid w:val="006E4971"/>
    <w:rsid w:val="006E581D"/>
    <w:rsid w:val="006E5A6D"/>
    <w:rsid w:val="006E5EE2"/>
    <w:rsid w:val="006E60E8"/>
    <w:rsid w:val="006E64FF"/>
    <w:rsid w:val="006E67FF"/>
    <w:rsid w:val="006E6831"/>
    <w:rsid w:val="006E7ACD"/>
    <w:rsid w:val="006F0B69"/>
    <w:rsid w:val="006F0C3A"/>
    <w:rsid w:val="006F15E1"/>
    <w:rsid w:val="006F2D9B"/>
    <w:rsid w:val="006F2E4F"/>
    <w:rsid w:val="006F2F81"/>
    <w:rsid w:val="006F35D9"/>
    <w:rsid w:val="006F4694"/>
    <w:rsid w:val="006F4C52"/>
    <w:rsid w:val="006F52F1"/>
    <w:rsid w:val="006F647A"/>
    <w:rsid w:val="006F67D2"/>
    <w:rsid w:val="006F6BC3"/>
    <w:rsid w:val="006F6D82"/>
    <w:rsid w:val="006F75CA"/>
    <w:rsid w:val="006F7A65"/>
    <w:rsid w:val="006F7F94"/>
    <w:rsid w:val="00700C83"/>
    <w:rsid w:val="00700CE6"/>
    <w:rsid w:val="00700EC0"/>
    <w:rsid w:val="00701E96"/>
    <w:rsid w:val="00701F71"/>
    <w:rsid w:val="0070217F"/>
    <w:rsid w:val="007026C4"/>
    <w:rsid w:val="0070273E"/>
    <w:rsid w:val="0070276E"/>
    <w:rsid w:val="007036DA"/>
    <w:rsid w:val="00704044"/>
    <w:rsid w:val="00704424"/>
    <w:rsid w:val="0070509A"/>
    <w:rsid w:val="007051DA"/>
    <w:rsid w:val="00705C35"/>
    <w:rsid w:val="00705D52"/>
    <w:rsid w:val="0070696B"/>
    <w:rsid w:val="00706A25"/>
    <w:rsid w:val="007072C2"/>
    <w:rsid w:val="00707614"/>
    <w:rsid w:val="007108BF"/>
    <w:rsid w:val="00711134"/>
    <w:rsid w:val="0071123C"/>
    <w:rsid w:val="00711369"/>
    <w:rsid w:val="00711953"/>
    <w:rsid w:val="00711BA0"/>
    <w:rsid w:val="00713452"/>
    <w:rsid w:val="007135D8"/>
    <w:rsid w:val="00713B6E"/>
    <w:rsid w:val="007141FC"/>
    <w:rsid w:val="00715094"/>
    <w:rsid w:val="0071559E"/>
    <w:rsid w:val="007157FB"/>
    <w:rsid w:val="00715ACC"/>
    <w:rsid w:val="00715B2A"/>
    <w:rsid w:val="00716FAC"/>
    <w:rsid w:val="007178CA"/>
    <w:rsid w:val="00717E87"/>
    <w:rsid w:val="00720EB3"/>
    <w:rsid w:val="00721259"/>
    <w:rsid w:val="007214FC"/>
    <w:rsid w:val="00722875"/>
    <w:rsid w:val="007232CA"/>
    <w:rsid w:val="007238B7"/>
    <w:rsid w:val="00723E70"/>
    <w:rsid w:val="00724702"/>
    <w:rsid w:val="007250D7"/>
    <w:rsid w:val="00725220"/>
    <w:rsid w:val="0072683E"/>
    <w:rsid w:val="00726F77"/>
    <w:rsid w:val="00727012"/>
    <w:rsid w:val="00727EDF"/>
    <w:rsid w:val="00730699"/>
    <w:rsid w:val="0073069F"/>
    <w:rsid w:val="00730E5A"/>
    <w:rsid w:val="00731215"/>
    <w:rsid w:val="007313B2"/>
    <w:rsid w:val="00731617"/>
    <w:rsid w:val="0073161F"/>
    <w:rsid w:val="00731FE2"/>
    <w:rsid w:val="0073202F"/>
    <w:rsid w:val="0073270E"/>
    <w:rsid w:val="00732B21"/>
    <w:rsid w:val="00734474"/>
    <w:rsid w:val="00734951"/>
    <w:rsid w:val="00735D0F"/>
    <w:rsid w:val="00736264"/>
    <w:rsid w:val="00736365"/>
    <w:rsid w:val="00737269"/>
    <w:rsid w:val="007372D1"/>
    <w:rsid w:val="007405FA"/>
    <w:rsid w:val="00741B50"/>
    <w:rsid w:val="00741CEC"/>
    <w:rsid w:val="00742018"/>
    <w:rsid w:val="007433D0"/>
    <w:rsid w:val="00743ACC"/>
    <w:rsid w:val="00743E6D"/>
    <w:rsid w:val="00743EFB"/>
    <w:rsid w:val="007441DB"/>
    <w:rsid w:val="007449A3"/>
    <w:rsid w:val="00744A11"/>
    <w:rsid w:val="00744E1E"/>
    <w:rsid w:val="00745014"/>
    <w:rsid w:val="0074523A"/>
    <w:rsid w:val="0074568C"/>
    <w:rsid w:val="007459C5"/>
    <w:rsid w:val="00746451"/>
    <w:rsid w:val="007471D8"/>
    <w:rsid w:val="007476F0"/>
    <w:rsid w:val="007478DF"/>
    <w:rsid w:val="00747DC2"/>
    <w:rsid w:val="00750E96"/>
    <w:rsid w:val="00751395"/>
    <w:rsid w:val="00751C46"/>
    <w:rsid w:val="00751E80"/>
    <w:rsid w:val="00751FC4"/>
    <w:rsid w:val="00752290"/>
    <w:rsid w:val="007525E6"/>
    <w:rsid w:val="007528D8"/>
    <w:rsid w:val="00752E92"/>
    <w:rsid w:val="007534A7"/>
    <w:rsid w:val="00753595"/>
    <w:rsid w:val="007537D3"/>
    <w:rsid w:val="0075391E"/>
    <w:rsid w:val="00754572"/>
    <w:rsid w:val="00754C14"/>
    <w:rsid w:val="007553C1"/>
    <w:rsid w:val="007553FC"/>
    <w:rsid w:val="007554B8"/>
    <w:rsid w:val="00755687"/>
    <w:rsid w:val="00756086"/>
    <w:rsid w:val="00756255"/>
    <w:rsid w:val="007562BC"/>
    <w:rsid w:val="00756DF3"/>
    <w:rsid w:val="00756F4B"/>
    <w:rsid w:val="007572D2"/>
    <w:rsid w:val="00757715"/>
    <w:rsid w:val="00757910"/>
    <w:rsid w:val="00757E7B"/>
    <w:rsid w:val="00757E81"/>
    <w:rsid w:val="00757EDB"/>
    <w:rsid w:val="007601A9"/>
    <w:rsid w:val="00760567"/>
    <w:rsid w:val="007607B0"/>
    <w:rsid w:val="007609D3"/>
    <w:rsid w:val="00761CCA"/>
    <w:rsid w:val="00762198"/>
    <w:rsid w:val="007623DA"/>
    <w:rsid w:val="0076248D"/>
    <w:rsid w:val="00762A7C"/>
    <w:rsid w:val="00762E0E"/>
    <w:rsid w:val="00762F8C"/>
    <w:rsid w:val="00763045"/>
    <w:rsid w:val="007631B1"/>
    <w:rsid w:val="00763440"/>
    <w:rsid w:val="00763A1D"/>
    <w:rsid w:val="00763D16"/>
    <w:rsid w:val="007642FF"/>
    <w:rsid w:val="00764A61"/>
    <w:rsid w:val="00764C82"/>
    <w:rsid w:val="00765D0E"/>
    <w:rsid w:val="00766167"/>
    <w:rsid w:val="0076660D"/>
    <w:rsid w:val="00766D27"/>
    <w:rsid w:val="00767355"/>
    <w:rsid w:val="00767856"/>
    <w:rsid w:val="00767EBF"/>
    <w:rsid w:val="007701E2"/>
    <w:rsid w:val="007710DE"/>
    <w:rsid w:val="00771510"/>
    <w:rsid w:val="00771975"/>
    <w:rsid w:val="00771E49"/>
    <w:rsid w:val="007724EE"/>
    <w:rsid w:val="0077260F"/>
    <w:rsid w:val="007733ED"/>
    <w:rsid w:val="00774A7B"/>
    <w:rsid w:val="007754F0"/>
    <w:rsid w:val="00775D6D"/>
    <w:rsid w:val="0077665C"/>
    <w:rsid w:val="00776707"/>
    <w:rsid w:val="0077729B"/>
    <w:rsid w:val="0077760F"/>
    <w:rsid w:val="0077763E"/>
    <w:rsid w:val="00777D45"/>
    <w:rsid w:val="00777F75"/>
    <w:rsid w:val="007808C5"/>
    <w:rsid w:val="00780BF7"/>
    <w:rsid w:val="007812C5"/>
    <w:rsid w:val="00781E80"/>
    <w:rsid w:val="00782466"/>
    <w:rsid w:val="00782682"/>
    <w:rsid w:val="00782BC9"/>
    <w:rsid w:val="00783071"/>
    <w:rsid w:val="007831D3"/>
    <w:rsid w:val="0078420F"/>
    <w:rsid w:val="00784562"/>
    <w:rsid w:val="0078461F"/>
    <w:rsid w:val="00784A4A"/>
    <w:rsid w:val="00784FD6"/>
    <w:rsid w:val="0078544E"/>
    <w:rsid w:val="00785812"/>
    <w:rsid w:val="00786A01"/>
    <w:rsid w:val="00786B99"/>
    <w:rsid w:val="00787189"/>
    <w:rsid w:val="00787404"/>
    <w:rsid w:val="00787D1B"/>
    <w:rsid w:val="007904C5"/>
    <w:rsid w:val="00790AAB"/>
    <w:rsid w:val="00791CBD"/>
    <w:rsid w:val="00791E2E"/>
    <w:rsid w:val="00792462"/>
    <w:rsid w:val="00792935"/>
    <w:rsid w:val="00792CE4"/>
    <w:rsid w:val="0079354C"/>
    <w:rsid w:val="00793993"/>
    <w:rsid w:val="00793F17"/>
    <w:rsid w:val="00794C3E"/>
    <w:rsid w:val="00794F83"/>
    <w:rsid w:val="00795DD3"/>
    <w:rsid w:val="007961B2"/>
    <w:rsid w:val="00796D0D"/>
    <w:rsid w:val="00796D4C"/>
    <w:rsid w:val="00797C53"/>
    <w:rsid w:val="007A0D4E"/>
    <w:rsid w:val="007A1556"/>
    <w:rsid w:val="007A2115"/>
    <w:rsid w:val="007A24BB"/>
    <w:rsid w:val="007A28AF"/>
    <w:rsid w:val="007A29C7"/>
    <w:rsid w:val="007A3196"/>
    <w:rsid w:val="007A40B6"/>
    <w:rsid w:val="007A43A2"/>
    <w:rsid w:val="007A45A8"/>
    <w:rsid w:val="007A47F8"/>
    <w:rsid w:val="007A5444"/>
    <w:rsid w:val="007A551A"/>
    <w:rsid w:val="007A5FE9"/>
    <w:rsid w:val="007A5FF6"/>
    <w:rsid w:val="007A6023"/>
    <w:rsid w:val="007A696B"/>
    <w:rsid w:val="007A6BD9"/>
    <w:rsid w:val="007A708A"/>
    <w:rsid w:val="007A72D0"/>
    <w:rsid w:val="007A787B"/>
    <w:rsid w:val="007B08DD"/>
    <w:rsid w:val="007B0FD9"/>
    <w:rsid w:val="007B1474"/>
    <w:rsid w:val="007B1932"/>
    <w:rsid w:val="007B243D"/>
    <w:rsid w:val="007B2784"/>
    <w:rsid w:val="007B2B88"/>
    <w:rsid w:val="007B330A"/>
    <w:rsid w:val="007B4908"/>
    <w:rsid w:val="007B4D25"/>
    <w:rsid w:val="007B4F04"/>
    <w:rsid w:val="007B5065"/>
    <w:rsid w:val="007B506C"/>
    <w:rsid w:val="007B5E0E"/>
    <w:rsid w:val="007B6650"/>
    <w:rsid w:val="007B6A77"/>
    <w:rsid w:val="007B6ECC"/>
    <w:rsid w:val="007B7C87"/>
    <w:rsid w:val="007C0554"/>
    <w:rsid w:val="007C11B7"/>
    <w:rsid w:val="007C15E8"/>
    <w:rsid w:val="007C1FE7"/>
    <w:rsid w:val="007C3600"/>
    <w:rsid w:val="007C3A3F"/>
    <w:rsid w:val="007C3B8C"/>
    <w:rsid w:val="007C3CFE"/>
    <w:rsid w:val="007C4480"/>
    <w:rsid w:val="007C4B91"/>
    <w:rsid w:val="007C580B"/>
    <w:rsid w:val="007C5D2E"/>
    <w:rsid w:val="007C6133"/>
    <w:rsid w:val="007C616B"/>
    <w:rsid w:val="007C673D"/>
    <w:rsid w:val="007C6CC8"/>
    <w:rsid w:val="007C6E68"/>
    <w:rsid w:val="007C7024"/>
    <w:rsid w:val="007C73DB"/>
    <w:rsid w:val="007C7F9C"/>
    <w:rsid w:val="007D1CCF"/>
    <w:rsid w:val="007D209D"/>
    <w:rsid w:val="007D247E"/>
    <w:rsid w:val="007D31EE"/>
    <w:rsid w:val="007D3A94"/>
    <w:rsid w:val="007D434E"/>
    <w:rsid w:val="007D521A"/>
    <w:rsid w:val="007D61FF"/>
    <w:rsid w:val="007D6BEB"/>
    <w:rsid w:val="007E033E"/>
    <w:rsid w:val="007E1075"/>
    <w:rsid w:val="007E14CB"/>
    <w:rsid w:val="007E1DF5"/>
    <w:rsid w:val="007E221F"/>
    <w:rsid w:val="007E2397"/>
    <w:rsid w:val="007E2733"/>
    <w:rsid w:val="007E3126"/>
    <w:rsid w:val="007E3DBC"/>
    <w:rsid w:val="007E4309"/>
    <w:rsid w:val="007E4C28"/>
    <w:rsid w:val="007E540C"/>
    <w:rsid w:val="007E5524"/>
    <w:rsid w:val="007E5A3A"/>
    <w:rsid w:val="007E5B28"/>
    <w:rsid w:val="007E5EDD"/>
    <w:rsid w:val="007E5FF9"/>
    <w:rsid w:val="007E6232"/>
    <w:rsid w:val="007E6D11"/>
    <w:rsid w:val="007E73F0"/>
    <w:rsid w:val="007F09B3"/>
    <w:rsid w:val="007F0B02"/>
    <w:rsid w:val="007F0D9F"/>
    <w:rsid w:val="007F0F55"/>
    <w:rsid w:val="007F2FF6"/>
    <w:rsid w:val="007F3337"/>
    <w:rsid w:val="007F3E1F"/>
    <w:rsid w:val="007F3F08"/>
    <w:rsid w:val="007F5294"/>
    <w:rsid w:val="007F5C79"/>
    <w:rsid w:val="007F6B7B"/>
    <w:rsid w:val="007F6BEF"/>
    <w:rsid w:val="007F7CE5"/>
    <w:rsid w:val="0080002A"/>
    <w:rsid w:val="00800395"/>
    <w:rsid w:val="008006BA"/>
    <w:rsid w:val="00801249"/>
    <w:rsid w:val="008012C9"/>
    <w:rsid w:val="00802977"/>
    <w:rsid w:val="0080398B"/>
    <w:rsid w:val="00803D66"/>
    <w:rsid w:val="00803DD5"/>
    <w:rsid w:val="00805192"/>
    <w:rsid w:val="0080565B"/>
    <w:rsid w:val="0080578A"/>
    <w:rsid w:val="00805B34"/>
    <w:rsid w:val="008067F1"/>
    <w:rsid w:val="00806AFB"/>
    <w:rsid w:val="00806F17"/>
    <w:rsid w:val="00807003"/>
    <w:rsid w:val="00807478"/>
    <w:rsid w:val="008103CB"/>
    <w:rsid w:val="0081059C"/>
    <w:rsid w:val="008108BD"/>
    <w:rsid w:val="008108D7"/>
    <w:rsid w:val="00811115"/>
    <w:rsid w:val="008124FF"/>
    <w:rsid w:val="00812D18"/>
    <w:rsid w:val="00813A5B"/>
    <w:rsid w:val="008146C3"/>
    <w:rsid w:val="00815B5D"/>
    <w:rsid w:val="00815E96"/>
    <w:rsid w:val="0081668E"/>
    <w:rsid w:val="008177B0"/>
    <w:rsid w:val="008204D2"/>
    <w:rsid w:val="0082176D"/>
    <w:rsid w:val="00821EFF"/>
    <w:rsid w:val="00823DBD"/>
    <w:rsid w:val="00824511"/>
    <w:rsid w:val="00824902"/>
    <w:rsid w:val="008253DD"/>
    <w:rsid w:val="008256D9"/>
    <w:rsid w:val="00826438"/>
    <w:rsid w:val="008264F9"/>
    <w:rsid w:val="008269E4"/>
    <w:rsid w:val="00827865"/>
    <w:rsid w:val="00827B51"/>
    <w:rsid w:val="00827C00"/>
    <w:rsid w:val="00830D16"/>
    <w:rsid w:val="00830DE3"/>
    <w:rsid w:val="00830F2E"/>
    <w:rsid w:val="00830F4A"/>
    <w:rsid w:val="00832519"/>
    <w:rsid w:val="0083590D"/>
    <w:rsid w:val="00835A2A"/>
    <w:rsid w:val="00835BB6"/>
    <w:rsid w:val="00835C02"/>
    <w:rsid w:val="00835EAC"/>
    <w:rsid w:val="0083698A"/>
    <w:rsid w:val="00836D33"/>
    <w:rsid w:val="00836F5B"/>
    <w:rsid w:val="00836FC0"/>
    <w:rsid w:val="008370CC"/>
    <w:rsid w:val="0084057F"/>
    <w:rsid w:val="00841105"/>
    <w:rsid w:val="0084127A"/>
    <w:rsid w:val="00841E87"/>
    <w:rsid w:val="00843517"/>
    <w:rsid w:val="008439BB"/>
    <w:rsid w:val="008453BA"/>
    <w:rsid w:val="00845977"/>
    <w:rsid w:val="00845BCD"/>
    <w:rsid w:val="00845BFB"/>
    <w:rsid w:val="0084647A"/>
    <w:rsid w:val="008465CA"/>
    <w:rsid w:val="00846696"/>
    <w:rsid w:val="00846813"/>
    <w:rsid w:val="00846DE3"/>
    <w:rsid w:val="00846E51"/>
    <w:rsid w:val="008472C7"/>
    <w:rsid w:val="008476FD"/>
    <w:rsid w:val="00847907"/>
    <w:rsid w:val="00850489"/>
    <w:rsid w:val="00850B68"/>
    <w:rsid w:val="00850C91"/>
    <w:rsid w:val="0085186C"/>
    <w:rsid w:val="00851CA0"/>
    <w:rsid w:val="00852897"/>
    <w:rsid w:val="00853C6E"/>
    <w:rsid w:val="008542F2"/>
    <w:rsid w:val="00854611"/>
    <w:rsid w:val="00856BC3"/>
    <w:rsid w:val="00856D2B"/>
    <w:rsid w:val="008570CD"/>
    <w:rsid w:val="008572A4"/>
    <w:rsid w:val="0085735B"/>
    <w:rsid w:val="00857F74"/>
    <w:rsid w:val="00857FF8"/>
    <w:rsid w:val="00860842"/>
    <w:rsid w:val="00860DFA"/>
    <w:rsid w:val="008612E0"/>
    <w:rsid w:val="00862C0C"/>
    <w:rsid w:val="00862CD6"/>
    <w:rsid w:val="00862F94"/>
    <w:rsid w:val="0086312B"/>
    <w:rsid w:val="00864658"/>
    <w:rsid w:val="00865CDC"/>
    <w:rsid w:val="0086623B"/>
    <w:rsid w:val="00866906"/>
    <w:rsid w:val="00866D74"/>
    <w:rsid w:val="00867131"/>
    <w:rsid w:val="00867B58"/>
    <w:rsid w:val="00870D06"/>
    <w:rsid w:val="00870DE6"/>
    <w:rsid w:val="0087221C"/>
    <w:rsid w:val="008723DD"/>
    <w:rsid w:val="00872A45"/>
    <w:rsid w:val="00872DCF"/>
    <w:rsid w:val="00873AEC"/>
    <w:rsid w:val="0087441B"/>
    <w:rsid w:val="00875B51"/>
    <w:rsid w:val="00875E3D"/>
    <w:rsid w:val="00877243"/>
    <w:rsid w:val="00877C52"/>
    <w:rsid w:val="00877CCE"/>
    <w:rsid w:val="00877CF9"/>
    <w:rsid w:val="00877CFF"/>
    <w:rsid w:val="00877E74"/>
    <w:rsid w:val="0088045C"/>
    <w:rsid w:val="00880B32"/>
    <w:rsid w:val="00880EF7"/>
    <w:rsid w:val="008812EE"/>
    <w:rsid w:val="008814ED"/>
    <w:rsid w:val="00881CBD"/>
    <w:rsid w:val="008827A7"/>
    <w:rsid w:val="00885754"/>
    <w:rsid w:val="00885B0A"/>
    <w:rsid w:val="00885BAD"/>
    <w:rsid w:val="008860F4"/>
    <w:rsid w:val="008860F7"/>
    <w:rsid w:val="0088625C"/>
    <w:rsid w:val="008865F5"/>
    <w:rsid w:val="008868F5"/>
    <w:rsid w:val="008868FB"/>
    <w:rsid w:val="00887CC4"/>
    <w:rsid w:val="00887DEF"/>
    <w:rsid w:val="008905FC"/>
    <w:rsid w:val="008907AB"/>
    <w:rsid w:val="00890EC2"/>
    <w:rsid w:val="00891819"/>
    <w:rsid w:val="0089212F"/>
    <w:rsid w:val="008923E1"/>
    <w:rsid w:val="0089252D"/>
    <w:rsid w:val="008925EA"/>
    <w:rsid w:val="00892CD2"/>
    <w:rsid w:val="0089310B"/>
    <w:rsid w:val="008942B6"/>
    <w:rsid w:val="008944A8"/>
    <w:rsid w:val="008946F5"/>
    <w:rsid w:val="00895148"/>
    <w:rsid w:val="0089568F"/>
    <w:rsid w:val="00895B07"/>
    <w:rsid w:val="00895FED"/>
    <w:rsid w:val="008A1D6F"/>
    <w:rsid w:val="008A1DBC"/>
    <w:rsid w:val="008A2480"/>
    <w:rsid w:val="008A2980"/>
    <w:rsid w:val="008A31FA"/>
    <w:rsid w:val="008A3509"/>
    <w:rsid w:val="008A3B94"/>
    <w:rsid w:val="008A3EF9"/>
    <w:rsid w:val="008A4E0B"/>
    <w:rsid w:val="008A586D"/>
    <w:rsid w:val="008A5D3E"/>
    <w:rsid w:val="008A70BB"/>
    <w:rsid w:val="008A7206"/>
    <w:rsid w:val="008A766F"/>
    <w:rsid w:val="008A79EE"/>
    <w:rsid w:val="008A7C1B"/>
    <w:rsid w:val="008A7C86"/>
    <w:rsid w:val="008A7E79"/>
    <w:rsid w:val="008B004E"/>
    <w:rsid w:val="008B19D5"/>
    <w:rsid w:val="008B1E2D"/>
    <w:rsid w:val="008B1E7C"/>
    <w:rsid w:val="008B207F"/>
    <w:rsid w:val="008B2239"/>
    <w:rsid w:val="008B227B"/>
    <w:rsid w:val="008B24AA"/>
    <w:rsid w:val="008B31C0"/>
    <w:rsid w:val="008B33B0"/>
    <w:rsid w:val="008B371C"/>
    <w:rsid w:val="008B376B"/>
    <w:rsid w:val="008B3AEE"/>
    <w:rsid w:val="008B409E"/>
    <w:rsid w:val="008B4252"/>
    <w:rsid w:val="008B4539"/>
    <w:rsid w:val="008B46D7"/>
    <w:rsid w:val="008B4744"/>
    <w:rsid w:val="008B4C98"/>
    <w:rsid w:val="008B567E"/>
    <w:rsid w:val="008B5791"/>
    <w:rsid w:val="008B57BC"/>
    <w:rsid w:val="008B5B58"/>
    <w:rsid w:val="008B5C56"/>
    <w:rsid w:val="008B666E"/>
    <w:rsid w:val="008B6A59"/>
    <w:rsid w:val="008B6B96"/>
    <w:rsid w:val="008B6CB5"/>
    <w:rsid w:val="008B6D54"/>
    <w:rsid w:val="008B6DB1"/>
    <w:rsid w:val="008B7C4C"/>
    <w:rsid w:val="008C0D53"/>
    <w:rsid w:val="008C1B49"/>
    <w:rsid w:val="008C2EE7"/>
    <w:rsid w:val="008C3D36"/>
    <w:rsid w:val="008C3FDA"/>
    <w:rsid w:val="008C40C5"/>
    <w:rsid w:val="008C4F62"/>
    <w:rsid w:val="008C5335"/>
    <w:rsid w:val="008C5FEA"/>
    <w:rsid w:val="008C637A"/>
    <w:rsid w:val="008C6DDD"/>
    <w:rsid w:val="008C7064"/>
    <w:rsid w:val="008C746F"/>
    <w:rsid w:val="008C761E"/>
    <w:rsid w:val="008C7661"/>
    <w:rsid w:val="008C79E6"/>
    <w:rsid w:val="008D00F1"/>
    <w:rsid w:val="008D029C"/>
    <w:rsid w:val="008D08EF"/>
    <w:rsid w:val="008D08F1"/>
    <w:rsid w:val="008D19D1"/>
    <w:rsid w:val="008D2126"/>
    <w:rsid w:val="008D28E6"/>
    <w:rsid w:val="008D3325"/>
    <w:rsid w:val="008D3B59"/>
    <w:rsid w:val="008D3D8F"/>
    <w:rsid w:val="008D3DBE"/>
    <w:rsid w:val="008D47E2"/>
    <w:rsid w:val="008D4AB4"/>
    <w:rsid w:val="008D4CC4"/>
    <w:rsid w:val="008D59D2"/>
    <w:rsid w:val="008D5CF9"/>
    <w:rsid w:val="008D5ECD"/>
    <w:rsid w:val="008D6E9E"/>
    <w:rsid w:val="008D7208"/>
    <w:rsid w:val="008D75B1"/>
    <w:rsid w:val="008E01FB"/>
    <w:rsid w:val="008E0A55"/>
    <w:rsid w:val="008E10E6"/>
    <w:rsid w:val="008E1E49"/>
    <w:rsid w:val="008E2051"/>
    <w:rsid w:val="008E25FE"/>
    <w:rsid w:val="008E26C7"/>
    <w:rsid w:val="008E301A"/>
    <w:rsid w:val="008E37B3"/>
    <w:rsid w:val="008E38A0"/>
    <w:rsid w:val="008E3B95"/>
    <w:rsid w:val="008E3E3B"/>
    <w:rsid w:val="008E3EFC"/>
    <w:rsid w:val="008E402A"/>
    <w:rsid w:val="008E4422"/>
    <w:rsid w:val="008E49F2"/>
    <w:rsid w:val="008E5230"/>
    <w:rsid w:val="008E56E9"/>
    <w:rsid w:val="008E58D5"/>
    <w:rsid w:val="008E594E"/>
    <w:rsid w:val="008E704D"/>
    <w:rsid w:val="008E71AD"/>
    <w:rsid w:val="008E7B12"/>
    <w:rsid w:val="008F004D"/>
    <w:rsid w:val="008F0A56"/>
    <w:rsid w:val="008F11EF"/>
    <w:rsid w:val="008F18D3"/>
    <w:rsid w:val="008F1F97"/>
    <w:rsid w:val="008F2548"/>
    <w:rsid w:val="008F277B"/>
    <w:rsid w:val="008F3385"/>
    <w:rsid w:val="008F349C"/>
    <w:rsid w:val="008F3B72"/>
    <w:rsid w:val="008F43C0"/>
    <w:rsid w:val="008F48A4"/>
    <w:rsid w:val="008F4A27"/>
    <w:rsid w:val="008F4DFA"/>
    <w:rsid w:val="008F55A3"/>
    <w:rsid w:val="008F6048"/>
    <w:rsid w:val="008F6221"/>
    <w:rsid w:val="008F6487"/>
    <w:rsid w:val="008F6D6C"/>
    <w:rsid w:val="008F6DEC"/>
    <w:rsid w:val="008F7015"/>
    <w:rsid w:val="008F7BCA"/>
    <w:rsid w:val="00900D2F"/>
    <w:rsid w:val="00901ADD"/>
    <w:rsid w:val="00901BF4"/>
    <w:rsid w:val="00902D21"/>
    <w:rsid w:val="00902DFA"/>
    <w:rsid w:val="0090359A"/>
    <w:rsid w:val="00904C21"/>
    <w:rsid w:val="009054E9"/>
    <w:rsid w:val="00905E44"/>
    <w:rsid w:val="00906017"/>
    <w:rsid w:val="009060EB"/>
    <w:rsid w:val="009067A1"/>
    <w:rsid w:val="00907A0F"/>
    <w:rsid w:val="00907E39"/>
    <w:rsid w:val="0091034F"/>
    <w:rsid w:val="009103D0"/>
    <w:rsid w:val="00910952"/>
    <w:rsid w:val="00910B0E"/>
    <w:rsid w:val="00910DF3"/>
    <w:rsid w:val="0091127E"/>
    <w:rsid w:val="00911D54"/>
    <w:rsid w:val="0091202E"/>
    <w:rsid w:val="0091248A"/>
    <w:rsid w:val="00912543"/>
    <w:rsid w:val="00912C27"/>
    <w:rsid w:val="00912C84"/>
    <w:rsid w:val="009130FE"/>
    <w:rsid w:val="0091396A"/>
    <w:rsid w:val="009139B4"/>
    <w:rsid w:val="0091478E"/>
    <w:rsid w:val="00915028"/>
    <w:rsid w:val="00915755"/>
    <w:rsid w:val="009157A4"/>
    <w:rsid w:val="0091628C"/>
    <w:rsid w:val="009164D0"/>
    <w:rsid w:val="00916694"/>
    <w:rsid w:val="00916871"/>
    <w:rsid w:val="00916B4D"/>
    <w:rsid w:val="00916BAA"/>
    <w:rsid w:val="00917266"/>
    <w:rsid w:val="0091740A"/>
    <w:rsid w:val="00920A6F"/>
    <w:rsid w:val="00921762"/>
    <w:rsid w:val="00921FC7"/>
    <w:rsid w:val="009227A0"/>
    <w:rsid w:val="0092285A"/>
    <w:rsid w:val="00922E72"/>
    <w:rsid w:val="00922FFB"/>
    <w:rsid w:val="009230AE"/>
    <w:rsid w:val="00923374"/>
    <w:rsid w:val="0092375E"/>
    <w:rsid w:val="00923C12"/>
    <w:rsid w:val="00923EC3"/>
    <w:rsid w:val="0092471E"/>
    <w:rsid w:val="0092514A"/>
    <w:rsid w:val="0092515E"/>
    <w:rsid w:val="009254F7"/>
    <w:rsid w:val="00925A58"/>
    <w:rsid w:val="00925B70"/>
    <w:rsid w:val="00925E1E"/>
    <w:rsid w:val="0092670C"/>
    <w:rsid w:val="00926AD6"/>
    <w:rsid w:val="00926B37"/>
    <w:rsid w:val="009274B8"/>
    <w:rsid w:val="009278E8"/>
    <w:rsid w:val="00927BCC"/>
    <w:rsid w:val="0093030F"/>
    <w:rsid w:val="009308D7"/>
    <w:rsid w:val="00931302"/>
    <w:rsid w:val="009313A2"/>
    <w:rsid w:val="00933F49"/>
    <w:rsid w:val="00934F20"/>
    <w:rsid w:val="00935070"/>
    <w:rsid w:val="009354B8"/>
    <w:rsid w:val="009355C2"/>
    <w:rsid w:val="00935CA7"/>
    <w:rsid w:val="00935DDF"/>
    <w:rsid w:val="0093643E"/>
    <w:rsid w:val="009367A5"/>
    <w:rsid w:val="0093761C"/>
    <w:rsid w:val="00937872"/>
    <w:rsid w:val="00940115"/>
    <w:rsid w:val="00940424"/>
    <w:rsid w:val="00940676"/>
    <w:rsid w:val="00941535"/>
    <w:rsid w:val="009418DA"/>
    <w:rsid w:val="00941E6E"/>
    <w:rsid w:val="00941F40"/>
    <w:rsid w:val="009426BF"/>
    <w:rsid w:val="009427D3"/>
    <w:rsid w:val="00942A46"/>
    <w:rsid w:val="0094364B"/>
    <w:rsid w:val="009451C4"/>
    <w:rsid w:val="009454D6"/>
    <w:rsid w:val="009454FA"/>
    <w:rsid w:val="0094554A"/>
    <w:rsid w:val="009459EF"/>
    <w:rsid w:val="009463EA"/>
    <w:rsid w:val="0094648B"/>
    <w:rsid w:val="00946667"/>
    <w:rsid w:val="00946836"/>
    <w:rsid w:val="009472F4"/>
    <w:rsid w:val="00947BA7"/>
    <w:rsid w:val="00947D5F"/>
    <w:rsid w:val="00950756"/>
    <w:rsid w:val="00951977"/>
    <w:rsid w:val="00952691"/>
    <w:rsid w:val="009539A1"/>
    <w:rsid w:val="00953BA1"/>
    <w:rsid w:val="0095481B"/>
    <w:rsid w:val="00954A8F"/>
    <w:rsid w:val="00954E5C"/>
    <w:rsid w:val="00955D34"/>
    <w:rsid w:val="009562EB"/>
    <w:rsid w:val="00956771"/>
    <w:rsid w:val="00956F3C"/>
    <w:rsid w:val="009600D9"/>
    <w:rsid w:val="00960801"/>
    <w:rsid w:val="009609B4"/>
    <w:rsid w:val="00960A3C"/>
    <w:rsid w:val="0096277D"/>
    <w:rsid w:val="00962AE5"/>
    <w:rsid w:val="00962D8F"/>
    <w:rsid w:val="00962F55"/>
    <w:rsid w:val="00963F35"/>
    <w:rsid w:val="009642FE"/>
    <w:rsid w:val="009645AD"/>
    <w:rsid w:val="00964CD4"/>
    <w:rsid w:val="0096568E"/>
    <w:rsid w:val="00965BE3"/>
    <w:rsid w:val="00965ECA"/>
    <w:rsid w:val="0096603D"/>
    <w:rsid w:val="00966B2E"/>
    <w:rsid w:val="009672E3"/>
    <w:rsid w:val="009707C2"/>
    <w:rsid w:val="00970843"/>
    <w:rsid w:val="009714DA"/>
    <w:rsid w:val="009718FF"/>
    <w:rsid w:val="00973019"/>
    <w:rsid w:val="00973477"/>
    <w:rsid w:val="0097509D"/>
    <w:rsid w:val="00975100"/>
    <w:rsid w:val="00975548"/>
    <w:rsid w:val="0097571E"/>
    <w:rsid w:val="00976204"/>
    <w:rsid w:val="00976859"/>
    <w:rsid w:val="009773AB"/>
    <w:rsid w:val="00977962"/>
    <w:rsid w:val="00977B9C"/>
    <w:rsid w:val="00977FB7"/>
    <w:rsid w:val="00980785"/>
    <w:rsid w:val="00980851"/>
    <w:rsid w:val="00980F15"/>
    <w:rsid w:val="0098183F"/>
    <w:rsid w:val="00981D92"/>
    <w:rsid w:val="00981E2F"/>
    <w:rsid w:val="00982257"/>
    <w:rsid w:val="0098305C"/>
    <w:rsid w:val="00983226"/>
    <w:rsid w:val="00983E88"/>
    <w:rsid w:val="00984BCA"/>
    <w:rsid w:val="0098512D"/>
    <w:rsid w:val="00985204"/>
    <w:rsid w:val="00985377"/>
    <w:rsid w:val="00985568"/>
    <w:rsid w:val="00985768"/>
    <w:rsid w:val="00986253"/>
    <w:rsid w:val="0098642B"/>
    <w:rsid w:val="0098652B"/>
    <w:rsid w:val="0098691F"/>
    <w:rsid w:val="00986BC1"/>
    <w:rsid w:val="00986D7A"/>
    <w:rsid w:val="00987921"/>
    <w:rsid w:val="00987C2C"/>
    <w:rsid w:val="0099005B"/>
    <w:rsid w:val="00990472"/>
    <w:rsid w:val="0099095C"/>
    <w:rsid w:val="00990A92"/>
    <w:rsid w:val="00990D37"/>
    <w:rsid w:val="0099117B"/>
    <w:rsid w:val="0099161A"/>
    <w:rsid w:val="00991D79"/>
    <w:rsid w:val="00992678"/>
    <w:rsid w:val="00992D97"/>
    <w:rsid w:val="0099365D"/>
    <w:rsid w:val="009944D8"/>
    <w:rsid w:val="0099456E"/>
    <w:rsid w:val="009948AC"/>
    <w:rsid w:val="00994EA6"/>
    <w:rsid w:val="00995053"/>
    <w:rsid w:val="0099580C"/>
    <w:rsid w:val="00995BC7"/>
    <w:rsid w:val="009961DD"/>
    <w:rsid w:val="009969D3"/>
    <w:rsid w:val="00996FA7"/>
    <w:rsid w:val="009973EC"/>
    <w:rsid w:val="0099798F"/>
    <w:rsid w:val="00997A2B"/>
    <w:rsid w:val="00997FA7"/>
    <w:rsid w:val="00997FF4"/>
    <w:rsid w:val="009A00CA"/>
    <w:rsid w:val="009A0D03"/>
    <w:rsid w:val="009A11B2"/>
    <w:rsid w:val="009A1432"/>
    <w:rsid w:val="009A1493"/>
    <w:rsid w:val="009A15CB"/>
    <w:rsid w:val="009A188E"/>
    <w:rsid w:val="009A19F5"/>
    <w:rsid w:val="009A1D77"/>
    <w:rsid w:val="009A2157"/>
    <w:rsid w:val="009A21DD"/>
    <w:rsid w:val="009A2D9E"/>
    <w:rsid w:val="009A2EE4"/>
    <w:rsid w:val="009A3A30"/>
    <w:rsid w:val="009A3DE6"/>
    <w:rsid w:val="009A3EE0"/>
    <w:rsid w:val="009A4686"/>
    <w:rsid w:val="009A54DB"/>
    <w:rsid w:val="009A571D"/>
    <w:rsid w:val="009A57AB"/>
    <w:rsid w:val="009A6FF2"/>
    <w:rsid w:val="009A7A1C"/>
    <w:rsid w:val="009A7CF9"/>
    <w:rsid w:val="009B03EB"/>
    <w:rsid w:val="009B132C"/>
    <w:rsid w:val="009B1430"/>
    <w:rsid w:val="009B153A"/>
    <w:rsid w:val="009B1682"/>
    <w:rsid w:val="009B19B6"/>
    <w:rsid w:val="009B19FB"/>
    <w:rsid w:val="009B1CB4"/>
    <w:rsid w:val="009B2345"/>
    <w:rsid w:val="009B24B7"/>
    <w:rsid w:val="009B268F"/>
    <w:rsid w:val="009B26F1"/>
    <w:rsid w:val="009B2E09"/>
    <w:rsid w:val="009B38C4"/>
    <w:rsid w:val="009B495C"/>
    <w:rsid w:val="009B5073"/>
    <w:rsid w:val="009B585B"/>
    <w:rsid w:val="009B6297"/>
    <w:rsid w:val="009B6378"/>
    <w:rsid w:val="009B646A"/>
    <w:rsid w:val="009B6B88"/>
    <w:rsid w:val="009B6C7B"/>
    <w:rsid w:val="009B7814"/>
    <w:rsid w:val="009B79C6"/>
    <w:rsid w:val="009B7B1D"/>
    <w:rsid w:val="009C060B"/>
    <w:rsid w:val="009C0B98"/>
    <w:rsid w:val="009C0C5C"/>
    <w:rsid w:val="009C11AE"/>
    <w:rsid w:val="009C183F"/>
    <w:rsid w:val="009C1A67"/>
    <w:rsid w:val="009C2133"/>
    <w:rsid w:val="009C2CEC"/>
    <w:rsid w:val="009C2D3F"/>
    <w:rsid w:val="009C2D43"/>
    <w:rsid w:val="009C2D58"/>
    <w:rsid w:val="009C2F48"/>
    <w:rsid w:val="009C3B77"/>
    <w:rsid w:val="009C3D0A"/>
    <w:rsid w:val="009C40F9"/>
    <w:rsid w:val="009C43F5"/>
    <w:rsid w:val="009C4670"/>
    <w:rsid w:val="009C4EAA"/>
    <w:rsid w:val="009C57FF"/>
    <w:rsid w:val="009C6721"/>
    <w:rsid w:val="009C6A1F"/>
    <w:rsid w:val="009C6F71"/>
    <w:rsid w:val="009C72AE"/>
    <w:rsid w:val="009C74B0"/>
    <w:rsid w:val="009C7AC5"/>
    <w:rsid w:val="009D0005"/>
    <w:rsid w:val="009D0945"/>
    <w:rsid w:val="009D0978"/>
    <w:rsid w:val="009D0C14"/>
    <w:rsid w:val="009D0E44"/>
    <w:rsid w:val="009D0E98"/>
    <w:rsid w:val="009D0F92"/>
    <w:rsid w:val="009D13FC"/>
    <w:rsid w:val="009D162A"/>
    <w:rsid w:val="009D1F7E"/>
    <w:rsid w:val="009D205F"/>
    <w:rsid w:val="009D2869"/>
    <w:rsid w:val="009D2915"/>
    <w:rsid w:val="009D2F1C"/>
    <w:rsid w:val="009D33C9"/>
    <w:rsid w:val="009D342C"/>
    <w:rsid w:val="009D3D2D"/>
    <w:rsid w:val="009D4AE5"/>
    <w:rsid w:val="009D4BA9"/>
    <w:rsid w:val="009D5896"/>
    <w:rsid w:val="009D5AF3"/>
    <w:rsid w:val="009D5BCD"/>
    <w:rsid w:val="009D6520"/>
    <w:rsid w:val="009D6D6C"/>
    <w:rsid w:val="009D75FB"/>
    <w:rsid w:val="009D7F90"/>
    <w:rsid w:val="009E022C"/>
    <w:rsid w:val="009E09A4"/>
    <w:rsid w:val="009E12EE"/>
    <w:rsid w:val="009E16F7"/>
    <w:rsid w:val="009E17E8"/>
    <w:rsid w:val="009E1CA9"/>
    <w:rsid w:val="009E1CBD"/>
    <w:rsid w:val="009E2901"/>
    <w:rsid w:val="009E34E3"/>
    <w:rsid w:val="009E3E0C"/>
    <w:rsid w:val="009E413E"/>
    <w:rsid w:val="009E4390"/>
    <w:rsid w:val="009E467B"/>
    <w:rsid w:val="009E4A8C"/>
    <w:rsid w:val="009E4DD7"/>
    <w:rsid w:val="009E5A58"/>
    <w:rsid w:val="009E6C80"/>
    <w:rsid w:val="009E6E13"/>
    <w:rsid w:val="009E732F"/>
    <w:rsid w:val="009E7B30"/>
    <w:rsid w:val="009F022A"/>
    <w:rsid w:val="009F068F"/>
    <w:rsid w:val="009F081E"/>
    <w:rsid w:val="009F0D5E"/>
    <w:rsid w:val="009F0E64"/>
    <w:rsid w:val="009F0E85"/>
    <w:rsid w:val="009F138C"/>
    <w:rsid w:val="009F1C3B"/>
    <w:rsid w:val="009F20AC"/>
    <w:rsid w:val="009F2127"/>
    <w:rsid w:val="009F230A"/>
    <w:rsid w:val="009F2500"/>
    <w:rsid w:val="009F25FD"/>
    <w:rsid w:val="009F2C69"/>
    <w:rsid w:val="009F2D8F"/>
    <w:rsid w:val="009F2DE3"/>
    <w:rsid w:val="009F35DA"/>
    <w:rsid w:val="009F5D06"/>
    <w:rsid w:val="009F5EE8"/>
    <w:rsid w:val="009F655F"/>
    <w:rsid w:val="009F6712"/>
    <w:rsid w:val="009F6B2E"/>
    <w:rsid w:val="009F6F59"/>
    <w:rsid w:val="009F73A4"/>
    <w:rsid w:val="009F749D"/>
    <w:rsid w:val="00A00578"/>
    <w:rsid w:val="00A00BC3"/>
    <w:rsid w:val="00A011D3"/>
    <w:rsid w:val="00A015C1"/>
    <w:rsid w:val="00A01E1D"/>
    <w:rsid w:val="00A01F1A"/>
    <w:rsid w:val="00A0255D"/>
    <w:rsid w:val="00A02F61"/>
    <w:rsid w:val="00A036B0"/>
    <w:rsid w:val="00A039DE"/>
    <w:rsid w:val="00A04894"/>
    <w:rsid w:val="00A04BCF"/>
    <w:rsid w:val="00A04F52"/>
    <w:rsid w:val="00A0689C"/>
    <w:rsid w:val="00A1035C"/>
    <w:rsid w:val="00A103A0"/>
    <w:rsid w:val="00A10794"/>
    <w:rsid w:val="00A1092E"/>
    <w:rsid w:val="00A10ED8"/>
    <w:rsid w:val="00A11C8D"/>
    <w:rsid w:val="00A12180"/>
    <w:rsid w:val="00A12447"/>
    <w:rsid w:val="00A128B0"/>
    <w:rsid w:val="00A13DF5"/>
    <w:rsid w:val="00A14B25"/>
    <w:rsid w:val="00A14BEF"/>
    <w:rsid w:val="00A16AF9"/>
    <w:rsid w:val="00A16D66"/>
    <w:rsid w:val="00A16DA0"/>
    <w:rsid w:val="00A17CEA"/>
    <w:rsid w:val="00A17FFA"/>
    <w:rsid w:val="00A20117"/>
    <w:rsid w:val="00A20646"/>
    <w:rsid w:val="00A20681"/>
    <w:rsid w:val="00A20E18"/>
    <w:rsid w:val="00A20F78"/>
    <w:rsid w:val="00A2153D"/>
    <w:rsid w:val="00A21C4A"/>
    <w:rsid w:val="00A21E0F"/>
    <w:rsid w:val="00A21F17"/>
    <w:rsid w:val="00A2227E"/>
    <w:rsid w:val="00A2367F"/>
    <w:rsid w:val="00A23C26"/>
    <w:rsid w:val="00A23D16"/>
    <w:rsid w:val="00A23EE4"/>
    <w:rsid w:val="00A2414B"/>
    <w:rsid w:val="00A24250"/>
    <w:rsid w:val="00A25C41"/>
    <w:rsid w:val="00A25FDB"/>
    <w:rsid w:val="00A2606A"/>
    <w:rsid w:val="00A26A00"/>
    <w:rsid w:val="00A26B67"/>
    <w:rsid w:val="00A26DF3"/>
    <w:rsid w:val="00A279FD"/>
    <w:rsid w:val="00A27A9D"/>
    <w:rsid w:val="00A27F80"/>
    <w:rsid w:val="00A30AA0"/>
    <w:rsid w:val="00A3156D"/>
    <w:rsid w:val="00A318A4"/>
    <w:rsid w:val="00A31B19"/>
    <w:rsid w:val="00A3205E"/>
    <w:rsid w:val="00A321D7"/>
    <w:rsid w:val="00A32E4D"/>
    <w:rsid w:val="00A3419F"/>
    <w:rsid w:val="00A34E1C"/>
    <w:rsid w:val="00A35305"/>
    <w:rsid w:val="00A35937"/>
    <w:rsid w:val="00A35DCC"/>
    <w:rsid w:val="00A36493"/>
    <w:rsid w:val="00A36820"/>
    <w:rsid w:val="00A371E9"/>
    <w:rsid w:val="00A374D9"/>
    <w:rsid w:val="00A40919"/>
    <w:rsid w:val="00A40CA3"/>
    <w:rsid w:val="00A40E8F"/>
    <w:rsid w:val="00A41322"/>
    <w:rsid w:val="00A4190A"/>
    <w:rsid w:val="00A42C2B"/>
    <w:rsid w:val="00A42FA2"/>
    <w:rsid w:val="00A43A92"/>
    <w:rsid w:val="00A43AAE"/>
    <w:rsid w:val="00A43CF5"/>
    <w:rsid w:val="00A43DD3"/>
    <w:rsid w:val="00A44161"/>
    <w:rsid w:val="00A44899"/>
    <w:rsid w:val="00A44A65"/>
    <w:rsid w:val="00A456BC"/>
    <w:rsid w:val="00A456E8"/>
    <w:rsid w:val="00A4593E"/>
    <w:rsid w:val="00A463CE"/>
    <w:rsid w:val="00A47833"/>
    <w:rsid w:val="00A47921"/>
    <w:rsid w:val="00A5125E"/>
    <w:rsid w:val="00A5184D"/>
    <w:rsid w:val="00A51BE9"/>
    <w:rsid w:val="00A51E22"/>
    <w:rsid w:val="00A51F9D"/>
    <w:rsid w:val="00A525DA"/>
    <w:rsid w:val="00A52DA8"/>
    <w:rsid w:val="00A535B7"/>
    <w:rsid w:val="00A53D45"/>
    <w:rsid w:val="00A53F0F"/>
    <w:rsid w:val="00A54CEB"/>
    <w:rsid w:val="00A54F9C"/>
    <w:rsid w:val="00A550EE"/>
    <w:rsid w:val="00A5519D"/>
    <w:rsid w:val="00A5603F"/>
    <w:rsid w:val="00A56587"/>
    <w:rsid w:val="00A56612"/>
    <w:rsid w:val="00A56C05"/>
    <w:rsid w:val="00A570B2"/>
    <w:rsid w:val="00A5792C"/>
    <w:rsid w:val="00A57AFB"/>
    <w:rsid w:val="00A57B2A"/>
    <w:rsid w:val="00A61004"/>
    <w:rsid w:val="00A610C3"/>
    <w:rsid w:val="00A62613"/>
    <w:rsid w:val="00A62898"/>
    <w:rsid w:val="00A62D97"/>
    <w:rsid w:val="00A6366F"/>
    <w:rsid w:val="00A63A99"/>
    <w:rsid w:val="00A650EB"/>
    <w:rsid w:val="00A65DA9"/>
    <w:rsid w:val="00A65FE7"/>
    <w:rsid w:val="00A66154"/>
    <w:rsid w:val="00A669D6"/>
    <w:rsid w:val="00A67863"/>
    <w:rsid w:val="00A705FF"/>
    <w:rsid w:val="00A70E14"/>
    <w:rsid w:val="00A7119F"/>
    <w:rsid w:val="00A71882"/>
    <w:rsid w:val="00A723D5"/>
    <w:rsid w:val="00A72AB9"/>
    <w:rsid w:val="00A72D58"/>
    <w:rsid w:val="00A73884"/>
    <w:rsid w:val="00A73D66"/>
    <w:rsid w:val="00A7426E"/>
    <w:rsid w:val="00A745A7"/>
    <w:rsid w:val="00A746FB"/>
    <w:rsid w:val="00A75324"/>
    <w:rsid w:val="00A758DA"/>
    <w:rsid w:val="00A75ABF"/>
    <w:rsid w:val="00A7620B"/>
    <w:rsid w:val="00A76251"/>
    <w:rsid w:val="00A763F2"/>
    <w:rsid w:val="00A7727A"/>
    <w:rsid w:val="00A777A3"/>
    <w:rsid w:val="00A77C15"/>
    <w:rsid w:val="00A77D4B"/>
    <w:rsid w:val="00A80189"/>
    <w:rsid w:val="00A803F9"/>
    <w:rsid w:val="00A80B79"/>
    <w:rsid w:val="00A8116E"/>
    <w:rsid w:val="00A81874"/>
    <w:rsid w:val="00A81FA7"/>
    <w:rsid w:val="00A827BD"/>
    <w:rsid w:val="00A830CE"/>
    <w:rsid w:val="00A832B0"/>
    <w:rsid w:val="00A833A1"/>
    <w:rsid w:val="00A8375B"/>
    <w:rsid w:val="00A839B6"/>
    <w:rsid w:val="00A84BB0"/>
    <w:rsid w:val="00A8520A"/>
    <w:rsid w:val="00A8527D"/>
    <w:rsid w:val="00A8565C"/>
    <w:rsid w:val="00A85B5C"/>
    <w:rsid w:val="00A87BAF"/>
    <w:rsid w:val="00A920F5"/>
    <w:rsid w:val="00A93185"/>
    <w:rsid w:val="00A9339E"/>
    <w:rsid w:val="00A9343B"/>
    <w:rsid w:val="00A9369E"/>
    <w:rsid w:val="00A938A0"/>
    <w:rsid w:val="00A94662"/>
    <w:rsid w:val="00A94A34"/>
    <w:rsid w:val="00A94A5C"/>
    <w:rsid w:val="00A94D41"/>
    <w:rsid w:val="00A950EB"/>
    <w:rsid w:val="00A95736"/>
    <w:rsid w:val="00A95A84"/>
    <w:rsid w:val="00A95C97"/>
    <w:rsid w:val="00A96682"/>
    <w:rsid w:val="00A9736A"/>
    <w:rsid w:val="00A973A9"/>
    <w:rsid w:val="00AA0599"/>
    <w:rsid w:val="00AA0C01"/>
    <w:rsid w:val="00AA0EFB"/>
    <w:rsid w:val="00AA108B"/>
    <w:rsid w:val="00AA1D28"/>
    <w:rsid w:val="00AA2184"/>
    <w:rsid w:val="00AA24BC"/>
    <w:rsid w:val="00AA25E7"/>
    <w:rsid w:val="00AA37A3"/>
    <w:rsid w:val="00AA38CA"/>
    <w:rsid w:val="00AA40BF"/>
    <w:rsid w:val="00AA41C9"/>
    <w:rsid w:val="00AA44DD"/>
    <w:rsid w:val="00AA4735"/>
    <w:rsid w:val="00AA4872"/>
    <w:rsid w:val="00AA49D4"/>
    <w:rsid w:val="00AA4C65"/>
    <w:rsid w:val="00AA4D9B"/>
    <w:rsid w:val="00AA501E"/>
    <w:rsid w:val="00AA5164"/>
    <w:rsid w:val="00AA56B4"/>
    <w:rsid w:val="00AA5B93"/>
    <w:rsid w:val="00AA5F66"/>
    <w:rsid w:val="00AA649C"/>
    <w:rsid w:val="00AA64DB"/>
    <w:rsid w:val="00AA6CFE"/>
    <w:rsid w:val="00AA70D0"/>
    <w:rsid w:val="00AA78B4"/>
    <w:rsid w:val="00AB0EBF"/>
    <w:rsid w:val="00AB1079"/>
    <w:rsid w:val="00AB137D"/>
    <w:rsid w:val="00AB2015"/>
    <w:rsid w:val="00AB218D"/>
    <w:rsid w:val="00AB22BE"/>
    <w:rsid w:val="00AB26EB"/>
    <w:rsid w:val="00AB33E8"/>
    <w:rsid w:val="00AB34C5"/>
    <w:rsid w:val="00AB3743"/>
    <w:rsid w:val="00AB3781"/>
    <w:rsid w:val="00AB3DC5"/>
    <w:rsid w:val="00AB3E30"/>
    <w:rsid w:val="00AB3E59"/>
    <w:rsid w:val="00AB56D1"/>
    <w:rsid w:val="00AB596F"/>
    <w:rsid w:val="00AB5A9C"/>
    <w:rsid w:val="00AB5AFF"/>
    <w:rsid w:val="00AB70BF"/>
    <w:rsid w:val="00AB72A2"/>
    <w:rsid w:val="00AB746B"/>
    <w:rsid w:val="00AB7474"/>
    <w:rsid w:val="00AB7B76"/>
    <w:rsid w:val="00AB7EF3"/>
    <w:rsid w:val="00AC0199"/>
    <w:rsid w:val="00AC12CA"/>
    <w:rsid w:val="00AC1919"/>
    <w:rsid w:val="00AC224C"/>
    <w:rsid w:val="00AC40B3"/>
    <w:rsid w:val="00AC4915"/>
    <w:rsid w:val="00AC49F6"/>
    <w:rsid w:val="00AC4F93"/>
    <w:rsid w:val="00AC54AB"/>
    <w:rsid w:val="00AC57CD"/>
    <w:rsid w:val="00AC5EC9"/>
    <w:rsid w:val="00AC5F04"/>
    <w:rsid w:val="00AC6277"/>
    <w:rsid w:val="00AC6356"/>
    <w:rsid w:val="00AC64A6"/>
    <w:rsid w:val="00AC7607"/>
    <w:rsid w:val="00AD0B59"/>
    <w:rsid w:val="00AD0C64"/>
    <w:rsid w:val="00AD0D4C"/>
    <w:rsid w:val="00AD0EA0"/>
    <w:rsid w:val="00AD0F02"/>
    <w:rsid w:val="00AD0F2D"/>
    <w:rsid w:val="00AD14DC"/>
    <w:rsid w:val="00AD20F3"/>
    <w:rsid w:val="00AD2598"/>
    <w:rsid w:val="00AD2A56"/>
    <w:rsid w:val="00AD2B7C"/>
    <w:rsid w:val="00AD2C0D"/>
    <w:rsid w:val="00AD2EF6"/>
    <w:rsid w:val="00AD3384"/>
    <w:rsid w:val="00AD33AD"/>
    <w:rsid w:val="00AD3BDF"/>
    <w:rsid w:val="00AD4162"/>
    <w:rsid w:val="00AD549E"/>
    <w:rsid w:val="00AD5CA1"/>
    <w:rsid w:val="00AD5E42"/>
    <w:rsid w:val="00AD5E5A"/>
    <w:rsid w:val="00AD5F96"/>
    <w:rsid w:val="00AD684B"/>
    <w:rsid w:val="00AD6BD5"/>
    <w:rsid w:val="00AD6E09"/>
    <w:rsid w:val="00AD78E0"/>
    <w:rsid w:val="00AD79EB"/>
    <w:rsid w:val="00AE14B2"/>
    <w:rsid w:val="00AE1587"/>
    <w:rsid w:val="00AE1634"/>
    <w:rsid w:val="00AE1C5F"/>
    <w:rsid w:val="00AE1DFA"/>
    <w:rsid w:val="00AE23AD"/>
    <w:rsid w:val="00AE24FA"/>
    <w:rsid w:val="00AE251C"/>
    <w:rsid w:val="00AE2CD5"/>
    <w:rsid w:val="00AE2F91"/>
    <w:rsid w:val="00AE31C7"/>
    <w:rsid w:val="00AE3C92"/>
    <w:rsid w:val="00AE4794"/>
    <w:rsid w:val="00AE4FB6"/>
    <w:rsid w:val="00AE5147"/>
    <w:rsid w:val="00AE561B"/>
    <w:rsid w:val="00AE5651"/>
    <w:rsid w:val="00AE5DFC"/>
    <w:rsid w:val="00AE605A"/>
    <w:rsid w:val="00AE6F04"/>
    <w:rsid w:val="00AF0385"/>
    <w:rsid w:val="00AF20A0"/>
    <w:rsid w:val="00AF20D0"/>
    <w:rsid w:val="00AF213E"/>
    <w:rsid w:val="00AF22A5"/>
    <w:rsid w:val="00AF4428"/>
    <w:rsid w:val="00AF4F2B"/>
    <w:rsid w:val="00AF502A"/>
    <w:rsid w:val="00AF57BD"/>
    <w:rsid w:val="00AF57C9"/>
    <w:rsid w:val="00AF5A8C"/>
    <w:rsid w:val="00AF5F5B"/>
    <w:rsid w:val="00AF5F65"/>
    <w:rsid w:val="00AF5FF4"/>
    <w:rsid w:val="00AF6000"/>
    <w:rsid w:val="00AF65E2"/>
    <w:rsid w:val="00AF6A1C"/>
    <w:rsid w:val="00AF751E"/>
    <w:rsid w:val="00AF796E"/>
    <w:rsid w:val="00AF7B1D"/>
    <w:rsid w:val="00B00274"/>
    <w:rsid w:val="00B0097A"/>
    <w:rsid w:val="00B00DD7"/>
    <w:rsid w:val="00B029A0"/>
    <w:rsid w:val="00B03286"/>
    <w:rsid w:val="00B035C8"/>
    <w:rsid w:val="00B045AA"/>
    <w:rsid w:val="00B04BDC"/>
    <w:rsid w:val="00B0501B"/>
    <w:rsid w:val="00B05545"/>
    <w:rsid w:val="00B075B8"/>
    <w:rsid w:val="00B1053C"/>
    <w:rsid w:val="00B11986"/>
    <w:rsid w:val="00B13227"/>
    <w:rsid w:val="00B1349A"/>
    <w:rsid w:val="00B135CC"/>
    <w:rsid w:val="00B1380B"/>
    <w:rsid w:val="00B1390A"/>
    <w:rsid w:val="00B142DF"/>
    <w:rsid w:val="00B15334"/>
    <w:rsid w:val="00B1561D"/>
    <w:rsid w:val="00B15DCA"/>
    <w:rsid w:val="00B165D9"/>
    <w:rsid w:val="00B1786B"/>
    <w:rsid w:val="00B2079B"/>
    <w:rsid w:val="00B230BC"/>
    <w:rsid w:val="00B235D8"/>
    <w:rsid w:val="00B23AD0"/>
    <w:rsid w:val="00B241A0"/>
    <w:rsid w:val="00B24717"/>
    <w:rsid w:val="00B25E22"/>
    <w:rsid w:val="00B26173"/>
    <w:rsid w:val="00B267C7"/>
    <w:rsid w:val="00B26A1A"/>
    <w:rsid w:val="00B26B5A"/>
    <w:rsid w:val="00B27630"/>
    <w:rsid w:val="00B27A1C"/>
    <w:rsid w:val="00B30ABA"/>
    <w:rsid w:val="00B322D5"/>
    <w:rsid w:val="00B329C1"/>
    <w:rsid w:val="00B33000"/>
    <w:rsid w:val="00B338CF"/>
    <w:rsid w:val="00B338F2"/>
    <w:rsid w:val="00B33986"/>
    <w:rsid w:val="00B33E5C"/>
    <w:rsid w:val="00B3465B"/>
    <w:rsid w:val="00B34810"/>
    <w:rsid w:val="00B34A54"/>
    <w:rsid w:val="00B34DF6"/>
    <w:rsid w:val="00B3518B"/>
    <w:rsid w:val="00B36447"/>
    <w:rsid w:val="00B36E8E"/>
    <w:rsid w:val="00B4033B"/>
    <w:rsid w:val="00B406A4"/>
    <w:rsid w:val="00B40C03"/>
    <w:rsid w:val="00B40C73"/>
    <w:rsid w:val="00B411D7"/>
    <w:rsid w:val="00B42064"/>
    <w:rsid w:val="00B4274D"/>
    <w:rsid w:val="00B42B74"/>
    <w:rsid w:val="00B43092"/>
    <w:rsid w:val="00B437CC"/>
    <w:rsid w:val="00B438F3"/>
    <w:rsid w:val="00B439DE"/>
    <w:rsid w:val="00B43ABA"/>
    <w:rsid w:val="00B44DAC"/>
    <w:rsid w:val="00B45146"/>
    <w:rsid w:val="00B4519D"/>
    <w:rsid w:val="00B46134"/>
    <w:rsid w:val="00B468C6"/>
    <w:rsid w:val="00B46909"/>
    <w:rsid w:val="00B46ACB"/>
    <w:rsid w:val="00B46DB5"/>
    <w:rsid w:val="00B475FF"/>
    <w:rsid w:val="00B47C05"/>
    <w:rsid w:val="00B50377"/>
    <w:rsid w:val="00B50595"/>
    <w:rsid w:val="00B50E06"/>
    <w:rsid w:val="00B511EA"/>
    <w:rsid w:val="00B51518"/>
    <w:rsid w:val="00B527C0"/>
    <w:rsid w:val="00B528F1"/>
    <w:rsid w:val="00B52B0E"/>
    <w:rsid w:val="00B53BB9"/>
    <w:rsid w:val="00B53E9F"/>
    <w:rsid w:val="00B54614"/>
    <w:rsid w:val="00B549AD"/>
    <w:rsid w:val="00B54D96"/>
    <w:rsid w:val="00B54E70"/>
    <w:rsid w:val="00B558A8"/>
    <w:rsid w:val="00B55A7D"/>
    <w:rsid w:val="00B55F68"/>
    <w:rsid w:val="00B56362"/>
    <w:rsid w:val="00B56417"/>
    <w:rsid w:val="00B5648D"/>
    <w:rsid w:val="00B566AE"/>
    <w:rsid w:val="00B569A5"/>
    <w:rsid w:val="00B56C5C"/>
    <w:rsid w:val="00B56C65"/>
    <w:rsid w:val="00B56CE8"/>
    <w:rsid w:val="00B57473"/>
    <w:rsid w:val="00B57539"/>
    <w:rsid w:val="00B5770D"/>
    <w:rsid w:val="00B57AB9"/>
    <w:rsid w:val="00B6040C"/>
    <w:rsid w:val="00B60EC9"/>
    <w:rsid w:val="00B6119B"/>
    <w:rsid w:val="00B615D2"/>
    <w:rsid w:val="00B61D9A"/>
    <w:rsid w:val="00B62909"/>
    <w:rsid w:val="00B63766"/>
    <w:rsid w:val="00B63C40"/>
    <w:rsid w:val="00B641FA"/>
    <w:rsid w:val="00B6437E"/>
    <w:rsid w:val="00B64C4F"/>
    <w:rsid w:val="00B650A6"/>
    <w:rsid w:val="00B655DB"/>
    <w:rsid w:val="00B65D21"/>
    <w:rsid w:val="00B66532"/>
    <w:rsid w:val="00B67392"/>
    <w:rsid w:val="00B70086"/>
    <w:rsid w:val="00B7047D"/>
    <w:rsid w:val="00B70B0D"/>
    <w:rsid w:val="00B71048"/>
    <w:rsid w:val="00B7124D"/>
    <w:rsid w:val="00B71676"/>
    <w:rsid w:val="00B71EE5"/>
    <w:rsid w:val="00B72187"/>
    <w:rsid w:val="00B72A33"/>
    <w:rsid w:val="00B72AB9"/>
    <w:rsid w:val="00B72C4B"/>
    <w:rsid w:val="00B73203"/>
    <w:rsid w:val="00B7333B"/>
    <w:rsid w:val="00B73909"/>
    <w:rsid w:val="00B7450C"/>
    <w:rsid w:val="00B74712"/>
    <w:rsid w:val="00B74B37"/>
    <w:rsid w:val="00B74E91"/>
    <w:rsid w:val="00B75A7F"/>
    <w:rsid w:val="00B76A8B"/>
    <w:rsid w:val="00B76BD9"/>
    <w:rsid w:val="00B773B6"/>
    <w:rsid w:val="00B775AB"/>
    <w:rsid w:val="00B77FE9"/>
    <w:rsid w:val="00B800EA"/>
    <w:rsid w:val="00B801DF"/>
    <w:rsid w:val="00B812FD"/>
    <w:rsid w:val="00B81311"/>
    <w:rsid w:val="00B81C1E"/>
    <w:rsid w:val="00B81C95"/>
    <w:rsid w:val="00B82589"/>
    <w:rsid w:val="00B82AA4"/>
    <w:rsid w:val="00B82CEC"/>
    <w:rsid w:val="00B832A9"/>
    <w:rsid w:val="00B834BD"/>
    <w:rsid w:val="00B83A51"/>
    <w:rsid w:val="00B8414D"/>
    <w:rsid w:val="00B84426"/>
    <w:rsid w:val="00B844B6"/>
    <w:rsid w:val="00B84513"/>
    <w:rsid w:val="00B8474F"/>
    <w:rsid w:val="00B85478"/>
    <w:rsid w:val="00B855DD"/>
    <w:rsid w:val="00B85AAA"/>
    <w:rsid w:val="00B85DFA"/>
    <w:rsid w:val="00B85ECA"/>
    <w:rsid w:val="00B85EE9"/>
    <w:rsid w:val="00B860CC"/>
    <w:rsid w:val="00B86551"/>
    <w:rsid w:val="00B86A15"/>
    <w:rsid w:val="00B879ED"/>
    <w:rsid w:val="00B87AB1"/>
    <w:rsid w:val="00B87F77"/>
    <w:rsid w:val="00B901CD"/>
    <w:rsid w:val="00B903EC"/>
    <w:rsid w:val="00B91C6D"/>
    <w:rsid w:val="00B921B9"/>
    <w:rsid w:val="00B930C1"/>
    <w:rsid w:val="00B932E0"/>
    <w:rsid w:val="00B934EE"/>
    <w:rsid w:val="00B943E2"/>
    <w:rsid w:val="00B9496F"/>
    <w:rsid w:val="00B9498E"/>
    <w:rsid w:val="00B95097"/>
    <w:rsid w:val="00B95910"/>
    <w:rsid w:val="00B97534"/>
    <w:rsid w:val="00B97A08"/>
    <w:rsid w:val="00B97C45"/>
    <w:rsid w:val="00B97E98"/>
    <w:rsid w:val="00BA0539"/>
    <w:rsid w:val="00BA07CD"/>
    <w:rsid w:val="00BA0CFE"/>
    <w:rsid w:val="00BA1045"/>
    <w:rsid w:val="00BA1270"/>
    <w:rsid w:val="00BA151E"/>
    <w:rsid w:val="00BA1B2A"/>
    <w:rsid w:val="00BA1DF0"/>
    <w:rsid w:val="00BA2B60"/>
    <w:rsid w:val="00BA309B"/>
    <w:rsid w:val="00BA3110"/>
    <w:rsid w:val="00BA38F4"/>
    <w:rsid w:val="00BA3DA3"/>
    <w:rsid w:val="00BA4858"/>
    <w:rsid w:val="00BA48F8"/>
    <w:rsid w:val="00BA4A66"/>
    <w:rsid w:val="00BA4CF5"/>
    <w:rsid w:val="00BA504F"/>
    <w:rsid w:val="00BA591F"/>
    <w:rsid w:val="00BA5CE9"/>
    <w:rsid w:val="00BA5D7D"/>
    <w:rsid w:val="00BA6DA4"/>
    <w:rsid w:val="00BA6E5E"/>
    <w:rsid w:val="00BA6F3B"/>
    <w:rsid w:val="00BA77EB"/>
    <w:rsid w:val="00BB05B9"/>
    <w:rsid w:val="00BB1843"/>
    <w:rsid w:val="00BB18F5"/>
    <w:rsid w:val="00BB1D3B"/>
    <w:rsid w:val="00BB1F3C"/>
    <w:rsid w:val="00BB20B5"/>
    <w:rsid w:val="00BB23D5"/>
    <w:rsid w:val="00BB246D"/>
    <w:rsid w:val="00BB26DD"/>
    <w:rsid w:val="00BB28D4"/>
    <w:rsid w:val="00BB3028"/>
    <w:rsid w:val="00BB3141"/>
    <w:rsid w:val="00BB3350"/>
    <w:rsid w:val="00BB3B46"/>
    <w:rsid w:val="00BB3F88"/>
    <w:rsid w:val="00BB48E9"/>
    <w:rsid w:val="00BB5813"/>
    <w:rsid w:val="00BB5FEC"/>
    <w:rsid w:val="00BB723F"/>
    <w:rsid w:val="00BB7471"/>
    <w:rsid w:val="00BB7957"/>
    <w:rsid w:val="00BB7A5C"/>
    <w:rsid w:val="00BC053F"/>
    <w:rsid w:val="00BC0CE1"/>
    <w:rsid w:val="00BC1026"/>
    <w:rsid w:val="00BC114E"/>
    <w:rsid w:val="00BC1767"/>
    <w:rsid w:val="00BC22C3"/>
    <w:rsid w:val="00BC2416"/>
    <w:rsid w:val="00BC2573"/>
    <w:rsid w:val="00BC2A2A"/>
    <w:rsid w:val="00BC3D8F"/>
    <w:rsid w:val="00BC3EED"/>
    <w:rsid w:val="00BC4132"/>
    <w:rsid w:val="00BC51AE"/>
    <w:rsid w:val="00BC529B"/>
    <w:rsid w:val="00BC5684"/>
    <w:rsid w:val="00BC57FF"/>
    <w:rsid w:val="00BC5940"/>
    <w:rsid w:val="00BC5C3E"/>
    <w:rsid w:val="00BC5FEA"/>
    <w:rsid w:val="00BC61F1"/>
    <w:rsid w:val="00BC6D05"/>
    <w:rsid w:val="00BC7306"/>
    <w:rsid w:val="00BC74DB"/>
    <w:rsid w:val="00BC7876"/>
    <w:rsid w:val="00BC7915"/>
    <w:rsid w:val="00BC7B30"/>
    <w:rsid w:val="00BD1481"/>
    <w:rsid w:val="00BD255D"/>
    <w:rsid w:val="00BD2675"/>
    <w:rsid w:val="00BD2A4C"/>
    <w:rsid w:val="00BD3807"/>
    <w:rsid w:val="00BD4721"/>
    <w:rsid w:val="00BD47BF"/>
    <w:rsid w:val="00BD4A41"/>
    <w:rsid w:val="00BD59A3"/>
    <w:rsid w:val="00BD5A6D"/>
    <w:rsid w:val="00BD63FC"/>
    <w:rsid w:val="00BD64E4"/>
    <w:rsid w:val="00BD65F2"/>
    <w:rsid w:val="00BD6B0D"/>
    <w:rsid w:val="00BD7590"/>
    <w:rsid w:val="00BE02A6"/>
    <w:rsid w:val="00BE0790"/>
    <w:rsid w:val="00BE0E35"/>
    <w:rsid w:val="00BE0E8E"/>
    <w:rsid w:val="00BE188D"/>
    <w:rsid w:val="00BE1A88"/>
    <w:rsid w:val="00BE200F"/>
    <w:rsid w:val="00BE2C64"/>
    <w:rsid w:val="00BE3726"/>
    <w:rsid w:val="00BE37A2"/>
    <w:rsid w:val="00BE3D70"/>
    <w:rsid w:val="00BE45BB"/>
    <w:rsid w:val="00BE469D"/>
    <w:rsid w:val="00BE496A"/>
    <w:rsid w:val="00BE4DDA"/>
    <w:rsid w:val="00BE56B8"/>
    <w:rsid w:val="00BE5B77"/>
    <w:rsid w:val="00BE5B96"/>
    <w:rsid w:val="00BE5CEE"/>
    <w:rsid w:val="00BE751A"/>
    <w:rsid w:val="00BE7E6F"/>
    <w:rsid w:val="00BF02BD"/>
    <w:rsid w:val="00BF04C7"/>
    <w:rsid w:val="00BF0B52"/>
    <w:rsid w:val="00BF0E76"/>
    <w:rsid w:val="00BF2AF6"/>
    <w:rsid w:val="00BF2FF2"/>
    <w:rsid w:val="00BF30B9"/>
    <w:rsid w:val="00BF3147"/>
    <w:rsid w:val="00BF342D"/>
    <w:rsid w:val="00BF3581"/>
    <w:rsid w:val="00BF366A"/>
    <w:rsid w:val="00BF4224"/>
    <w:rsid w:val="00BF4522"/>
    <w:rsid w:val="00BF477B"/>
    <w:rsid w:val="00BF4966"/>
    <w:rsid w:val="00BF4984"/>
    <w:rsid w:val="00BF507D"/>
    <w:rsid w:val="00BF51B1"/>
    <w:rsid w:val="00BF551C"/>
    <w:rsid w:val="00BF5A79"/>
    <w:rsid w:val="00BF5B68"/>
    <w:rsid w:val="00BF5D4A"/>
    <w:rsid w:val="00BF5D80"/>
    <w:rsid w:val="00BF62B6"/>
    <w:rsid w:val="00BF69B9"/>
    <w:rsid w:val="00BF6D66"/>
    <w:rsid w:val="00BF76BE"/>
    <w:rsid w:val="00C01703"/>
    <w:rsid w:val="00C018A3"/>
    <w:rsid w:val="00C01CB6"/>
    <w:rsid w:val="00C01EB6"/>
    <w:rsid w:val="00C02423"/>
    <w:rsid w:val="00C02440"/>
    <w:rsid w:val="00C02752"/>
    <w:rsid w:val="00C03365"/>
    <w:rsid w:val="00C0354C"/>
    <w:rsid w:val="00C036A2"/>
    <w:rsid w:val="00C03A67"/>
    <w:rsid w:val="00C03DC8"/>
    <w:rsid w:val="00C0471D"/>
    <w:rsid w:val="00C04F8E"/>
    <w:rsid w:val="00C0643C"/>
    <w:rsid w:val="00C064FE"/>
    <w:rsid w:val="00C06F71"/>
    <w:rsid w:val="00C076EE"/>
    <w:rsid w:val="00C10BA4"/>
    <w:rsid w:val="00C11387"/>
    <w:rsid w:val="00C119DF"/>
    <w:rsid w:val="00C12161"/>
    <w:rsid w:val="00C12325"/>
    <w:rsid w:val="00C1258A"/>
    <w:rsid w:val="00C147DE"/>
    <w:rsid w:val="00C14B5D"/>
    <w:rsid w:val="00C14FFF"/>
    <w:rsid w:val="00C150F1"/>
    <w:rsid w:val="00C1545D"/>
    <w:rsid w:val="00C16190"/>
    <w:rsid w:val="00C1786C"/>
    <w:rsid w:val="00C178BF"/>
    <w:rsid w:val="00C178F3"/>
    <w:rsid w:val="00C2017E"/>
    <w:rsid w:val="00C20517"/>
    <w:rsid w:val="00C20FEC"/>
    <w:rsid w:val="00C2161C"/>
    <w:rsid w:val="00C21BD7"/>
    <w:rsid w:val="00C22002"/>
    <w:rsid w:val="00C23975"/>
    <w:rsid w:val="00C23A3E"/>
    <w:rsid w:val="00C23E0C"/>
    <w:rsid w:val="00C24A21"/>
    <w:rsid w:val="00C25403"/>
    <w:rsid w:val="00C2586F"/>
    <w:rsid w:val="00C2621D"/>
    <w:rsid w:val="00C2700F"/>
    <w:rsid w:val="00C27A12"/>
    <w:rsid w:val="00C312CE"/>
    <w:rsid w:val="00C3159B"/>
    <w:rsid w:val="00C32352"/>
    <w:rsid w:val="00C32F4C"/>
    <w:rsid w:val="00C33123"/>
    <w:rsid w:val="00C3405B"/>
    <w:rsid w:val="00C340E7"/>
    <w:rsid w:val="00C343A8"/>
    <w:rsid w:val="00C34402"/>
    <w:rsid w:val="00C35217"/>
    <w:rsid w:val="00C357E5"/>
    <w:rsid w:val="00C35EE7"/>
    <w:rsid w:val="00C36067"/>
    <w:rsid w:val="00C3644A"/>
    <w:rsid w:val="00C36464"/>
    <w:rsid w:val="00C368AC"/>
    <w:rsid w:val="00C36E54"/>
    <w:rsid w:val="00C372C4"/>
    <w:rsid w:val="00C37724"/>
    <w:rsid w:val="00C37D3D"/>
    <w:rsid w:val="00C4069B"/>
    <w:rsid w:val="00C4069E"/>
    <w:rsid w:val="00C40B10"/>
    <w:rsid w:val="00C4194D"/>
    <w:rsid w:val="00C41E19"/>
    <w:rsid w:val="00C4230C"/>
    <w:rsid w:val="00C42683"/>
    <w:rsid w:val="00C4281D"/>
    <w:rsid w:val="00C428E6"/>
    <w:rsid w:val="00C42DDC"/>
    <w:rsid w:val="00C43077"/>
    <w:rsid w:val="00C43F13"/>
    <w:rsid w:val="00C43F89"/>
    <w:rsid w:val="00C445B9"/>
    <w:rsid w:val="00C4478D"/>
    <w:rsid w:val="00C44979"/>
    <w:rsid w:val="00C44A1D"/>
    <w:rsid w:val="00C44CE5"/>
    <w:rsid w:val="00C44DF7"/>
    <w:rsid w:val="00C452B2"/>
    <w:rsid w:val="00C45855"/>
    <w:rsid w:val="00C459F8"/>
    <w:rsid w:val="00C46286"/>
    <w:rsid w:val="00C46CBB"/>
    <w:rsid w:val="00C47052"/>
    <w:rsid w:val="00C47271"/>
    <w:rsid w:val="00C472BE"/>
    <w:rsid w:val="00C5030D"/>
    <w:rsid w:val="00C510FE"/>
    <w:rsid w:val="00C51462"/>
    <w:rsid w:val="00C51853"/>
    <w:rsid w:val="00C51EF2"/>
    <w:rsid w:val="00C53526"/>
    <w:rsid w:val="00C53913"/>
    <w:rsid w:val="00C53A00"/>
    <w:rsid w:val="00C53ABA"/>
    <w:rsid w:val="00C542DA"/>
    <w:rsid w:val="00C54308"/>
    <w:rsid w:val="00C54FA9"/>
    <w:rsid w:val="00C55545"/>
    <w:rsid w:val="00C555B6"/>
    <w:rsid w:val="00C5575F"/>
    <w:rsid w:val="00C56E4E"/>
    <w:rsid w:val="00C5722A"/>
    <w:rsid w:val="00C57A53"/>
    <w:rsid w:val="00C57F42"/>
    <w:rsid w:val="00C60125"/>
    <w:rsid w:val="00C60497"/>
    <w:rsid w:val="00C6055C"/>
    <w:rsid w:val="00C61888"/>
    <w:rsid w:val="00C61C18"/>
    <w:rsid w:val="00C61D5E"/>
    <w:rsid w:val="00C623C8"/>
    <w:rsid w:val="00C62401"/>
    <w:rsid w:val="00C637FF"/>
    <w:rsid w:val="00C63B31"/>
    <w:rsid w:val="00C63C68"/>
    <w:rsid w:val="00C6414D"/>
    <w:rsid w:val="00C6414E"/>
    <w:rsid w:val="00C64382"/>
    <w:rsid w:val="00C6473E"/>
    <w:rsid w:val="00C65179"/>
    <w:rsid w:val="00C651A9"/>
    <w:rsid w:val="00C6661C"/>
    <w:rsid w:val="00C6698D"/>
    <w:rsid w:val="00C67D97"/>
    <w:rsid w:val="00C67FE0"/>
    <w:rsid w:val="00C7078B"/>
    <w:rsid w:val="00C70AC0"/>
    <w:rsid w:val="00C70D20"/>
    <w:rsid w:val="00C71FE3"/>
    <w:rsid w:val="00C726C1"/>
    <w:rsid w:val="00C72A93"/>
    <w:rsid w:val="00C747DF"/>
    <w:rsid w:val="00C74CDE"/>
    <w:rsid w:val="00C74E75"/>
    <w:rsid w:val="00C76310"/>
    <w:rsid w:val="00C76C00"/>
    <w:rsid w:val="00C76C9E"/>
    <w:rsid w:val="00C7752C"/>
    <w:rsid w:val="00C77A06"/>
    <w:rsid w:val="00C77B09"/>
    <w:rsid w:val="00C77E59"/>
    <w:rsid w:val="00C77E8B"/>
    <w:rsid w:val="00C80134"/>
    <w:rsid w:val="00C80AB5"/>
    <w:rsid w:val="00C80CD0"/>
    <w:rsid w:val="00C8100C"/>
    <w:rsid w:val="00C81FAC"/>
    <w:rsid w:val="00C827E7"/>
    <w:rsid w:val="00C828E7"/>
    <w:rsid w:val="00C839C1"/>
    <w:rsid w:val="00C84082"/>
    <w:rsid w:val="00C84729"/>
    <w:rsid w:val="00C84A27"/>
    <w:rsid w:val="00C8507E"/>
    <w:rsid w:val="00C85330"/>
    <w:rsid w:val="00C86114"/>
    <w:rsid w:val="00C86EFA"/>
    <w:rsid w:val="00C86FD6"/>
    <w:rsid w:val="00C87235"/>
    <w:rsid w:val="00C8740B"/>
    <w:rsid w:val="00C87C21"/>
    <w:rsid w:val="00C9077E"/>
    <w:rsid w:val="00C90B7E"/>
    <w:rsid w:val="00C924D5"/>
    <w:rsid w:val="00C92664"/>
    <w:rsid w:val="00C93553"/>
    <w:rsid w:val="00C93B64"/>
    <w:rsid w:val="00C94292"/>
    <w:rsid w:val="00C953FE"/>
    <w:rsid w:val="00C956A6"/>
    <w:rsid w:val="00C95DDD"/>
    <w:rsid w:val="00C9638D"/>
    <w:rsid w:val="00C9657E"/>
    <w:rsid w:val="00C96C89"/>
    <w:rsid w:val="00C97234"/>
    <w:rsid w:val="00C974AF"/>
    <w:rsid w:val="00C9751B"/>
    <w:rsid w:val="00C97580"/>
    <w:rsid w:val="00C97C0E"/>
    <w:rsid w:val="00C97EFA"/>
    <w:rsid w:val="00CA0563"/>
    <w:rsid w:val="00CA0813"/>
    <w:rsid w:val="00CA124C"/>
    <w:rsid w:val="00CA1AEC"/>
    <w:rsid w:val="00CA2125"/>
    <w:rsid w:val="00CA29A1"/>
    <w:rsid w:val="00CA2AD2"/>
    <w:rsid w:val="00CA2B0A"/>
    <w:rsid w:val="00CA32D7"/>
    <w:rsid w:val="00CA424E"/>
    <w:rsid w:val="00CA43CD"/>
    <w:rsid w:val="00CA4420"/>
    <w:rsid w:val="00CA4FC5"/>
    <w:rsid w:val="00CA5EF3"/>
    <w:rsid w:val="00CA6D7A"/>
    <w:rsid w:val="00CA7180"/>
    <w:rsid w:val="00CA794E"/>
    <w:rsid w:val="00CA79C5"/>
    <w:rsid w:val="00CA7D7B"/>
    <w:rsid w:val="00CA7F14"/>
    <w:rsid w:val="00CB0110"/>
    <w:rsid w:val="00CB02AA"/>
    <w:rsid w:val="00CB0E2D"/>
    <w:rsid w:val="00CB2050"/>
    <w:rsid w:val="00CB20ED"/>
    <w:rsid w:val="00CB211A"/>
    <w:rsid w:val="00CB24DF"/>
    <w:rsid w:val="00CB2826"/>
    <w:rsid w:val="00CB2FB5"/>
    <w:rsid w:val="00CB37DD"/>
    <w:rsid w:val="00CB3B9D"/>
    <w:rsid w:val="00CB3BE8"/>
    <w:rsid w:val="00CB3F2F"/>
    <w:rsid w:val="00CB4BA7"/>
    <w:rsid w:val="00CB4BE8"/>
    <w:rsid w:val="00CB5420"/>
    <w:rsid w:val="00CB5427"/>
    <w:rsid w:val="00CB5959"/>
    <w:rsid w:val="00CB6302"/>
    <w:rsid w:val="00CB670C"/>
    <w:rsid w:val="00CB74A7"/>
    <w:rsid w:val="00CB7752"/>
    <w:rsid w:val="00CB7AEF"/>
    <w:rsid w:val="00CB7C97"/>
    <w:rsid w:val="00CB7D35"/>
    <w:rsid w:val="00CC06E3"/>
    <w:rsid w:val="00CC0BD5"/>
    <w:rsid w:val="00CC0C9C"/>
    <w:rsid w:val="00CC102F"/>
    <w:rsid w:val="00CC1391"/>
    <w:rsid w:val="00CC231F"/>
    <w:rsid w:val="00CC23C6"/>
    <w:rsid w:val="00CC25F5"/>
    <w:rsid w:val="00CC2DBA"/>
    <w:rsid w:val="00CC357A"/>
    <w:rsid w:val="00CC3751"/>
    <w:rsid w:val="00CC3E06"/>
    <w:rsid w:val="00CC433B"/>
    <w:rsid w:val="00CC49FD"/>
    <w:rsid w:val="00CC4BB4"/>
    <w:rsid w:val="00CC515F"/>
    <w:rsid w:val="00CC5C03"/>
    <w:rsid w:val="00CC6161"/>
    <w:rsid w:val="00CC6175"/>
    <w:rsid w:val="00CC69F0"/>
    <w:rsid w:val="00CC74AD"/>
    <w:rsid w:val="00CD0567"/>
    <w:rsid w:val="00CD0E71"/>
    <w:rsid w:val="00CD0E98"/>
    <w:rsid w:val="00CD0EC6"/>
    <w:rsid w:val="00CD0EFB"/>
    <w:rsid w:val="00CD1785"/>
    <w:rsid w:val="00CD1AE8"/>
    <w:rsid w:val="00CD1F34"/>
    <w:rsid w:val="00CD27C5"/>
    <w:rsid w:val="00CD32C4"/>
    <w:rsid w:val="00CD36D5"/>
    <w:rsid w:val="00CD3800"/>
    <w:rsid w:val="00CD3878"/>
    <w:rsid w:val="00CD43AA"/>
    <w:rsid w:val="00CD4646"/>
    <w:rsid w:val="00CD46B8"/>
    <w:rsid w:val="00CD48B6"/>
    <w:rsid w:val="00CD4A7C"/>
    <w:rsid w:val="00CD4FF3"/>
    <w:rsid w:val="00CD6932"/>
    <w:rsid w:val="00CD7568"/>
    <w:rsid w:val="00CD7ED6"/>
    <w:rsid w:val="00CE03B7"/>
    <w:rsid w:val="00CE0433"/>
    <w:rsid w:val="00CE0D1A"/>
    <w:rsid w:val="00CE1B29"/>
    <w:rsid w:val="00CE2728"/>
    <w:rsid w:val="00CE2C59"/>
    <w:rsid w:val="00CE342A"/>
    <w:rsid w:val="00CE3607"/>
    <w:rsid w:val="00CE3799"/>
    <w:rsid w:val="00CE3C18"/>
    <w:rsid w:val="00CE47DC"/>
    <w:rsid w:val="00CE4F26"/>
    <w:rsid w:val="00CE5ECE"/>
    <w:rsid w:val="00CE643E"/>
    <w:rsid w:val="00CE6C1C"/>
    <w:rsid w:val="00CE6C4A"/>
    <w:rsid w:val="00CE7618"/>
    <w:rsid w:val="00CE7C55"/>
    <w:rsid w:val="00CE7D97"/>
    <w:rsid w:val="00CF05DA"/>
    <w:rsid w:val="00CF18D2"/>
    <w:rsid w:val="00CF1CC2"/>
    <w:rsid w:val="00CF211A"/>
    <w:rsid w:val="00CF24C8"/>
    <w:rsid w:val="00CF2A0F"/>
    <w:rsid w:val="00CF2B50"/>
    <w:rsid w:val="00CF2C20"/>
    <w:rsid w:val="00CF2DEC"/>
    <w:rsid w:val="00CF2FB4"/>
    <w:rsid w:val="00CF324E"/>
    <w:rsid w:val="00CF36AF"/>
    <w:rsid w:val="00CF4520"/>
    <w:rsid w:val="00CF45BD"/>
    <w:rsid w:val="00CF517D"/>
    <w:rsid w:val="00CF5C33"/>
    <w:rsid w:val="00CF63B1"/>
    <w:rsid w:val="00CF69D8"/>
    <w:rsid w:val="00CF6E8A"/>
    <w:rsid w:val="00CF77C5"/>
    <w:rsid w:val="00CF7ABD"/>
    <w:rsid w:val="00D000B7"/>
    <w:rsid w:val="00D0012C"/>
    <w:rsid w:val="00D00F4D"/>
    <w:rsid w:val="00D016A7"/>
    <w:rsid w:val="00D019B9"/>
    <w:rsid w:val="00D01B26"/>
    <w:rsid w:val="00D01B4F"/>
    <w:rsid w:val="00D0203A"/>
    <w:rsid w:val="00D02680"/>
    <w:rsid w:val="00D0279D"/>
    <w:rsid w:val="00D03012"/>
    <w:rsid w:val="00D031DD"/>
    <w:rsid w:val="00D033BB"/>
    <w:rsid w:val="00D03428"/>
    <w:rsid w:val="00D0388E"/>
    <w:rsid w:val="00D03AEA"/>
    <w:rsid w:val="00D03DDD"/>
    <w:rsid w:val="00D0423F"/>
    <w:rsid w:val="00D04B0F"/>
    <w:rsid w:val="00D05245"/>
    <w:rsid w:val="00D058A6"/>
    <w:rsid w:val="00D05FE5"/>
    <w:rsid w:val="00D062AA"/>
    <w:rsid w:val="00D06490"/>
    <w:rsid w:val="00D06CD3"/>
    <w:rsid w:val="00D06D2B"/>
    <w:rsid w:val="00D06E28"/>
    <w:rsid w:val="00D07010"/>
    <w:rsid w:val="00D071B9"/>
    <w:rsid w:val="00D07248"/>
    <w:rsid w:val="00D07411"/>
    <w:rsid w:val="00D07982"/>
    <w:rsid w:val="00D07DDA"/>
    <w:rsid w:val="00D10D67"/>
    <w:rsid w:val="00D12148"/>
    <w:rsid w:val="00D12282"/>
    <w:rsid w:val="00D12C5F"/>
    <w:rsid w:val="00D1309A"/>
    <w:rsid w:val="00D130F6"/>
    <w:rsid w:val="00D13194"/>
    <w:rsid w:val="00D140EE"/>
    <w:rsid w:val="00D142B0"/>
    <w:rsid w:val="00D14306"/>
    <w:rsid w:val="00D15120"/>
    <w:rsid w:val="00D15B34"/>
    <w:rsid w:val="00D162EF"/>
    <w:rsid w:val="00D1657E"/>
    <w:rsid w:val="00D16689"/>
    <w:rsid w:val="00D16F46"/>
    <w:rsid w:val="00D176B9"/>
    <w:rsid w:val="00D20F39"/>
    <w:rsid w:val="00D22A54"/>
    <w:rsid w:val="00D22A67"/>
    <w:rsid w:val="00D23837"/>
    <w:rsid w:val="00D24948"/>
    <w:rsid w:val="00D2584E"/>
    <w:rsid w:val="00D2592E"/>
    <w:rsid w:val="00D25AF3"/>
    <w:rsid w:val="00D25EA4"/>
    <w:rsid w:val="00D26312"/>
    <w:rsid w:val="00D26337"/>
    <w:rsid w:val="00D2637E"/>
    <w:rsid w:val="00D26766"/>
    <w:rsid w:val="00D275CE"/>
    <w:rsid w:val="00D30B19"/>
    <w:rsid w:val="00D30D59"/>
    <w:rsid w:val="00D311AC"/>
    <w:rsid w:val="00D31376"/>
    <w:rsid w:val="00D31A67"/>
    <w:rsid w:val="00D32837"/>
    <w:rsid w:val="00D32976"/>
    <w:rsid w:val="00D33234"/>
    <w:rsid w:val="00D33859"/>
    <w:rsid w:val="00D33B7A"/>
    <w:rsid w:val="00D33DB6"/>
    <w:rsid w:val="00D33DBE"/>
    <w:rsid w:val="00D33F60"/>
    <w:rsid w:val="00D34441"/>
    <w:rsid w:val="00D34F59"/>
    <w:rsid w:val="00D353AF"/>
    <w:rsid w:val="00D35D18"/>
    <w:rsid w:val="00D35D50"/>
    <w:rsid w:val="00D35FBF"/>
    <w:rsid w:val="00D37862"/>
    <w:rsid w:val="00D37C0A"/>
    <w:rsid w:val="00D40009"/>
    <w:rsid w:val="00D40207"/>
    <w:rsid w:val="00D408F7"/>
    <w:rsid w:val="00D40C67"/>
    <w:rsid w:val="00D411B7"/>
    <w:rsid w:val="00D4160D"/>
    <w:rsid w:val="00D423F4"/>
    <w:rsid w:val="00D428DE"/>
    <w:rsid w:val="00D4298A"/>
    <w:rsid w:val="00D42C7E"/>
    <w:rsid w:val="00D433B9"/>
    <w:rsid w:val="00D447E8"/>
    <w:rsid w:val="00D44D5D"/>
    <w:rsid w:val="00D45268"/>
    <w:rsid w:val="00D45A1D"/>
    <w:rsid w:val="00D46642"/>
    <w:rsid w:val="00D46C8A"/>
    <w:rsid w:val="00D46CFB"/>
    <w:rsid w:val="00D4749E"/>
    <w:rsid w:val="00D478C1"/>
    <w:rsid w:val="00D47EB6"/>
    <w:rsid w:val="00D5156B"/>
    <w:rsid w:val="00D5169A"/>
    <w:rsid w:val="00D51858"/>
    <w:rsid w:val="00D51879"/>
    <w:rsid w:val="00D523C7"/>
    <w:rsid w:val="00D52619"/>
    <w:rsid w:val="00D53AEA"/>
    <w:rsid w:val="00D542E1"/>
    <w:rsid w:val="00D548D8"/>
    <w:rsid w:val="00D55207"/>
    <w:rsid w:val="00D5629F"/>
    <w:rsid w:val="00D56342"/>
    <w:rsid w:val="00D5636D"/>
    <w:rsid w:val="00D57440"/>
    <w:rsid w:val="00D57EDE"/>
    <w:rsid w:val="00D57F6F"/>
    <w:rsid w:val="00D60298"/>
    <w:rsid w:val="00D603B4"/>
    <w:rsid w:val="00D60803"/>
    <w:rsid w:val="00D6101D"/>
    <w:rsid w:val="00D619EC"/>
    <w:rsid w:val="00D61B30"/>
    <w:rsid w:val="00D62106"/>
    <w:rsid w:val="00D62B9E"/>
    <w:rsid w:val="00D632DC"/>
    <w:rsid w:val="00D6347E"/>
    <w:rsid w:val="00D636B0"/>
    <w:rsid w:val="00D639A3"/>
    <w:rsid w:val="00D645C5"/>
    <w:rsid w:val="00D658DF"/>
    <w:rsid w:val="00D663D2"/>
    <w:rsid w:val="00D66459"/>
    <w:rsid w:val="00D66680"/>
    <w:rsid w:val="00D67327"/>
    <w:rsid w:val="00D67552"/>
    <w:rsid w:val="00D67625"/>
    <w:rsid w:val="00D67FA9"/>
    <w:rsid w:val="00D7042A"/>
    <w:rsid w:val="00D70BAA"/>
    <w:rsid w:val="00D719EA"/>
    <w:rsid w:val="00D71DA7"/>
    <w:rsid w:val="00D71E75"/>
    <w:rsid w:val="00D72B67"/>
    <w:rsid w:val="00D72D13"/>
    <w:rsid w:val="00D73015"/>
    <w:rsid w:val="00D739AD"/>
    <w:rsid w:val="00D73F1D"/>
    <w:rsid w:val="00D7547B"/>
    <w:rsid w:val="00D75740"/>
    <w:rsid w:val="00D75946"/>
    <w:rsid w:val="00D766E0"/>
    <w:rsid w:val="00D76E8A"/>
    <w:rsid w:val="00D7754F"/>
    <w:rsid w:val="00D77715"/>
    <w:rsid w:val="00D7786A"/>
    <w:rsid w:val="00D8017D"/>
    <w:rsid w:val="00D8091B"/>
    <w:rsid w:val="00D810CF"/>
    <w:rsid w:val="00D819C7"/>
    <w:rsid w:val="00D81A52"/>
    <w:rsid w:val="00D81A80"/>
    <w:rsid w:val="00D81AE1"/>
    <w:rsid w:val="00D828DA"/>
    <w:rsid w:val="00D83575"/>
    <w:rsid w:val="00D83774"/>
    <w:rsid w:val="00D839D6"/>
    <w:rsid w:val="00D83C5C"/>
    <w:rsid w:val="00D83E4A"/>
    <w:rsid w:val="00D840D8"/>
    <w:rsid w:val="00D841D4"/>
    <w:rsid w:val="00D844DC"/>
    <w:rsid w:val="00D85797"/>
    <w:rsid w:val="00D859CF"/>
    <w:rsid w:val="00D85BBD"/>
    <w:rsid w:val="00D86737"/>
    <w:rsid w:val="00D86978"/>
    <w:rsid w:val="00D86F7B"/>
    <w:rsid w:val="00D87515"/>
    <w:rsid w:val="00D8760D"/>
    <w:rsid w:val="00D87DC0"/>
    <w:rsid w:val="00D90549"/>
    <w:rsid w:val="00D91B11"/>
    <w:rsid w:val="00D92617"/>
    <w:rsid w:val="00D937B5"/>
    <w:rsid w:val="00D937C4"/>
    <w:rsid w:val="00D9385D"/>
    <w:rsid w:val="00D964C4"/>
    <w:rsid w:val="00D96AEF"/>
    <w:rsid w:val="00D96BC9"/>
    <w:rsid w:val="00D96F4E"/>
    <w:rsid w:val="00D974CB"/>
    <w:rsid w:val="00D97A07"/>
    <w:rsid w:val="00D97A50"/>
    <w:rsid w:val="00DA003E"/>
    <w:rsid w:val="00DA0BAF"/>
    <w:rsid w:val="00DA0F84"/>
    <w:rsid w:val="00DA1177"/>
    <w:rsid w:val="00DA14FD"/>
    <w:rsid w:val="00DA18E0"/>
    <w:rsid w:val="00DA18EF"/>
    <w:rsid w:val="00DA1AB0"/>
    <w:rsid w:val="00DA1DE7"/>
    <w:rsid w:val="00DA2540"/>
    <w:rsid w:val="00DA2D38"/>
    <w:rsid w:val="00DA2F87"/>
    <w:rsid w:val="00DA3D7C"/>
    <w:rsid w:val="00DA3FED"/>
    <w:rsid w:val="00DA408E"/>
    <w:rsid w:val="00DA51ED"/>
    <w:rsid w:val="00DA5FA0"/>
    <w:rsid w:val="00DA703F"/>
    <w:rsid w:val="00DA72EE"/>
    <w:rsid w:val="00DB0579"/>
    <w:rsid w:val="00DB0A20"/>
    <w:rsid w:val="00DB0DCC"/>
    <w:rsid w:val="00DB0FA5"/>
    <w:rsid w:val="00DB112A"/>
    <w:rsid w:val="00DB17E7"/>
    <w:rsid w:val="00DB18D0"/>
    <w:rsid w:val="00DB28CF"/>
    <w:rsid w:val="00DB43DB"/>
    <w:rsid w:val="00DB4DA7"/>
    <w:rsid w:val="00DB5151"/>
    <w:rsid w:val="00DB5D85"/>
    <w:rsid w:val="00DB6C87"/>
    <w:rsid w:val="00DB754D"/>
    <w:rsid w:val="00DC009C"/>
    <w:rsid w:val="00DC1089"/>
    <w:rsid w:val="00DC1771"/>
    <w:rsid w:val="00DC177A"/>
    <w:rsid w:val="00DC193A"/>
    <w:rsid w:val="00DC1B3D"/>
    <w:rsid w:val="00DC1F8C"/>
    <w:rsid w:val="00DC2B29"/>
    <w:rsid w:val="00DC31CA"/>
    <w:rsid w:val="00DC362C"/>
    <w:rsid w:val="00DC371C"/>
    <w:rsid w:val="00DC3CC3"/>
    <w:rsid w:val="00DC4869"/>
    <w:rsid w:val="00DC4E88"/>
    <w:rsid w:val="00DC4F18"/>
    <w:rsid w:val="00DC57A3"/>
    <w:rsid w:val="00DC583C"/>
    <w:rsid w:val="00DC5B8C"/>
    <w:rsid w:val="00DC5FD4"/>
    <w:rsid w:val="00DC61DE"/>
    <w:rsid w:val="00DC6401"/>
    <w:rsid w:val="00DC65E5"/>
    <w:rsid w:val="00DC66FE"/>
    <w:rsid w:val="00DC672A"/>
    <w:rsid w:val="00DC6E71"/>
    <w:rsid w:val="00DC70E5"/>
    <w:rsid w:val="00DC7460"/>
    <w:rsid w:val="00DC76A5"/>
    <w:rsid w:val="00DC7D23"/>
    <w:rsid w:val="00DD0DA3"/>
    <w:rsid w:val="00DD1821"/>
    <w:rsid w:val="00DD26FA"/>
    <w:rsid w:val="00DD273F"/>
    <w:rsid w:val="00DD38EB"/>
    <w:rsid w:val="00DD48FE"/>
    <w:rsid w:val="00DD4E4D"/>
    <w:rsid w:val="00DD593B"/>
    <w:rsid w:val="00DD5AFC"/>
    <w:rsid w:val="00DD6130"/>
    <w:rsid w:val="00DD68FE"/>
    <w:rsid w:val="00DD7036"/>
    <w:rsid w:val="00DD7539"/>
    <w:rsid w:val="00DD75F1"/>
    <w:rsid w:val="00DD7AC6"/>
    <w:rsid w:val="00DD7CEC"/>
    <w:rsid w:val="00DE1F59"/>
    <w:rsid w:val="00DE2992"/>
    <w:rsid w:val="00DE310D"/>
    <w:rsid w:val="00DE33B3"/>
    <w:rsid w:val="00DE3541"/>
    <w:rsid w:val="00DE4516"/>
    <w:rsid w:val="00DE45A8"/>
    <w:rsid w:val="00DE46B0"/>
    <w:rsid w:val="00DE4DA7"/>
    <w:rsid w:val="00DE5497"/>
    <w:rsid w:val="00DE5A80"/>
    <w:rsid w:val="00DE5B23"/>
    <w:rsid w:val="00DE5F00"/>
    <w:rsid w:val="00DE62F5"/>
    <w:rsid w:val="00DE6422"/>
    <w:rsid w:val="00DE7393"/>
    <w:rsid w:val="00DE7633"/>
    <w:rsid w:val="00DF0132"/>
    <w:rsid w:val="00DF04EA"/>
    <w:rsid w:val="00DF07B2"/>
    <w:rsid w:val="00DF0BA6"/>
    <w:rsid w:val="00DF1263"/>
    <w:rsid w:val="00DF1846"/>
    <w:rsid w:val="00DF19EA"/>
    <w:rsid w:val="00DF1D68"/>
    <w:rsid w:val="00DF254B"/>
    <w:rsid w:val="00DF2688"/>
    <w:rsid w:val="00DF3529"/>
    <w:rsid w:val="00DF38E1"/>
    <w:rsid w:val="00DF4DA4"/>
    <w:rsid w:val="00DF5778"/>
    <w:rsid w:val="00DF5DB7"/>
    <w:rsid w:val="00DF6084"/>
    <w:rsid w:val="00DF6345"/>
    <w:rsid w:val="00DF68C4"/>
    <w:rsid w:val="00DF6963"/>
    <w:rsid w:val="00DF7C85"/>
    <w:rsid w:val="00E00434"/>
    <w:rsid w:val="00E00EB4"/>
    <w:rsid w:val="00E018F1"/>
    <w:rsid w:val="00E0215F"/>
    <w:rsid w:val="00E02935"/>
    <w:rsid w:val="00E02B81"/>
    <w:rsid w:val="00E03400"/>
    <w:rsid w:val="00E038B3"/>
    <w:rsid w:val="00E04060"/>
    <w:rsid w:val="00E05063"/>
    <w:rsid w:val="00E05814"/>
    <w:rsid w:val="00E061C7"/>
    <w:rsid w:val="00E0790C"/>
    <w:rsid w:val="00E07ADA"/>
    <w:rsid w:val="00E1034D"/>
    <w:rsid w:val="00E11378"/>
    <w:rsid w:val="00E113B5"/>
    <w:rsid w:val="00E119F1"/>
    <w:rsid w:val="00E124C5"/>
    <w:rsid w:val="00E12CB9"/>
    <w:rsid w:val="00E12DFB"/>
    <w:rsid w:val="00E13437"/>
    <w:rsid w:val="00E13B1F"/>
    <w:rsid w:val="00E13CE9"/>
    <w:rsid w:val="00E13E6F"/>
    <w:rsid w:val="00E1415C"/>
    <w:rsid w:val="00E1508A"/>
    <w:rsid w:val="00E1572E"/>
    <w:rsid w:val="00E1591F"/>
    <w:rsid w:val="00E15B00"/>
    <w:rsid w:val="00E164E0"/>
    <w:rsid w:val="00E179FB"/>
    <w:rsid w:val="00E17E27"/>
    <w:rsid w:val="00E20491"/>
    <w:rsid w:val="00E21C3B"/>
    <w:rsid w:val="00E21C7E"/>
    <w:rsid w:val="00E2229D"/>
    <w:rsid w:val="00E22AE5"/>
    <w:rsid w:val="00E2317D"/>
    <w:rsid w:val="00E23B46"/>
    <w:rsid w:val="00E245F1"/>
    <w:rsid w:val="00E24BB8"/>
    <w:rsid w:val="00E24FB0"/>
    <w:rsid w:val="00E25551"/>
    <w:rsid w:val="00E25A2C"/>
    <w:rsid w:val="00E25A55"/>
    <w:rsid w:val="00E25CEB"/>
    <w:rsid w:val="00E25D55"/>
    <w:rsid w:val="00E25F17"/>
    <w:rsid w:val="00E26ED4"/>
    <w:rsid w:val="00E27C63"/>
    <w:rsid w:val="00E30665"/>
    <w:rsid w:val="00E30E44"/>
    <w:rsid w:val="00E31E0B"/>
    <w:rsid w:val="00E329AF"/>
    <w:rsid w:val="00E329DF"/>
    <w:rsid w:val="00E32DB9"/>
    <w:rsid w:val="00E32F5C"/>
    <w:rsid w:val="00E333C1"/>
    <w:rsid w:val="00E34320"/>
    <w:rsid w:val="00E35305"/>
    <w:rsid w:val="00E35D73"/>
    <w:rsid w:val="00E36326"/>
    <w:rsid w:val="00E368BC"/>
    <w:rsid w:val="00E36A10"/>
    <w:rsid w:val="00E37899"/>
    <w:rsid w:val="00E37BF3"/>
    <w:rsid w:val="00E37E16"/>
    <w:rsid w:val="00E40F63"/>
    <w:rsid w:val="00E41CDC"/>
    <w:rsid w:val="00E4245B"/>
    <w:rsid w:val="00E42503"/>
    <w:rsid w:val="00E42A73"/>
    <w:rsid w:val="00E437BA"/>
    <w:rsid w:val="00E43B37"/>
    <w:rsid w:val="00E43FD8"/>
    <w:rsid w:val="00E44EAD"/>
    <w:rsid w:val="00E451E8"/>
    <w:rsid w:val="00E451E9"/>
    <w:rsid w:val="00E457BA"/>
    <w:rsid w:val="00E45AAF"/>
    <w:rsid w:val="00E45DB7"/>
    <w:rsid w:val="00E45EBD"/>
    <w:rsid w:val="00E461A8"/>
    <w:rsid w:val="00E472EF"/>
    <w:rsid w:val="00E474D0"/>
    <w:rsid w:val="00E47B7D"/>
    <w:rsid w:val="00E515AA"/>
    <w:rsid w:val="00E51913"/>
    <w:rsid w:val="00E52546"/>
    <w:rsid w:val="00E52AE3"/>
    <w:rsid w:val="00E533EE"/>
    <w:rsid w:val="00E537EA"/>
    <w:rsid w:val="00E5423D"/>
    <w:rsid w:val="00E54409"/>
    <w:rsid w:val="00E54645"/>
    <w:rsid w:val="00E54686"/>
    <w:rsid w:val="00E5468C"/>
    <w:rsid w:val="00E54C3B"/>
    <w:rsid w:val="00E54DB2"/>
    <w:rsid w:val="00E558D3"/>
    <w:rsid w:val="00E55F5F"/>
    <w:rsid w:val="00E566E1"/>
    <w:rsid w:val="00E56B34"/>
    <w:rsid w:val="00E57329"/>
    <w:rsid w:val="00E5733A"/>
    <w:rsid w:val="00E57B03"/>
    <w:rsid w:val="00E60065"/>
    <w:rsid w:val="00E6035B"/>
    <w:rsid w:val="00E6081D"/>
    <w:rsid w:val="00E60DC3"/>
    <w:rsid w:val="00E6122F"/>
    <w:rsid w:val="00E624C4"/>
    <w:rsid w:val="00E63094"/>
    <w:rsid w:val="00E63E9C"/>
    <w:rsid w:val="00E648FE"/>
    <w:rsid w:val="00E654AD"/>
    <w:rsid w:val="00E65605"/>
    <w:rsid w:val="00E66017"/>
    <w:rsid w:val="00E66A16"/>
    <w:rsid w:val="00E66E48"/>
    <w:rsid w:val="00E66FFC"/>
    <w:rsid w:val="00E6725C"/>
    <w:rsid w:val="00E679F5"/>
    <w:rsid w:val="00E70255"/>
    <w:rsid w:val="00E7081F"/>
    <w:rsid w:val="00E711A5"/>
    <w:rsid w:val="00E713A5"/>
    <w:rsid w:val="00E71717"/>
    <w:rsid w:val="00E71C02"/>
    <w:rsid w:val="00E72218"/>
    <w:rsid w:val="00E72670"/>
    <w:rsid w:val="00E729BE"/>
    <w:rsid w:val="00E730E2"/>
    <w:rsid w:val="00E73304"/>
    <w:rsid w:val="00E7398E"/>
    <w:rsid w:val="00E7456B"/>
    <w:rsid w:val="00E74D74"/>
    <w:rsid w:val="00E75656"/>
    <w:rsid w:val="00E759B8"/>
    <w:rsid w:val="00E75AEA"/>
    <w:rsid w:val="00E76D41"/>
    <w:rsid w:val="00E76EDD"/>
    <w:rsid w:val="00E77DFC"/>
    <w:rsid w:val="00E804E8"/>
    <w:rsid w:val="00E80A54"/>
    <w:rsid w:val="00E80E43"/>
    <w:rsid w:val="00E811DB"/>
    <w:rsid w:val="00E815F8"/>
    <w:rsid w:val="00E818E6"/>
    <w:rsid w:val="00E818E8"/>
    <w:rsid w:val="00E823F9"/>
    <w:rsid w:val="00E82687"/>
    <w:rsid w:val="00E828FB"/>
    <w:rsid w:val="00E82AB0"/>
    <w:rsid w:val="00E82C0D"/>
    <w:rsid w:val="00E83046"/>
    <w:rsid w:val="00E83AC4"/>
    <w:rsid w:val="00E83C8C"/>
    <w:rsid w:val="00E84479"/>
    <w:rsid w:val="00E85032"/>
    <w:rsid w:val="00E855AB"/>
    <w:rsid w:val="00E85779"/>
    <w:rsid w:val="00E86393"/>
    <w:rsid w:val="00E863D0"/>
    <w:rsid w:val="00E86E1A"/>
    <w:rsid w:val="00E87C6A"/>
    <w:rsid w:val="00E900A1"/>
    <w:rsid w:val="00E9014C"/>
    <w:rsid w:val="00E902CB"/>
    <w:rsid w:val="00E909C6"/>
    <w:rsid w:val="00E90C70"/>
    <w:rsid w:val="00E910B9"/>
    <w:rsid w:val="00E92416"/>
    <w:rsid w:val="00E9294C"/>
    <w:rsid w:val="00E92990"/>
    <w:rsid w:val="00E930D7"/>
    <w:rsid w:val="00E93217"/>
    <w:rsid w:val="00E93BC3"/>
    <w:rsid w:val="00E93E8E"/>
    <w:rsid w:val="00E94910"/>
    <w:rsid w:val="00E94B0A"/>
    <w:rsid w:val="00E94C43"/>
    <w:rsid w:val="00E94D28"/>
    <w:rsid w:val="00E9616F"/>
    <w:rsid w:val="00E96B4D"/>
    <w:rsid w:val="00E96E7A"/>
    <w:rsid w:val="00E971EB"/>
    <w:rsid w:val="00E97BB4"/>
    <w:rsid w:val="00EA06EB"/>
    <w:rsid w:val="00EA07A8"/>
    <w:rsid w:val="00EA09A3"/>
    <w:rsid w:val="00EA223F"/>
    <w:rsid w:val="00EA2D36"/>
    <w:rsid w:val="00EA31C1"/>
    <w:rsid w:val="00EA3EBB"/>
    <w:rsid w:val="00EA3EE3"/>
    <w:rsid w:val="00EA470C"/>
    <w:rsid w:val="00EA4980"/>
    <w:rsid w:val="00EA4B67"/>
    <w:rsid w:val="00EA5B02"/>
    <w:rsid w:val="00EA6182"/>
    <w:rsid w:val="00EA6202"/>
    <w:rsid w:val="00EA6620"/>
    <w:rsid w:val="00EA68CB"/>
    <w:rsid w:val="00EA6F52"/>
    <w:rsid w:val="00EA7121"/>
    <w:rsid w:val="00EA7350"/>
    <w:rsid w:val="00EA756D"/>
    <w:rsid w:val="00EA76AA"/>
    <w:rsid w:val="00EB096F"/>
    <w:rsid w:val="00EB26CF"/>
    <w:rsid w:val="00EB31F0"/>
    <w:rsid w:val="00EB3349"/>
    <w:rsid w:val="00EB4D62"/>
    <w:rsid w:val="00EB5709"/>
    <w:rsid w:val="00EB5839"/>
    <w:rsid w:val="00EB5E4B"/>
    <w:rsid w:val="00EB5F44"/>
    <w:rsid w:val="00EB6103"/>
    <w:rsid w:val="00EB6990"/>
    <w:rsid w:val="00EB75AB"/>
    <w:rsid w:val="00EB75EB"/>
    <w:rsid w:val="00EB76C6"/>
    <w:rsid w:val="00EB7A1C"/>
    <w:rsid w:val="00EC01FB"/>
    <w:rsid w:val="00EC0944"/>
    <w:rsid w:val="00EC0AF0"/>
    <w:rsid w:val="00EC11FF"/>
    <w:rsid w:val="00EC15B9"/>
    <w:rsid w:val="00EC162C"/>
    <w:rsid w:val="00EC1722"/>
    <w:rsid w:val="00EC18CA"/>
    <w:rsid w:val="00EC1A8E"/>
    <w:rsid w:val="00EC1CE8"/>
    <w:rsid w:val="00EC217C"/>
    <w:rsid w:val="00EC2536"/>
    <w:rsid w:val="00EC2AEC"/>
    <w:rsid w:val="00EC2DEA"/>
    <w:rsid w:val="00EC2E77"/>
    <w:rsid w:val="00EC3036"/>
    <w:rsid w:val="00EC3A47"/>
    <w:rsid w:val="00EC3DAD"/>
    <w:rsid w:val="00EC5E03"/>
    <w:rsid w:val="00EC64C8"/>
    <w:rsid w:val="00EC64EE"/>
    <w:rsid w:val="00EC7EBA"/>
    <w:rsid w:val="00ED03BA"/>
    <w:rsid w:val="00ED08EE"/>
    <w:rsid w:val="00ED1211"/>
    <w:rsid w:val="00ED164D"/>
    <w:rsid w:val="00ED1753"/>
    <w:rsid w:val="00ED19FE"/>
    <w:rsid w:val="00ED2431"/>
    <w:rsid w:val="00ED3447"/>
    <w:rsid w:val="00ED3ACD"/>
    <w:rsid w:val="00ED3BDA"/>
    <w:rsid w:val="00ED3CA5"/>
    <w:rsid w:val="00ED40D8"/>
    <w:rsid w:val="00ED4115"/>
    <w:rsid w:val="00ED4806"/>
    <w:rsid w:val="00ED4C4E"/>
    <w:rsid w:val="00ED5134"/>
    <w:rsid w:val="00ED57E0"/>
    <w:rsid w:val="00ED58EB"/>
    <w:rsid w:val="00ED59A8"/>
    <w:rsid w:val="00ED7B0E"/>
    <w:rsid w:val="00EE0435"/>
    <w:rsid w:val="00EE0D13"/>
    <w:rsid w:val="00EE1392"/>
    <w:rsid w:val="00EE2180"/>
    <w:rsid w:val="00EE21A8"/>
    <w:rsid w:val="00EE22B6"/>
    <w:rsid w:val="00EE2718"/>
    <w:rsid w:val="00EE34C4"/>
    <w:rsid w:val="00EE4419"/>
    <w:rsid w:val="00EE48CF"/>
    <w:rsid w:val="00EE5086"/>
    <w:rsid w:val="00EE5406"/>
    <w:rsid w:val="00EE5661"/>
    <w:rsid w:val="00EE5D8B"/>
    <w:rsid w:val="00EE6560"/>
    <w:rsid w:val="00EE674B"/>
    <w:rsid w:val="00EE76AA"/>
    <w:rsid w:val="00EF0667"/>
    <w:rsid w:val="00EF08A7"/>
    <w:rsid w:val="00EF1712"/>
    <w:rsid w:val="00EF1788"/>
    <w:rsid w:val="00EF1AC7"/>
    <w:rsid w:val="00EF1E0B"/>
    <w:rsid w:val="00EF286F"/>
    <w:rsid w:val="00EF2DF4"/>
    <w:rsid w:val="00EF3EB5"/>
    <w:rsid w:val="00EF3F49"/>
    <w:rsid w:val="00EF466E"/>
    <w:rsid w:val="00EF4A14"/>
    <w:rsid w:val="00EF4E9C"/>
    <w:rsid w:val="00EF4F8F"/>
    <w:rsid w:val="00EF5BAC"/>
    <w:rsid w:val="00EF7161"/>
    <w:rsid w:val="00EF7964"/>
    <w:rsid w:val="00EF7BBD"/>
    <w:rsid w:val="00F00263"/>
    <w:rsid w:val="00F0090F"/>
    <w:rsid w:val="00F00B2F"/>
    <w:rsid w:val="00F0132C"/>
    <w:rsid w:val="00F0147E"/>
    <w:rsid w:val="00F01BB3"/>
    <w:rsid w:val="00F02492"/>
    <w:rsid w:val="00F0277F"/>
    <w:rsid w:val="00F02BA2"/>
    <w:rsid w:val="00F02E4C"/>
    <w:rsid w:val="00F031F0"/>
    <w:rsid w:val="00F0376D"/>
    <w:rsid w:val="00F0391B"/>
    <w:rsid w:val="00F03A80"/>
    <w:rsid w:val="00F04FB0"/>
    <w:rsid w:val="00F051CA"/>
    <w:rsid w:val="00F05E91"/>
    <w:rsid w:val="00F06294"/>
    <w:rsid w:val="00F06511"/>
    <w:rsid w:val="00F066EC"/>
    <w:rsid w:val="00F0784B"/>
    <w:rsid w:val="00F07E4D"/>
    <w:rsid w:val="00F10DD5"/>
    <w:rsid w:val="00F11237"/>
    <w:rsid w:val="00F113E5"/>
    <w:rsid w:val="00F11900"/>
    <w:rsid w:val="00F12BF4"/>
    <w:rsid w:val="00F12D9C"/>
    <w:rsid w:val="00F13630"/>
    <w:rsid w:val="00F14259"/>
    <w:rsid w:val="00F153E4"/>
    <w:rsid w:val="00F15474"/>
    <w:rsid w:val="00F15D14"/>
    <w:rsid w:val="00F15D33"/>
    <w:rsid w:val="00F15EBE"/>
    <w:rsid w:val="00F166F9"/>
    <w:rsid w:val="00F16DD2"/>
    <w:rsid w:val="00F204C7"/>
    <w:rsid w:val="00F208EE"/>
    <w:rsid w:val="00F21120"/>
    <w:rsid w:val="00F2112D"/>
    <w:rsid w:val="00F211E1"/>
    <w:rsid w:val="00F21350"/>
    <w:rsid w:val="00F2159A"/>
    <w:rsid w:val="00F2163F"/>
    <w:rsid w:val="00F21703"/>
    <w:rsid w:val="00F21C22"/>
    <w:rsid w:val="00F21F4E"/>
    <w:rsid w:val="00F22BD7"/>
    <w:rsid w:val="00F233BB"/>
    <w:rsid w:val="00F236B0"/>
    <w:rsid w:val="00F23C27"/>
    <w:rsid w:val="00F248A6"/>
    <w:rsid w:val="00F251E0"/>
    <w:rsid w:val="00F256C7"/>
    <w:rsid w:val="00F262ED"/>
    <w:rsid w:val="00F264AD"/>
    <w:rsid w:val="00F2661A"/>
    <w:rsid w:val="00F270D7"/>
    <w:rsid w:val="00F27535"/>
    <w:rsid w:val="00F27E13"/>
    <w:rsid w:val="00F30712"/>
    <w:rsid w:val="00F30803"/>
    <w:rsid w:val="00F30D6E"/>
    <w:rsid w:val="00F310DD"/>
    <w:rsid w:val="00F31355"/>
    <w:rsid w:val="00F315D1"/>
    <w:rsid w:val="00F31998"/>
    <w:rsid w:val="00F31F3B"/>
    <w:rsid w:val="00F32018"/>
    <w:rsid w:val="00F3260C"/>
    <w:rsid w:val="00F35FF2"/>
    <w:rsid w:val="00F368F0"/>
    <w:rsid w:val="00F378AB"/>
    <w:rsid w:val="00F4021B"/>
    <w:rsid w:val="00F417BD"/>
    <w:rsid w:val="00F41882"/>
    <w:rsid w:val="00F421C0"/>
    <w:rsid w:val="00F428E4"/>
    <w:rsid w:val="00F43B1F"/>
    <w:rsid w:val="00F43DD9"/>
    <w:rsid w:val="00F448B6"/>
    <w:rsid w:val="00F44ACB"/>
    <w:rsid w:val="00F45331"/>
    <w:rsid w:val="00F46102"/>
    <w:rsid w:val="00F464AB"/>
    <w:rsid w:val="00F46A16"/>
    <w:rsid w:val="00F47160"/>
    <w:rsid w:val="00F47D43"/>
    <w:rsid w:val="00F47DF9"/>
    <w:rsid w:val="00F50F05"/>
    <w:rsid w:val="00F51732"/>
    <w:rsid w:val="00F5199F"/>
    <w:rsid w:val="00F51A8B"/>
    <w:rsid w:val="00F51DAD"/>
    <w:rsid w:val="00F52A9A"/>
    <w:rsid w:val="00F53CF0"/>
    <w:rsid w:val="00F551D1"/>
    <w:rsid w:val="00F5592D"/>
    <w:rsid w:val="00F55C8C"/>
    <w:rsid w:val="00F55D72"/>
    <w:rsid w:val="00F56FA3"/>
    <w:rsid w:val="00F575A2"/>
    <w:rsid w:val="00F5795E"/>
    <w:rsid w:val="00F57F2A"/>
    <w:rsid w:val="00F61194"/>
    <w:rsid w:val="00F61C10"/>
    <w:rsid w:val="00F62A2B"/>
    <w:rsid w:val="00F62F9B"/>
    <w:rsid w:val="00F63D76"/>
    <w:rsid w:val="00F64641"/>
    <w:rsid w:val="00F649FB"/>
    <w:rsid w:val="00F65E4B"/>
    <w:rsid w:val="00F66B6B"/>
    <w:rsid w:val="00F66EC6"/>
    <w:rsid w:val="00F673D0"/>
    <w:rsid w:val="00F67436"/>
    <w:rsid w:val="00F677DB"/>
    <w:rsid w:val="00F70105"/>
    <w:rsid w:val="00F70123"/>
    <w:rsid w:val="00F70124"/>
    <w:rsid w:val="00F704DE"/>
    <w:rsid w:val="00F7051F"/>
    <w:rsid w:val="00F70687"/>
    <w:rsid w:val="00F71BF6"/>
    <w:rsid w:val="00F723E5"/>
    <w:rsid w:val="00F72677"/>
    <w:rsid w:val="00F7290E"/>
    <w:rsid w:val="00F72C1B"/>
    <w:rsid w:val="00F73045"/>
    <w:rsid w:val="00F732F0"/>
    <w:rsid w:val="00F73C04"/>
    <w:rsid w:val="00F73ECE"/>
    <w:rsid w:val="00F74037"/>
    <w:rsid w:val="00F7446C"/>
    <w:rsid w:val="00F74538"/>
    <w:rsid w:val="00F74956"/>
    <w:rsid w:val="00F749BC"/>
    <w:rsid w:val="00F7586C"/>
    <w:rsid w:val="00F77F4A"/>
    <w:rsid w:val="00F803C1"/>
    <w:rsid w:val="00F8081D"/>
    <w:rsid w:val="00F81214"/>
    <w:rsid w:val="00F8195F"/>
    <w:rsid w:val="00F81AC0"/>
    <w:rsid w:val="00F81D4F"/>
    <w:rsid w:val="00F82255"/>
    <w:rsid w:val="00F82904"/>
    <w:rsid w:val="00F82B24"/>
    <w:rsid w:val="00F82B4A"/>
    <w:rsid w:val="00F8320C"/>
    <w:rsid w:val="00F83962"/>
    <w:rsid w:val="00F839D3"/>
    <w:rsid w:val="00F83E0C"/>
    <w:rsid w:val="00F84118"/>
    <w:rsid w:val="00F847FF"/>
    <w:rsid w:val="00F856B6"/>
    <w:rsid w:val="00F8583A"/>
    <w:rsid w:val="00F85BB6"/>
    <w:rsid w:val="00F85EA6"/>
    <w:rsid w:val="00F86C66"/>
    <w:rsid w:val="00F86D56"/>
    <w:rsid w:val="00F873A6"/>
    <w:rsid w:val="00F87949"/>
    <w:rsid w:val="00F87D4B"/>
    <w:rsid w:val="00F90B97"/>
    <w:rsid w:val="00F91008"/>
    <w:rsid w:val="00F91FEE"/>
    <w:rsid w:val="00F92183"/>
    <w:rsid w:val="00F922DA"/>
    <w:rsid w:val="00F92AA7"/>
    <w:rsid w:val="00F932C8"/>
    <w:rsid w:val="00F937CF"/>
    <w:rsid w:val="00F93899"/>
    <w:rsid w:val="00F93A78"/>
    <w:rsid w:val="00F9515E"/>
    <w:rsid w:val="00F9554B"/>
    <w:rsid w:val="00F955C0"/>
    <w:rsid w:val="00F96D78"/>
    <w:rsid w:val="00F97563"/>
    <w:rsid w:val="00F978D7"/>
    <w:rsid w:val="00F97EA2"/>
    <w:rsid w:val="00FA042B"/>
    <w:rsid w:val="00FA06F8"/>
    <w:rsid w:val="00FA21D8"/>
    <w:rsid w:val="00FA2B22"/>
    <w:rsid w:val="00FA2D44"/>
    <w:rsid w:val="00FA32A6"/>
    <w:rsid w:val="00FA3E95"/>
    <w:rsid w:val="00FA3FBB"/>
    <w:rsid w:val="00FA4AFC"/>
    <w:rsid w:val="00FA4EB9"/>
    <w:rsid w:val="00FA52A8"/>
    <w:rsid w:val="00FA553B"/>
    <w:rsid w:val="00FA6B52"/>
    <w:rsid w:val="00FA733A"/>
    <w:rsid w:val="00FA75BF"/>
    <w:rsid w:val="00FA78A0"/>
    <w:rsid w:val="00FA7A4B"/>
    <w:rsid w:val="00FA7F49"/>
    <w:rsid w:val="00FB0270"/>
    <w:rsid w:val="00FB15E5"/>
    <w:rsid w:val="00FB17E3"/>
    <w:rsid w:val="00FB17F6"/>
    <w:rsid w:val="00FB189A"/>
    <w:rsid w:val="00FB1AE0"/>
    <w:rsid w:val="00FB1DF3"/>
    <w:rsid w:val="00FB1F31"/>
    <w:rsid w:val="00FB226E"/>
    <w:rsid w:val="00FB28E0"/>
    <w:rsid w:val="00FB2C07"/>
    <w:rsid w:val="00FB2C11"/>
    <w:rsid w:val="00FB3C8F"/>
    <w:rsid w:val="00FB42AC"/>
    <w:rsid w:val="00FB4836"/>
    <w:rsid w:val="00FB505B"/>
    <w:rsid w:val="00FB520D"/>
    <w:rsid w:val="00FB5AF4"/>
    <w:rsid w:val="00FC09E7"/>
    <w:rsid w:val="00FC0F8E"/>
    <w:rsid w:val="00FC1107"/>
    <w:rsid w:val="00FC1654"/>
    <w:rsid w:val="00FC173A"/>
    <w:rsid w:val="00FC1B80"/>
    <w:rsid w:val="00FC3F43"/>
    <w:rsid w:val="00FC40E6"/>
    <w:rsid w:val="00FC478A"/>
    <w:rsid w:val="00FC4BF1"/>
    <w:rsid w:val="00FC4D73"/>
    <w:rsid w:val="00FC519D"/>
    <w:rsid w:val="00FC53A5"/>
    <w:rsid w:val="00FC5673"/>
    <w:rsid w:val="00FC6507"/>
    <w:rsid w:val="00FC67C8"/>
    <w:rsid w:val="00FC6823"/>
    <w:rsid w:val="00FC7B10"/>
    <w:rsid w:val="00FD0013"/>
    <w:rsid w:val="00FD05D8"/>
    <w:rsid w:val="00FD08A6"/>
    <w:rsid w:val="00FD0F20"/>
    <w:rsid w:val="00FD10A9"/>
    <w:rsid w:val="00FD1559"/>
    <w:rsid w:val="00FD17E7"/>
    <w:rsid w:val="00FD189C"/>
    <w:rsid w:val="00FD1AF3"/>
    <w:rsid w:val="00FD1C08"/>
    <w:rsid w:val="00FD22D7"/>
    <w:rsid w:val="00FD2A83"/>
    <w:rsid w:val="00FD2A9C"/>
    <w:rsid w:val="00FD2CCC"/>
    <w:rsid w:val="00FD2E57"/>
    <w:rsid w:val="00FD4213"/>
    <w:rsid w:val="00FD48B5"/>
    <w:rsid w:val="00FD519B"/>
    <w:rsid w:val="00FD5551"/>
    <w:rsid w:val="00FD5883"/>
    <w:rsid w:val="00FD5B79"/>
    <w:rsid w:val="00FD5B94"/>
    <w:rsid w:val="00FD5F55"/>
    <w:rsid w:val="00FD60CC"/>
    <w:rsid w:val="00FD6289"/>
    <w:rsid w:val="00FD629F"/>
    <w:rsid w:val="00FD679E"/>
    <w:rsid w:val="00FD70C7"/>
    <w:rsid w:val="00FD78E7"/>
    <w:rsid w:val="00FD7A02"/>
    <w:rsid w:val="00FD7C8C"/>
    <w:rsid w:val="00FE0075"/>
    <w:rsid w:val="00FE0FA6"/>
    <w:rsid w:val="00FE12DB"/>
    <w:rsid w:val="00FE1A86"/>
    <w:rsid w:val="00FE241B"/>
    <w:rsid w:val="00FE2B98"/>
    <w:rsid w:val="00FE324C"/>
    <w:rsid w:val="00FE38F7"/>
    <w:rsid w:val="00FE5BE2"/>
    <w:rsid w:val="00FE61DF"/>
    <w:rsid w:val="00FE6396"/>
    <w:rsid w:val="00FE64F5"/>
    <w:rsid w:val="00FE6C57"/>
    <w:rsid w:val="00FE6E2B"/>
    <w:rsid w:val="00FE7577"/>
    <w:rsid w:val="00FE7C06"/>
    <w:rsid w:val="00FF0154"/>
    <w:rsid w:val="00FF1480"/>
    <w:rsid w:val="00FF32BF"/>
    <w:rsid w:val="00FF37A3"/>
    <w:rsid w:val="00FF39FF"/>
    <w:rsid w:val="00FF3AAA"/>
    <w:rsid w:val="00FF3C9A"/>
    <w:rsid w:val="00FF3CBD"/>
    <w:rsid w:val="00FF3E9B"/>
    <w:rsid w:val="00FF40C1"/>
    <w:rsid w:val="00FF44AC"/>
    <w:rsid w:val="00FF4A6F"/>
    <w:rsid w:val="00FF4EAC"/>
    <w:rsid w:val="00FF57AE"/>
    <w:rsid w:val="00FF5A25"/>
    <w:rsid w:val="00FF6765"/>
    <w:rsid w:val="00FF6BA2"/>
    <w:rsid w:val="00FF7069"/>
    <w:rsid w:val="00FF71C3"/>
    <w:rsid w:val="095227E5"/>
    <w:rsid w:val="1F85BD29"/>
    <w:rsid w:val="4145E893"/>
    <w:rsid w:val="45E211C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8E3551"/>
  <w15:docId w15:val="{D4FA9A4A-11AD-4F8F-9AFA-DAF1D65E6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 ESSENCE" w:eastAsiaTheme="minorHAnsi" w:hAnsi="AR ESSENCE" w:cstheme="minorBidi"/>
        <w:lang w:val="en-AU" w:eastAsia="en-US" w:bidi="ar-SA"/>
      </w:rPr>
    </w:rPrDefault>
    <w:pPrDefault/>
  </w:docDefaults>
  <w:latentStyles w:defLockedState="0" w:defUIPriority="99" w:defSemiHidden="0" w:defUnhideWhenUsed="0" w:defQFormat="0" w:count="376">
    <w:lsdException w:name="Normal" w:uiPriority="0"/>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 w:unhideWhenUsed="1" w:qFormat="1"/>
    <w:lsdException w:name="Body Text 3" w:semiHidden="1" w:uiPriority="9"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rsid w:val="000A4342"/>
    <w:pPr>
      <w:spacing w:before="120" w:after="120" w:line="280" w:lineRule="atLeast"/>
      <w:jc w:val="both"/>
    </w:pPr>
    <w:rPr>
      <w:rFonts w:ascii="Open Sans" w:hAnsi="Open Sans"/>
      <w:color w:val="37424A" w:themeColor="text1"/>
    </w:rPr>
  </w:style>
  <w:style w:type="paragraph" w:styleId="Heading1">
    <w:name w:val="heading 1"/>
    <w:basedOn w:val="Normal"/>
    <w:next w:val="BodyText"/>
    <w:link w:val="Heading1Char"/>
    <w:uiPriority w:val="2"/>
    <w:qFormat/>
    <w:rsid w:val="00D26312"/>
    <w:pPr>
      <w:keepNext/>
      <w:keepLines/>
      <w:pageBreakBefore/>
      <w:spacing w:before="240" w:after="520" w:line="520" w:lineRule="atLeast"/>
      <w:ind w:right="-2"/>
      <w:jc w:val="left"/>
      <w:outlineLvl w:val="0"/>
    </w:pPr>
    <w:rPr>
      <w:rFonts w:ascii="Open Sans Light" w:eastAsiaTheme="majorEastAsia" w:hAnsi="Open Sans Light" w:cs="Open Sans Light"/>
      <w:color w:val="207BA1" w:themeColor="accent2"/>
      <w:sz w:val="52"/>
      <w:szCs w:val="52"/>
    </w:rPr>
  </w:style>
  <w:style w:type="paragraph" w:styleId="Heading2">
    <w:name w:val="heading 2"/>
    <w:basedOn w:val="Heading2numbered"/>
    <w:next w:val="BodyText"/>
    <w:link w:val="Heading2Char"/>
    <w:uiPriority w:val="2"/>
    <w:qFormat/>
    <w:rsid w:val="0054275F"/>
    <w:pPr>
      <w:numPr>
        <w:ilvl w:val="0"/>
        <w:numId w:val="0"/>
      </w:numPr>
      <w:tabs>
        <w:tab w:val="left" w:pos="1560"/>
      </w:tabs>
      <w:outlineLvl w:val="1"/>
    </w:pPr>
  </w:style>
  <w:style w:type="paragraph" w:styleId="Heading3">
    <w:name w:val="heading 3"/>
    <w:basedOn w:val="Heading3numbered"/>
    <w:next w:val="BodyText"/>
    <w:link w:val="Heading3Char"/>
    <w:uiPriority w:val="2"/>
    <w:qFormat/>
    <w:rsid w:val="0054275F"/>
    <w:pPr>
      <w:numPr>
        <w:ilvl w:val="0"/>
        <w:numId w:val="0"/>
      </w:numPr>
      <w:outlineLvl w:val="2"/>
    </w:pPr>
  </w:style>
  <w:style w:type="paragraph" w:styleId="Heading4">
    <w:name w:val="heading 4"/>
    <w:basedOn w:val="Normal"/>
    <w:next w:val="BodyText"/>
    <w:link w:val="Heading4Char"/>
    <w:uiPriority w:val="2"/>
    <w:qFormat/>
    <w:rsid w:val="006F6D82"/>
    <w:pPr>
      <w:keepNext/>
      <w:spacing w:line="264" w:lineRule="auto"/>
      <w:jc w:val="left"/>
      <w:outlineLvl w:val="3"/>
    </w:pPr>
    <w:rPr>
      <w:color w:val="207BA1"/>
    </w:rPr>
  </w:style>
  <w:style w:type="paragraph" w:styleId="Heading5">
    <w:name w:val="heading 5"/>
    <w:basedOn w:val="Normal"/>
    <w:next w:val="Normal"/>
    <w:link w:val="Heading5Char"/>
    <w:uiPriority w:val="9"/>
    <w:semiHidden/>
    <w:qFormat/>
    <w:rsid w:val="0067017D"/>
    <w:pPr>
      <w:keepNext/>
      <w:keepLines/>
      <w:numPr>
        <w:ilvl w:val="4"/>
        <w:numId w:val="8"/>
      </w:numPr>
      <w:spacing w:before="40"/>
      <w:outlineLvl w:val="4"/>
    </w:pPr>
    <w:rPr>
      <w:rFonts w:asciiTheme="majorHAnsi" w:eastAsiaTheme="majorEastAsia" w:hAnsiTheme="majorHAnsi" w:cstheme="majorBidi"/>
      <w:color w:val="BF1F15" w:themeColor="accent1" w:themeShade="BF"/>
    </w:rPr>
  </w:style>
  <w:style w:type="paragraph" w:styleId="Heading6">
    <w:name w:val="heading 6"/>
    <w:basedOn w:val="Heading5"/>
    <w:next w:val="BodyText"/>
    <w:link w:val="Heading6Char"/>
    <w:uiPriority w:val="9"/>
    <w:semiHidden/>
    <w:qFormat/>
    <w:rsid w:val="00185645"/>
    <w:pPr>
      <w:keepNext w:val="0"/>
      <w:keepLines w:val="0"/>
      <w:numPr>
        <w:ilvl w:val="5"/>
      </w:numPr>
      <w:spacing w:before="240"/>
      <w:outlineLvl w:val="5"/>
    </w:pPr>
    <w:rPr>
      <w:rFonts w:asciiTheme="minorHAnsi" w:eastAsiaTheme="minorHAnsi" w:hAnsiTheme="minorHAnsi" w:cstheme="minorBidi"/>
      <w:b/>
      <w:i/>
      <w:color w:val="7F140E" w:themeColor="accent1" w:themeShade="7F"/>
    </w:rPr>
  </w:style>
  <w:style w:type="paragraph" w:styleId="Heading7">
    <w:name w:val="heading 7"/>
    <w:basedOn w:val="Heading6"/>
    <w:next w:val="BodyText"/>
    <w:link w:val="Heading7Char"/>
    <w:uiPriority w:val="9"/>
    <w:semiHidden/>
    <w:qFormat/>
    <w:rsid w:val="00185645"/>
    <w:pPr>
      <w:numPr>
        <w:ilvl w:val="6"/>
      </w:numPr>
      <w:outlineLvl w:val="6"/>
    </w:pPr>
    <w:rPr>
      <w:i w:val="0"/>
      <w:iCs/>
    </w:rPr>
  </w:style>
  <w:style w:type="paragraph" w:styleId="Heading8">
    <w:name w:val="heading 8"/>
    <w:basedOn w:val="Heading7"/>
    <w:next w:val="BodyText"/>
    <w:link w:val="Heading8Char"/>
    <w:uiPriority w:val="9"/>
    <w:semiHidden/>
    <w:qFormat/>
    <w:rsid w:val="00185645"/>
    <w:pPr>
      <w:numPr>
        <w:ilvl w:val="7"/>
      </w:numPr>
      <w:outlineLvl w:val="7"/>
    </w:pPr>
    <w:rPr>
      <w:color w:val="4F5F6B" w:themeColor="text1" w:themeTint="D8"/>
      <w:sz w:val="21"/>
      <w:szCs w:val="21"/>
    </w:rPr>
  </w:style>
  <w:style w:type="paragraph" w:styleId="Heading9">
    <w:name w:val="heading 9"/>
    <w:basedOn w:val="Heading8"/>
    <w:next w:val="BodyText"/>
    <w:link w:val="Heading9Char"/>
    <w:uiPriority w:val="9"/>
    <w:semiHidden/>
    <w:qFormat/>
    <w:rsid w:val="00185645"/>
    <w:pPr>
      <w:numPr>
        <w:ilvl w:val="8"/>
      </w:numPr>
      <w:outlineLvl w:val="8"/>
    </w:pPr>
    <w:rPr>
      <w:i/>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4">
    <w:name w:val="Body Text 4"/>
    <w:basedOn w:val="BodyText"/>
    <w:uiPriority w:val="9"/>
    <w:semiHidden/>
    <w:qFormat/>
    <w:rsid w:val="00185645"/>
    <w:pPr>
      <w:spacing w:line="264" w:lineRule="auto"/>
    </w:pPr>
  </w:style>
  <w:style w:type="paragraph" w:styleId="BodyText">
    <w:name w:val="Body Text"/>
    <w:basedOn w:val="Normal"/>
    <w:link w:val="BodyTextChar"/>
    <w:uiPriority w:val="99"/>
    <w:qFormat/>
    <w:rsid w:val="00C57A53"/>
    <w:pPr>
      <w:spacing w:before="160" w:line="240" w:lineRule="auto"/>
      <w:jc w:val="left"/>
    </w:pPr>
    <w:rPr>
      <w:rFonts w:cs="Open Sans"/>
    </w:rPr>
  </w:style>
  <w:style w:type="character" w:customStyle="1" w:styleId="BodyTextChar">
    <w:name w:val="Body Text Char"/>
    <w:basedOn w:val="DefaultParagraphFont"/>
    <w:link w:val="BodyText"/>
    <w:uiPriority w:val="99"/>
    <w:rsid w:val="00C57A53"/>
    <w:rPr>
      <w:rFonts w:ascii="Open Sans" w:hAnsi="Open Sans" w:cs="Open Sans"/>
      <w:color w:val="37424A" w:themeColor="text1"/>
    </w:rPr>
  </w:style>
  <w:style w:type="paragraph" w:customStyle="1" w:styleId="Appendix1">
    <w:name w:val="Appendix 1"/>
    <w:basedOn w:val="CVHeading"/>
    <w:next w:val="BodyText"/>
    <w:uiPriority w:val="19"/>
    <w:semiHidden/>
    <w:qFormat/>
    <w:rsid w:val="00B73909"/>
  </w:style>
  <w:style w:type="character" w:customStyle="1" w:styleId="Heading1Char">
    <w:name w:val="Heading 1 Char"/>
    <w:basedOn w:val="DefaultParagraphFont"/>
    <w:link w:val="Heading1"/>
    <w:uiPriority w:val="2"/>
    <w:rsid w:val="00D26312"/>
    <w:rPr>
      <w:rFonts w:ascii="Open Sans Light" w:eastAsiaTheme="majorEastAsia" w:hAnsi="Open Sans Light" w:cs="Open Sans Light"/>
      <w:color w:val="207BA1" w:themeColor="accent2"/>
      <w:sz w:val="52"/>
      <w:szCs w:val="52"/>
    </w:rPr>
  </w:style>
  <w:style w:type="paragraph" w:customStyle="1" w:styleId="Headingmain">
    <w:name w:val="Heading (main)"/>
    <w:basedOn w:val="Normal"/>
    <w:next w:val="BodyText"/>
    <w:uiPriority w:val="19"/>
    <w:semiHidden/>
    <w:qFormat/>
    <w:rsid w:val="00185645"/>
    <w:pPr>
      <w:spacing w:before="240" w:after="500" w:line="264" w:lineRule="auto"/>
    </w:pPr>
    <w:rPr>
      <w:rFonts w:ascii="Calibri" w:hAnsi="Calibri"/>
      <w:color w:val="E64730"/>
      <w:sz w:val="60"/>
    </w:rPr>
  </w:style>
  <w:style w:type="paragraph" w:customStyle="1" w:styleId="Textbox-Heading">
    <w:name w:val="Textbox - Heading"/>
    <w:basedOn w:val="Normal"/>
    <w:next w:val="Textbox-Bodytext"/>
    <w:uiPriority w:val="14"/>
    <w:semiHidden/>
    <w:qFormat/>
    <w:rsid w:val="00185645"/>
    <w:pPr>
      <w:keepNext/>
      <w:spacing w:before="240" w:after="100" w:line="250" w:lineRule="exact"/>
    </w:pPr>
    <w:rPr>
      <w:rFonts w:ascii="Arial" w:hAnsi="Arial"/>
      <w:b/>
      <w:color w:val="767171"/>
      <w:sz w:val="24"/>
      <w:szCs w:val="24"/>
    </w:rPr>
  </w:style>
  <w:style w:type="paragraph" w:customStyle="1" w:styleId="Textbox-Bodytext">
    <w:name w:val="Textbox - Body text"/>
    <w:basedOn w:val="Normal"/>
    <w:uiPriority w:val="14"/>
    <w:semiHidden/>
    <w:qFormat/>
    <w:rsid w:val="00185645"/>
    <w:pPr>
      <w:spacing w:after="100" w:line="220" w:lineRule="exact"/>
    </w:pPr>
    <w:rPr>
      <w:rFonts w:ascii="Arial" w:hAnsi="Arial"/>
      <w:color w:val="767171"/>
      <w:sz w:val="17"/>
      <w:szCs w:val="17"/>
    </w:rPr>
  </w:style>
  <w:style w:type="character" w:customStyle="1" w:styleId="Heading6Char">
    <w:name w:val="Heading 6 Char"/>
    <w:basedOn w:val="DefaultParagraphFont"/>
    <w:link w:val="Heading6"/>
    <w:uiPriority w:val="9"/>
    <w:semiHidden/>
    <w:rsid w:val="00185645"/>
    <w:rPr>
      <w:rFonts w:asciiTheme="minorHAnsi" w:hAnsiTheme="minorHAnsi"/>
      <w:b/>
      <w:i/>
      <w:color w:val="7F140E" w:themeColor="accent1" w:themeShade="7F"/>
    </w:rPr>
  </w:style>
  <w:style w:type="character" w:customStyle="1" w:styleId="Heading5Char">
    <w:name w:val="Heading 5 Char"/>
    <w:basedOn w:val="DefaultParagraphFont"/>
    <w:link w:val="Heading5"/>
    <w:uiPriority w:val="9"/>
    <w:semiHidden/>
    <w:rsid w:val="006D7342"/>
    <w:rPr>
      <w:rFonts w:asciiTheme="majorHAnsi" w:eastAsiaTheme="majorEastAsia" w:hAnsiTheme="majorHAnsi" w:cstheme="majorBidi"/>
      <w:color w:val="BF1F15" w:themeColor="accent1" w:themeShade="BF"/>
    </w:rPr>
  </w:style>
  <w:style w:type="character" w:customStyle="1" w:styleId="Heading7Char">
    <w:name w:val="Heading 7 Char"/>
    <w:basedOn w:val="DefaultParagraphFont"/>
    <w:link w:val="Heading7"/>
    <w:uiPriority w:val="9"/>
    <w:semiHidden/>
    <w:rsid w:val="00185645"/>
    <w:rPr>
      <w:rFonts w:asciiTheme="minorHAnsi" w:hAnsiTheme="minorHAnsi"/>
      <w:b/>
      <w:iCs/>
      <w:color w:val="7F140E" w:themeColor="accent1" w:themeShade="7F"/>
    </w:rPr>
  </w:style>
  <w:style w:type="character" w:customStyle="1" w:styleId="Heading8Char">
    <w:name w:val="Heading 8 Char"/>
    <w:basedOn w:val="DefaultParagraphFont"/>
    <w:link w:val="Heading8"/>
    <w:uiPriority w:val="9"/>
    <w:semiHidden/>
    <w:rsid w:val="00185645"/>
    <w:rPr>
      <w:rFonts w:asciiTheme="minorHAnsi" w:hAnsiTheme="minorHAnsi"/>
      <w:b/>
      <w:iCs/>
      <w:color w:val="4F5F6B" w:themeColor="text1" w:themeTint="D8"/>
      <w:sz w:val="21"/>
      <w:szCs w:val="21"/>
    </w:rPr>
  </w:style>
  <w:style w:type="character" w:customStyle="1" w:styleId="Heading9Char">
    <w:name w:val="Heading 9 Char"/>
    <w:basedOn w:val="DefaultParagraphFont"/>
    <w:link w:val="Heading9"/>
    <w:uiPriority w:val="9"/>
    <w:semiHidden/>
    <w:rsid w:val="00185645"/>
    <w:rPr>
      <w:rFonts w:asciiTheme="minorHAnsi" w:hAnsiTheme="minorHAnsi"/>
      <w:b/>
      <w:i/>
      <w:color w:val="4F5F6B" w:themeColor="text1" w:themeTint="D8"/>
      <w:sz w:val="21"/>
      <w:szCs w:val="21"/>
    </w:rPr>
  </w:style>
  <w:style w:type="paragraph" w:styleId="Title">
    <w:name w:val="Title"/>
    <w:basedOn w:val="Heading1"/>
    <w:next w:val="Normal"/>
    <w:link w:val="TitleChar"/>
    <w:uiPriority w:val="99"/>
    <w:qFormat/>
    <w:rsid w:val="00FB28E0"/>
  </w:style>
  <w:style w:type="character" w:customStyle="1" w:styleId="TitleChar">
    <w:name w:val="Title Char"/>
    <w:basedOn w:val="DefaultParagraphFont"/>
    <w:link w:val="Title"/>
    <w:uiPriority w:val="99"/>
    <w:rsid w:val="00464E3F"/>
    <w:rPr>
      <w:rFonts w:asciiTheme="majorHAnsi" w:eastAsiaTheme="majorEastAsia" w:hAnsiTheme="majorHAnsi" w:cstheme="majorBidi"/>
      <w:caps/>
      <w:color w:val="37424A"/>
      <w:sz w:val="52"/>
      <w:szCs w:val="52"/>
    </w:rPr>
  </w:style>
  <w:style w:type="paragraph" w:styleId="Subtitle">
    <w:name w:val="Subtitle"/>
    <w:basedOn w:val="Normal"/>
    <w:next w:val="Normal"/>
    <w:link w:val="SubtitleChar"/>
    <w:uiPriority w:val="45"/>
    <w:qFormat/>
    <w:rsid w:val="00185645"/>
    <w:pPr>
      <w:framePr w:hSpace="180" w:wrap="around" w:vAnchor="text" w:hAnchor="margin" w:x="137" w:y="8640"/>
      <w:numPr>
        <w:ilvl w:val="1"/>
      </w:numPr>
    </w:pPr>
    <w:rPr>
      <w:rFonts w:eastAsiaTheme="minorEastAsia"/>
      <w:sz w:val="24"/>
    </w:rPr>
  </w:style>
  <w:style w:type="character" w:customStyle="1" w:styleId="SubtitleChar">
    <w:name w:val="Subtitle Char"/>
    <w:basedOn w:val="DefaultParagraphFont"/>
    <w:link w:val="Subtitle"/>
    <w:uiPriority w:val="45"/>
    <w:rsid w:val="00A456BC"/>
    <w:rPr>
      <w:rFonts w:asciiTheme="minorHAnsi" w:eastAsiaTheme="minorEastAsia" w:hAnsiTheme="minorHAnsi"/>
      <w:color w:val="37424A" w:themeColor="text1"/>
      <w:sz w:val="24"/>
    </w:rPr>
  </w:style>
  <w:style w:type="paragraph" w:styleId="BodyText2">
    <w:name w:val="Body Text 2"/>
    <w:basedOn w:val="BodyText"/>
    <w:link w:val="BodyText2Char"/>
    <w:uiPriority w:val="9"/>
    <w:semiHidden/>
    <w:qFormat/>
    <w:rsid w:val="00185645"/>
    <w:pPr>
      <w:tabs>
        <w:tab w:val="num" w:pos="0"/>
      </w:tabs>
      <w:spacing w:line="264" w:lineRule="auto"/>
    </w:pPr>
  </w:style>
  <w:style w:type="character" w:customStyle="1" w:styleId="BodyText2Char">
    <w:name w:val="Body Text 2 Char"/>
    <w:basedOn w:val="DefaultParagraphFont"/>
    <w:link w:val="BodyText2"/>
    <w:uiPriority w:val="9"/>
    <w:semiHidden/>
    <w:rsid w:val="00185645"/>
    <w:rPr>
      <w:rFonts w:asciiTheme="minorHAnsi" w:hAnsiTheme="minorHAnsi"/>
    </w:rPr>
  </w:style>
  <w:style w:type="paragraph" w:styleId="BodyText3">
    <w:name w:val="Body Text 3"/>
    <w:basedOn w:val="BodyText"/>
    <w:link w:val="BodyText3Char"/>
    <w:uiPriority w:val="9"/>
    <w:semiHidden/>
    <w:qFormat/>
    <w:rsid w:val="00185645"/>
    <w:pPr>
      <w:tabs>
        <w:tab w:val="num" w:pos="0"/>
      </w:tabs>
      <w:spacing w:line="264" w:lineRule="auto"/>
    </w:pPr>
    <w:rPr>
      <w:szCs w:val="16"/>
    </w:rPr>
  </w:style>
  <w:style w:type="character" w:customStyle="1" w:styleId="BodyText3Char">
    <w:name w:val="Body Text 3 Char"/>
    <w:basedOn w:val="DefaultParagraphFont"/>
    <w:link w:val="BodyText3"/>
    <w:uiPriority w:val="9"/>
    <w:semiHidden/>
    <w:rsid w:val="00185645"/>
    <w:rPr>
      <w:rFonts w:asciiTheme="minorHAnsi" w:hAnsiTheme="minorHAnsi"/>
      <w:szCs w:val="16"/>
    </w:rPr>
  </w:style>
  <w:style w:type="paragraph" w:styleId="NoSpacing">
    <w:name w:val="No Spacing"/>
    <w:link w:val="NoSpacingChar"/>
    <w:uiPriority w:val="7"/>
    <w:qFormat/>
    <w:rsid w:val="007B4F04"/>
    <w:rPr>
      <w:rFonts w:ascii="Open Sans" w:hAnsi="Open Sans"/>
      <w:sz w:val="22"/>
    </w:rPr>
  </w:style>
  <w:style w:type="paragraph" w:styleId="TOCHeading">
    <w:name w:val="TOC Heading"/>
    <w:basedOn w:val="Heading1"/>
    <w:next w:val="Normal"/>
    <w:uiPriority w:val="39"/>
    <w:semiHidden/>
    <w:qFormat/>
    <w:rsid w:val="00DC1B3D"/>
    <w:pPr>
      <w:tabs>
        <w:tab w:val="left" w:pos="567"/>
        <w:tab w:val="left" w:pos="9639"/>
      </w:tabs>
    </w:pPr>
    <w:rPr>
      <w:b/>
      <w:color w:val="90BDCF" w:themeColor="accent3"/>
    </w:rPr>
  </w:style>
  <w:style w:type="paragraph" w:styleId="Header">
    <w:name w:val="header"/>
    <w:basedOn w:val="Normal"/>
    <w:link w:val="HeaderChar"/>
    <w:uiPriority w:val="99"/>
    <w:rsid w:val="00C84082"/>
    <w:pPr>
      <w:pBdr>
        <w:bottom w:val="single" w:sz="4" w:space="10" w:color="auto"/>
      </w:pBdr>
      <w:tabs>
        <w:tab w:val="left" w:pos="2075"/>
      </w:tabs>
      <w:spacing w:before="0" w:line="240" w:lineRule="auto"/>
    </w:pPr>
    <w:rPr>
      <w:b/>
      <w:noProof/>
      <w:sz w:val="18"/>
      <w:szCs w:val="18"/>
    </w:rPr>
  </w:style>
  <w:style w:type="character" w:customStyle="1" w:styleId="HeaderChar">
    <w:name w:val="Header Char"/>
    <w:basedOn w:val="DefaultParagraphFont"/>
    <w:link w:val="Header"/>
    <w:uiPriority w:val="99"/>
    <w:rsid w:val="00A456BC"/>
    <w:rPr>
      <w:rFonts w:asciiTheme="minorHAnsi" w:hAnsiTheme="minorHAnsi"/>
      <w:b/>
      <w:noProof/>
      <w:color w:val="37424A" w:themeColor="text1"/>
      <w:sz w:val="18"/>
      <w:szCs w:val="18"/>
    </w:rPr>
  </w:style>
  <w:style w:type="paragraph" w:styleId="Footer">
    <w:name w:val="footer"/>
    <w:link w:val="FooterChar"/>
    <w:uiPriority w:val="99"/>
    <w:rsid w:val="007B4F04"/>
    <w:pPr>
      <w:spacing w:before="120"/>
    </w:pPr>
    <w:rPr>
      <w:rFonts w:ascii="Open Sans" w:hAnsi="Open Sans"/>
      <w:color w:val="37424A" w:themeColor="text1"/>
    </w:rPr>
  </w:style>
  <w:style w:type="character" w:customStyle="1" w:styleId="FooterChar">
    <w:name w:val="Footer Char"/>
    <w:basedOn w:val="DefaultParagraphFont"/>
    <w:link w:val="Footer"/>
    <w:uiPriority w:val="99"/>
    <w:rsid w:val="007B4F04"/>
    <w:rPr>
      <w:rFonts w:ascii="Open Sans" w:hAnsi="Open Sans"/>
      <w:color w:val="37424A" w:themeColor="text1"/>
    </w:rPr>
  </w:style>
  <w:style w:type="character" w:customStyle="1" w:styleId="NoSpacingChar">
    <w:name w:val="No Spacing Char"/>
    <w:basedOn w:val="DefaultParagraphFont"/>
    <w:link w:val="NoSpacing"/>
    <w:uiPriority w:val="7"/>
    <w:rsid w:val="007B4F04"/>
    <w:rPr>
      <w:rFonts w:ascii="Open Sans" w:hAnsi="Open Sans"/>
      <w:sz w:val="22"/>
    </w:rPr>
  </w:style>
  <w:style w:type="character" w:styleId="PlaceholderText">
    <w:name w:val="Placeholder Text"/>
    <w:basedOn w:val="DefaultParagraphFont"/>
    <w:uiPriority w:val="99"/>
    <w:semiHidden/>
    <w:rsid w:val="00672D2D"/>
    <w:rPr>
      <w:color w:val="808080"/>
    </w:rPr>
  </w:style>
  <w:style w:type="paragraph" w:customStyle="1" w:styleId="ReportDate">
    <w:name w:val="Report Date"/>
    <w:basedOn w:val="ReportSubtitle"/>
    <w:rsid w:val="0083590D"/>
  </w:style>
  <w:style w:type="paragraph" w:styleId="Caption">
    <w:name w:val="caption"/>
    <w:basedOn w:val="Normal"/>
    <w:next w:val="Normal"/>
    <w:uiPriority w:val="35"/>
    <w:qFormat/>
    <w:rsid w:val="00C02752"/>
    <w:pPr>
      <w:keepNext/>
      <w:spacing w:before="360" w:after="240"/>
      <w:jc w:val="left"/>
    </w:pPr>
  </w:style>
  <w:style w:type="paragraph" w:customStyle="1" w:styleId="ReportTitle">
    <w:name w:val="Report Title"/>
    <w:basedOn w:val="Normal"/>
    <w:uiPriority w:val="99"/>
    <w:rsid w:val="0083590D"/>
    <w:pPr>
      <w:spacing w:after="0" w:line="240" w:lineRule="auto"/>
      <w:jc w:val="right"/>
    </w:pPr>
    <w:rPr>
      <w:b/>
      <w:color w:val="FFFFFF" w:themeColor="background1"/>
      <w:sz w:val="56"/>
    </w:rPr>
  </w:style>
  <w:style w:type="paragraph" w:customStyle="1" w:styleId="ReportSubtitle">
    <w:name w:val="Report Subtitle"/>
    <w:basedOn w:val="Normal"/>
    <w:uiPriority w:val="99"/>
    <w:rsid w:val="0083590D"/>
    <w:pPr>
      <w:jc w:val="left"/>
    </w:pPr>
    <w:rPr>
      <w:color w:val="FFFFFF" w:themeColor="background1"/>
      <w:sz w:val="22"/>
      <w:szCs w:val="28"/>
    </w:rPr>
  </w:style>
  <w:style w:type="character" w:styleId="CommentReference">
    <w:name w:val="annotation reference"/>
    <w:basedOn w:val="DefaultParagraphFont"/>
    <w:uiPriority w:val="99"/>
    <w:semiHidden/>
    <w:rsid w:val="004378FA"/>
    <w:rPr>
      <w:sz w:val="16"/>
      <w:szCs w:val="16"/>
    </w:rPr>
  </w:style>
  <w:style w:type="paragraph" w:styleId="CommentText">
    <w:name w:val="annotation text"/>
    <w:basedOn w:val="Normal"/>
    <w:link w:val="CommentTextChar"/>
    <w:uiPriority w:val="99"/>
    <w:semiHidden/>
    <w:rsid w:val="004378FA"/>
    <w:pPr>
      <w:widowControl w:val="0"/>
      <w:autoSpaceDE w:val="0"/>
      <w:autoSpaceDN w:val="0"/>
      <w:adjustRightInd w:val="0"/>
      <w:spacing w:line="240" w:lineRule="auto"/>
    </w:pPr>
    <w:rPr>
      <w:rFonts w:ascii="Arial" w:eastAsiaTheme="minorEastAsia" w:hAnsi="Arial" w:cs="Arial"/>
      <w:color w:val="374249"/>
      <w:lang w:eastAsia="en-AU"/>
    </w:rPr>
  </w:style>
  <w:style w:type="character" w:customStyle="1" w:styleId="CommentTextChar">
    <w:name w:val="Comment Text Char"/>
    <w:basedOn w:val="DefaultParagraphFont"/>
    <w:link w:val="CommentText"/>
    <w:uiPriority w:val="99"/>
    <w:semiHidden/>
    <w:rsid w:val="00464E3F"/>
    <w:rPr>
      <w:rFonts w:ascii="Arial" w:eastAsiaTheme="minorEastAsia" w:hAnsi="Arial" w:cs="Arial"/>
      <w:color w:val="374249"/>
      <w:lang w:eastAsia="en-AU"/>
    </w:rPr>
  </w:style>
  <w:style w:type="character" w:customStyle="1" w:styleId="Heading2Char">
    <w:name w:val="Heading 2 Char"/>
    <w:basedOn w:val="DefaultParagraphFont"/>
    <w:link w:val="Heading2"/>
    <w:uiPriority w:val="2"/>
    <w:rsid w:val="0054275F"/>
    <w:rPr>
      <w:rFonts w:ascii="Open Sans SemiBold" w:eastAsiaTheme="majorEastAsia" w:hAnsi="Open Sans SemiBold" w:cs="Open Sans SemiBold"/>
      <w:bCs/>
      <w:color w:val="207BA1"/>
      <w:sz w:val="28"/>
      <w:szCs w:val="52"/>
    </w:rPr>
  </w:style>
  <w:style w:type="character" w:customStyle="1" w:styleId="Heading3Char">
    <w:name w:val="Heading 3 Char"/>
    <w:basedOn w:val="DefaultParagraphFont"/>
    <w:link w:val="Heading3"/>
    <w:uiPriority w:val="2"/>
    <w:rsid w:val="0054275F"/>
    <w:rPr>
      <w:rFonts w:ascii="Open Sans SemiBold" w:eastAsiaTheme="majorEastAsia" w:hAnsi="Open Sans SemiBold" w:cs="Open Sans SemiBold"/>
      <w:bCs/>
      <w:color w:val="207BA1"/>
      <w:sz w:val="24"/>
      <w:szCs w:val="52"/>
    </w:rPr>
  </w:style>
  <w:style w:type="character" w:customStyle="1" w:styleId="Heading4Char">
    <w:name w:val="Heading 4 Char"/>
    <w:basedOn w:val="DefaultParagraphFont"/>
    <w:link w:val="Heading4"/>
    <w:uiPriority w:val="2"/>
    <w:rsid w:val="006F6D82"/>
    <w:rPr>
      <w:rFonts w:asciiTheme="minorHAnsi" w:hAnsiTheme="minorHAnsi"/>
      <w:color w:val="207BA1"/>
    </w:rPr>
  </w:style>
  <w:style w:type="paragraph" w:styleId="BalloonText">
    <w:name w:val="Balloon Text"/>
    <w:basedOn w:val="Normal"/>
    <w:link w:val="BalloonTextChar"/>
    <w:uiPriority w:val="99"/>
    <w:semiHidden/>
    <w:unhideWhenUsed/>
    <w:rsid w:val="00BA053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0539"/>
    <w:rPr>
      <w:rFonts w:ascii="Segoe UI" w:hAnsi="Segoe UI" w:cs="Segoe UI"/>
      <w:sz w:val="18"/>
      <w:szCs w:val="18"/>
    </w:rPr>
  </w:style>
  <w:style w:type="paragraph" w:styleId="ListParagraph">
    <w:name w:val="List Paragraph"/>
    <w:basedOn w:val="Normal"/>
    <w:uiPriority w:val="34"/>
    <w:qFormat/>
    <w:rsid w:val="006D4ABD"/>
    <w:pPr>
      <w:numPr>
        <w:numId w:val="3"/>
      </w:numPr>
    </w:pPr>
  </w:style>
  <w:style w:type="paragraph" w:customStyle="1" w:styleId="CVSubhead">
    <w:name w:val="CV Subhead"/>
    <w:uiPriority w:val="3"/>
    <w:qFormat/>
    <w:rsid w:val="001150E7"/>
    <w:pPr>
      <w:spacing w:before="240" w:after="40"/>
    </w:pPr>
    <w:rPr>
      <w:rFonts w:ascii="Open Sans" w:hAnsi="Open Sans"/>
      <w:color w:val="37424A"/>
      <w:sz w:val="28"/>
      <w:szCs w:val="28"/>
    </w:rPr>
  </w:style>
  <w:style w:type="numbering" w:customStyle="1" w:styleId="BulletLevel1">
    <w:name w:val="Bullet Level 1"/>
    <w:uiPriority w:val="99"/>
    <w:rsid w:val="00754572"/>
    <w:pPr>
      <w:numPr>
        <w:numId w:val="1"/>
      </w:numPr>
    </w:pPr>
  </w:style>
  <w:style w:type="table" w:styleId="TableGrid">
    <w:name w:val="Table Grid"/>
    <w:basedOn w:val="TableNormal"/>
    <w:uiPriority w:val="39"/>
    <w:rsid w:val="00792C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loutBoxcaption">
    <w:name w:val="Callout Box caption"/>
    <w:basedOn w:val="Normal"/>
    <w:uiPriority w:val="11"/>
    <w:rsid w:val="007C5D2E"/>
    <w:pPr>
      <w:numPr>
        <w:numId w:val="2"/>
      </w:numPr>
    </w:pPr>
  </w:style>
  <w:style w:type="paragraph" w:customStyle="1" w:styleId="Source">
    <w:name w:val="Source"/>
    <w:basedOn w:val="Normal"/>
    <w:next w:val="BodyText"/>
    <w:uiPriority w:val="9"/>
    <w:rsid w:val="00E437BA"/>
    <w:pPr>
      <w:jc w:val="left"/>
    </w:pPr>
    <w:rPr>
      <w:i/>
      <w:color w:val="6A7177"/>
      <w:sz w:val="16"/>
      <w:szCs w:val="16"/>
    </w:rPr>
  </w:style>
  <w:style w:type="paragraph" w:customStyle="1" w:styleId="Heading1numbered">
    <w:name w:val="Heading 1 (numbered)"/>
    <w:basedOn w:val="Heading1"/>
    <w:next w:val="BodyText"/>
    <w:uiPriority w:val="1"/>
    <w:qFormat/>
    <w:rsid w:val="00A01E1D"/>
    <w:pPr>
      <w:numPr>
        <w:numId w:val="8"/>
      </w:numPr>
    </w:pPr>
  </w:style>
  <w:style w:type="paragraph" w:customStyle="1" w:styleId="Heading2numbered">
    <w:name w:val="Heading 2 (numbered)"/>
    <w:basedOn w:val="Heading1numbered"/>
    <w:next w:val="BodyText"/>
    <w:uiPriority w:val="1"/>
    <w:qFormat/>
    <w:rsid w:val="00C45855"/>
    <w:pPr>
      <w:pageBreakBefore w:val="0"/>
      <w:numPr>
        <w:ilvl w:val="1"/>
      </w:numPr>
      <w:spacing w:after="240" w:line="264" w:lineRule="auto"/>
      <w:ind w:right="0"/>
    </w:pPr>
    <w:rPr>
      <w:rFonts w:ascii="Open Sans SemiBold" w:hAnsi="Open Sans SemiBold" w:cs="Open Sans SemiBold"/>
      <w:bCs/>
      <w:color w:val="207BA1"/>
      <w:sz w:val="28"/>
    </w:rPr>
  </w:style>
  <w:style w:type="paragraph" w:customStyle="1" w:styleId="Heading3numbered">
    <w:name w:val="Heading 3 (numbered)"/>
    <w:basedOn w:val="Heading2numbered"/>
    <w:next w:val="BodyText"/>
    <w:uiPriority w:val="1"/>
    <w:qFormat/>
    <w:rsid w:val="00C45855"/>
    <w:pPr>
      <w:numPr>
        <w:ilvl w:val="2"/>
      </w:numPr>
    </w:pPr>
    <w:rPr>
      <w:sz w:val="24"/>
    </w:rPr>
  </w:style>
  <w:style w:type="paragraph" w:styleId="TOC1">
    <w:name w:val="toc 1"/>
    <w:basedOn w:val="Normal"/>
    <w:next w:val="Normal"/>
    <w:autoRedefine/>
    <w:uiPriority w:val="39"/>
    <w:rsid w:val="00B33986"/>
    <w:pPr>
      <w:pBdr>
        <w:between w:val="single" w:sz="4" w:space="5" w:color="F2F2F2" w:themeColor="background2"/>
      </w:pBdr>
      <w:tabs>
        <w:tab w:val="left" w:pos="851"/>
        <w:tab w:val="right" w:pos="9072"/>
      </w:tabs>
      <w:spacing w:after="100"/>
    </w:pPr>
    <w:rPr>
      <w:rFonts w:ascii="Open Sans SemiBold" w:hAnsi="Open Sans SemiBold"/>
      <w:noProof/>
      <w:color w:val="207BA1" w:themeColor="accent2"/>
      <w:sz w:val="24"/>
    </w:rPr>
  </w:style>
  <w:style w:type="paragraph" w:styleId="TOC2">
    <w:name w:val="toc 2"/>
    <w:basedOn w:val="Normal"/>
    <w:next w:val="Normal"/>
    <w:autoRedefine/>
    <w:uiPriority w:val="39"/>
    <w:rsid w:val="00E83AC4"/>
    <w:pPr>
      <w:pBdr>
        <w:bottom w:val="single" w:sz="4" w:space="10" w:color="D9D9D9" w:themeColor="background1" w:themeShade="D9"/>
      </w:pBdr>
      <w:tabs>
        <w:tab w:val="left" w:pos="851"/>
        <w:tab w:val="right" w:pos="9072"/>
      </w:tabs>
      <w:spacing w:after="100"/>
      <w:jc w:val="left"/>
    </w:pPr>
    <w:rPr>
      <w:noProof/>
      <w:sz w:val="24"/>
    </w:rPr>
  </w:style>
  <w:style w:type="paragraph" w:styleId="TOC3">
    <w:name w:val="toc 3"/>
    <w:basedOn w:val="Normal"/>
    <w:next w:val="Normal"/>
    <w:autoRedefine/>
    <w:uiPriority w:val="39"/>
    <w:rsid w:val="006F6D82"/>
    <w:pPr>
      <w:tabs>
        <w:tab w:val="right" w:pos="9923"/>
        <w:tab w:val="right" w:pos="9968"/>
      </w:tabs>
      <w:spacing w:after="100"/>
    </w:pPr>
    <w:rPr>
      <w:b/>
      <w:color w:val="207BA1"/>
      <w:sz w:val="24"/>
    </w:rPr>
  </w:style>
  <w:style w:type="paragraph" w:styleId="TableofFigures">
    <w:name w:val="table of figures"/>
    <w:basedOn w:val="Normal"/>
    <w:next w:val="Normal"/>
    <w:uiPriority w:val="99"/>
    <w:rsid w:val="00296CD1"/>
    <w:pPr>
      <w:tabs>
        <w:tab w:val="right" w:pos="9060"/>
      </w:tabs>
    </w:pPr>
    <w:rPr>
      <w:noProof/>
    </w:rPr>
  </w:style>
  <w:style w:type="paragraph" w:styleId="FootnoteText">
    <w:name w:val="footnote text"/>
    <w:aliases w:val="(NECG) Footnote Text,ALTS FOOTNOTE,Footnote Text Char Char Char,Footnote Text Char1 Char Char,Footnote Text Char Char Char Char Char,Footnote Text Char Char1 Char Char,Footnote Text Char Char1,f,Footnote Text1,Footnote Text2,ALTS FOOTNOTE2"/>
    <w:basedOn w:val="Normal"/>
    <w:link w:val="FootnoteTextChar"/>
    <w:uiPriority w:val="99"/>
    <w:qFormat/>
    <w:rsid w:val="008923E1"/>
    <w:pPr>
      <w:spacing w:before="0" w:line="240" w:lineRule="auto"/>
      <w:ind w:left="709" w:hanging="709"/>
      <w:mirrorIndents/>
      <w:jc w:val="left"/>
    </w:pPr>
    <w:rPr>
      <w:color w:val="374249" w:themeColor="text2"/>
      <w:sz w:val="16"/>
      <w:szCs w:val="16"/>
    </w:rPr>
  </w:style>
  <w:style w:type="character" w:customStyle="1" w:styleId="FootnoteTextChar">
    <w:name w:val="Footnote Text Char"/>
    <w:aliases w:val="(NECG) Footnote Text Char,ALTS FOOTNOTE Char,Footnote Text Char Char Char Char,Footnote Text Char1 Char Char Char,Footnote Text Char Char Char Char Char Char,Footnote Text Char Char1 Char Char Char,Footnote Text Char Char1 Char,f Char"/>
    <w:basedOn w:val="DefaultParagraphFont"/>
    <w:link w:val="FootnoteText"/>
    <w:uiPriority w:val="99"/>
    <w:rsid w:val="008923E1"/>
    <w:rPr>
      <w:rFonts w:ascii="Open Sans" w:hAnsi="Open Sans"/>
      <w:color w:val="374249" w:themeColor="text2"/>
      <w:sz w:val="16"/>
      <w:szCs w:val="16"/>
    </w:rPr>
  </w:style>
  <w:style w:type="character" w:styleId="FootnoteReference">
    <w:name w:val="footnote reference"/>
    <w:aliases w:val="Footnote reference,SFG_Footnote_Reference,(NECG) Footnote Reference,fr,o,Style 6,Style 20,(NECG) Footnote Reference1,(NECG) Footnote Reference2,(NECG) Footnote Reference3,(NECG) Footnote Reference4,(NECG) Footnote Reference5"/>
    <w:basedOn w:val="DefaultParagraphFont"/>
    <w:uiPriority w:val="99"/>
    <w:rsid w:val="00EC2E77"/>
    <w:rPr>
      <w:vertAlign w:val="superscript"/>
    </w:rPr>
  </w:style>
  <w:style w:type="paragraph" w:customStyle="1" w:styleId="TableHeading">
    <w:name w:val="Table Heading"/>
    <w:basedOn w:val="Normal"/>
    <w:uiPriority w:val="7"/>
    <w:qFormat/>
    <w:rsid w:val="00E472EF"/>
    <w:pPr>
      <w:spacing w:before="100" w:after="100" w:line="264" w:lineRule="auto"/>
      <w:jc w:val="left"/>
    </w:pPr>
    <w:rPr>
      <w:color w:val="FFFFFF" w:themeColor="background1"/>
    </w:rPr>
  </w:style>
  <w:style w:type="paragraph" w:customStyle="1" w:styleId="TableText">
    <w:name w:val="Table Text"/>
    <w:basedOn w:val="Normal"/>
    <w:uiPriority w:val="7"/>
    <w:qFormat/>
    <w:rsid w:val="00D937C4"/>
    <w:pPr>
      <w:spacing w:before="100" w:after="100" w:line="264" w:lineRule="auto"/>
      <w:jc w:val="left"/>
    </w:pPr>
  </w:style>
  <w:style w:type="table" w:customStyle="1" w:styleId="FETableStyle">
    <w:name w:val="FE Table Style"/>
    <w:basedOn w:val="TableNormal"/>
    <w:uiPriority w:val="99"/>
    <w:rsid w:val="00B13227"/>
    <w:pPr>
      <w:keepNext/>
      <w:spacing w:before="120" w:after="120"/>
    </w:pPr>
    <w:rPr>
      <w:rFonts w:ascii="Open Sans" w:hAnsi="Open Sans"/>
    </w:rPr>
    <w:tblPr>
      <w:tblStyleRowBandSize w:val="1"/>
      <w:tblStyleColBandSize w:val="1"/>
      <w:tblBorders>
        <w:bottom w:val="single" w:sz="4" w:space="0" w:color="207BA1" w:themeColor="accent2"/>
      </w:tblBorders>
    </w:tblPr>
    <w:trPr>
      <w:cantSplit/>
    </w:trPr>
    <w:tcPr>
      <w:shd w:val="clear" w:color="auto" w:fill="DADADA" w:themeFill="background2" w:themeFillShade="E6"/>
      <w:vAlign w:val="center"/>
    </w:tcPr>
    <w:tblStylePr w:type="firstRow">
      <w:pPr>
        <w:jc w:val="left"/>
      </w:pPr>
      <w:rPr>
        <w:rFonts w:ascii="Chiller" w:hAnsi="Chiller"/>
        <w:b w:val="0"/>
        <w:i w:val="0"/>
        <w:caps w:val="0"/>
        <w:smallCaps w:val="0"/>
        <w:strike w:val="0"/>
        <w:dstrike w:val="0"/>
        <w:vanish w:val="0"/>
        <w:color w:val="FFFFFF" w:themeColor="background1"/>
        <w:sz w:val="20"/>
        <w:vertAlign w:val="baseline"/>
      </w:rPr>
      <w:tblPr/>
      <w:tcPr>
        <w:shd w:val="clear" w:color="auto" w:fill="207BA1" w:themeFill="accent2"/>
      </w:tcPr>
    </w:tblStylePr>
    <w:tblStylePr w:type="lastRow">
      <w:pPr>
        <w:jc w:val="left"/>
      </w:pPr>
      <w:rPr>
        <w:rFonts w:ascii="Chiller" w:hAnsi="Chiller"/>
        <w:sz w:val="22"/>
      </w:rPr>
      <w:tblPr/>
      <w:tcPr>
        <w:tcBorders>
          <w:bottom w:val="single" w:sz="4" w:space="0" w:color="F2F2F2" w:themeColor="background2"/>
        </w:tcBorders>
        <w:shd w:val="clear" w:color="auto" w:fill="F2F2F2" w:themeFill="background2"/>
      </w:tcPr>
    </w:tblStylePr>
    <w:tblStylePr w:type="firstCol">
      <w:rPr>
        <w:rFonts w:asciiTheme="majorHAnsi" w:hAnsiTheme="majorHAnsi"/>
        <w:b/>
        <w:i w:val="0"/>
        <w:caps/>
        <w:smallCaps w:val="0"/>
        <w:color w:val="FFFFFF" w:themeColor="background1"/>
      </w:rPr>
    </w:tblStylePr>
    <w:tblStylePr w:type="band2Vert">
      <w:rPr>
        <w:color w:val="auto"/>
      </w:rPr>
    </w:tblStylePr>
    <w:tblStylePr w:type="band1Horz">
      <w:rPr>
        <w:rFonts w:ascii="Chiller" w:hAnsi="Chiller"/>
      </w:rPr>
      <w:tblPr/>
      <w:tcPr>
        <w:tcBorders>
          <w:top w:val="nil"/>
          <w:left w:val="nil"/>
          <w:bottom w:val="single" w:sz="4" w:space="0" w:color="F2F2F2" w:themeColor="background2"/>
          <w:right w:val="nil"/>
          <w:insideH w:val="nil"/>
          <w:insideV w:val="nil"/>
          <w:tl2br w:val="nil"/>
          <w:tr2bl w:val="nil"/>
        </w:tcBorders>
        <w:shd w:val="clear" w:color="auto" w:fill="FFFFFF" w:themeFill="background1"/>
      </w:tcPr>
    </w:tblStylePr>
    <w:tblStylePr w:type="band2Horz">
      <w:rPr>
        <w:rFonts w:ascii="Chiller" w:hAnsi="Chiller"/>
      </w:rPr>
      <w:tblPr/>
      <w:tcPr>
        <w:tcBorders>
          <w:bottom w:val="nil"/>
        </w:tcBorders>
        <w:shd w:val="clear" w:color="auto" w:fill="F2F2F2" w:themeFill="background2"/>
      </w:tcPr>
    </w:tblStylePr>
  </w:style>
  <w:style w:type="paragraph" w:customStyle="1" w:styleId="CVDetails">
    <w:name w:val="CV Details"/>
    <w:basedOn w:val="Normal"/>
    <w:uiPriority w:val="3"/>
    <w:rsid w:val="005D68B4"/>
    <w:pPr>
      <w:spacing w:before="0" w:after="60" w:line="264" w:lineRule="auto"/>
      <w:jc w:val="left"/>
    </w:pPr>
  </w:style>
  <w:style w:type="paragraph" w:customStyle="1" w:styleId="CVHeading">
    <w:name w:val="CV Heading"/>
    <w:basedOn w:val="Normal"/>
    <w:uiPriority w:val="3"/>
    <w:rsid w:val="00C45855"/>
    <w:pPr>
      <w:keepNext/>
      <w:keepLines/>
      <w:pageBreakBefore/>
      <w:spacing w:before="240" w:line="520" w:lineRule="exact"/>
      <w:jc w:val="left"/>
      <w:outlineLvl w:val="0"/>
    </w:pPr>
    <w:rPr>
      <w:rFonts w:ascii="Open Sans Light" w:eastAsiaTheme="majorEastAsia" w:hAnsi="Open Sans Light" w:cstheme="majorBidi"/>
      <w:b/>
      <w:color w:val="207BA1"/>
      <w:sz w:val="52"/>
      <w:szCs w:val="52"/>
    </w:rPr>
  </w:style>
  <w:style w:type="paragraph" w:customStyle="1" w:styleId="CVSubhead2">
    <w:name w:val="CV Subhead 2"/>
    <w:basedOn w:val="CVHeading"/>
    <w:uiPriority w:val="3"/>
    <w:rsid w:val="001150E7"/>
    <w:pPr>
      <w:spacing w:after="240"/>
    </w:pPr>
    <w:rPr>
      <w:sz w:val="28"/>
      <w:szCs w:val="28"/>
    </w:rPr>
  </w:style>
  <w:style w:type="paragraph" w:customStyle="1" w:styleId="Graphic">
    <w:name w:val="Graphic"/>
    <w:basedOn w:val="Normal"/>
    <w:uiPriority w:val="1"/>
    <w:semiHidden/>
    <w:rsid w:val="008C7661"/>
    <w:pPr>
      <w:keepNext/>
      <w:keepLines/>
      <w:pageBreakBefore/>
      <w:spacing w:after="720"/>
    </w:pPr>
    <w:rPr>
      <w:noProof/>
    </w:rPr>
  </w:style>
  <w:style w:type="paragraph" w:customStyle="1" w:styleId="TableBullet">
    <w:name w:val="Table Bullet"/>
    <w:basedOn w:val="TableText"/>
    <w:uiPriority w:val="7"/>
    <w:rsid w:val="00B4274D"/>
    <w:pPr>
      <w:numPr>
        <w:numId w:val="4"/>
      </w:numPr>
    </w:pPr>
  </w:style>
  <w:style w:type="paragraph" w:customStyle="1" w:styleId="TableNumbering">
    <w:name w:val="Table Numbering"/>
    <w:basedOn w:val="TableText"/>
    <w:uiPriority w:val="7"/>
    <w:rsid w:val="00F15EBE"/>
    <w:pPr>
      <w:numPr>
        <w:numId w:val="5"/>
      </w:numPr>
    </w:pPr>
  </w:style>
  <w:style w:type="table" w:styleId="TableGridLight">
    <w:name w:val="Grid Table Light"/>
    <w:basedOn w:val="TableNormal"/>
    <w:uiPriority w:val="40"/>
    <w:rsid w:val="0089181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VSubtitle">
    <w:name w:val="CV Subtitle"/>
    <w:uiPriority w:val="3"/>
    <w:rsid w:val="00C10BA4"/>
    <w:pPr>
      <w:spacing w:after="120"/>
    </w:pPr>
    <w:rPr>
      <w:rFonts w:asciiTheme="majorHAnsi" w:hAnsiTheme="majorHAnsi"/>
      <w:b/>
      <w:color w:val="207BA1"/>
      <w:sz w:val="22"/>
    </w:rPr>
  </w:style>
  <w:style w:type="character" w:styleId="Hyperlink">
    <w:name w:val="Hyperlink"/>
    <w:basedOn w:val="DefaultParagraphFont"/>
    <w:uiPriority w:val="99"/>
    <w:unhideWhenUsed/>
    <w:rsid w:val="003B0B63"/>
    <w:rPr>
      <w:color w:val="207BA1"/>
      <w:u w:val="single"/>
    </w:rPr>
  </w:style>
  <w:style w:type="table" w:customStyle="1" w:styleId="Style1">
    <w:name w:val="Style1"/>
    <w:basedOn w:val="TableNormal"/>
    <w:uiPriority w:val="99"/>
    <w:rsid w:val="00EB096F"/>
    <w:tblPr/>
    <w:tcPr>
      <w:vAlign w:val="center"/>
    </w:tcPr>
  </w:style>
  <w:style w:type="paragraph" w:customStyle="1" w:styleId="TableImage">
    <w:name w:val="TableImage"/>
    <w:basedOn w:val="Normal"/>
    <w:uiPriority w:val="99"/>
    <w:semiHidden/>
    <w:rsid w:val="00F732F0"/>
    <w:pPr>
      <w:spacing w:before="0" w:after="0" w:line="240" w:lineRule="auto"/>
    </w:pPr>
  </w:style>
  <w:style w:type="paragraph" w:customStyle="1" w:styleId="CaptionTable">
    <w:name w:val="Caption Table"/>
    <w:basedOn w:val="Caption"/>
    <w:uiPriority w:val="8"/>
    <w:rsid w:val="007B4F04"/>
    <w:pPr>
      <w:spacing w:before="0" w:line="240" w:lineRule="auto"/>
    </w:pPr>
    <w:rPr>
      <w:b/>
    </w:rPr>
  </w:style>
  <w:style w:type="paragraph" w:customStyle="1" w:styleId="CVName">
    <w:name w:val="CV Name"/>
    <w:basedOn w:val="Normal"/>
    <w:uiPriority w:val="3"/>
    <w:qFormat/>
    <w:rsid w:val="00830DE3"/>
    <w:pPr>
      <w:spacing w:before="0" w:after="140" w:line="240" w:lineRule="auto"/>
      <w:jc w:val="left"/>
    </w:pPr>
    <w:rPr>
      <w:b/>
      <w:color w:val="207BA1" w:themeColor="accent2"/>
      <w:sz w:val="28"/>
      <w:szCs w:val="28"/>
    </w:rPr>
  </w:style>
  <w:style w:type="paragraph" w:customStyle="1" w:styleId="ExecutiveSummaryHeading">
    <w:name w:val="Executive Summary Heading"/>
    <w:basedOn w:val="Heading1"/>
    <w:next w:val="BodyText"/>
    <w:uiPriority w:val="1"/>
    <w:rsid w:val="00366179"/>
  </w:style>
  <w:style w:type="paragraph" w:customStyle="1" w:styleId="ExecutiveSummarySubHeading">
    <w:name w:val="Executive Summary Sub Heading"/>
    <w:basedOn w:val="Heading2"/>
    <w:next w:val="BodyText"/>
    <w:uiPriority w:val="1"/>
    <w:rsid w:val="003A7DF9"/>
    <w:rPr>
      <w:color w:val="207BA1" w:themeColor="accent2"/>
    </w:rPr>
  </w:style>
  <w:style w:type="paragraph" w:customStyle="1" w:styleId="CVBullet">
    <w:name w:val="CV Bullet"/>
    <w:basedOn w:val="TableBullet"/>
    <w:uiPriority w:val="6"/>
    <w:qFormat/>
    <w:rsid w:val="009E3E0C"/>
  </w:style>
  <w:style w:type="paragraph" w:customStyle="1" w:styleId="AppendixHead">
    <w:name w:val="AppendixHead"/>
    <w:basedOn w:val="Heading1numbered"/>
    <w:next w:val="AppendixSubHead"/>
    <w:uiPriority w:val="19"/>
    <w:rsid w:val="00E828FB"/>
    <w:pPr>
      <w:numPr>
        <w:numId w:val="9"/>
      </w:numPr>
      <w:spacing w:before="120" w:after="120" w:line="280" w:lineRule="atLeast"/>
      <w:ind w:right="0"/>
    </w:pPr>
    <w:rPr>
      <w:sz w:val="40"/>
      <w:szCs w:val="40"/>
    </w:rPr>
  </w:style>
  <w:style w:type="paragraph" w:customStyle="1" w:styleId="AppendixSubHead">
    <w:name w:val="AppendixSubHead"/>
    <w:basedOn w:val="Heading2"/>
    <w:next w:val="AppendixMinorSubHead"/>
    <w:uiPriority w:val="19"/>
    <w:rsid w:val="006B6E7D"/>
  </w:style>
  <w:style w:type="paragraph" w:customStyle="1" w:styleId="AppendixMinorSubHead">
    <w:name w:val="AppendixMinorSubHead"/>
    <w:basedOn w:val="Heading3"/>
    <w:next w:val="BodyText"/>
    <w:uiPriority w:val="19"/>
    <w:rsid w:val="007B4F04"/>
    <w:rPr>
      <w:rFonts w:ascii="Open Sans" w:hAnsi="Open Sans"/>
    </w:rPr>
  </w:style>
  <w:style w:type="paragraph" w:customStyle="1" w:styleId="ParaNumber1">
    <w:name w:val="ParaNumber1"/>
    <w:basedOn w:val="Normal"/>
    <w:uiPriority w:val="6"/>
    <w:qFormat/>
    <w:rsid w:val="00B97E98"/>
    <w:pPr>
      <w:numPr>
        <w:numId w:val="6"/>
      </w:numPr>
      <w:spacing w:before="160" w:line="240" w:lineRule="auto"/>
      <w:jc w:val="left"/>
    </w:pPr>
    <w:rPr>
      <w:rFonts w:eastAsia="Calibri" w:cs="Arial"/>
      <w:szCs w:val="22"/>
      <w:lang w:val="en-GB"/>
    </w:rPr>
  </w:style>
  <w:style w:type="paragraph" w:customStyle="1" w:styleId="ListNumber1">
    <w:name w:val="ListNumber1"/>
    <w:basedOn w:val="Normal"/>
    <w:uiPriority w:val="6"/>
    <w:qFormat/>
    <w:rsid w:val="00A2153D"/>
    <w:pPr>
      <w:numPr>
        <w:numId w:val="10"/>
      </w:numPr>
      <w:spacing w:line="240" w:lineRule="auto"/>
      <w:jc w:val="left"/>
    </w:pPr>
    <w:rPr>
      <w:rFonts w:cs="Arial"/>
      <w:b/>
      <w:bCs/>
      <w:szCs w:val="22"/>
      <w:lang w:val="en-GB"/>
    </w:rPr>
  </w:style>
  <w:style w:type="paragraph" w:customStyle="1" w:styleId="ListNumber2">
    <w:name w:val="ListNumber2"/>
    <w:basedOn w:val="ListNumber1"/>
    <w:uiPriority w:val="6"/>
    <w:qFormat/>
    <w:rsid w:val="00B97E98"/>
    <w:pPr>
      <w:numPr>
        <w:ilvl w:val="1"/>
      </w:numPr>
    </w:pPr>
  </w:style>
  <w:style w:type="paragraph" w:customStyle="1" w:styleId="ListNumber3">
    <w:name w:val="ListNumber3"/>
    <w:basedOn w:val="ListNumber2"/>
    <w:uiPriority w:val="6"/>
    <w:qFormat/>
    <w:rsid w:val="00B97E98"/>
    <w:pPr>
      <w:numPr>
        <w:ilvl w:val="2"/>
      </w:numPr>
      <w:ind w:left="851"/>
    </w:pPr>
  </w:style>
  <w:style w:type="numbering" w:customStyle="1" w:styleId="ListNumStyle">
    <w:name w:val="~ListNumStyle"/>
    <w:uiPriority w:val="99"/>
    <w:rsid w:val="003D25A0"/>
    <w:pPr>
      <w:numPr>
        <w:numId w:val="7"/>
      </w:numPr>
    </w:pPr>
  </w:style>
  <w:style w:type="paragraph" w:customStyle="1" w:styleId="ParaBullet1">
    <w:name w:val="ParaBullet1"/>
    <w:basedOn w:val="Normal"/>
    <w:uiPriority w:val="6"/>
    <w:rsid w:val="00B97E98"/>
    <w:pPr>
      <w:spacing w:line="240" w:lineRule="auto"/>
      <w:jc w:val="left"/>
    </w:pPr>
    <w:rPr>
      <w:rFonts w:eastAsia="Calibri" w:cs="Arial"/>
      <w:szCs w:val="22"/>
      <w:lang w:val="en-GB"/>
    </w:rPr>
  </w:style>
  <w:style w:type="paragraph" w:customStyle="1" w:styleId="ParaBullet2">
    <w:name w:val="ParaBullet2"/>
    <w:basedOn w:val="ParaBullet1"/>
    <w:uiPriority w:val="6"/>
    <w:rsid w:val="00B97E98"/>
    <w:pPr>
      <w:numPr>
        <w:ilvl w:val="1"/>
        <w:numId w:val="14"/>
      </w:numPr>
    </w:pPr>
  </w:style>
  <w:style w:type="paragraph" w:customStyle="1" w:styleId="ParaBullet3">
    <w:name w:val="ParaBullet3"/>
    <w:basedOn w:val="ParaBullet2"/>
    <w:uiPriority w:val="6"/>
    <w:rsid w:val="00B97E98"/>
    <w:pPr>
      <w:numPr>
        <w:ilvl w:val="2"/>
      </w:numPr>
    </w:pPr>
  </w:style>
  <w:style w:type="paragraph" w:customStyle="1" w:styleId="ListBullet1">
    <w:name w:val="ListBullet1"/>
    <w:basedOn w:val="ParaBullet1"/>
    <w:uiPriority w:val="6"/>
    <w:qFormat/>
    <w:rsid w:val="00A2153D"/>
  </w:style>
  <w:style w:type="paragraph" w:customStyle="1" w:styleId="ListBullet2">
    <w:name w:val="ListBullet2"/>
    <w:basedOn w:val="ParaBullet2"/>
    <w:uiPriority w:val="6"/>
    <w:rsid w:val="00B97E98"/>
  </w:style>
  <w:style w:type="paragraph" w:customStyle="1" w:styleId="ListBullet3">
    <w:name w:val="ListBullet3"/>
    <w:basedOn w:val="ParaBullet3"/>
    <w:uiPriority w:val="6"/>
    <w:rsid w:val="00B97E98"/>
  </w:style>
  <w:style w:type="table" w:customStyle="1" w:styleId="FETablestyle4">
    <w:name w:val="FE Table style 4"/>
    <w:basedOn w:val="TableNormal"/>
    <w:uiPriority w:val="99"/>
    <w:rsid w:val="00F8583A"/>
    <w:tblPr/>
  </w:style>
  <w:style w:type="paragraph" w:customStyle="1" w:styleId="Image-Page2fullwidth">
    <w:name w:val="Image - Page 2 full width"/>
    <w:basedOn w:val="Normal"/>
    <w:uiPriority w:val="21"/>
    <w:semiHidden/>
    <w:qFormat/>
    <w:rsid w:val="00237E01"/>
    <w:pPr>
      <w:framePr w:w="9639" w:hSpace="340" w:wrap="around" w:vAnchor="text" w:hAnchor="text" w:y="1"/>
      <w:spacing w:before="0" w:line="264" w:lineRule="auto"/>
      <w:jc w:val="left"/>
    </w:pPr>
    <w:rPr>
      <w:rFonts w:eastAsiaTheme="minorEastAsia"/>
      <w:szCs w:val="22"/>
    </w:rPr>
  </w:style>
  <w:style w:type="character" w:customStyle="1" w:styleId="Bold">
    <w:name w:val="Bold"/>
    <w:uiPriority w:val="8"/>
    <w:rsid w:val="00B82AA4"/>
    <w:rPr>
      <w:b/>
    </w:rPr>
  </w:style>
  <w:style w:type="paragraph" w:customStyle="1" w:styleId="CVDetailsBold">
    <w:name w:val="CV Details Bold"/>
    <w:basedOn w:val="CVDetails"/>
    <w:next w:val="CVDetails"/>
    <w:uiPriority w:val="3"/>
    <w:rsid w:val="004337E1"/>
    <w:rPr>
      <w:b/>
    </w:rPr>
  </w:style>
  <w:style w:type="paragraph" w:customStyle="1" w:styleId="Image-Page1fullwidth">
    <w:name w:val="Image - Page 1 full width"/>
    <w:basedOn w:val="Normal"/>
    <w:qFormat/>
    <w:rsid w:val="007B4F04"/>
    <w:pPr>
      <w:framePr w:w="6237" w:hSpace="340" w:wrap="around" w:vAnchor="text" w:hAnchor="text" w:y="1"/>
      <w:spacing w:before="0" w:line="264" w:lineRule="auto"/>
      <w:jc w:val="left"/>
    </w:pPr>
    <w:rPr>
      <w:rFonts w:eastAsiaTheme="minorEastAsia"/>
      <w:noProof/>
      <w:szCs w:val="22"/>
    </w:rPr>
  </w:style>
  <w:style w:type="paragraph" w:customStyle="1" w:styleId="ReportTitle2">
    <w:name w:val="Report Title 2"/>
    <w:basedOn w:val="ReportTitle"/>
    <w:uiPriority w:val="99"/>
    <w:semiHidden/>
    <w:rsid w:val="0073161F"/>
    <w:rPr>
      <w:color w:val="37424A" w:themeColor="text1"/>
    </w:rPr>
  </w:style>
  <w:style w:type="paragraph" w:customStyle="1" w:styleId="ReportSubtitle2">
    <w:name w:val="Report Subtitle 2"/>
    <w:basedOn w:val="ReportSubtitle"/>
    <w:uiPriority w:val="99"/>
    <w:semiHidden/>
    <w:rsid w:val="0073161F"/>
    <w:rPr>
      <w:color w:val="37424A" w:themeColor="text1"/>
    </w:rPr>
  </w:style>
  <w:style w:type="paragraph" w:customStyle="1" w:styleId="CVSubhead3">
    <w:name w:val="CV Subhead 3"/>
    <w:basedOn w:val="Heading4"/>
    <w:next w:val="CVBullet"/>
    <w:uiPriority w:val="3"/>
    <w:qFormat/>
    <w:rsid w:val="007B4F04"/>
    <w:pPr>
      <w:keepNext w:val="0"/>
      <w:spacing w:before="0" w:after="0"/>
    </w:pPr>
    <w:rPr>
      <w:b/>
      <w:szCs w:val="28"/>
    </w:rPr>
  </w:style>
  <w:style w:type="paragraph" w:customStyle="1" w:styleId="CVTableSubhead2">
    <w:name w:val="CV Table Subhead 2"/>
    <w:uiPriority w:val="3"/>
    <w:qFormat/>
    <w:rsid w:val="00BF477B"/>
    <w:pPr>
      <w:spacing w:before="240" w:after="120"/>
    </w:pPr>
    <w:rPr>
      <w:rFonts w:ascii="Open Sans" w:hAnsi="Open Sans"/>
      <w:b/>
      <w:color w:val="207BA1"/>
      <w:sz w:val="22"/>
    </w:rPr>
  </w:style>
  <w:style w:type="paragraph" w:customStyle="1" w:styleId="CVTableHeading">
    <w:name w:val="CV Table Heading"/>
    <w:basedOn w:val="Normal"/>
    <w:next w:val="BodyText"/>
    <w:uiPriority w:val="3"/>
    <w:rsid w:val="00BF477B"/>
    <w:pPr>
      <w:spacing w:before="0" w:line="240" w:lineRule="auto"/>
      <w:jc w:val="left"/>
    </w:pPr>
    <w:rPr>
      <w:b/>
      <w:sz w:val="22"/>
    </w:rPr>
  </w:style>
  <w:style w:type="paragraph" w:customStyle="1" w:styleId="CVHeading2">
    <w:name w:val="CV Heading 2"/>
    <w:basedOn w:val="Normal"/>
    <w:uiPriority w:val="3"/>
    <w:rsid w:val="00C45855"/>
    <w:pPr>
      <w:keepNext/>
      <w:spacing w:before="240" w:after="240"/>
    </w:pPr>
    <w:rPr>
      <w:rFonts w:ascii="Open Sans SemiBold" w:hAnsi="Open Sans SemiBold"/>
      <w:color w:val="207BA1"/>
      <w:sz w:val="22"/>
    </w:rPr>
  </w:style>
  <w:style w:type="paragraph" w:customStyle="1" w:styleId="CVBodyText">
    <w:name w:val="CV Body Text"/>
    <w:basedOn w:val="BodyText"/>
    <w:next w:val="BodyText"/>
    <w:uiPriority w:val="3"/>
    <w:qFormat/>
    <w:rsid w:val="009F749D"/>
    <w:pPr>
      <w:spacing w:before="360"/>
    </w:pPr>
  </w:style>
  <w:style w:type="paragraph" w:customStyle="1" w:styleId="Quote-long">
    <w:name w:val="Quote - long"/>
    <w:basedOn w:val="Normal"/>
    <w:next w:val="BodyText"/>
    <w:link w:val="Quote-longChar"/>
    <w:uiPriority w:val="2"/>
    <w:rsid w:val="00DD4E4D"/>
    <w:pPr>
      <w:keepNext/>
      <w:pBdr>
        <w:top w:val="single" w:sz="4" w:space="18" w:color="FFFFFF" w:themeColor="background1"/>
        <w:left w:val="single" w:sz="4" w:space="14" w:color="FFFFFF" w:themeColor="background1"/>
        <w:bottom w:val="single" w:sz="4" w:space="18" w:color="FFFFFF" w:themeColor="background1"/>
        <w:right w:val="single" w:sz="4" w:space="14" w:color="FFFFFF" w:themeColor="background1"/>
      </w:pBdr>
      <w:shd w:val="clear" w:color="auto" w:fill="F2F2F2" w:themeFill="background1" w:themeFillShade="F2"/>
      <w:spacing w:before="360" w:after="360" w:line="264" w:lineRule="auto"/>
      <w:ind w:left="198" w:right="198"/>
    </w:pPr>
    <w:rPr>
      <w:i/>
      <w:iCs/>
      <w:color w:val="207BA1"/>
      <w:sz w:val="22"/>
      <w:szCs w:val="28"/>
    </w:rPr>
  </w:style>
  <w:style w:type="character" w:customStyle="1" w:styleId="Quote-longChar">
    <w:name w:val="Quote - long Char"/>
    <w:basedOn w:val="DefaultParagraphFont"/>
    <w:link w:val="Quote-long"/>
    <w:uiPriority w:val="2"/>
    <w:rsid w:val="00DD4E4D"/>
    <w:rPr>
      <w:rFonts w:asciiTheme="minorHAnsi" w:hAnsiTheme="minorHAnsi"/>
      <w:i w:val="0"/>
      <w:iCs w:val="0"/>
      <w:color w:val="207BA1"/>
      <w:sz w:val="22"/>
      <w:szCs w:val="28"/>
      <w:shd w:val="clear" w:color="auto" w:fill="F2F2F2" w:themeFill="background1" w:themeFillShade="F2"/>
    </w:rPr>
  </w:style>
  <w:style w:type="paragraph" w:customStyle="1" w:styleId="Quotesteve">
    <w:name w:val="Quote steve"/>
    <w:basedOn w:val="ParaNumber1"/>
    <w:uiPriority w:val="2"/>
    <w:rsid w:val="007B4F04"/>
    <w:pPr>
      <w:numPr>
        <w:numId w:val="0"/>
      </w:numPr>
      <w:ind w:left="1620"/>
    </w:pPr>
    <w:rPr>
      <w:i/>
    </w:rPr>
  </w:style>
  <w:style w:type="paragraph" w:customStyle="1" w:styleId="Quote-block">
    <w:name w:val="Quote - block"/>
    <w:basedOn w:val="Quote-long"/>
    <w:link w:val="Quote-blockChar"/>
    <w:uiPriority w:val="2"/>
    <w:qFormat/>
    <w:rsid w:val="007B4F04"/>
    <w:pPr>
      <w:ind w:left="1701"/>
    </w:pPr>
    <w:rPr>
      <w:color w:val="37424A" w:themeColor="text1"/>
      <w:sz w:val="20"/>
      <w:szCs w:val="24"/>
    </w:rPr>
  </w:style>
  <w:style w:type="paragraph" w:customStyle="1" w:styleId="Quote-keyfact">
    <w:name w:val="Quote - key fact"/>
    <w:basedOn w:val="Normal"/>
    <w:link w:val="Quote-keyfactChar"/>
    <w:uiPriority w:val="2"/>
    <w:qFormat/>
    <w:rsid w:val="007B4F04"/>
    <w:pPr>
      <w:keepNext/>
      <w:pBdr>
        <w:top w:val="single" w:sz="4" w:space="18" w:color="FFFFFF" w:themeColor="background1"/>
        <w:left w:val="single" w:sz="4" w:space="4" w:color="FFFFFF" w:themeColor="background1"/>
        <w:bottom w:val="single" w:sz="4" w:space="18" w:color="FFFFFF" w:themeColor="background1"/>
        <w:right w:val="single" w:sz="4" w:space="4" w:color="FFFFFF" w:themeColor="background1"/>
      </w:pBdr>
      <w:shd w:val="clear" w:color="auto" w:fill="207BA1"/>
      <w:spacing w:before="360" w:after="360" w:line="264" w:lineRule="auto"/>
      <w:jc w:val="center"/>
    </w:pPr>
    <w:rPr>
      <w:i/>
      <w:iCs/>
      <w:color w:val="FFFFFF" w:themeColor="background1"/>
      <w:sz w:val="28"/>
      <w:szCs w:val="28"/>
    </w:rPr>
  </w:style>
  <w:style w:type="character" w:customStyle="1" w:styleId="Quote-blockChar">
    <w:name w:val="Quote - block Char"/>
    <w:basedOn w:val="Quote-longChar"/>
    <w:link w:val="Quote-block"/>
    <w:uiPriority w:val="2"/>
    <w:rsid w:val="008E37B3"/>
    <w:rPr>
      <w:rFonts w:ascii="Open Sans" w:hAnsi="Open Sans"/>
      <w:i/>
      <w:iCs/>
      <w:color w:val="37424A" w:themeColor="text1"/>
      <w:sz w:val="22"/>
      <w:szCs w:val="24"/>
      <w:shd w:val="clear" w:color="auto" w:fill="F2F2F2" w:themeFill="background1" w:themeFillShade="F2"/>
    </w:rPr>
  </w:style>
  <w:style w:type="character" w:customStyle="1" w:styleId="Quote-keyfactChar">
    <w:name w:val="Quote - key fact Char"/>
    <w:basedOn w:val="DefaultParagraphFont"/>
    <w:link w:val="Quote-keyfact"/>
    <w:uiPriority w:val="2"/>
    <w:rsid w:val="008E37B3"/>
    <w:rPr>
      <w:rFonts w:ascii="Open Sans" w:hAnsi="Open Sans"/>
      <w:i/>
      <w:iCs/>
      <w:color w:val="FFFFFF" w:themeColor="background1"/>
      <w:sz w:val="28"/>
      <w:szCs w:val="28"/>
      <w:shd w:val="clear" w:color="auto" w:fill="207BA1"/>
    </w:rPr>
  </w:style>
  <w:style w:type="paragraph" w:styleId="Quote">
    <w:name w:val="Quote"/>
    <w:basedOn w:val="Normal"/>
    <w:next w:val="Normal"/>
    <w:link w:val="QuoteChar"/>
    <w:uiPriority w:val="2"/>
    <w:qFormat/>
    <w:rsid w:val="00927BCC"/>
    <w:pPr>
      <w:spacing w:before="200" w:after="160"/>
      <w:ind w:left="864" w:right="864"/>
      <w:jc w:val="center"/>
    </w:pPr>
    <w:rPr>
      <w:i/>
      <w:iCs/>
      <w:color w:val="5F7280" w:themeColor="text1" w:themeTint="BF"/>
    </w:rPr>
  </w:style>
  <w:style w:type="character" w:customStyle="1" w:styleId="QuoteChar">
    <w:name w:val="Quote Char"/>
    <w:basedOn w:val="DefaultParagraphFont"/>
    <w:link w:val="Quote"/>
    <w:uiPriority w:val="2"/>
    <w:rsid w:val="00927BCC"/>
    <w:rPr>
      <w:rFonts w:ascii="Open Sans" w:hAnsi="Open Sans"/>
      <w:i/>
      <w:iCs/>
      <w:color w:val="5F7280" w:themeColor="text1" w:themeTint="BF"/>
    </w:rPr>
  </w:style>
  <w:style w:type="paragraph" w:styleId="TOC8">
    <w:name w:val="toc 8"/>
    <w:basedOn w:val="Normal"/>
    <w:next w:val="Normal"/>
    <w:autoRedefine/>
    <w:uiPriority w:val="39"/>
    <w:semiHidden/>
    <w:unhideWhenUsed/>
    <w:rsid w:val="00C53ABA"/>
    <w:pPr>
      <w:spacing w:after="100"/>
      <w:ind w:left="1400"/>
    </w:pPr>
  </w:style>
  <w:style w:type="paragraph" w:styleId="TOC9">
    <w:name w:val="toc 9"/>
    <w:basedOn w:val="Normal"/>
    <w:next w:val="Normal"/>
    <w:autoRedefine/>
    <w:uiPriority w:val="39"/>
    <w:semiHidden/>
    <w:unhideWhenUsed/>
    <w:rsid w:val="003F6BE0"/>
    <w:pPr>
      <w:spacing w:after="100"/>
      <w:ind w:left="1600"/>
    </w:pPr>
  </w:style>
  <w:style w:type="character" w:styleId="UnresolvedMention">
    <w:name w:val="Unresolved Mention"/>
    <w:basedOn w:val="DefaultParagraphFont"/>
    <w:uiPriority w:val="99"/>
    <w:unhideWhenUsed/>
    <w:rsid w:val="00122CA4"/>
    <w:rPr>
      <w:color w:val="605E5C"/>
      <w:shd w:val="clear" w:color="auto" w:fill="E1DFDD"/>
    </w:rPr>
  </w:style>
  <w:style w:type="paragraph" w:customStyle="1" w:styleId="ParaNumber2">
    <w:name w:val="ParaNumber2"/>
    <w:basedOn w:val="ParaNumber1"/>
    <w:uiPriority w:val="6"/>
    <w:rsid w:val="006941E0"/>
    <w:pPr>
      <w:numPr>
        <w:ilvl w:val="1"/>
      </w:numPr>
      <w:ind w:left="568"/>
    </w:pPr>
  </w:style>
  <w:style w:type="numbering" w:customStyle="1" w:styleId="Numberedparagraph">
    <w:name w:val="Numbered paragraph"/>
    <w:uiPriority w:val="99"/>
    <w:rsid w:val="00E113B5"/>
    <w:pPr>
      <w:numPr>
        <w:numId w:val="11"/>
      </w:numPr>
    </w:pPr>
  </w:style>
  <w:style w:type="paragraph" w:customStyle="1" w:styleId="ParaNumber3">
    <w:name w:val="ParaNumber3"/>
    <w:basedOn w:val="ParaNumber2"/>
    <w:uiPriority w:val="6"/>
    <w:rsid w:val="006941E0"/>
    <w:pPr>
      <w:numPr>
        <w:ilvl w:val="2"/>
      </w:numPr>
      <w:ind w:left="851"/>
    </w:pPr>
  </w:style>
  <w:style w:type="paragraph" w:styleId="CommentSubject">
    <w:name w:val="annotation subject"/>
    <w:basedOn w:val="CommentText"/>
    <w:next w:val="CommentText"/>
    <w:link w:val="CommentSubjectChar"/>
    <w:uiPriority w:val="99"/>
    <w:semiHidden/>
    <w:rsid w:val="00F7051F"/>
    <w:pPr>
      <w:widowControl/>
      <w:autoSpaceDE/>
      <w:autoSpaceDN/>
      <w:adjustRightInd/>
    </w:pPr>
    <w:rPr>
      <w:rFonts w:ascii="Open Sans" w:eastAsiaTheme="minorHAnsi" w:hAnsi="Open Sans" w:cstheme="minorBidi"/>
      <w:b/>
      <w:bCs/>
      <w:color w:val="37424A" w:themeColor="text1"/>
      <w:lang w:eastAsia="en-US"/>
    </w:rPr>
  </w:style>
  <w:style w:type="character" w:customStyle="1" w:styleId="CommentSubjectChar">
    <w:name w:val="Comment Subject Char"/>
    <w:basedOn w:val="CommentTextChar"/>
    <w:link w:val="CommentSubject"/>
    <w:uiPriority w:val="99"/>
    <w:semiHidden/>
    <w:rsid w:val="00F7051F"/>
    <w:rPr>
      <w:rFonts w:ascii="Open Sans" w:eastAsiaTheme="minorEastAsia" w:hAnsi="Open Sans" w:cs="Arial"/>
      <w:b/>
      <w:bCs/>
      <w:color w:val="37424A" w:themeColor="text1"/>
      <w:lang w:eastAsia="en-AU"/>
    </w:rPr>
  </w:style>
  <w:style w:type="paragraph" w:styleId="Revision">
    <w:name w:val="Revision"/>
    <w:hidden/>
    <w:uiPriority w:val="99"/>
    <w:semiHidden/>
    <w:rsid w:val="00423E73"/>
    <w:rPr>
      <w:rFonts w:ascii="Open Sans" w:hAnsi="Open Sans"/>
      <w:color w:val="37424A" w:themeColor="text1"/>
    </w:rPr>
  </w:style>
  <w:style w:type="character" w:styleId="FollowedHyperlink">
    <w:name w:val="FollowedHyperlink"/>
    <w:basedOn w:val="DefaultParagraphFont"/>
    <w:uiPriority w:val="99"/>
    <w:semiHidden/>
    <w:unhideWhenUsed/>
    <w:rsid w:val="00E97BB4"/>
    <w:rPr>
      <w:color w:val="E83F35" w:themeColor="followedHyperlink"/>
      <w:u w:val="single"/>
    </w:rPr>
  </w:style>
  <w:style w:type="paragraph" w:customStyle="1" w:styleId="Paragraphmainnumbered">
    <w:name w:val="Paragraph main (numbered)"/>
    <w:basedOn w:val="ListParagraph"/>
    <w:link w:val="ParagraphmainnumberedChar"/>
    <w:qFormat/>
    <w:locked/>
    <w:rsid w:val="002A0143"/>
    <w:pPr>
      <w:numPr>
        <w:numId w:val="0"/>
      </w:numPr>
      <w:spacing w:line="240" w:lineRule="auto"/>
      <w:ind w:left="567" w:hanging="567"/>
      <w:jc w:val="left"/>
    </w:pPr>
    <w:rPr>
      <w:rFonts w:ascii="Arial" w:hAnsi="Arial"/>
      <w:color w:val="auto"/>
      <w:sz w:val="22"/>
      <w:szCs w:val="22"/>
    </w:rPr>
  </w:style>
  <w:style w:type="character" w:customStyle="1" w:styleId="ParagraphmainnumberedChar">
    <w:name w:val="Paragraph main (numbered) Char"/>
    <w:basedOn w:val="DefaultParagraphFont"/>
    <w:link w:val="Paragraphmainnumbered"/>
    <w:rsid w:val="002A0143"/>
    <w:rPr>
      <w:rFonts w:ascii="Arial" w:hAnsi="Arial"/>
      <w:sz w:val="22"/>
      <w:szCs w:val="22"/>
    </w:rPr>
  </w:style>
  <w:style w:type="paragraph" w:customStyle="1" w:styleId="paragraph">
    <w:name w:val="paragraph"/>
    <w:basedOn w:val="Normal"/>
    <w:uiPriority w:val="99"/>
    <w:rsid w:val="00E329AF"/>
    <w:pPr>
      <w:spacing w:before="100" w:beforeAutospacing="1" w:after="100" w:afterAutospacing="1" w:line="240" w:lineRule="auto"/>
      <w:jc w:val="left"/>
    </w:pPr>
    <w:rPr>
      <w:rFonts w:ascii="Times New Roman" w:eastAsia="Times New Roman" w:hAnsi="Times New Roman" w:cs="Times New Roman"/>
      <w:color w:val="auto"/>
      <w:sz w:val="24"/>
      <w:szCs w:val="24"/>
      <w:lang w:eastAsia="en-AU"/>
    </w:rPr>
  </w:style>
  <w:style w:type="character" w:styleId="Mention">
    <w:name w:val="Mention"/>
    <w:basedOn w:val="DefaultParagraphFont"/>
    <w:uiPriority w:val="99"/>
    <w:unhideWhenUsed/>
    <w:rsid w:val="00523906"/>
    <w:rPr>
      <w:color w:val="2B579A"/>
      <w:shd w:val="clear" w:color="auto" w:fill="E1DFDD"/>
    </w:rPr>
  </w:style>
  <w:style w:type="paragraph" w:styleId="NormalWeb">
    <w:name w:val="Normal (Web)"/>
    <w:basedOn w:val="Normal"/>
    <w:uiPriority w:val="99"/>
    <w:semiHidden/>
    <w:unhideWhenUsed/>
    <w:rsid w:val="003E2800"/>
    <w:pPr>
      <w:spacing w:before="100" w:beforeAutospacing="1" w:after="100" w:afterAutospacing="1" w:line="240" w:lineRule="auto"/>
      <w:jc w:val="left"/>
    </w:pPr>
    <w:rPr>
      <w:rFonts w:ascii="Times New Roman" w:eastAsia="Times New Roman" w:hAnsi="Times New Roman" w:cs="Times New Roman"/>
      <w:color w:val="auto"/>
      <w:sz w:val="24"/>
      <w:szCs w:val="24"/>
      <w:lang w:eastAsia="en-AU"/>
    </w:rPr>
  </w:style>
  <w:style w:type="character" w:customStyle="1" w:styleId="cf01">
    <w:name w:val="cf01"/>
    <w:basedOn w:val="DefaultParagraphFont"/>
    <w:rsid w:val="00DE310D"/>
    <w:rPr>
      <w:rFonts w:ascii="Segoe UI" w:hAnsi="Segoe UI" w:cs="Segoe UI" w:hint="default"/>
      <w:color w:val="374249"/>
      <w:sz w:val="18"/>
      <w:szCs w:val="18"/>
    </w:rPr>
  </w:style>
  <w:style w:type="paragraph" w:customStyle="1" w:styleId="msonormal0">
    <w:name w:val="msonormal"/>
    <w:basedOn w:val="Normal"/>
    <w:uiPriority w:val="99"/>
    <w:semiHidden/>
    <w:rsid w:val="00A2153D"/>
    <w:pPr>
      <w:spacing w:before="100" w:beforeAutospacing="1" w:after="100" w:afterAutospacing="1" w:line="240" w:lineRule="auto"/>
      <w:jc w:val="left"/>
    </w:pPr>
    <w:rPr>
      <w:rFonts w:ascii="Times New Roman" w:eastAsia="Times New Roman" w:hAnsi="Times New Roman" w:cs="Times New Roman"/>
      <w:color w:val="auto"/>
      <w:sz w:val="24"/>
      <w:szCs w:val="24"/>
      <w:lang w:eastAsia="en-AU"/>
    </w:rPr>
  </w:style>
  <w:style w:type="character" w:customStyle="1" w:styleId="FootnoteTextChar1">
    <w:name w:val="Footnote Text Char1"/>
    <w:aliases w:val="(NECG) Footnote Text Char1,ALTS FOOTNOTE Char1,Footnote Text Char Char Char Char1,Footnote Text Char1 Char Char Char1,Footnote Text Char Char Char Char Char Char1,Footnote Text Char Char1 Char Char Char1,f Char1,Footnote Text1 Char"/>
    <w:basedOn w:val="DefaultParagraphFont"/>
    <w:uiPriority w:val="99"/>
    <w:semiHidden/>
    <w:rsid w:val="00A2153D"/>
    <w:rPr>
      <w:rFonts w:ascii="Open Sans" w:hAnsi="Open Sans"/>
      <w:color w:val="37424A" w:themeColor="text1"/>
    </w:rPr>
  </w:style>
  <w:style w:type="character" w:styleId="Emphasis">
    <w:name w:val="Emphasis"/>
    <w:basedOn w:val="DefaultParagraphFont"/>
    <w:uiPriority w:val="99"/>
    <w:qFormat/>
    <w:rsid w:val="009247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2774">
      <w:bodyDiv w:val="1"/>
      <w:marLeft w:val="0"/>
      <w:marRight w:val="0"/>
      <w:marTop w:val="0"/>
      <w:marBottom w:val="0"/>
      <w:divBdr>
        <w:top w:val="none" w:sz="0" w:space="0" w:color="auto"/>
        <w:left w:val="none" w:sz="0" w:space="0" w:color="auto"/>
        <w:bottom w:val="none" w:sz="0" w:space="0" w:color="auto"/>
        <w:right w:val="none" w:sz="0" w:space="0" w:color="auto"/>
      </w:divBdr>
    </w:div>
    <w:div w:id="124930583">
      <w:bodyDiv w:val="1"/>
      <w:marLeft w:val="0"/>
      <w:marRight w:val="0"/>
      <w:marTop w:val="0"/>
      <w:marBottom w:val="0"/>
      <w:divBdr>
        <w:top w:val="none" w:sz="0" w:space="0" w:color="auto"/>
        <w:left w:val="none" w:sz="0" w:space="0" w:color="auto"/>
        <w:bottom w:val="none" w:sz="0" w:space="0" w:color="auto"/>
        <w:right w:val="none" w:sz="0" w:space="0" w:color="auto"/>
      </w:divBdr>
    </w:div>
    <w:div w:id="201216980">
      <w:bodyDiv w:val="1"/>
      <w:marLeft w:val="0"/>
      <w:marRight w:val="0"/>
      <w:marTop w:val="0"/>
      <w:marBottom w:val="0"/>
      <w:divBdr>
        <w:top w:val="none" w:sz="0" w:space="0" w:color="auto"/>
        <w:left w:val="none" w:sz="0" w:space="0" w:color="auto"/>
        <w:bottom w:val="none" w:sz="0" w:space="0" w:color="auto"/>
        <w:right w:val="none" w:sz="0" w:space="0" w:color="auto"/>
      </w:divBdr>
      <w:divsChild>
        <w:div w:id="1708215405">
          <w:marLeft w:val="0"/>
          <w:marRight w:val="0"/>
          <w:marTop w:val="0"/>
          <w:marBottom w:val="0"/>
          <w:divBdr>
            <w:top w:val="none" w:sz="0" w:space="0" w:color="auto"/>
            <w:left w:val="none" w:sz="0" w:space="0" w:color="auto"/>
            <w:bottom w:val="none" w:sz="0" w:space="0" w:color="auto"/>
            <w:right w:val="none" w:sz="0" w:space="0" w:color="auto"/>
          </w:divBdr>
          <w:divsChild>
            <w:div w:id="13952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3603">
      <w:bodyDiv w:val="1"/>
      <w:marLeft w:val="0"/>
      <w:marRight w:val="0"/>
      <w:marTop w:val="0"/>
      <w:marBottom w:val="0"/>
      <w:divBdr>
        <w:top w:val="none" w:sz="0" w:space="0" w:color="auto"/>
        <w:left w:val="none" w:sz="0" w:space="0" w:color="auto"/>
        <w:bottom w:val="none" w:sz="0" w:space="0" w:color="auto"/>
        <w:right w:val="none" w:sz="0" w:space="0" w:color="auto"/>
      </w:divBdr>
    </w:div>
    <w:div w:id="238636248">
      <w:bodyDiv w:val="1"/>
      <w:marLeft w:val="0"/>
      <w:marRight w:val="0"/>
      <w:marTop w:val="0"/>
      <w:marBottom w:val="0"/>
      <w:divBdr>
        <w:top w:val="none" w:sz="0" w:space="0" w:color="auto"/>
        <w:left w:val="none" w:sz="0" w:space="0" w:color="auto"/>
        <w:bottom w:val="none" w:sz="0" w:space="0" w:color="auto"/>
        <w:right w:val="none" w:sz="0" w:space="0" w:color="auto"/>
      </w:divBdr>
    </w:div>
    <w:div w:id="265969269">
      <w:bodyDiv w:val="1"/>
      <w:marLeft w:val="0"/>
      <w:marRight w:val="0"/>
      <w:marTop w:val="0"/>
      <w:marBottom w:val="0"/>
      <w:divBdr>
        <w:top w:val="none" w:sz="0" w:space="0" w:color="auto"/>
        <w:left w:val="none" w:sz="0" w:space="0" w:color="auto"/>
        <w:bottom w:val="none" w:sz="0" w:space="0" w:color="auto"/>
        <w:right w:val="none" w:sz="0" w:space="0" w:color="auto"/>
      </w:divBdr>
    </w:div>
    <w:div w:id="451284589">
      <w:bodyDiv w:val="1"/>
      <w:marLeft w:val="0"/>
      <w:marRight w:val="0"/>
      <w:marTop w:val="0"/>
      <w:marBottom w:val="0"/>
      <w:divBdr>
        <w:top w:val="none" w:sz="0" w:space="0" w:color="auto"/>
        <w:left w:val="none" w:sz="0" w:space="0" w:color="auto"/>
        <w:bottom w:val="none" w:sz="0" w:space="0" w:color="auto"/>
        <w:right w:val="none" w:sz="0" w:space="0" w:color="auto"/>
      </w:divBdr>
    </w:div>
    <w:div w:id="579756343">
      <w:bodyDiv w:val="1"/>
      <w:marLeft w:val="0"/>
      <w:marRight w:val="0"/>
      <w:marTop w:val="0"/>
      <w:marBottom w:val="0"/>
      <w:divBdr>
        <w:top w:val="none" w:sz="0" w:space="0" w:color="auto"/>
        <w:left w:val="none" w:sz="0" w:space="0" w:color="auto"/>
        <w:bottom w:val="none" w:sz="0" w:space="0" w:color="auto"/>
        <w:right w:val="none" w:sz="0" w:space="0" w:color="auto"/>
      </w:divBdr>
    </w:div>
    <w:div w:id="657226747">
      <w:bodyDiv w:val="1"/>
      <w:marLeft w:val="0"/>
      <w:marRight w:val="0"/>
      <w:marTop w:val="0"/>
      <w:marBottom w:val="0"/>
      <w:divBdr>
        <w:top w:val="none" w:sz="0" w:space="0" w:color="auto"/>
        <w:left w:val="none" w:sz="0" w:space="0" w:color="auto"/>
        <w:bottom w:val="none" w:sz="0" w:space="0" w:color="auto"/>
        <w:right w:val="none" w:sz="0" w:space="0" w:color="auto"/>
      </w:divBdr>
    </w:div>
    <w:div w:id="712271858">
      <w:bodyDiv w:val="1"/>
      <w:marLeft w:val="0"/>
      <w:marRight w:val="0"/>
      <w:marTop w:val="0"/>
      <w:marBottom w:val="0"/>
      <w:divBdr>
        <w:top w:val="none" w:sz="0" w:space="0" w:color="auto"/>
        <w:left w:val="none" w:sz="0" w:space="0" w:color="auto"/>
        <w:bottom w:val="none" w:sz="0" w:space="0" w:color="auto"/>
        <w:right w:val="none" w:sz="0" w:space="0" w:color="auto"/>
      </w:divBdr>
    </w:div>
    <w:div w:id="735321104">
      <w:bodyDiv w:val="1"/>
      <w:marLeft w:val="0"/>
      <w:marRight w:val="0"/>
      <w:marTop w:val="0"/>
      <w:marBottom w:val="0"/>
      <w:divBdr>
        <w:top w:val="none" w:sz="0" w:space="0" w:color="auto"/>
        <w:left w:val="none" w:sz="0" w:space="0" w:color="auto"/>
        <w:bottom w:val="none" w:sz="0" w:space="0" w:color="auto"/>
        <w:right w:val="none" w:sz="0" w:space="0" w:color="auto"/>
      </w:divBdr>
    </w:div>
    <w:div w:id="776215683">
      <w:bodyDiv w:val="1"/>
      <w:marLeft w:val="0"/>
      <w:marRight w:val="0"/>
      <w:marTop w:val="0"/>
      <w:marBottom w:val="0"/>
      <w:divBdr>
        <w:top w:val="none" w:sz="0" w:space="0" w:color="auto"/>
        <w:left w:val="none" w:sz="0" w:space="0" w:color="auto"/>
        <w:bottom w:val="none" w:sz="0" w:space="0" w:color="auto"/>
        <w:right w:val="none" w:sz="0" w:space="0" w:color="auto"/>
      </w:divBdr>
    </w:div>
    <w:div w:id="885023882">
      <w:bodyDiv w:val="1"/>
      <w:marLeft w:val="0"/>
      <w:marRight w:val="0"/>
      <w:marTop w:val="0"/>
      <w:marBottom w:val="0"/>
      <w:divBdr>
        <w:top w:val="none" w:sz="0" w:space="0" w:color="auto"/>
        <w:left w:val="none" w:sz="0" w:space="0" w:color="auto"/>
        <w:bottom w:val="none" w:sz="0" w:space="0" w:color="auto"/>
        <w:right w:val="none" w:sz="0" w:space="0" w:color="auto"/>
      </w:divBdr>
    </w:div>
    <w:div w:id="906232443">
      <w:bodyDiv w:val="1"/>
      <w:marLeft w:val="0"/>
      <w:marRight w:val="0"/>
      <w:marTop w:val="0"/>
      <w:marBottom w:val="0"/>
      <w:divBdr>
        <w:top w:val="none" w:sz="0" w:space="0" w:color="auto"/>
        <w:left w:val="none" w:sz="0" w:space="0" w:color="auto"/>
        <w:bottom w:val="none" w:sz="0" w:space="0" w:color="auto"/>
        <w:right w:val="none" w:sz="0" w:space="0" w:color="auto"/>
      </w:divBdr>
    </w:div>
    <w:div w:id="923687082">
      <w:bodyDiv w:val="1"/>
      <w:marLeft w:val="0"/>
      <w:marRight w:val="0"/>
      <w:marTop w:val="0"/>
      <w:marBottom w:val="0"/>
      <w:divBdr>
        <w:top w:val="none" w:sz="0" w:space="0" w:color="auto"/>
        <w:left w:val="none" w:sz="0" w:space="0" w:color="auto"/>
        <w:bottom w:val="none" w:sz="0" w:space="0" w:color="auto"/>
        <w:right w:val="none" w:sz="0" w:space="0" w:color="auto"/>
      </w:divBdr>
    </w:div>
    <w:div w:id="1031492811">
      <w:bodyDiv w:val="1"/>
      <w:marLeft w:val="0"/>
      <w:marRight w:val="0"/>
      <w:marTop w:val="0"/>
      <w:marBottom w:val="0"/>
      <w:divBdr>
        <w:top w:val="none" w:sz="0" w:space="0" w:color="auto"/>
        <w:left w:val="none" w:sz="0" w:space="0" w:color="auto"/>
        <w:bottom w:val="none" w:sz="0" w:space="0" w:color="auto"/>
        <w:right w:val="none" w:sz="0" w:space="0" w:color="auto"/>
      </w:divBdr>
    </w:div>
    <w:div w:id="1037584853">
      <w:bodyDiv w:val="1"/>
      <w:marLeft w:val="0"/>
      <w:marRight w:val="0"/>
      <w:marTop w:val="0"/>
      <w:marBottom w:val="0"/>
      <w:divBdr>
        <w:top w:val="none" w:sz="0" w:space="0" w:color="auto"/>
        <w:left w:val="none" w:sz="0" w:space="0" w:color="auto"/>
        <w:bottom w:val="none" w:sz="0" w:space="0" w:color="auto"/>
        <w:right w:val="none" w:sz="0" w:space="0" w:color="auto"/>
      </w:divBdr>
    </w:div>
    <w:div w:id="1082872991">
      <w:bodyDiv w:val="1"/>
      <w:marLeft w:val="0"/>
      <w:marRight w:val="0"/>
      <w:marTop w:val="0"/>
      <w:marBottom w:val="0"/>
      <w:divBdr>
        <w:top w:val="none" w:sz="0" w:space="0" w:color="auto"/>
        <w:left w:val="none" w:sz="0" w:space="0" w:color="auto"/>
        <w:bottom w:val="none" w:sz="0" w:space="0" w:color="auto"/>
        <w:right w:val="none" w:sz="0" w:space="0" w:color="auto"/>
      </w:divBdr>
    </w:div>
    <w:div w:id="1119256361">
      <w:bodyDiv w:val="1"/>
      <w:marLeft w:val="0"/>
      <w:marRight w:val="0"/>
      <w:marTop w:val="0"/>
      <w:marBottom w:val="0"/>
      <w:divBdr>
        <w:top w:val="none" w:sz="0" w:space="0" w:color="auto"/>
        <w:left w:val="none" w:sz="0" w:space="0" w:color="auto"/>
        <w:bottom w:val="none" w:sz="0" w:space="0" w:color="auto"/>
        <w:right w:val="none" w:sz="0" w:space="0" w:color="auto"/>
      </w:divBdr>
    </w:div>
    <w:div w:id="1151097237">
      <w:bodyDiv w:val="1"/>
      <w:marLeft w:val="0"/>
      <w:marRight w:val="0"/>
      <w:marTop w:val="0"/>
      <w:marBottom w:val="0"/>
      <w:divBdr>
        <w:top w:val="none" w:sz="0" w:space="0" w:color="auto"/>
        <w:left w:val="none" w:sz="0" w:space="0" w:color="auto"/>
        <w:bottom w:val="none" w:sz="0" w:space="0" w:color="auto"/>
        <w:right w:val="none" w:sz="0" w:space="0" w:color="auto"/>
      </w:divBdr>
    </w:div>
    <w:div w:id="1183515164">
      <w:bodyDiv w:val="1"/>
      <w:marLeft w:val="0"/>
      <w:marRight w:val="0"/>
      <w:marTop w:val="0"/>
      <w:marBottom w:val="0"/>
      <w:divBdr>
        <w:top w:val="none" w:sz="0" w:space="0" w:color="auto"/>
        <w:left w:val="none" w:sz="0" w:space="0" w:color="auto"/>
        <w:bottom w:val="none" w:sz="0" w:space="0" w:color="auto"/>
        <w:right w:val="none" w:sz="0" w:space="0" w:color="auto"/>
      </w:divBdr>
    </w:div>
    <w:div w:id="1196583675">
      <w:bodyDiv w:val="1"/>
      <w:marLeft w:val="0"/>
      <w:marRight w:val="0"/>
      <w:marTop w:val="0"/>
      <w:marBottom w:val="0"/>
      <w:divBdr>
        <w:top w:val="none" w:sz="0" w:space="0" w:color="auto"/>
        <w:left w:val="none" w:sz="0" w:space="0" w:color="auto"/>
        <w:bottom w:val="none" w:sz="0" w:space="0" w:color="auto"/>
        <w:right w:val="none" w:sz="0" w:space="0" w:color="auto"/>
      </w:divBdr>
    </w:div>
    <w:div w:id="1229415055">
      <w:bodyDiv w:val="1"/>
      <w:marLeft w:val="0"/>
      <w:marRight w:val="0"/>
      <w:marTop w:val="0"/>
      <w:marBottom w:val="0"/>
      <w:divBdr>
        <w:top w:val="none" w:sz="0" w:space="0" w:color="auto"/>
        <w:left w:val="none" w:sz="0" w:space="0" w:color="auto"/>
        <w:bottom w:val="none" w:sz="0" w:space="0" w:color="auto"/>
        <w:right w:val="none" w:sz="0" w:space="0" w:color="auto"/>
      </w:divBdr>
    </w:div>
    <w:div w:id="1331710566">
      <w:bodyDiv w:val="1"/>
      <w:marLeft w:val="0"/>
      <w:marRight w:val="0"/>
      <w:marTop w:val="0"/>
      <w:marBottom w:val="0"/>
      <w:divBdr>
        <w:top w:val="none" w:sz="0" w:space="0" w:color="auto"/>
        <w:left w:val="none" w:sz="0" w:space="0" w:color="auto"/>
        <w:bottom w:val="none" w:sz="0" w:space="0" w:color="auto"/>
        <w:right w:val="none" w:sz="0" w:space="0" w:color="auto"/>
      </w:divBdr>
    </w:div>
    <w:div w:id="1333144877">
      <w:bodyDiv w:val="1"/>
      <w:marLeft w:val="0"/>
      <w:marRight w:val="0"/>
      <w:marTop w:val="0"/>
      <w:marBottom w:val="0"/>
      <w:divBdr>
        <w:top w:val="none" w:sz="0" w:space="0" w:color="auto"/>
        <w:left w:val="none" w:sz="0" w:space="0" w:color="auto"/>
        <w:bottom w:val="none" w:sz="0" w:space="0" w:color="auto"/>
        <w:right w:val="none" w:sz="0" w:space="0" w:color="auto"/>
      </w:divBdr>
    </w:div>
    <w:div w:id="1444110096">
      <w:bodyDiv w:val="1"/>
      <w:marLeft w:val="0"/>
      <w:marRight w:val="0"/>
      <w:marTop w:val="0"/>
      <w:marBottom w:val="0"/>
      <w:divBdr>
        <w:top w:val="none" w:sz="0" w:space="0" w:color="auto"/>
        <w:left w:val="none" w:sz="0" w:space="0" w:color="auto"/>
        <w:bottom w:val="none" w:sz="0" w:space="0" w:color="auto"/>
        <w:right w:val="none" w:sz="0" w:space="0" w:color="auto"/>
      </w:divBdr>
    </w:div>
    <w:div w:id="1498839369">
      <w:bodyDiv w:val="1"/>
      <w:marLeft w:val="0"/>
      <w:marRight w:val="0"/>
      <w:marTop w:val="0"/>
      <w:marBottom w:val="0"/>
      <w:divBdr>
        <w:top w:val="none" w:sz="0" w:space="0" w:color="auto"/>
        <w:left w:val="none" w:sz="0" w:space="0" w:color="auto"/>
        <w:bottom w:val="none" w:sz="0" w:space="0" w:color="auto"/>
        <w:right w:val="none" w:sz="0" w:space="0" w:color="auto"/>
      </w:divBdr>
    </w:div>
    <w:div w:id="1525246443">
      <w:bodyDiv w:val="1"/>
      <w:marLeft w:val="0"/>
      <w:marRight w:val="0"/>
      <w:marTop w:val="0"/>
      <w:marBottom w:val="0"/>
      <w:divBdr>
        <w:top w:val="none" w:sz="0" w:space="0" w:color="auto"/>
        <w:left w:val="none" w:sz="0" w:space="0" w:color="auto"/>
        <w:bottom w:val="none" w:sz="0" w:space="0" w:color="auto"/>
        <w:right w:val="none" w:sz="0" w:space="0" w:color="auto"/>
      </w:divBdr>
    </w:div>
    <w:div w:id="1566257736">
      <w:bodyDiv w:val="1"/>
      <w:marLeft w:val="0"/>
      <w:marRight w:val="0"/>
      <w:marTop w:val="0"/>
      <w:marBottom w:val="0"/>
      <w:divBdr>
        <w:top w:val="none" w:sz="0" w:space="0" w:color="auto"/>
        <w:left w:val="none" w:sz="0" w:space="0" w:color="auto"/>
        <w:bottom w:val="none" w:sz="0" w:space="0" w:color="auto"/>
        <w:right w:val="none" w:sz="0" w:space="0" w:color="auto"/>
      </w:divBdr>
    </w:div>
    <w:div w:id="1688602855">
      <w:bodyDiv w:val="1"/>
      <w:marLeft w:val="0"/>
      <w:marRight w:val="0"/>
      <w:marTop w:val="0"/>
      <w:marBottom w:val="0"/>
      <w:divBdr>
        <w:top w:val="none" w:sz="0" w:space="0" w:color="auto"/>
        <w:left w:val="none" w:sz="0" w:space="0" w:color="auto"/>
        <w:bottom w:val="none" w:sz="0" w:space="0" w:color="auto"/>
        <w:right w:val="none" w:sz="0" w:space="0" w:color="auto"/>
      </w:divBdr>
    </w:div>
    <w:div w:id="1715882184">
      <w:bodyDiv w:val="1"/>
      <w:marLeft w:val="0"/>
      <w:marRight w:val="0"/>
      <w:marTop w:val="0"/>
      <w:marBottom w:val="0"/>
      <w:divBdr>
        <w:top w:val="none" w:sz="0" w:space="0" w:color="auto"/>
        <w:left w:val="none" w:sz="0" w:space="0" w:color="auto"/>
        <w:bottom w:val="none" w:sz="0" w:space="0" w:color="auto"/>
        <w:right w:val="none" w:sz="0" w:space="0" w:color="auto"/>
      </w:divBdr>
    </w:div>
    <w:div w:id="1773041091">
      <w:bodyDiv w:val="1"/>
      <w:marLeft w:val="0"/>
      <w:marRight w:val="0"/>
      <w:marTop w:val="0"/>
      <w:marBottom w:val="0"/>
      <w:divBdr>
        <w:top w:val="none" w:sz="0" w:space="0" w:color="auto"/>
        <w:left w:val="none" w:sz="0" w:space="0" w:color="auto"/>
        <w:bottom w:val="none" w:sz="0" w:space="0" w:color="auto"/>
        <w:right w:val="none" w:sz="0" w:space="0" w:color="auto"/>
      </w:divBdr>
    </w:div>
    <w:div w:id="1923684830">
      <w:bodyDiv w:val="1"/>
      <w:marLeft w:val="0"/>
      <w:marRight w:val="0"/>
      <w:marTop w:val="0"/>
      <w:marBottom w:val="0"/>
      <w:divBdr>
        <w:top w:val="none" w:sz="0" w:space="0" w:color="auto"/>
        <w:left w:val="none" w:sz="0" w:space="0" w:color="auto"/>
        <w:bottom w:val="none" w:sz="0" w:space="0" w:color="auto"/>
        <w:right w:val="none" w:sz="0" w:space="0" w:color="auto"/>
      </w:divBdr>
    </w:div>
    <w:div w:id="1926724618">
      <w:bodyDiv w:val="1"/>
      <w:marLeft w:val="0"/>
      <w:marRight w:val="0"/>
      <w:marTop w:val="0"/>
      <w:marBottom w:val="0"/>
      <w:divBdr>
        <w:top w:val="none" w:sz="0" w:space="0" w:color="auto"/>
        <w:left w:val="none" w:sz="0" w:space="0" w:color="auto"/>
        <w:bottom w:val="none" w:sz="0" w:space="0" w:color="auto"/>
        <w:right w:val="none" w:sz="0" w:space="0" w:color="auto"/>
      </w:divBdr>
    </w:div>
    <w:div w:id="1989967839">
      <w:bodyDiv w:val="1"/>
      <w:marLeft w:val="0"/>
      <w:marRight w:val="0"/>
      <w:marTop w:val="0"/>
      <w:marBottom w:val="0"/>
      <w:divBdr>
        <w:top w:val="none" w:sz="0" w:space="0" w:color="auto"/>
        <w:left w:val="none" w:sz="0" w:space="0" w:color="auto"/>
        <w:bottom w:val="none" w:sz="0" w:space="0" w:color="auto"/>
        <w:right w:val="none" w:sz="0" w:space="0" w:color="auto"/>
      </w:divBdr>
    </w:div>
    <w:div w:id="2076661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oter" Target="footer3.xml"/><Relationship Id="rId50"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2.xml"/><Relationship Id="rId53" Type="http://schemas.openxmlformats.org/officeDocument/2006/relationships/glossaryDocument" Target="glossary/document.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s://www.frontier-economics.com.au" TargetMode="External"/><Relationship Id="rId8" Type="http://schemas.openxmlformats.org/officeDocument/2006/relationships/settings" Target="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eader" Target="header3.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www.frontier-economics.com.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dcceew.gov.au/water/policy/programs/open/off-farm-efficiency-progra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G:\Frontier%20Economics\Frontier%20Templates\Master2018\Word\Templates\FE-Report-20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DE51B2206CD4B19B52A2954BC8FE680"/>
        <w:category>
          <w:name w:val="General"/>
          <w:gallery w:val="placeholder"/>
        </w:category>
        <w:types>
          <w:type w:val="bbPlcHdr"/>
        </w:types>
        <w:behaviors>
          <w:behavior w:val="content"/>
        </w:behaviors>
        <w:guid w:val="{D11BE23D-B012-4835-8D7D-60B7248BC132}"/>
      </w:docPartPr>
      <w:docPartBody>
        <w:p w:rsidR="0063163E" w:rsidRDefault="0063163E">
          <w:pPr>
            <w:pStyle w:val="1DE51B2206CD4B19B52A2954BC8FE680"/>
          </w:pPr>
          <w:r>
            <w:rPr>
              <w:rStyle w:val="PlaceholderText"/>
            </w:rPr>
            <w:t xml:space="preserve">  </w:t>
          </w:r>
        </w:p>
      </w:docPartBody>
    </w:docPart>
    <w:docPart>
      <w:docPartPr>
        <w:name w:val="97A9394BD0904E7A9FA782D1730BB1EF"/>
        <w:category>
          <w:name w:val="General"/>
          <w:gallery w:val="placeholder"/>
        </w:category>
        <w:types>
          <w:type w:val="bbPlcHdr"/>
        </w:types>
        <w:behaviors>
          <w:behavior w:val="content"/>
        </w:behaviors>
        <w:guid w:val="{C5ED4A67-D65E-4BD8-8E1B-9AF5C9AEB2A6}"/>
      </w:docPartPr>
      <w:docPartBody>
        <w:p w:rsidR="0063163E" w:rsidRDefault="0063163E">
          <w:pPr>
            <w:pStyle w:val="97A9394BD0904E7A9FA782D1730BB1EF"/>
          </w:pPr>
          <w:r>
            <w:t>[Report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R ESSENCE">
    <w:altName w:val="Calibri"/>
    <w:charset w:val="00"/>
    <w:family w:val="auto"/>
    <w:pitch w:val="variable"/>
    <w:sig w:usb0="8000002F" w:usb1="0000000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Open Sans SemiBold">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63E"/>
    <w:rsid w:val="00033968"/>
    <w:rsid w:val="00041701"/>
    <w:rsid w:val="0008595D"/>
    <w:rsid w:val="000A6077"/>
    <w:rsid w:val="000B61F5"/>
    <w:rsid w:val="000E1C84"/>
    <w:rsid w:val="00161B18"/>
    <w:rsid w:val="001A72F3"/>
    <w:rsid w:val="001E5AA5"/>
    <w:rsid w:val="00210291"/>
    <w:rsid w:val="00215AEF"/>
    <w:rsid w:val="00221F40"/>
    <w:rsid w:val="002773CF"/>
    <w:rsid w:val="0028177E"/>
    <w:rsid w:val="002B646C"/>
    <w:rsid w:val="002D427C"/>
    <w:rsid w:val="002E7367"/>
    <w:rsid w:val="00317DE0"/>
    <w:rsid w:val="00333AE9"/>
    <w:rsid w:val="00337FFD"/>
    <w:rsid w:val="003710EC"/>
    <w:rsid w:val="00390F76"/>
    <w:rsid w:val="003E4D59"/>
    <w:rsid w:val="004667AE"/>
    <w:rsid w:val="00467FA9"/>
    <w:rsid w:val="004B2205"/>
    <w:rsid w:val="004F7F73"/>
    <w:rsid w:val="005205EC"/>
    <w:rsid w:val="00570CA4"/>
    <w:rsid w:val="005D218A"/>
    <w:rsid w:val="005F4D50"/>
    <w:rsid w:val="006033CC"/>
    <w:rsid w:val="00614A64"/>
    <w:rsid w:val="006151C3"/>
    <w:rsid w:val="0063163E"/>
    <w:rsid w:val="006E4718"/>
    <w:rsid w:val="00721AB6"/>
    <w:rsid w:val="007237A6"/>
    <w:rsid w:val="00767A92"/>
    <w:rsid w:val="00793E28"/>
    <w:rsid w:val="007C5183"/>
    <w:rsid w:val="008162BA"/>
    <w:rsid w:val="00824196"/>
    <w:rsid w:val="0082638B"/>
    <w:rsid w:val="00880839"/>
    <w:rsid w:val="00884BB5"/>
    <w:rsid w:val="008A4F46"/>
    <w:rsid w:val="008D7E33"/>
    <w:rsid w:val="008E33BE"/>
    <w:rsid w:val="00923871"/>
    <w:rsid w:val="009C2602"/>
    <w:rsid w:val="00A11815"/>
    <w:rsid w:val="00A5684D"/>
    <w:rsid w:val="00A77201"/>
    <w:rsid w:val="00A83D74"/>
    <w:rsid w:val="00A869F7"/>
    <w:rsid w:val="00AC3F22"/>
    <w:rsid w:val="00B21EC9"/>
    <w:rsid w:val="00B52FDD"/>
    <w:rsid w:val="00B5573D"/>
    <w:rsid w:val="00B71BD8"/>
    <w:rsid w:val="00B91346"/>
    <w:rsid w:val="00BD3105"/>
    <w:rsid w:val="00C514A8"/>
    <w:rsid w:val="00C85858"/>
    <w:rsid w:val="00C9058A"/>
    <w:rsid w:val="00CA7934"/>
    <w:rsid w:val="00CB5007"/>
    <w:rsid w:val="00D05952"/>
    <w:rsid w:val="00D21D06"/>
    <w:rsid w:val="00D86784"/>
    <w:rsid w:val="00DA0373"/>
    <w:rsid w:val="00DD1041"/>
    <w:rsid w:val="00E406B3"/>
    <w:rsid w:val="00E56E37"/>
    <w:rsid w:val="00E60F44"/>
    <w:rsid w:val="00E80722"/>
    <w:rsid w:val="00EA5272"/>
    <w:rsid w:val="00F02962"/>
    <w:rsid w:val="00F351C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DE51B2206CD4B19B52A2954BC8FE680">
    <w:name w:val="1DE51B2206CD4B19B52A2954BC8FE680"/>
  </w:style>
  <w:style w:type="paragraph" w:customStyle="1" w:styleId="97A9394BD0904E7A9FA782D1730BB1EF">
    <w:name w:val="97A9394BD0904E7A9FA782D1730BB1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FE-Red">
  <a:themeElements>
    <a:clrScheme name="FE PP Palate 2020">
      <a:dk1>
        <a:srgbClr val="37424A"/>
      </a:dk1>
      <a:lt1>
        <a:srgbClr val="FFFFFF"/>
      </a:lt1>
      <a:dk2>
        <a:srgbClr val="374249"/>
      </a:dk2>
      <a:lt2>
        <a:srgbClr val="F2F2F2"/>
      </a:lt2>
      <a:accent1>
        <a:srgbClr val="E83F35"/>
      </a:accent1>
      <a:accent2>
        <a:srgbClr val="207BA1"/>
      </a:accent2>
      <a:accent3>
        <a:srgbClr val="90BDCF"/>
      </a:accent3>
      <a:accent4>
        <a:srgbClr val="9BA1A5"/>
      </a:accent4>
      <a:accent5>
        <a:srgbClr val="599CB9"/>
      </a:accent5>
      <a:accent6>
        <a:srgbClr val="CFD1D2"/>
      </a:accent6>
      <a:hlink>
        <a:srgbClr val="E83F35"/>
      </a:hlink>
      <a:folHlink>
        <a:srgbClr val="E83F35"/>
      </a:folHlink>
    </a:clrScheme>
    <a:fontScheme name="Fronti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lIns="54000" tIns="54000" rIns="54000" bIns="54000"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12700"/>
      </a:spPr>
      <a:bodyPr/>
      <a:lstStyle/>
      <a:style>
        <a:lnRef idx="1">
          <a:schemeClr val="accent1"/>
        </a:lnRef>
        <a:fillRef idx="0">
          <a:schemeClr val="accent1"/>
        </a:fillRef>
        <a:effectRef idx="0">
          <a:schemeClr val="accent1"/>
        </a:effectRef>
        <a:fontRef idx="minor">
          <a:schemeClr val="tx1"/>
        </a:fontRef>
      </a:style>
    </a:lnDef>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custClrLst>
    <a:custClr name="100% Teal">
      <a:srgbClr val="007B87"/>
    </a:custClr>
    <a:custClr name="100% Light Blue">
      <a:srgbClr val="8DD0D2"/>
    </a:custClr>
    <a:custClr name="100% Yellow">
      <a:srgbClr val="EBC000"/>
    </a:custClr>
    <a:custClr name="100% Aubergine">
      <a:srgbClr val="683C5B"/>
    </a:custClr>
    <a:custClr name="100% Mint Green">
      <a:srgbClr val="8BB96A"/>
    </a:custClr>
    <a:custClr name="100% Pine">
      <a:srgbClr val="2B554A"/>
    </a:custClr>
    <a:custClr name="100% Sand">
      <a:srgbClr val="D3C470"/>
    </a:custClr>
    <a:custClr name="100% Dark Sand">
      <a:srgbClr val="9A8131"/>
    </a:custClr>
    <a:custClr name="100% Rust">
      <a:srgbClr val="D27224"/>
    </a:custClr>
    <a:custClr name="100% Purple">
      <a:srgbClr val="967CA8"/>
    </a:custClr>
    <a:custClr name="60% Teal">
      <a:srgbClr val="66B0B7"/>
    </a:custClr>
    <a:custClr name="60% Light Blue">
      <a:srgbClr val="BBE3E4"/>
    </a:custClr>
    <a:custClr name="60% Yellow">
      <a:srgbClr val="F3D966"/>
    </a:custClr>
    <a:custClr name="60% Aubergine">
      <a:srgbClr val="A48A9D"/>
    </a:custClr>
    <a:custClr name="60% Mint Green">
      <a:srgbClr val="B9D5A6"/>
    </a:custClr>
    <a:custClr name="30% Teal">
      <a:srgbClr val="B2D7DB"/>
    </a:custClr>
    <a:custClr name="30% Light Blue">
      <a:srgbClr val="DDF1F1"/>
    </a:custClr>
    <a:custClr name="30% Yellow">
      <a:srgbClr val="F9ECB2"/>
    </a:custClr>
    <a:custClr name="30% Aubergine">
      <a:srgbClr val="D1C4CD"/>
    </a:custClr>
    <a:custClr name="30% Mint Green">
      <a:srgbClr val="DCEAD2"/>
    </a:custClr>
    <a:custClr name="Black">
      <a:srgbClr val="000000"/>
    </a:custClr>
  </a:custClrLst>
  <a:extLst>
    <a:ext uri="{05A4C25C-085E-4340-85A3-A5531E510DB2}">
      <thm15:themeFamily xmlns:thm15="http://schemas.microsoft.com/office/thememl/2012/main" name="Theme1" id="{922A7A35-78F9-4D48-9A59-09A044ABB765}" vid="{AF960390-CDEF-47D5-88B9-76CFCC32984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s>
</file>

<file path=customXml/item2.xml><?xml version="1.0" encoding="utf-8"?>
<p:properties xmlns:p="http://schemas.microsoft.com/office/2006/metadata/properties" xmlns:xsi="http://www.w3.org/2001/XMLSchema-instance" xmlns:pc="http://schemas.microsoft.com/office/infopath/2007/PartnerControls">
  <documentManagement>
    <SharedWithUsers xmlns="529410b7-9b0d-4415-a3b1-4f149beb71b6">
      <UserInfo>
        <DisplayName>Bonnie J Glaister (DELWP)</DisplayName>
        <AccountId>164</AccountId>
        <AccountType/>
      </UserInfo>
      <UserInfo>
        <DisplayName>Michael Quinane (DELWP)</DisplayName>
        <AccountId>1029</AccountId>
        <AccountType/>
      </UserInfo>
      <UserInfo>
        <DisplayName>Michael C Jensz (DELWP)</DisplayName>
        <AccountId>297</AccountId>
        <AccountType/>
      </UserInfo>
    </SharedWithUsers>
    <TaxCatchAll xmlns="529410b7-9b0d-4415-a3b1-4f149beb71b6" xsi:nil="true"/>
    <lcf76f155ced4ddcb4097134ff3c332f xmlns="0c4cdf65-691b-440a-8718-c7c263761dd7">
      <Terms xmlns="http://schemas.microsoft.com/office/infopath/2007/PartnerControls"/>
    </lcf76f155ced4ddcb4097134ff3c332f>
  </documentManagement>
</p:properties>
</file>

<file path=customXml/item3.xml><?xml version="1.0" encoding="utf-8"?>
<root>
  <ReportTitle>Social and economic impacts of Basin Plan 
water recovery in Victoria</ReportTitle>
  <Name>MS Sucheta Shanbag</Name>
</root>
</file>

<file path=customXml/item4.xml><?xml version="1.0" encoding="utf-8"?>
<ct:contentTypeSchema xmlns:ct="http://schemas.microsoft.com/office/2006/metadata/contentType" xmlns:ma="http://schemas.microsoft.com/office/2006/metadata/properties/metaAttributes" ct:_="" ma:_="" ma:contentTypeName="Document" ma:contentTypeID="0x01010035D85E06B558CC4D97B204BB23E08B8B" ma:contentTypeVersion="13" ma:contentTypeDescription="Create a new document." ma:contentTypeScope="" ma:versionID="d31009a642b41e3eeb9f5ec3af3d481d">
  <xsd:schema xmlns:xsd="http://www.w3.org/2001/XMLSchema" xmlns:xs="http://www.w3.org/2001/XMLSchema" xmlns:p="http://schemas.microsoft.com/office/2006/metadata/properties" xmlns:ns2="0c4cdf65-691b-440a-8718-c7c263761dd7" xmlns:ns3="529410b7-9b0d-4415-a3b1-4f149beb71b6" targetNamespace="http://schemas.microsoft.com/office/2006/metadata/properties" ma:root="true" ma:fieldsID="912ff58500c113b495bb66e9e7f95083" ns2:_="" ns3:_="">
    <xsd:import namespace="0c4cdf65-691b-440a-8718-c7c263761dd7"/>
    <xsd:import namespace="529410b7-9b0d-4415-a3b1-4f149beb71b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4cdf65-691b-440a-8718-c7c263761d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3e16b41-dc85-495a-b354-da1133a0e172"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9410b7-9b0d-4415-a3b1-4f149beb71b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2246dae-5daa-4177-85af-a605fe1f3b98}" ma:internalName="TaxCatchAll" ma:showField="CatchAllData" ma:web="529410b7-9b0d-4415-a3b1-4f149beb71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2D7773-B3CE-4DFF-BB5A-861A994585CC}">
  <ds:schemaRefs>
    <ds:schemaRef ds:uri="http://schemas.openxmlformats.org/officeDocument/2006/bibliography"/>
  </ds:schemaRefs>
</ds:datastoreItem>
</file>

<file path=customXml/itemProps2.xml><?xml version="1.0" encoding="utf-8"?>
<ds:datastoreItem xmlns:ds="http://schemas.openxmlformats.org/officeDocument/2006/customXml" ds:itemID="{79330E64-B5F4-4A0D-92DF-34BE1F725A73}">
  <ds:schemaRefs>
    <ds:schemaRef ds:uri="http://schemas.microsoft.com/office/2006/metadata/properties"/>
    <ds:schemaRef ds:uri="http://schemas.microsoft.com/office/infopath/2007/PartnerControls"/>
    <ds:schemaRef ds:uri="529410b7-9b0d-4415-a3b1-4f149beb71b6"/>
    <ds:schemaRef ds:uri="0c4cdf65-691b-440a-8718-c7c263761dd7"/>
  </ds:schemaRefs>
</ds:datastoreItem>
</file>

<file path=customXml/itemProps3.xml><?xml version="1.0" encoding="utf-8"?>
<ds:datastoreItem xmlns:ds="http://schemas.openxmlformats.org/officeDocument/2006/customXml" ds:itemID="{8A6671F6-5EF9-4802-9226-F59F66B71F67}">
  <ds:schemaRefs/>
</ds:datastoreItem>
</file>

<file path=customXml/itemProps4.xml><?xml version="1.0" encoding="utf-8"?>
<ds:datastoreItem xmlns:ds="http://schemas.openxmlformats.org/officeDocument/2006/customXml" ds:itemID="{57B1394B-63B0-45AA-8683-14866304C2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4cdf65-691b-440a-8718-c7c263761dd7"/>
    <ds:schemaRef ds:uri="529410b7-9b0d-4415-a3b1-4f149beb71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69EF3FB-F3D7-47F5-A6C5-43B90EEAA6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FE-Report-2020.dotx</Template>
  <TotalTime>18</TotalTime>
  <Pages>110</Pages>
  <Words>35496</Words>
  <Characters>202330</Characters>
  <Application>Microsoft Office Word</Application>
  <DocSecurity>0</DocSecurity>
  <Lines>1686</Lines>
  <Paragraphs>474</Paragraphs>
  <ScaleCrop>false</ScaleCrop>
  <HeadingPairs>
    <vt:vector size="2" baseType="variant">
      <vt:variant>
        <vt:lpstr>Title</vt:lpstr>
      </vt:variant>
      <vt:variant>
        <vt:i4>1</vt:i4>
      </vt:variant>
    </vt:vector>
  </HeadingPairs>
  <TitlesOfParts>
    <vt:vector size="1" baseType="lpstr">
      <vt:lpstr/>
    </vt:vector>
  </TitlesOfParts>
  <Company>Frontier Economics</Company>
  <LinksUpToDate>false</LinksUpToDate>
  <CharactersWithSpaces>237352</CharactersWithSpaces>
  <SharedDoc>false</SharedDoc>
  <HLinks>
    <vt:vector size="282" baseType="variant">
      <vt:variant>
        <vt:i4>1769522</vt:i4>
      </vt:variant>
      <vt:variant>
        <vt:i4>212</vt:i4>
      </vt:variant>
      <vt:variant>
        <vt:i4>0</vt:i4>
      </vt:variant>
      <vt:variant>
        <vt:i4>5</vt:i4>
      </vt:variant>
      <vt:variant>
        <vt:lpwstr/>
      </vt:variant>
      <vt:variant>
        <vt:lpwstr>_Toc108194295</vt:lpwstr>
      </vt:variant>
      <vt:variant>
        <vt:i4>1769522</vt:i4>
      </vt:variant>
      <vt:variant>
        <vt:i4>206</vt:i4>
      </vt:variant>
      <vt:variant>
        <vt:i4>0</vt:i4>
      </vt:variant>
      <vt:variant>
        <vt:i4>5</vt:i4>
      </vt:variant>
      <vt:variant>
        <vt:lpwstr/>
      </vt:variant>
      <vt:variant>
        <vt:lpwstr>_Toc108194294</vt:lpwstr>
      </vt:variant>
      <vt:variant>
        <vt:i4>1769522</vt:i4>
      </vt:variant>
      <vt:variant>
        <vt:i4>200</vt:i4>
      </vt:variant>
      <vt:variant>
        <vt:i4>0</vt:i4>
      </vt:variant>
      <vt:variant>
        <vt:i4>5</vt:i4>
      </vt:variant>
      <vt:variant>
        <vt:lpwstr/>
      </vt:variant>
      <vt:variant>
        <vt:lpwstr>_Toc108194293</vt:lpwstr>
      </vt:variant>
      <vt:variant>
        <vt:i4>1769522</vt:i4>
      </vt:variant>
      <vt:variant>
        <vt:i4>194</vt:i4>
      </vt:variant>
      <vt:variant>
        <vt:i4>0</vt:i4>
      </vt:variant>
      <vt:variant>
        <vt:i4>5</vt:i4>
      </vt:variant>
      <vt:variant>
        <vt:lpwstr/>
      </vt:variant>
      <vt:variant>
        <vt:lpwstr>_Toc108194292</vt:lpwstr>
      </vt:variant>
      <vt:variant>
        <vt:i4>1769522</vt:i4>
      </vt:variant>
      <vt:variant>
        <vt:i4>188</vt:i4>
      </vt:variant>
      <vt:variant>
        <vt:i4>0</vt:i4>
      </vt:variant>
      <vt:variant>
        <vt:i4>5</vt:i4>
      </vt:variant>
      <vt:variant>
        <vt:lpwstr/>
      </vt:variant>
      <vt:variant>
        <vt:lpwstr>_Toc108194291</vt:lpwstr>
      </vt:variant>
      <vt:variant>
        <vt:i4>1769522</vt:i4>
      </vt:variant>
      <vt:variant>
        <vt:i4>182</vt:i4>
      </vt:variant>
      <vt:variant>
        <vt:i4>0</vt:i4>
      </vt:variant>
      <vt:variant>
        <vt:i4>5</vt:i4>
      </vt:variant>
      <vt:variant>
        <vt:lpwstr/>
      </vt:variant>
      <vt:variant>
        <vt:lpwstr>_Toc108194290</vt:lpwstr>
      </vt:variant>
      <vt:variant>
        <vt:i4>1703986</vt:i4>
      </vt:variant>
      <vt:variant>
        <vt:i4>176</vt:i4>
      </vt:variant>
      <vt:variant>
        <vt:i4>0</vt:i4>
      </vt:variant>
      <vt:variant>
        <vt:i4>5</vt:i4>
      </vt:variant>
      <vt:variant>
        <vt:lpwstr/>
      </vt:variant>
      <vt:variant>
        <vt:lpwstr>_Toc108194289</vt:lpwstr>
      </vt:variant>
      <vt:variant>
        <vt:i4>1703986</vt:i4>
      </vt:variant>
      <vt:variant>
        <vt:i4>170</vt:i4>
      </vt:variant>
      <vt:variant>
        <vt:i4>0</vt:i4>
      </vt:variant>
      <vt:variant>
        <vt:i4>5</vt:i4>
      </vt:variant>
      <vt:variant>
        <vt:lpwstr/>
      </vt:variant>
      <vt:variant>
        <vt:lpwstr>_Toc108194288</vt:lpwstr>
      </vt:variant>
      <vt:variant>
        <vt:i4>1703986</vt:i4>
      </vt:variant>
      <vt:variant>
        <vt:i4>164</vt:i4>
      </vt:variant>
      <vt:variant>
        <vt:i4>0</vt:i4>
      </vt:variant>
      <vt:variant>
        <vt:i4>5</vt:i4>
      </vt:variant>
      <vt:variant>
        <vt:lpwstr/>
      </vt:variant>
      <vt:variant>
        <vt:lpwstr>_Toc108194287</vt:lpwstr>
      </vt:variant>
      <vt:variant>
        <vt:i4>1703986</vt:i4>
      </vt:variant>
      <vt:variant>
        <vt:i4>158</vt:i4>
      </vt:variant>
      <vt:variant>
        <vt:i4>0</vt:i4>
      </vt:variant>
      <vt:variant>
        <vt:i4>5</vt:i4>
      </vt:variant>
      <vt:variant>
        <vt:lpwstr/>
      </vt:variant>
      <vt:variant>
        <vt:lpwstr>_Toc108194286</vt:lpwstr>
      </vt:variant>
      <vt:variant>
        <vt:i4>1703986</vt:i4>
      </vt:variant>
      <vt:variant>
        <vt:i4>152</vt:i4>
      </vt:variant>
      <vt:variant>
        <vt:i4>0</vt:i4>
      </vt:variant>
      <vt:variant>
        <vt:i4>5</vt:i4>
      </vt:variant>
      <vt:variant>
        <vt:lpwstr/>
      </vt:variant>
      <vt:variant>
        <vt:lpwstr>_Toc108194285</vt:lpwstr>
      </vt:variant>
      <vt:variant>
        <vt:i4>1703986</vt:i4>
      </vt:variant>
      <vt:variant>
        <vt:i4>146</vt:i4>
      </vt:variant>
      <vt:variant>
        <vt:i4>0</vt:i4>
      </vt:variant>
      <vt:variant>
        <vt:i4>5</vt:i4>
      </vt:variant>
      <vt:variant>
        <vt:lpwstr/>
      </vt:variant>
      <vt:variant>
        <vt:lpwstr>_Toc108194284</vt:lpwstr>
      </vt:variant>
      <vt:variant>
        <vt:i4>1703986</vt:i4>
      </vt:variant>
      <vt:variant>
        <vt:i4>140</vt:i4>
      </vt:variant>
      <vt:variant>
        <vt:i4>0</vt:i4>
      </vt:variant>
      <vt:variant>
        <vt:i4>5</vt:i4>
      </vt:variant>
      <vt:variant>
        <vt:lpwstr/>
      </vt:variant>
      <vt:variant>
        <vt:lpwstr>_Toc108194283</vt:lpwstr>
      </vt:variant>
      <vt:variant>
        <vt:i4>1703986</vt:i4>
      </vt:variant>
      <vt:variant>
        <vt:i4>134</vt:i4>
      </vt:variant>
      <vt:variant>
        <vt:i4>0</vt:i4>
      </vt:variant>
      <vt:variant>
        <vt:i4>5</vt:i4>
      </vt:variant>
      <vt:variant>
        <vt:lpwstr/>
      </vt:variant>
      <vt:variant>
        <vt:lpwstr>_Toc108194282</vt:lpwstr>
      </vt:variant>
      <vt:variant>
        <vt:i4>1703986</vt:i4>
      </vt:variant>
      <vt:variant>
        <vt:i4>128</vt:i4>
      </vt:variant>
      <vt:variant>
        <vt:i4>0</vt:i4>
      </vt:variant>
      <vt:variant>
        <vt:i4>5</vt:i4>
      </vt:variant>
      <vt:variant>
        <vt:lpwstr/>
      </vt:variant>
      <vt:variant>
        <vt:lpwstr>_Toc108194281</vt:lpwstr>
      </vt:variant>
      <vt:variant>
        <vt:i4>1703986</vt:i4>
      </vt:variant>
      <vt:variant>
        <vt:i4>122</vt:i4>
      </vt:variant>
      <vt:variant>
        <vt:i4>0</vt:i4>
      </vt:variant>
      <vt:variant>
        <vt:i4>5</vt:i4>
      </vt:variant>
      <vt:variant>
        <vt:lpwstr/>
      </vt:variant>
      <vt:variant>
        <vt:lpwstr>_Toc108194280</vt:lpwstr>
      </vt:variant>
      <vt:variant>
        <vt:i4>1376306</vt:i4>
      </vt:variant>
      <vt:variant>
        <vt:i4>116</vt:i4>
      </vt:variant>
      <vt:variant>
        <vt:i4>0</vt:i4>
      </vt:variant>
      <vt:variant>
        <vt:i4>5</vt:i4>
      </vt:variant>
      <vt:variant>
        <vt:lpwstr/>
      </vt:variant>
      <vt:variant>
        <vt:lpwstr>_Toc108194279</vt:lpwstr>
      </vt:variant>
      <vt:variant>
        <vt:i4>1376306</vt:i4>
      </vt:variant>
      <vt:variant>
        <vt:i4>110</vt:i4>
      </vt:variant>
      <vt:variant>
        <vt:i4>0</vt:i4>
      </vt:variant>
      <vt:variant>
        <vt:i4>5</vt:i4>
      </vt:variant>
      <vt:variant>
        <vt:lpwstr/>
      </vt:variant>
      <vt:variant>
        <vt:lpwstr>_Toc108194278</vt:lpwstr>
      </vt:variant>
      <vt:variant>
        <vt:i4>1376306</vt:i4>
      </vt:variant>
      <vt:variant>
        <vt:i4>104</vt:i4>
      </vt:variant>
      <vt:variant>
        <vt:i4>0</vt:i4>
      </vt:variant>
      <vt:variant>
        <vt:i4>5</vt:i4>
      </vt:variant>
      <vt:variant>
        <vt:lpwstr/>
      </vt:variant>
      <vt:variant>
        <vt:lpwstr>_Toc108194277</vt:lpwstr>
      </vt:variant>
      <vt:variant>
        <vt:i4>1376306</vt:i4>
      </vt:variant>
      <vt:variant>
        <vt:i4>98</vt:i4>
      </vt:variant>
      <vt:variant>
        <vt:i4>0</vt:i4>
      </vt:variant>
      <vt:variant>
        <vt:i4>5</vt:i4>
      </vt:variant>
      <vt:variant>
        <vt:lpwstr/>
      </vt:variant>
      <vt:variant>
        <vt:lpwstr>_Toc108194276</vt:lpwstr>
      </vt:variant>
      <vt:variant>
        <vt:i4>1376306</vt:i4>
      </vt:variant>
      <vt:variant>
        <vt:i4>92</vt:i4>
      </vt:variant>
      <vt:variant>
        <vt:i4>0</vt:i4>
      </vt:variant>
      <vt:variant>
        <vt:i4>5</vt:i4>
      </vt:variant>
      <vt:variant>
        <vt:lpwstr/>
      </vt:variant>
      <vt:variant>
        <vt:lpwstr>_Toc108194275</vt:lpwstr>
      </vt:variant>
      <vt:variant>
        <vt:i4>1376306</vt:i4>
      </vt:variant>
      <vt:variant>
        <vt:i4>86</vt:i4>
      </vt:variant>
      <vt:variant>
        <vt:i4>0</vt:i4>
      </vt:variant>
      <vt:variant>
        <vt:i4>5</vt:i4>
      </vt:variant>
      <vt:variant>
        <vt:lpwstr/>
      </vt:variant>
      <vt:variant>
        <vt:lpwstr>_Toc108194274</vt:lpwstr>
      </vt:variant>
      <vt:variant>
        <vt:i4>1376306</vt:i4>
      </vt:variant>
      <vt:variant>
        <vt:i4>80</vt:i4>
      </vt:variant>
      <vt:variant>
        <vt:i4>0</vt:i4>
      </vt:variant>
      <vt:variant>
        <vt:i4>5</vt:i4>
      </vt:variant>
      <vt:variant>
        <vt:lpwstr/>
      </vt:variant>
      <vt:variant>
        <vt:lpwstr>_Toc108194273</vt:lpwstr>
      </vt:variant>
      <vt:variant>
        <vt:i4>1376306</vt:i4>
      </vt:variant>
      <vt:variant>
        <vt:i4>74</vt:i4>
      </vt:variant>
      <vt:variant>
        <vt:i4>0</vt:i4>
      </vt:variant>
      <vt:variant>
        <vt:i4>5</vt:i4>
      </vt:variant>
      <vt:variant>
        <vt:lpwstr/>
      </vt:variant>
      <vt:variant>
        <vt:lpwstr>_Toc108194272</vt:lpwstr>
      </vt:variant>
      <vt:variant>
        <vt:i4>1376306</vt:i4>
      </vt:variant>
      <vt:variant>
        <vt:i4>68</vt:i4>
      </vt:variant>
      <vt:variant>
        <vt:i4>0</vt:i4>
      </vt:variant>
      <vt:variant>
        <vt:i4>5</vt:i4>
      </vt:variant>
      <vt:variant>
        <vt:lpwstr/>
      </vt:variant>
      <vt:variant>
        <vt:lpwstr>_Toc108194271</vt:lpwstr>
      </vt:variant>
      <vt:variant>
        <vt:i4>1376306</vt:i4>
      </vt:variant>
      <vt:variant>
        <vt:i4>62</vt:i4>
      </vt:variant>
      <vt:variant>
        <vt:i4>0</vt:i4>
      </vt:variant>
      <vt:variant>
        <vt:i4>5</vt:i4>
      </vt:variant>
      <vt:variant>
        <vt:lpwstr/>
      </vt:variant>
      <vt:variant>
        <vt:lpwstr>_Toc108194270</vt:lpwstr>
      </vt:variant>
      <vt:variant>
        <vt:i4>1310770</vt:i4>
      </vt:variant>
      <vt:variant>
        <vt:i4>56</vt:i4>
      </vt:variant>
      <vt:variant>
        <vt:i4>0</vt:i4>
      </vt:variant>
      <vt:variant>
        <vt:i4>5</vt:i4>
      </vt:variant>
      <vt:variant>
        <vt:lpwstr/>
      </vt:variant>
      <vt:variant>
        <vt:lpwstr>_Toc108194269</vt:lpwstr>
      </vt:variant>
      <vt:variant>
        <vt:i4>1310770</vt:i4>
      </vt:variant>
      <vt:variant>
        <vt:i4>50</vt:i4>
      </vt:variant>
      <vt:variant>
        <vt:i4>0</vt:i4>
      </vt:variant>
      <vt:variant>
        <vt:i4>5</vt:i4>
      </vt:variant>
      <vt:variant>
        <vt:lpwstr/>
      </vt:variant>
      <vt:variant>
        <vt:lpwstr>_Toc108194268</vt:lpwstr>
      </vt:variant>
      <vt:variant>
        <vt:i4>1310770</vt:i4>
      </vt:variant>
      <vt:variant>
        <vt:i4>44</vt:i4>
      </vt:variant>
      <vt:variant>
        <vt:i4>0</vt:i4>
      </vt:variant>
      <vt:variant>
        <vt:i4>5</vt:i4>
      </vt:variant>
      <vt:variant>
        <vt:lpwstr/>
      </vt:variant>
      <vt:variant>
        <vt:lpwstr>_Toc108194267</vt:lpwstr>
      </vt:variant>
      <vt:variant>
        <vt:i4>1310770</vt:i4>
      </vt:variant>
      <vt:variant>
        <vt:i4>38</vt:i4>
      </vt:variant>
      <vt:variant>
        <vt:i4>0</vt:i4>
      </vt:variant>
      <vt:variant>
        <vt:i4>5</vt:i4>
      </vt:variant>
      <vt:variant>
        <vt:lpwstr/>
      </vt:variant>
      <vt:variant>
        <vt:lpwstr>_Toc108194266</vt:lpwstr>
      </vt:variant>
      <vt:variant>
        <vt:i4>1310770</vt:i4>
      </vt:variant>
      <vt:variant>
        <vt:i4>32</vt:i4>
      </vt:variant>
      <vt:variant>
        <vt:i4>0</vt:i4>
      </vt:variant>
      <vt:variant>
        <vt:i4>5</vt:i4>
      </vt:variant>
      <vt:variant>
        <vt:lpwstr/>
      </vt:variant>
      <vt:variant>
        <vt:lpwstr>_Toc108194265</vt:lpwstr>
      </vt:variant>
      <vt:variant>
        <vt:i4>1310770</vt:i4>
      </vt:variant>
      <vt:variant>
        <vt:i4>26</vt:i4>
      </vt:variant>
      <vt:variant>
        <vt:i4>0</vt:i4>
      </vt:variant>
      <vt:variant>
        <vt:i4>5</vt:i4>
      </vt:variant>
      <vt:variant>
        <vt:lpwstr/>
      </vt:variant>
      <vt:variant>
        <vt:lpwstr>_Toc108194264</vt:lpwstr>
      </vt:variant>
      <vt:variant>
        <vt:i4>1310770</vt:i4>
      </vt:variant>
      <vt:variant>
        <vt:i4>20</vt:i4>
      </vt:variant>
      <vt:variant>
        <vt:i4>0</vt:i4>
      </vt:variant>
      <vt:variant>
        <vt:i4>5</vt:i4>
      </vt:variant>
      <vt:variant>
        <vt:lpwstr/>
      </vt:variant>
      <vt:variant>
        <vt:lpwstr>_Toc108194263</vt:lpwstr>
      </vt:variant>
      <vt:variant>
        <vt:i4>1310770</vt:i4>
      </vt:variant>
      <vt:variant>
        <vt:i4>14</vt:i4>
      </vt:variant>
      <vt:variant>
        <vt:i4>0</vt:i4>
      </vt:variant>
      <vt:variant>
        <vt:i4>5</vt:i4>
      </vt:variant>
      <vt:variant>
        <vt:lpwstr/>
      </vt:variant>
      <vt:variant>
        <vt:lpwstr>_Toc108194262</vt:lpwstr>
      </vt:variant>
      <vt:variant>
        <vt:i4>1310770</vt:i4>
      </vt:variant>
      <vt:variant>
        <vt:i4>8</vt:i4>
      </vt:variant>
      <vt:variant>
        <vt:i4>0</vt:i4>
      </vt:variant>
      <vt:variant>
        <vt:i4>5</vt:i4>
      </vt:variant>
      <vt:variant>
        <vt:lpwstr/>
      </vt:variant>
      <vt:variant>
        <vt:lpwstr>_Toc108194261</vt:lpwstr>
      </vt:variant>
      <vt:variant>
        <vt:i4>1310770</vt:i4>
      </vt:variant>
      <vt:variant>
        <vt:i4>2</vt:i4>
      </vt:variant>
      <vt:variant>
        <vt:i4>0</vt:i4>
      </vt:variant>
      <vt:variant>
        <vt:i4>5</vt:i4>
      </vt:variant>
      <vt:variant>
        <vt:lpwstr/>
      </vt:variant>
      <vt:variant>
        <vt:lpwstr>_Toc108194260</vt:lpwstr>
      </vt:variant>
      <vt:variant>
        <vt:i4>3932208</vt:i4>
      </vt:variant>
      <vt:variant>
        <vt:i4>9</vt:i4>
      </vt:variant>
      <vt:variant>
        <vt:i4>0</vt:i4>
      </vt:variant>
      <vt:variant>
        <vt:i4>5</vt:i4>
      </vt:variant>
      <vt:variant>
        <vt:lpwstr>https://www.water.vic.gov.au/mdb/mdbp/additional-water-recovery</vt:lpwstr>
      </vt:variant>
      <vt:variant>
        <vt:lpwstr/>
      </vt:variant>
      <vt:variant>
        <vt:i4>5701635</vt:i4>
      </vt:variant>
      <vt:variant>
        <vt:i4>6</vt:i4>
      </vt:variant>
      <vt:variant>
        <vt:i4>0</vt:i4>
      </vt:variant>
      <vt:variant>
        <vt:i4>5</vt:i4>
      </vt:variant>
      <vt:variant>
        <vt:lpwstr>https://www.vmfrp.com.au/media-releases/murray-floodplain-restoration-project-begins</vt:lpwstr>
      </vt:variant>
      <vt:variant>
        <vt:lpwstr/>
      </vt:variant>
      <vt:variant>
        <vt:i4>2555994</vt:i4>
      </vt:variant>
      <vt:variant>
        <vt:i4>3</vt:i4>
      </vt:variant>
      <vt:variant>
        <vt:i4>0</vt:i4>
      </vt:variant>
      <vt:variant>
        <vt:i4>5</vt:i4>
      </vt:variant>
      <vt:variant>
        <vt:lpwstr>https://www.mdba.gov.au/sites/default/files/pubs/Annual Progress Report 2020 - Sustainable Diversion Limit Adjustment Mechanism_1.pdf</vt:lpwstr>
      </vt:variant>
      <vt:variant>
        <vt:lpwstr/>
      </vt:variant>
      <vt:variant>
        <vt:i4>327763</vt:i4>
      </vt:variant>
      <vt:variant>
        <vt:i4>0</vt:i4>
      </vt:variant>
      <vt:variant>
        <vt:i4>0</vt:i4>
      </vt:variant>
      <vt:variant>
        <vt:i4>5</vt:i4>
      </vt:variant>
      <vt:variant>
        <vt:lpwstr>https://www.g-mwater.com.au/policy-and-projects/reservemurraygoulburn</vt:lpwstr>
      </vt:variant>
      <vt:variant>
        <vt:lpwstr/>
      </vt:variant>
      <vt:variant>
        <vt:i4>3211329</vt:i4>
      </vt:variant>
      <vt:variant>
        <vt:i4>15</vt:i4>
      </vt:variant>
      <vt:variant>
        <vt:i4>0</vt:i4>
      </vt:variant>
      <vt:variant>
        <vt:i4>5</vt:i4>
      </vt:variant>
      <vt:variant>
        <vt:lpwstr>mailto:lucy.Arrowsmith@delwp.vic.gov.au</vt:lpwstr>
      </vt:variant>
      <vt:variant>
        <vt:lpwstr/>
      </vt:variant>
      <vt:variant>
        <vt:i4>3211329</vt:i4>
      </vt:variant>
      <vt:variant>
        <vt:i4>12</vt:i4>
      </vt:variant>
      <vt:variant>
        <vt:i4>0</vt:i4>
      </vt:variant>
      <vt:variant>
        <vt:i4>5</vt:i4>
      </vt:variant>
      <vt:variant>
        <vt:lpwstr>mailto:lucy.Arrowsmith@delwp.vic.gov.au</vt:lpwstr>
      </vt:variant>
      <vt:variant>
        <vt:lpwstr/>
      </vt:variant>
      <vt:variant>
        <vt:i4>7602276</vt:i4>
      </vt:variant>
      <vt:variant>
        <vt:i4>9</vt:i4>
      </vt:variant>
      <vt:variant>
        <vt:i4>0</vt:i4>
      </vt:variant>
      <vt:variant>
        <vt:i4>5</vt:i4>
      </vt:variant>
      <vt:variant>
        <vt:lpwstr>https://www.water.vic.gov.au/mdb/mdbp/the-sustainable-diversion-limit-adjustment-mechanism-sdlam-murray-darling-basin-plan</vt:lpwstr>
      </vt:variant>
      <vt:variant>
        <vt:lpwstr/>
      </vt:variant>
      <vt:variant>
        <vt:i4>5242917</vt:i4>
      </vt:variant>
      <vt:variant>
        <vt:i4>6</vt:i4>
      </vt:variant>
      <vt:variant>
        <vt:i4>0</vt:i4>
      </vt:variant>
      <vt:variant>
        <vt:i4>5</vt:i4>
      </vt:variant>
      <vt:variant>
        <vt:lpwstr>mailto:Kishin.Thadani@delwp.vic.gov.au</vt:lpwstr>
      </vt:variant>
      <vt:variant>
        <vt:lpwstr/>
      </vt:variant>
      <vt:variant>
        <vt:i4>7405579</vt:i4>
      </vt:variant>
      <vt:variant>
        <vt:i4>3</vt:i4>
      </vt:variant>
      <vt:variant>
        <vt:i4>0</vt:i4>
      </vt:variant>
      <vt:variant>
        <vt:i4>5</vt:i4>
      </vt:variant>
      <vt:variant>
        <vt:lpwstr>mailto:penny.clark@delwp.vic.gov.au</vt:lpwstr>
      </vt:variant>
      <vt:variant>
        <vt:lpwstr/>
      </vt:variant>
      <vt:variant>
        <vt:i4>6291471</vt:i4>
      </vt:variant>
      <vt:variant>
        <vt:i4>0</vt:i4>
      </vt:variant>
      <vt:variant>
        <vt:i4>0</vt:i4>
      </vt:variant>
      <vt:variant>
        <vt:i4>5</vt:i4>
      </vt:variant>
      <vt:variant>
        <vt:lpwstr>mailto:michael.quinane@delwp.vic.gov.au</vt:lpwstr>
      </vt:variant>
      <vt:variant>
        <vt:lpwstr/>
      </vt:variant>
      <vt:variant>
        <vt:i4>7340140</vt:i4>
      </vt:variant>
      <vt:variant>
        <vt:i4>0</vt:i4>
      </vt:variant>
      <vt:variant>
        <vt:i4>0</vt:i4>
      </vt:variant>
      <vt:variant>
        <vt:i4>5</vt:i4>
      </vt:variant>
      <vt:variant>
        <vt:lpwstr>https://www.frontier-economics.com.au/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and economic impacts of Basin Plan</dc:title>
  <dc:subject/>
  <dc:creator>Dave</dc:creator>
  <cp:keywords/>
  <dc:description/>
  <cp:lastModifiedBy>Carissa J Webb (DEECA)</cp:lastModifiedBy>
  <cp:revision>4</cp:revision>
  <cp:lastPrinted>2022-09-15T02:05:00Z</cp:lastPrinted>
  <dcterms:created xsi:type="dcterms:W3CDTF">2022-09-26T04:04:00Z</dcterms:created>
  <dcterms:modified xsi:type="dcterms:W3CDTF">2023-08-01T23:22:00Z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0x01010035D85E06B558CC4D97B204BB23E08B8B</vt:lpwstr>
  </property>
  <property fmtid="{D5CDD505-2E9C-101B-9397-08002B2CF9AE}" pid="3" name="Records Class Project">
    <vt:lpwstr>145</vt:lpwstr>
  </property>
  <property fmtid="{D5CDD505-2E9C-101B-9397-08002B2CF9AE}" pid="4" name="Department Document Type">
    <vt:lpwstr/>
  </property>
  <property fmtid="{D5CDD505-2E9C-101B-9397-08002B2CF9AE}" pid="5" name="Dissemination Limiting Marker">
    <vt:lpwstr/>
  </property>
  <property fmtid="{D5CDD505-2E9C-101B-9397-08002B2CF9AE}" pid="6" name="Security Classification">
    <vt:lpwstr>3;#Unclassified|7fa379f4-4aba-4692-ab80-7d39d3a23cf4</vt:lpwstr>
  </property>
  <property fmtid="{D5CDD505-2E9C-101B-9397-08002B2CF9AE}" pid="7" name="Record Purpose">
    <vt:lpwstr/>
  </property>
  <property fmtid="{D5CDD505-2E9C-101B-9397-08002B2CF9AE}" pid="8" name="_dlc_DocIdItemGuid">
    <vt:lpwstr>50eeb2a6-e653-4c96-a14b-453a4cd69b00</vt:lpwstr>
  </property>
  <property fmtid="{D5CDD505-2E9C-101B-9397-08002B2CF9AE}" pid="9" name="_docset_NoMedatataSyncRequired">
    <vt:lpwstr>False</vt:lpwstr>
  </property>
  <property fmtid="{D5CDD505-2E9C-101B-9397-08002B2CF9AE}" pid="10" name="Order">
    <vt:r8>1383800</vt:r8>
  </property>
  <property fmtid="{D5CDD505-2E9C-101B-9397-08002B2CF9AE}" pid="11" name="MediaServiceImageTags">
    <vt:lpwstr/>
  </property>
  <property fmtid="{D5CDD505-2E9C-101B-9397-08002B2CF9AE}" pid="12" name="MSIP_Label_4257e2ab-f512-40e2-9c9a-c64247360765_Enabled">
    <vt:lpwstr>true</vt:lpwstr>
  </property>
  <property fmtid="{D5CDD505-2E9C-101B-9397-08002B2CF9AE}" pid="13" name="MSIP_Label_4257e2ab-f512-40e2-9c9a-c64247360765_SetDate">
    <vt:lpwstr>2023-08-01T23:22:25Z</vt:lpwstr>
  </property>
  <property fmtid="{D5CDD505-2E9C-101B-9397-08002B2CF9AE}" pid="14" name="MSIP_Label_4257e2ab-f512-40e2-9c9a-c64247360765_Method">
    <vt:lpwstr>Privileged</vt:lpwstr>
  </property>
  <property fmtid="{D5CDD505-2E9C-101B-9397-08002B2CF9AE}" pid="15" name="MSIP_Label_4257e2ab-f512-40e2-9c9a-c64247360765_Name">
    <vt:lpwstr>OFFICIAL</vt:lpwstr>
  </property>
  <property fmtid="{D5CDD505-2E9C-101B-9397-08002B2CF9AE}" pid="16" name="MSIP_Label_4257e2ab-f512-40e2-9c9a-c64247360765_SiteId">
    <vt:lpwstr>e8bdd6f7-fc18-4e48-a554-7f547927223b</vt:lpwstr>
  </property>
  <property fmtid="{D5CDD505-2E9C-101B-9397-08002B2CF9AE}" pid="17" name="MSIP_Label_4257e2ab-f512-40e2-9c9a-c64247360765_ActionId">
    <vt:lpwstr>773db6ee-2c46-4dd8-901a-fb50147df5b1</vt:lpwstr>
  </property>
  <property fmtid="{D5CDD505-2E9C-101B-9397-08002B2CF9AE}" pid="18" name="MSIP_Label_4257e2ab-f512-40e2-9c9a-c64247360765_ContentBits">
    <vt:lpwstr>2</vt:lpwstr>
  </property>
</Properties>
</file>